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color w:val="auto"/>
          <w:highlight w:val="none"/>
        </w:rPr>
      </w:pPr>
    </w:p>
    <w:p>
      <w:pPr>
        <w:pStyle w:val="26"/>
        <w:ind w:left="0" w:leftChars="0" w:firstLine="0" w:firstLineChars="0"/>
        <w:jc w:val="center"/>
        <w:rPr>
          <w:rFonts w:hint="eastAsia"/>
          <w:color w:val="auto"/>
          <w:sz w:val="21"/>
          <w:szCs w:val="24"/>
          <w:highlight w:val="none"/>
          <w:lang w:val="en-US" w:eastAsia="zh-CN"/>
        </w:rPr>
      </w:pPr>
      <w:r>
        <w:rPr>
          <w:rFonts w:hint="eastAsia" w:ascii="宋体" w:hAnsi="宋体" w:cs="宋体"/>
          <w:b/>
          <w:bCs/>
          <w:color w:val="auto"/>
          <w:sz w:val="44"/>
          <w:szCs w:val="44"/>
          <w:highlight w:val="none"/>
          <w:lang w:val="en-US" w:eastAsia="zh-CN"/>
        </w:rPr>
        <w:t xml:space="preserve">2023年支持学前教育发展资金建设项目（设备采购）二包 </w:t>
      </w:r>
    </w:p>
    <w:p>
      <w:pPr>
        <w:pStyle w:val="50"/>
        <w:rPr>
          <w:rFonts w:hint="default"/>
          <w:color w:val="auto"/>
          <w:highlight w:val="none"/>
          <w:lang w:val="en-US" w:eastAsia="zh-CN"/>
        </w:rPr>
      </w:pPr>
    </w:p>
    <w:p>
      <w:pPr>
        <w:pStyle w:val="50"/>
        <w:rPr>
          <w:rFonts w:hint="default"/>
          <w:color w:val="auto"/>
          <w:highlight w:val="none"/>
          <w:lang w:val="en-US" w:eastAsia="zh-CN"/>
        </w:rPr>
      </w:pPr>
    </w:p>
    <w:p>
      <w:pPr>
        <w:widowControl/>
        <w:tabs>
          <w:tab w:val="left" w:pos="6013"/>
        </w:tabs>
        <w:autoSpaceDE w:val="0"/>
        <w:autoSpaceDN w:val="0"/>
        <w:ind w:right="-26"/>
        <w:jc w:val="center"/>
        <w:textAlignment w:val="bottom"/>
        <w:rPr>
          <w:rFonts w:hint="default" w:ascii="宋体" w:hAnsi="宋体"/>
          <w:b/>
          <w:color w:val="auto"/>
          <w:sz w:val="84"/>
          <w:szCs w:val="84"/>
          <w:highlight w:val="none"/>
          <w:lang w:val="en-US" w:eastAsia="zh-CN"/>
        </w:rPr>
      </w:pPr>
      <w:r>
        <w:rPr>
          <w:rFonts w:hint="eastAsia" w:ascii="宋体" w:hAnsi="宋体" w:cs="宋体"/>
          <w:b/>
          <w:bCs/>
          <w:color w:val="auto"/>
          <w:kern w:val="0"/>
          <w:sz w:val="32"/>
          <w:szCs w:val="32"/>
          <w:highlight w:val="none"/>
          <w:shd w:val="clear" w:color="auto" w:fill="FFFFFF"/>
        </w:rPr>
        <w:t>项目编号：</w:t>
      </w:r>
      <w:r>
        <w:rPr>
          <w:rFonts w:hint="eastAsia" w:ascii="宋体" w:hAnsi="宋体" w:cs="宋体"/>
          <w:b/>
          <w:bCs/>
          <w:color w:val="auto"/>
          <w:kern w:val="0"/>
          <w:sz w:val="32"/>
          <w:szCs w:val="32"/>
          <w:highlight w:val="none"/>
          <w:shd w:val="clear" w:color="auto" w:fill="FFFFFF"/>
          <w:lang w:val="en-US" w:eastAsia="zh-CN"/>
        </w:rPr>
        <w:t>ATSCG-2023037-1</w:t>
      </w:r>
    </w:p>
    <w:p>
      <w:pPr>
        <w:widowControl/>
        <w:tabs>
          <w:tab w:val="left" w:pos="6013"/>
        </w:tabs>
        <w:autoSpaceDE w:val="0"/>
        <w:autoSpaceDN w:val="0"/>
        <w:ind w:right="-26"/>
        <w:jc w:val="center"/>
        <w:textAlignment w:val="bottom"/>
        <w:rPr>
          <w:rFonts w:hint="eastAsia" w:ascii="宋体" w:hAnsi="宋体"/>
          <w:b/>
          <w:color w:val="auto"/>
          <w:sz w:val="84"/>
          <w:szCs w:val="84"/>
          <w:highlight w:val="none"/>
          <w:lang w:eastAsia="zh-CN"/>
        </w:rPr>
      </w:pPr>
      <w:r>
        <w:rPr>
          <w:rFonts w:hint="eastAsia" w:ascii="宋体" w:hAnsi="宋体"/>
          <w:b/>
          <w:color w:val="auto"/>
          <w:sz w:val="84"/>
          <w:szCs w:val="84"/>
          <w:highlight w:val="none"/>
          <w:lang w:eastAsia="zh-CN"/>
        </w:rPr>
        <w:t>招</w:t>
      </w:r>
    </w:p>
    <w:p>
      <w:pPr>
        <w:widowControl/>
        <w:tabs>
          <w:tab w:val="left" w:pos="6013"/>
        </w:tabs>
        <w:autoSpaceDE w:val="0"/>
        <w:autoSpaceDN w:val="0"/>
        <w:ind w:right="-26"/>
        <w:jc w:val="center"/>
        <w:textAlignment w:val="bottom"/>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lang w:eastAsia="zh-CN"/>
        </w:rPr>
        <w:t>标</w:t>
      </w:r>
    </w:p>
    <w:p>
      <w:pPr>
        <w:widowControl/>
        <w:tabs>
          <w:tab w:val="left" w:pos="4502"/>
          <w:tab w:val="center" w:pos="4832"/>
        </w:tabs>
        <w:autoSpaceDE w:val="0"/>
        <w:autoSpaceDN w:val="0"/>
        <w:ind w:right="-26"/>
        <w:jc w:val="center"/>
        <w:textAlignment w:val="bottom"/>
        <w:rPr>
          <w:rFonts w:hint="eastAsia" w:ascii="宋体" w:hAnsi="宋体"/>
          <w:b/>
          <w:color w:val="auto"/>
          <w:sz w:val="84"/>
          <w:szCs w:val="84"/>
          <w:highlight w:val="none"/>
        </w:rPr>
      </w:pPr>
      <w:r>
        <w:rPr>
          <w:rFonts w:hint="eastAsia" w:ascii="宋体" w:hAnsi="宋体"/>
          <w:b/>
          <w:color w:val="auto"/>
          <w:sz w:val="84"/>
          <w:szCs w:val="84"/>
          <w:highlight w:val="none"/>
        </w:rPr>
        <w:t>文</w:t>
      </w:r>
    </w:p>
    <w:p>
      <w:pPr>
        <w:widowControl/>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84"/>
          <w:szCs w:val="84"/>
          <w:highlight w:val="none"/>
        </w:rPr>
        <w:t>件</w:t>
      </w:r>
    </w:p>
    <w:p>
      <w:pPr>
        <w:pStyle w:val="66"/>
        <w:rPr>
          <w:rFonts w:hint="eastAsia"/>
          <w:color w:val="auto"/>
          <w:highlight w:val="none"/>
        </w:rPr>
      </w:pPr>
    </w:p>
    <w:p>
      <w:pPr>
        <w:pStyle w:val="66"/>
        <w:rPr>
          <w:rFonts w:hint="eastAsia"/>
          <w:color w:val="auto"/>
          <w:highlight w:val="none"/>
        </w:rPr>
      </w:pPr>
    </w:p>
    <w:p>
      <w:pPr>
        <w:pStyle w:val="66"/>
        <w:rPr>
          <w:rFonts w:hint="eastAsia"/>
          <w:color w:val="auto"/>
          <w:highlight w:val="none"/>
        </w:rPr>
      </w:pPr>
    </w:p>
    <w:p>
      <w:pPr>
        <w:keepNext w:val="0"/>
        <w:keepLines w:val="0"/>
        <w:pageBreakBefore w:val="0"/>
        <w:widowControl/>
        <w:kinsoku/>
        <w:wordWrap/>
        <w:overflowPunct/>
        <w:topLinePunct w:val="0"/>
        <w:autoSpaceDE w:val="0"/>
        <w:autoSpaceDN w:val="0"/>
        <w:bidi w:val="0"/>
        <w:adjustRightInd/>
        <w:snapToGrid/>
        <w:spacing w:line="740" w:lineRule="exact"/>
        <w:ind w:right="-26" w:firstLine="632"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采 购 人：阿图什市教育局</w:t>
      </w:r>
    </w:p>
    <w:p>
      <w:pPr>
        <w:keepNext w:val="0"/>
        <w:keepLines w:val="0"/>
        <w:pageBreakBefore w:val="0"/>
        <w:widowControl/>
        <w:kinsoku/>
        <w:wordWrap/>
        <w:overflowPunct/>
        <w:topLinePunct w:val="0"/>
        <w:autoSpaceDE w:val="0"/>
        <w:autoSpaceDN w:val="0"/>
        <w:bidi w:val="0"/>
        <w:adjustRightInd/>
        <w:snapToGrid/>
        <w:spacing w:line="740" w:lineRule="exact"/>
        <w:ind w:right="-26" w:firstLine="632"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联系人：沙先生       联系电话   18199726032</w:t>
      </w:r>
    </w:p>
    <w:p>
      <w:pPr>
        <w:keepNext w:val="0"/>
        <w:keepLines w:val="0"/>
        <w:pageBreakBefore w:val="0"/>
        <w:widowControl/>
        <w:kinsoku/>
        <w:wordWrap/>
        <w:overflowPunct/>
        <w:topLinePunct w:val="0"/>
        <w:autoSpaceDE w:val="0"/>
        <w:autoSpaceDN w:val="0"/>
        <w:bidi w:val="0"/>
        <w:adjustRightInd/>
        <w:snapToGrid/>
        <w:spacing w:line="740" w:lineRule="exact"/>
        <w:ind w:right="-26" w:firstLine="632" w:firstLineChars="196"/>
        <w:textAlignment w:val="bottom"/>
        <w:rPr>
          <w:rFonts w:hint="eastAsia" w:ascii="宋体" w:hAnsi="宋体"/>
          <w:b/>
          <w:color w:val="auto"/>
          <w:sz w:val="32"/>
          <w:szCs w:val="32"/>
          <w:highlight w:val="none"/>
          <w:lang w:val="en-US" w:eastAsia="zh-CN"/>
        </w:rPr>
      </w:pPr>
    </w:p>
    <w:p>
      <w:pPr>
        <w:keepNext w:val="0"/>
        <w:keepLines w:val="0"/>
        <w:pageBreakBefore w:val="0"/>
        <w:widowControl/>
        <w:kinsoku/>
        <w:wordWrap/>
        <w:overflowPunct/>
        <w:topLinePunct w:val="0"/>
        <w:autoSpaceDE w:val="0"/>
        <w:autoSpaceDN w:val="0"/>
        <w:bidi w:val="0"/>
        <w:adjustRightInd/>
        <w:snapToGrid/>
        <w:spacing w:line="740" w:lineRule="exact"/>
        <w:ind w:right="-26" w:firstLine="632"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代理机构：新疆誉诚信工程项目管理有限责任公司</w:t>
      </w:r>
    </w:p>
    <w:p>
      <w:pPr>
        <w:keepNext w:val="0"/>
        <w:keepLines w:val="0"/>
        <w:pageBreakBefore w:val="0"/>
        <w:widowControl/>
        <w:kinsoku/>
        <w:wordWrap/>
        <w:overflowPunct/>
        <w:topLinePunct w:val="0"/>
        <w:autoSpaceDE w:val="0"/>
        <w:autoSpaceDN w:val="0"/>
        <w:bidi w:val="0"/>
        <w:adjustRightInd/>
        <w:snapToGrid/>
        <w:spacing w:line="740" w:lineRule="exact"/>
        <w:ind w:right="-28" w:firstLine="632"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联</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系</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人：</w:t>
      </w:r>
      <w:r>
        <w:rPr>
          <w:rFonts w:hint="eastAsia" w:ascii="宋体" w:hAnsi="宋体"/>
          <w:b/>
          <w:color w:val="auto"/>
          <w:sz w:val="32"/>
          <w:szCs w:val="32"/>
          <w:highlight w:val="none"/>
          <w:lang w:val="en-US" w:eastAsia="zh-CN"/>
        </w:rPr>
        <w:t xml:space="preserve">温女士     </w:t>
      </w:r>
      <w:r>
        <w:rPr>
          <w:rFonts w:hint="eastAsia" w:ascii="宋体" w:hAnsi="宋体"/>
          <w:b/>
          <w:color w:val="auto"/>
          <w:sz w:val="32"/>
          <w:szCs w:val="32"/>
          <w:highlight w:val="none"/>
          <w:lang w:eastAsia="zh-CN"/>
        </w:rPr>
        <w:t xml:space="preserve">联系电话: </w:t>
      </w:r>
      <w:r>
        <w:rPr>
          <w:rFonts w:hint="eastAsia" w:ascii="宋体" w:hAnsi="宋体"/>
          <w:b/>
          <w:color w:val="auto"/>
          <w:sz w:val="32"/>
          <w:szCs w:val="32"/>
          <w:highlight w:val="none"/>
          <w:lang w:val="en-US" w:eastAsia="zh-CN"/>
        </w:rPr>
        <w:t>19199746726</w:t>
      </w:r>
      <w:r>
        <w:rPr>
          <w:rFonts w:hint="eastAsia" w:ascii="宋体" w:hAnsi="宋体"/>
          <w:b/>
          <w:color w:val="auto"/>
          <w:sz w:val="32"/>
          <w:szCs w:val="32"/>
          <w:highlight w:val="none"/>
          <w:lang w:eastAsia="zh-CN"/>
        </w:rPr>
        <w:t xml:space="preserve">  </w:t>
      </w:r>
    </w:p>
    <w:p>
      <w:pPr>
        <w:pStyle w:val="10"/>
        <w:rPr>
          <w:rFonts w:hint="eastAsia"/>
          <w:highlight w:val="none"/>
          <w:lang w:eastAsia="zh-CN"/>
        </w:rPr>
      </w:pPr>
    </w:p>
    <w:p>
      <w:pPr>
        <w:shd w:val="clear" w:color="auto" w:fill="auto"/>
        <w:jc w:val="center"/>
        <w:rPr>
          <w:rFonts w:hint="eastAsia"/>
          <w:b/>
          <w:color w:val="auto"/>
          <w:sz w:val="36"/>
          <w:highlight w:val="none"/>
        </w:rPr>
      </w:pPr>
      <w:bookmarkStart w:id="0" w:name="_Hlt10524010"/>
      <w:bookmarkEnd w:id="0"/>
      <w:bookmarkStart w:id="1" w:name="_Hlt10462525"/>
      <w:bookmarkEnd w:id="1"/>
      <w:bookmarkStart w:id="2" w:name="_Hlt10524029"/>
      <w:bookmarkEnd w:id="2"/>
      <w:bookmarkStart w:id="3" w:name="_Hlt10567911"/>
      <w:bookmarkEnd w:id="3"/>
      <w:bookmarkStart w:id="4" w:name="_Hlt10519329"/>
      <w:bookmarkEnd w:id="4"/>
      <w:bookmarkStart w:id="5" w:name="_Hlt42956360"/>
      <w:bookmarkEnd w:id="5"/>
      <w:bookmarkStart w:id="6" w:name="_Hlt10529670"/>
      <w:bookmarkEnd w:id="6"/>
      <w:bookmarkStart w:id="7" w:name="_Hlt42956379"/>
      <w:bookmarkEnd w:id="7"/>
      <w:bookmarkStart w:id="8" w:name="_Hlt10523642"/>
      <w:bookmarkEnd w:id="8"/>
      <w:bookmarkStart w:id="9" w:name="_Hlt10524018"/>
      <w:bookmarkEnd w:id="9"/>
      <w:r>
        <w:rPr>
          <w:rFonts w:hint="eastAsia"/>
          <w:b/>
          <w:color w:val="auto"/>
          <w:sz w:val="36"/>
          <w:highlight w:val="none"/>
        </w:rPr>
        <w:t>目  录</w:t>
      </w:r>
    </w:p>
    <w:p>
      <w:pPr>
        <w:pStyle w:val="19"/>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6"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bCs/>
          <w:color w:val="auto"/>
          <w:highlight w:val="none"/>
        </w:rPr>
        <w:t>第一章</w:t>
      </w:r>
      <w:r>
        <w:rPr>
          <w:rStyle w:val="39"/>
          <w:rFonts w:hint="eastAsia" w:ascii="宋体" w:hAnsi="宋体"/>
          <w:bCs/>
          <w:color w:val="auto"/>
          <w:highlight w:val="none"/>
          <w:lang w:val="en-US" w:eastAsia="zh-CN"/>
        </w:rPr>
        <w:t xml:space="preserve"> </w:t>
      </w:r>
      <w:r>
        <w:rPr>
          <w:rStyle w:val="39"/>
          <w:rFonts w:hint="eastAsia" w:ascii="宋体" w:hAnsi="宋体"/>
          <w:bCs/>
          <w:color w:val="auto"/>
          <w:highlight w:val="none"/>
        </w:rPr>
        <w:t>招标公告</w:t>
      </w:r>
      <w:r>
        <w:rPr>
          <w:rFonts w:ascii="宋体" w:hAnsi="宋体"/>
          <w:color w:val="auto"/>
          <w:szCs w:val="22"/>
          <w:highlight w:val="none"/>
        </w:rPr>
        <w:tab/>
      </w:r>
      <w:r>
        <w:rPr>
          <w:rFonts w:hint="eastAsia" w:ascii="宋体" w:hAnsi="宋体"/>
          <w:color w:val="auto"/>
          <w:szCs w:val="22"/>
          <w:highlight w:val="none"/>
          <w:lang w:val="en-US" w:eastAsia="zh-CN"/>
        </w:rPr>
        <w:t>4</w:t>
      </w:r>
      <w:r>
        <w:rPr>
          <w:rFonts w:ascii="宋体" w:hAnsi="宋体"/>
          <w:color w:val="auto"/>
          <w:highlight w:val="none"/>
        </w:rPr>
        <w:fldChar w:fldCharType="end"/>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ascii="宋体" w:hAnsi="宋体"/>
          <w:color w:val="auto"/>
          <w:szCs w:val="22"/>
          <w:highlight w:val="none"/>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第二章</w:t>
      </w:r>
      <w:r>
        <w:rPr>
          <w:rStyle w:val="39"/>
          <w:rFonts w:ascii="宋体" w:hAnsi="宋体"/>
          <w:color w:val="auto"/>
          <w:highlight w:val="none"/>
        </w:rPr>
        <w:t xml:space="preserve"> </w:t>
      </w:r>
      <w:r>
        <w:rPr>
          <w:rStyle w:val="39"/>
          <w:rFonts w:hint="eastAsia" w:ascii="宋体" w:hAnsi="宋体"/>
          <w:color w:val="auto"/>
          <w:highlight w:val="none"/>
        </w:rPr>
        <w:t>投标人须知</w:t>
      </w:r>
      <w:r>
        <w:rPr>
          <w:rFonts w:ascii="宋体" w:hAnsi="宋体"/>
          <w:color w:val="auto"/>
          <w:highlight w:val="none"/>
        </w:rPr>
        <w:tab/>
      </w:r>
      <w:r>
        <w:rPr>
          <w:rFonts w:hint="eastAsia" w:ascii="宋体" w:hAnsi="宋体"/>
          <w:color w:val="auto"/>
          <w:highlight w:val="none"/>
          <w:lang w:val="en-US" w:eastAsia="zh-CN"/>
        </w:rPr>
        <w:t>9</w:t>
      </w:r>
      <w:r>
        <w:rPr>
          <w:rFonts w:ascii="宋体" w:hAnsi="宋体"/>
          <w:color w:val="auto"/>
          <w:highlight w:val="none"/>
        </w:rPr>
        <w:fldChar w:fldCharType="end"/>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ascii="宋体" w:hAnsi="宋体"/>
          <w:color w:val="auto"/>
          <w:szCs w:val="22"/>
          <w:highlight w:val="none"/>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一、投标人须知前附表</w:t>
      </w:r>
      <w:r>
        <w:rPr>
          <w:rFonts w:ascii="宋体" w:hAnsi="宋体"/>
          <w:color w:val="auto"/>
          <w:highlight w:val="none"/>
        </w:rPr>
        <w:tab/>
      </w:r>
      <w:r>
        <w:rPr>
          <w:rFonts w:hint="eastAsia" w:ascii="宋体" w:hAnsi="宋体"/>
          <w:color w:val="auto"/>
          <w:highlight w:val="none"/>
          <w:lang w:val="en-US" w:eastAsia="zh-CN"/>
        </w:rPr>
        <w:t>9</w:t>
      </w:r>
      <w:r>
        <w:rPr>
          <w:rFonts w:ascii="宋体" w:hAnsi="宋体"/>
          <w:color w:val="auto"/>
          <w:highlight w:val="none"/>
        </w:rPr>
        <w:fldChar w:fldCharType="end"/>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"_Toc469495723" </w:instrText>
      </w:r>
      <w:r>
        <w:rPr>
          <w:rFonts w:ascii="宋体" w:hAnsi="宋体"/>
          <w:color w:val="auto"/>
          <w:highlight w:val="none"/>
        </w:rPr>
        <w:fldChar w:fldCharType="separate"/>
      </w:r>
      <w:r>
        <w:rPr>
          <w:rFonts w:hint="eastAsia" w:ascii="宋体" w:hAnsi="宋体"/>
          <w:color w:val="auto"/>
          <w:highlight w:val="none"/>
        </w:rPr>
        <w:t>二、投标人须知</w:t>
      </w:r>
      <w:r>
        <w:rPr>
          <w:rFonts w:ascii="宋体" w:hAnsi="宋体"/>
          <w:color w:val="auto"/>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r>
        <w:rPr>
          <w:rFonts w:hint="eastAsia" w:ascii="宋体" w:hAnsi="宋体"/>
          <w:color w:val="auto"/>
          <w:highlight w:val="none"/>
          <w:lang w:val="en-US" w:eastAsia="zh-CN"/>
        </w:rPr>
        <w:t>7</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1.政府采购投诉书(范本、质疑函范本）..................................36</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639" w:firstLineChars="3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政府采购投诉书范本...............................................36</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2.投诉相关说明.....................................................37</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3.质疑函范本.......................................................39</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第三章</w:t>
      </w:r>
      <w:r>
        <w:rPr>
          <w:rStyle w:val="39"/>
          <w:rFonts w:ascii="宋体" w:hAnsi="宋体"/>
          <w:color w:val="auto"/>
          <w:highlight w:val="none"/>
        </w:rPr>
        <w:t xml:space="preserve">  </w:t>
      </w:r>
      <w:r>
        <w:rPr>
          <w:rStyle w:val="39"/>
          <w:rFonts w:hint="eastAsia" w:ascii="宋体" w:hAnsi="宋体"/>
          <w:color w:val="auto"/>
          <w:highlight w:val="none"/>
        </w:rPr>
        <w:t>评标办法</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0</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一</w:t>
      </w:r>
      <w:r>
        <w:rPr>
          <w:rStyle w:val="39"/>
          <w:rFonts w:ascii="宋体" w:hAnsi="宋体"/>
          <w:color w:val="auto"/>
          <w:highlight w:val="none"/>
        </w:rPr>
        <w:t xml:space="preserve">  </w:t>
      </w:r>
      <w:r>
        <w:rPr>
          <w:rStyle w:val="39"/>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0</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二</w:t>
      </w:r>
      <w:r>
        <w:rPr>
          <w:rStyle w:val="39"/>
          <w:rFonts w:ascii="宋体" w:hAnsi="宋体"/>
          <w:color w:val="auto"/>
          <w:highlight w:val="none"/>
        </w:rPr>
        <w:t xml:space="preserve">  </w:t>
      </w:r>
      <w:r>
        <w:rPr>
          <w:rStyle w:val="39"/>
          <w:rFonts w:hint="eastAsia" w:ascii="宋体" w:hAnsi="宋体"/>
          <w:color w:val="auto"/>
          <w:highlight w:val="none"/>
        </w:rPr>
        <w:t>投标文件初审</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2</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三</w:t>
      </w:r>
      <w:r>
        <w:rPr>
          <w:rStyle w:val="39"/>
          <w:rFonts w:ascii="宋体" w:hAnsi="宋体"/>
          <w:color w:val="auto"/>
          <w:highlight w:val="none"/>
        </w:rPr>
        <w:t xml:space="preserve">  </w:t>
      </w:r>
      <w:r>
        <w:rPr>
          <w:rStyle w:val="39"/>
          <w:rFonts w:hint="eastAsia" w:ascii="宋体" w:hAnsi="宋体"/>
          <w:color w:val="auto"/>
          <w:highlight w:val="none"/>
        </w:rPr>
        <w:t>投标文件的澄清和补正</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3</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四</w:t>
      </w:r>
      <w:r>
        <w:rPr>
          <w:rStyle w:val="39"/>
          <w:rFonts w:ascii="宋体" w:hAnsi="宋体"/>
          <w:color w:val="auto"/>
          <w:highlight w:val="none"/>
        </w:rPr>
        <w:t xml:space="preserve"> </w:t>
      </w:r>
      <w:r>
        <w:rPr>
          <w:rStyle w:val="39"/>
          <w:rFonts w:hint="eastAsia" w:ascii="宋体" w:hAnsi="宋体"/>
          <w:color w:val="auto"/>
          <w:highlight w:val="none"/>
          <w:lang w:val="en-US" w:eastAsia="zh-CN"/>
        </w:rPr>
        <w:t xml:space="preserve"> </w:t>
      </w:r>
      <w:r>
        <w:rPr>
          <w:rStyle w:val="39"/>
          <w:rFonts w:hint="eastAsia" w:ascii="宋体" w:hAnsi="宋体"/>
          <w:color w:val="auto"/>
          <w:highlight w:val="none"/>
        </w:rPr>
        <w:t>比较与评价</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4</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"_Toc469495736" </w:instrText>
      </w:r>
      <w:r>
        <w:rPr>
          <w:rFonts w:ascii="宋体" w:hAnsi="宋体"/>
          <w:color w:val="auto"/>
          <w:highlight w:val="none"/>
        </w:rPr>
        <w:fldChar w:fldCharType="separate"/>
      </w:r>
      <w:r>
        <w:rPr>
          <w:rFonts w:hint="eastAsia" w:ascii="宋体" w:hAnsi="宋体"/>
          <w:color w:val="auto"/>
          <w:highlight w:val="none"/>
        </w:rPr>
        <w:t>五</w:t>
      </w:r>
      <w:r>
        <w:rPr>
          <w:rFonts w:ascii="宋体" w:hAnsi="宋体"/>
          <w:color w:val="auto"/>
          <w:highlight w:val="none"/>
        </w:rPr>
        <w:t xml:space="preserve">  </w:t>
      </w:r>
      <w:r>
        <w:rPr>
          <w:rFonts w:hint="eastAsia" w:ascii="宋体" w:hAnsi="宋体"/>
          <w:color w:val="auto"/>
          <w:highlight w:val="none"/>
        </w:rPr>
        <w:t>推荐中标候选人</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47</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第四章  采购内容及技术要求..............................................49</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第五章</w:t>
      </w:r>
      <w:r>
        <w:rPr>
          <w:rStyle w:val="39"/>
          <w:rFonts w:ascii="宋体" w:hAnsi="宋体"/>
          <w:color w:val="auto"/>
          <w:highlight w:val="none"/>
        </w:rPr>
        <w:t xml:space="preserve">  </w:t>
      </w:r>
      <w:r>
        <w:rPr>
          <w:rStyle w:val="39"/>
          <w:rFonts w:hint="eastAsia" w:ascii="宋体" w:hAnsi="宋体"/>
          <w:color w:val="auto"/>
          <w:highlight w:val="none"/>
        </w:rPr>
        <w:t>合同条款及格式</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58</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一</w:t>
      </w:r>
      <w:r>
        <w:rPr>
          <w:rStyle w:val="39"/>
          <w:rFonts w:hint="eastAsia" w:ascii="宋体" w:hAnsi="宋体"/>
          <w:color w:val="auto"/>
          <w:highlight w:val="none"/>
          <w:lang w:val="en-US" w:eastAsia="zh-CN"/>
        </w:rPr>
        <w:t xml:space="preserve">  </w:t>
      </w:r>
      <w:r>
        <w:rPr>
          <w:rStyle w:val="39"/>
          <w:rFonts w:hint="eastAsia" w:ascii="宋体" w:hAnsi="宋体"/>
          <w:color w:val="auto"/>
          <w:highlight w:val="none"/>
        </w:rPr>
        <w:t>合同协议书</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58</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二</w:t>
      </w:r>
      <w:r>
        <w:rPr>
          <w:rStyle w:val="39"/>
          <w:rFonts w:ascii="宋体" w:hAnsi="宋体"/>
          <w:color w:val="auto"/>
          <w:highlight w:val="none"/>
        </w:rPr>
        <w:t xml:space="preserve">  </w:t>
      </w:r>
      <w:r>
        <w:rPr>
          <w:rStyle w:val="39"/>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w:t>
      </w:r>
      <w:r>
        <w:rPr>
          <w:rFonts w:ascii="宋体" w:hAnsi="宋体"/>
          <w:color w:val="auto"/>
          <w:highlight w:val="none"/>
        </w:rPr>
        <w:fldChar w:fldCharType="end"/>
      </w:r>
      <w:r>
        <w:rPr>
          <w:rFonts w:hint="eastAsia" w:ascii="宋体" w:hAnsi="宋体"/>
          <w:color w:val="auto"/>
          <w:highlight w:val="none"/>
          <w:lang w:val="en-US" w:eastAsia="zh-CN"/>
        </w:rPr>
        <w:t>59</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第六章</w:t>
      </w:r>
      <w:r>
        <w:rPr>
          <w:rStyle w:val="39"/>
          <w:rFonts w:ascii="宋体" w:hAnsi="宋体"/>
          <w:color w:val="auto"/>
          <w:highlight w:val="none"/>
        </w:rPr>
        <w:t xml:space="preserve">  </w:t>
      </w:r>
      <w:r>
        <w:rPr>
          <w:rStyle w:val="39"/>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.6</w:t>
      </w:r>
      <w:r>
        <w:rPr>
          <w:rFonts w:ascii="宋体" w:hAnsi="宋体"/>
          <w:color w:val="auto"/>
          <w:highlight w:val="none"/>
        </w:rPr>
        <w:fldChar w:fldCharType="end"/>
      </w:r>
      <w:r>
        <w:rPr>
          <w:rFonts w:hint="eastAsia" w:ascii="宋体" w:hAnsi="宋体"/>
          <w:color w:val="auto"/>
          <w:highlight w:val="none"/>
          <w:lang w:val="en-US" w:eastAsia="zh-CN"/>
        </w:rPr>
        <w:t>4</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jc w:val="distribute"/>
        <w:textAlignment w:val="auto"/>
        <w:rPr>
          <w:rFonts w:hint="eastAsia" w:ascii="宋体" w:hAnsi="宋体" w:cs="宋体"/>
          <w:color w:val="auto"/>
          <w:sz w:val="24"/>
          <w:highlight w:val="none"/>
        </w:rPr>
      </w:pPr>
      <w:r>
        <w:rPr>
          <w:rFonts w:hint="eastAsia" w:ascii="宋体" w:hAnsi="宋体" w:cs="宋体"/>
          <w:color w:val="auto"/>
          <w:sz w:val="24"/>
          <w:highlight w:val="none"/>
        </w:rPr>
        <w:fldChar w:fldCharType="end"/>
      </w:r>
    </w:p>
    <w:p>
      <w:pPr>
        <w:spacing w:line="240" w:lineRule="auto"/>
        <w:jc w:val="center"/>
        <w:rPr>
          <w:rFonts w:ascii="宋体" w:hAnsi="宋体" w:cs="宋体"/>
          <w:b/>
          <w:bCs/>
          <w:color w:val="auto"/>
          <w:kern w:val="36"/>
          <w:sz w:val="36"/>
          <w:szCs w:val="36"/>
          <w:highlight w:val="none"/>
        </w:rPr>
      </w:pPr>
      <w:r>
        <w:rPr>
          <w:rFonts w:hint="eastAsia" w:ascii="宋体" w:hAnsi="宋体" w:cs="宋体"/>
          <w:color w:val="auto"/>
          <w:sz w:val="24"/>
          <w:highlight w:val="none"/>
        </w:rPr>
        <w:br w:type="page"/>
      </w:r>
      <w:r>
        <w:rPr>
          <w:rFonts w:ascii="宋体" w:hAnsi="宋体" w:cs="宋体"/>
          <w:b/>
          <w:bCs/>
          <w:color w:val="auto"/>
          <w:kern w:val="36"/>
          <w:sz w:val="36"/>
          <w:szCs w:val="36"/>
          <w:highlight w:val="none"/>
        </w:rPr>
        <w:t>第一部分 招标公告</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left="0" w:right="0" w:firstLine="806" w:firstLineChars="200"/>
        <w:jc w:val="center"/>
        <w:textAlignment w:val="auto"/>
        <w:rPr>
          <w:rFonts w:hint="default" w:ascii="新宋体" w:hAnsi="新宋体" w:eastAsia="新宋体" w:cs="新宋体"/>
          <w:b/>
          <w:bCs/>
          <w:color w:val="auto"/>
          <w:kern w:val="0"/>
          <w:sz w:val="40"/>
          <w:szCs w:val="40"/>
          <w:highlight w:val="none"/>
          <w:u w:val="none"/>
          <w:lang w:val="en-US" w:eastAsia="zh-CN" w:bidi="ar"/>
        </w:rPr>
      </w:pPr>
      <w:r>
        <w:rPr>
          <w:rFonts w:hint="eastAsia" w:ascii="新宋体" w:hAnsi="新宋体" w:eastAsia="新宋体" w:cs="新宋体"/>
          <w:b/>
          <w:bCs/>
          <w:color w:val="auto"/>
          <w:kern w:val="0"/>
          <w:sz w:val="40"/>
          <w:szCs w:val="40"/>
          <w:highlight w:val="none"/>
          <w:u w:val="none"/>
          <w:lang w:val="en-US" w:eastAsia="zh-CN" w:bidi="ar"/>
        </w:rPr>
        <w:t xml:space="preserve"> 2023年支持学前教育发展资金建设项目（设备采购）二次公开招标公告</w:t>
      </w:r>
    </w:p>
    <w:tbl>
      <w:tblPr>
        <w:tblStyle w:val="28"/>
        <w:tblpPr w:leftFromText="180" w:rightFromText="180" w:vertAnchor="page" w:horzAnchor="page" w:tblpX="1354" w:tblpY="371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280" w:type="dxa"/>
            <w:tcBorders>
              <w:top w:val="single" w:color="auto" w:sz="4" w:space="0"/>
              <w:left w:val="single" w:color="auto" w:sz="4" w:space="0"/>
              <w:bottom w:val="single" w:color="auto" w:sz="4" w:space="0"/>
              <w:right w:val="single" w:color="auto" w:sz="4" w:space="0"/>
            </w:tcBorders>
            <w:vAlign w:val="top"/>
          </w:tcPr>
          <w:p>
            <w:pPr>
              <w:pStyle w:val="24"/>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kern w:val="0"/>
                <w:sz w:val="21"/>
                <w:szCs w:val="21"/>
                <w:highlight w:val="none"/>
              </w:rPr>
              <w:t>项目概况</w:t>
            </w:r>
          </w:p>
          <w:p>
            <w:pPr>
              <w:pStyle w:val="24"/>
              <w:keepNext w:val="0"/>
              <w:keepLines w:val="0"/>
              <w:widowControl/>
              <w:suppressLineNumbers w:val="0"/>
              <w:autoSpaceDE w:val="0"/>
              <w:autoSpaceDN/>
              <w:spacing w:before="75" w:beforeAutospacing="0" w:after="75" w:afterAutospacing="0" w:line="300" w:lineRule="exact"/>
              <w:ind w:left="0" w:right="0"/>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kern w:val="0"/>
                <w:sz w:val="21"/>
                <w:szCs w:val="21"/>
                <w:highlight w:val="none"/>
              </w:rPr>
              <w:t xml:space="preserve"> </w:t>
            </w:r>
            <w:r>
              <w:rPr>
                <w:rFonts w:hint="eastAsia" w:ascii="新宋体" w:hAnsi="新宋体" w:eastAsia="新宋体" w:cs="新宋体"/>
                <w:i w:val="0"/>
                <w:caps w:val="0"/>
                <w:color w:val="auto"/>
                <w:spacing w:val="0"/>
                <w:kern w:val="0"/>
                <w:sz w:val="21"/>
                <w:szCs w:val="21"/>
                <w:highlight w:val="none"/>
                <w:lang w:val="en-US" w:eastAsia="zh-CN"/>
              </w:rPr>
              <w:t xml:space="preserve">   2023年支持学前教育发展资金建设项目（设备采购）二次 的潜在供应商应在供应商登陆政采云平台http://www.zcygov.cn/，在线申请获取招标文件（登录政府采购云平台 → 项目采购 → 获取招标文件，如有操作性问题，可与政采云在线客服进行咨询，咨询电话：95763）获取采购文件，并于2023年8月14日 10:30（北京时间）前递交投标文件</w:t>
            </w:r>
            <w:r>
              <w:rPr>
                <w:rFonts w:hint="eastAsia" w:ascii="新宋体" w:hAnsi="新宋体" w:eastAsia="新宋体" w:cs="新宋体"/>
                <w:i w:val="0"/>
                <w:caps w:val="0"/>
                <w:color w:val="auto"/>
                <w:spacing w:val="0"/>
                <w:kern w:val="0"/>
                <w:sz w:val="21"/>
                <w:szCs w:val="21"/>
                <w:highlight w:val="none"/>
              </w:rPr>
              <w:t>。</w:t>
            </w:r>
          </w:p>
        </w:tc>
      </w:tr>
    </w:tbl>
    <w:p>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80" w:lineRule="exact"/>
        <w:ind w:left="0" w:right="0" w:firstLine="426" w:firstLineChars="200"/>
        <w:jc w:val="both"/>
        <w:textAlignment w:val="auto"/>
        <w:rPr>
          <w:rFonts w:hint="eastAsia" w:ascii="新宋体" w:hAnsi="新宋体" w:eastAsia="新宋体" w:cs="新宋体"/>
          <w:b/>
          <w:bCs/>
          <w:i w:val="0"/>
          <w:caps w:val="0"/>
          <w:color w:val="auto"/>
          <w:spacing w:val="0"/>
          <w:sz w:val="21"/>
          <w:szCs w:val="21"/>
          <w:highlight w:val="none"/>
        </w:rPr>
      </w:pPr>
      <w:r>
        <w:rPr>
          <w:rFonts w:hint="eastAsia" w:ascii="新宋体" w:hAnsi="新宋体" w:eastAsia="新宋体" w:cs="新宋体"/>
          <w:b/>
          <w:bCs/>
          <w:i w:val="0"/>
          <w:caps w:val="0"/>
          <w:color w:val="auto"/>
          <w:spacing w:val="0"/>
          <w:sz w:val="21"/>
          <w:szCs w:val="21"/>
          <w:highlight w:val="none"/>
        </w:rPr>
        <w:t>一、项目基本情况</w:t>
      </w:r>
    </w:p>
    <w:p>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80" w:lineRule="exact"/>
        <w:ind w:left="0" w:right="0" w:firstLine="426" w:firstLineChars="200"/>
        <w:jc w:val="both"/>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项目编号：ATSCG-2023037-1</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项目名称：</w:t>
      </w:r>
      <w:r>
        <w:rPr>
          <w:rFonts w:hint="eastAsia" w:ascii="新宋体" w:hAnsi="新宋体" w:eastAsia="新宋体" w:cs="新宋体"/>
          <w:i w:val="0"/>
          <w:caps w:val="0"/>
          <w:color w:val="auto"/>
          <w:spacing w:val="0"/>
          <w:kern w:val="0"/>
          <w:sz w:val="21"/>
          <w:szCs w:val="21"/>
          <w:highlight w:val="none"/>
          <w:lang w:val="en-US" w:eastAsia="zh-CN"/>
        </w:rPr>
        <w:t>2023年支持学前教育发展资金建设项目（设备采购）二次</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采购方式：公开招标</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i w:val="0"/>
          <w:caps w:val="0"/>
          <w:color w:val="auto"/>
          <w:spacing w:val="0"/>
          <w:kern w:val="0"/>
          <w:sz w:val="21"/>
          <w:szCs w:val="21"/>
          <w:highlight w:val="none"/>
        </w:rPr>
        <w:t>预算金额（元）</w:t>
      </w:r>
      <w:r>
        <w:rPr>
          <w:rFonts w:hint="eastAsia" w:ascii="新宋体" w:hAnsi="新宋体" w:eastAsia="新宋体" w:cs="新宋体"/>
          <w:color w:val="auto"/>
          <w:kern w:val="0"/>
          <w:sz w:val="21"/>
          <w:szCs w:val="21"/>
          <w:highlight w:val="none"/>
          <w:u w:val="none"/>
          <w:lang w:val="en-US" w:eastAsia="zh-CN" w:bidi="ar"/>
        </w:rPr>
        <w:t>：3300000</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最高限价（元）：3300000</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eastAsia" w:ascii="新宋体" w:hAnsi="新宋体" w:eastAsia="新宋体" w:cs="新宋体"/>
          <w:i w:val="0"/>
          <w:caps w:val="0"/>
          <w:color w:val="auto"/>
          <w:spacing w:val="0"/>
          <w:kern w:val="0"/>
          <w:sz w:val="21"/>
          <w:szCs w:val="21"/>
          <w:highlight w:val="none"/>
        </w:rPr>
      </w:pPr>
      <w:r>
        <w:rPr>
          <w:rFonts w:hint="eastAsia" w:ascii="新宋体" w:hAnsi="新宋体" w:eastAsia="新宋体" w:cs="新宋体"/>
          <w:i w:val="0"/>
          <w:caps w:val="0"/>
          <w:color w:val="auto"/>
          <w:spacing w:val="0"/>
          <w:kern w:val="0"/>
          <w:sz w:val="21"/>
          <w:szCs w:val="21"/>
          <w:highlight w:val="none"/>
        </w:rPr>
        <w:t>采购需求：</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标项名称: 2023年支持学前教育发展资金建设项目（设备采购）二包</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数量: 不限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default"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预算金额（元）:</w:t>
      </w:r>
      <w:r>
        <w:rPr>
          <w:rFonts w:hint="eastAsia" w:ascii="新宋体" w:hAnsi="新宋体" w:eastAsia="新宋体" w:cs="新宋体"/>
          <w:color w:val="auto"/>
          <w:kern w:val="0"/>
          <w:sz w:val="21"/>
          <w:szCs w:val="21"/>
          <w:highlight w:val="none"/>
          <w:u w:val="none"/>
          <w:lang w:val="en-US" w:eastAsia="zh-CN" w:bidi="ar"/>
        </w:rPr>
        <w:t>3300000</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简要规格描述或项目基本概况介绍、用途：玩教具一批。</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备注：具体详见招标文件采购内容及参数要求</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i w:val="0"/>
          <w:caps w:val="0"/>
          <w:color w:val="auto"/>
          <w:spacing w:val="0"/>
          <w:kern w:val="0"/>
          <w:sz w:val="21"/>
          <w:szCs w:val="21"/>
          <w:highlight w:val="none"/>
          <w:u w:val="none"/>
          <w:lang w:val="en-US" w:eastAsia="zh-CN"/>
        </w:rPr>
      </w:pPr>
      <w:r>
        <w:rPr>
          <w:rFonts w:hint="eastAsia" w:ascii="新宋体" w:hAnsi="新宋体" w:eastAsia="新宋体" w:cs="新宋体"/>
          <w:i w:val="0"/>
          <w:caps w:val="0"/>
          <w:color w:val="auto"/>
          <w:spacing w:val="0"/>
          <w:kern w:val="0"/>
          <w:sz w:val="21"/>
          <w:szCs w:val="21"/>
          <w:highlight w:val="none"/>
        </w:rPr>
        <w:t>合同履行期限：</w:t>
      </w:r>
      <w:r>
        <w:rPr>
          <w:rFonts w:hint="eastAsia" w:ascii="新宋体" w:hAnsi="新宋体" w:eastAsia="新宋体" w:cs="新宋体"/>
          <w:i w:val="0"/>
          <w:caps w:val="0"/>
          <w:color w:val="auto"/>
          <w:spacing w:val="0"/>
          <w:kern w:val="0"/>
          <w:sz w:val="21"/>
          <w:szCs w:val="21"/>
          <w:highlight w:val="none"/>
          <w:lang w:eastAsia="zh-CN"/>
        </w:rPr>
        <w:t>标项2</w:t>
      </w:r>
      <w:r>
        <w:rPr>
          <w:rFonts w:hint="eastAsia" w:ascii="新宋体" w:hAnsi="新宋体" w:eastAsia="新宋体" w:cs="新宋体"/>
          <w:i w:val="0"/>
          <w:caps w:val="0"/>
          <w:color w:val="auto"/>
          <w:spacing w:val="0"/>
          <w:kern w:val="0"/>
          <w:sz w:val="21"/>
          <w:szCs w:val="21"/>
          <w:highlight w:val="none"/>
          <w:lang w:val="en-US" w:eastAsia="zh-CN"/>
        </w:rPr>
        <w:t>，</w:t>
      </w:r>
      <w:r>
        <w:rPr>
          <w:rFonts w:hint="eastAsia" w:ascii="新宋体" w:hAnsi="新宋体" w:eastAsia="新宋体" w:cs="新宋体"/>
          <w:i w:val="0"/>
          <w:caps w:val="0"/>
          <w:color w:val="auto"/>
          <w:spacing w:val="0"/>
          <w:kern w:val="0"/>
          <w:sz w:val="21"/>
          <w:szCs w:val="21"/>
          <w:highlight w:val="none"/>
        </w:rPr>
        <w:t>详见</w:t>
      </w:r>
      <w:r>
        <w:rPr>
          <w:rFonts w:hint="eastAsia" w:ascii="新宋体" w:hAnsi="新宋体" w:eastAsia="新宋体" w:cs="新宋体"/>
          <w:i w:val="0"/>
          <w:caps w:val="0"/>
          <w:color w:val="auto"/>
          <w:spacing w:val="0"/>
          <w:kern w:val="0"/>
          <w:sz w:val="21"/>
          <w:szCs w:val="21"/>
          <w:highlight w:val="none"/>
          <w:lang w:val="en-US" w:eastAsia="zh-CN"/>
        </w:rPr>
        <w:t>招标文件</w:t>
      </w:r>
      <w:r>
        <w:rPr>
          <w:rFonts w:hint="eastAsia" w:ascii="新宋体" w:hAnsi="新宋体" w:eastAsia="新宋体" w:cs="新宋体"/>
          <w:i w:val="0"/>
          <w:caps w:val="0"/>
          <w:color w:val="auto"/>
          <w:spacing w:val="0"/>
          <w:kern w:val="0"/>
          <w:sz w:val="21"/>
          <w:szCs w:val="21"/>
          <w:highlight w:val="none"/>
        </w:rPr>
        <w:t xml:space="preserve"> </w:t>
      </w:r>
    </w:p>
    <w:p>
      <w:pPr>
        <w:pStyle w:val="10"/>
        <w:keepNext w:val="0"/>
        <w:keepLines w:val="0"/>
        <w:pageBreakBefore w:val="0"/>
        <w:tabs>
          <w:tab w:val="left" w:pos="562"/>
          <w:tab w:val="left" w:pos="3372"/>
          <w:tab w:val="left" w:pos="3653"/>
        </w:tabs>
        <w:kinsoku/>
        <w:wordWrap/>
        <w:overflowPunct/>
        <w:topLinePunct w:val="0"/>
        <w:autoSpaceDN/>
        <w:bidi w:val="0"/>
        <w:adjustRightInd/>
        <w:snapToGrid/>
        <w:spacing w:line="380" w:lineRule="exact"/>
        <w:ind w:firstLine="426" w:firstLineChars="200"/>
        <w:textAlignment w:val="auto"/>
        <w:rPr>
          <w:rFonts w:hint="eastAsia" w:ascii="新宋体" w:hAnsi="新宋体" w:eastAsia="新宋体" w:cs="新宋体"/>
          <w:i w:val="0"/>
          <w:caps w:val="0"/>
          <w:color w:val="auto"/>
          <w:spacing w:val="0"/>
          <w:kern w:val="0"/>
          <w:sz w:val="21"/>
          <w:szCs w:val="21"/>
          <w:highlight w:val="none"/>
          <w:lang w:val="en-US" w:eastAsia="zh-CN" w:bidi="ar-SA"/>
        </w:rPr>
      </w:pPr>
      <w:r>
        <w:rPr>
          <w:rFonts w:hint="eastAsia" w:ascii="新宋体" w:hAnsi="新宋体" w:eastAsia="新宋体" w:cs="新宋体"/>
          <w:i w:val="0"/>
          <w:caps w:val="0"/>
          <w:color w:val="auto"/>
          <w:spacing w:val="0"/>
          <w:kern w:val="0"/>
          <w:sz w:val="21"/>
          <w:szCs w:val="21"/>
          <w:highlight w:val="none"/>
          <w:lang w:val="en-US" w:eastAsia="zh-CN" w:bidi="ar-SA"/>
        </w:rPr>
        <w:t>本项目（否）接受联合体投标</w:t>
      </w:r>
    </w:p>
    <w:p>
      <w:pPr>
        <w:pStyle w:val="24"/>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380" w:lineRule="exact"/>
        <w:ind w:left="0" w:right="0" w:firstLine="426" w:firstLineChars="200"/>
        <w:jc w:val="both"/>
        <w:textAlignment w:val="auto"/>
        <w:rPr>
          <w:rFonts w:hint="eastAsia" w:ascii="新宋体" w:hAnsi="新宋体" w:eastAsia="新宋体" w:cs="新宋体"/>
          <w:b/>
          <w:bCs w:val="0"/>
          <w:color w:val="auto"/>
          <w:sz w:val="21"/>
          <w:szCs w:val="21"/>
          <w:highlight w:val="none"/>
        </w:rPr>
      </w:pPr>
      <w:r>
        <w:rPr>
          <w:rFonts w:hint="eastAsia" w:ascii="新宋体" w:hAnsi="新宋体" w:eastAsia="新宋体" w:cs="新宋体"/>
          <w:b/>
          <w:bCs w:val="0"/>
          <w:i w:val="0"/>
          <w:caps w:val="0"/>
          <w:color w:val="auto"/>
          <w:spacing w:val="0"/>
          <w:sz w:val="21"/>
          <w:szCs w:val="21"/>
          <w:highlight w:val="none"/>
        </w:rPr>
        <w:t>二、申请人的资格要求：</w:t>
      </w:r>
    </w:p>
    <w:p>
      <w:pPr>
        <w:pStyle w:val="24"/>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380" w:lineRule="exact"/>
        <w:ind w:left="0" w:right="0" w:firstLine="426" w:firstLineChars="200"/>
        <w:jc w:val="both"/>
        <w:textAlignment w:val="auto"/>
        <w:rPr>
          <w:rFonts w:hint="eastAsia" w:ascii="新宋体" w:hAnsi="新宋体" w:eastAsia="新宋体" w:cs="新宋体"/>
          <w:b w:val="0"/>
          <w:bCs/>
          <w:i w:val="0"/>
          <w:caps w:val="0"/>
          <w:color w:val="auto"/>
          <w:spacing w:val="0"/>
          <w:sz w:val="21"/>
          <w:szCs w:val="21"/>
          <w:highlight w:val="none"/>
        </w:rPr>
      </w:pPr>
      <w:r>
        <w:rPr>
          <w:rFonts w:hint="eastAsia" w:ascii="新宋体" w:hAnsi="新宋体" w:eastAsia="新宋体" w:cs="新宋体"/>
          <w:b w:val="0"/>
          <w:bCs/>
          <w:i w:val="0"/>
          <w:caps w:val="0"/>
          <w:color w:val="auto"/>
          <w:spacing w:val="0"/>
          <w:sz w:val="21"/>
          <w:szCs w:val="21"/>
          <w:highlight w:val="none"/>
        </w:rPr>
        <w:t>1.满足《中华人民共和国政府采购法》第二十二条规定；</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2.落实政府采购政策需满足的资格要求：标项2：供应商为中小企业。 </w:t>
      </w:r>
    </w:p>
    <w:p>
      <w:pPr>
        <w:pStyle w:val="24"/>
        <w:keepNext w:val="0"/>
        <w:keepLines w:val="0"/>
        <w:pageBreakBefore w:val="0"/>
        <w:kinsoku/>
        <w:wordWrap/>
        <w:overflowPunct/>
        <w:topLinePunct w:val="0"/>
        <w:autoSpaceDE w:val="0"/>
        <w:autoSpaceDN/>
        <w:bidi w:val="0"/>
        <w:adjustRightInd/>
        <w:snapToGrid/>
        <w:spacing w:before="75" w:beforeAutospacing="0" w:after="75" w:afterAutospacing="0" w:line="380" w:lineRule="exact"/>
        <w:ind w:firstLine="426" w:firstLineChars="200"/>
        <w:textAlignment w:val="auto"/>
        <w:rPr>
          <w:rFonts w:hint="eastAsia" w:ascii="新宋体" w:hAnsi="新宋体" w:eastAsia="新宋体" w:cs="新宋体"/>
          <w:color w:val="auto"/>
          <w:sz w:val="21"/>
          <w:szCs w:val="21"/>
          <w:highlight w:val="none"/>
          <w:lang w:bidi="ar"/>
        </w:rPr>
      </w:pPr>
      <w:r>
        <w:rPr>
          <w:rFonts w:hint="eastAsia" w:ascii="新宋体" w:hAnsi="新宋体" w:eastAsia="新宋体" w:cs="新宋体"/>
          <w:color w:val="auto"/>
          <w:sz w:val="21"/>
          <w:szCs w:val="21"/>
          <w:highlight w:val="none"/>
          <w:lang w:bidi="ar"/>
        </w:rPr>
        <w:t>3.本项目的特定资格要求：</w:t>
      </w:r>
      <w:r>
        <w:rPr>
          <w:rFonts w:hint="eastAsia" w:ascii="新宋体" w:hAnsi="新宋体" w:eastAsia="新宋体" w:cs="新宋体"/>
          <w:color w:val="auto"/>
          <w:sz w:val="21"/>
          <w:szCs w:val="21"/>
          <w:highlight w:val="none"/>
          <w:lang w:eastAsia="zh-CN" w:bidi="ar"/>
        </w:rPr>
        <w:t>标项2</w:t>
      </w:r>
      <w:r>
        <w:rPr>
          <w:rFonts w:hint="eastAsia" w:ascii="新宋体" w:hAnsi="新宋体" w:eastAsia="新宋体" w:cs="新宋体"/>
          <w:color w:val="auto"/>
          <w:sz w:val="21"/>
          <w:szCs w:val="21"/>
          <w:highlight w:val="none"/>
          <w:lang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1).具备三证合一营业执照副本；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2).法定代表人投标需提供法定代表人资格证明书，委托代理人投标需提供法定代表人授权委托书；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3).投标企业须提供投标人（被授权在职人员）近3个月有效的社保证明；</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lang w:val="en-US" w:eastAsia="zh-CN" w:bidi="ar"/>
        </w:rPr>
        <w:t>4).未被“信用中国”（www.creditchina.gov.cn）、中国政府采购网（www.ccgp.gov.cn）列入失信被执行人、重大税收违法案件当事人名单、政府采购严重违法失信行为记录名单；</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三、获取招标文件</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时间：2023年7月24日至2023年7月31日，每天上午10:00至14:00，下午16:00至20：00（北京时间，法定节假日除外）</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地点：供应商登陆政采云平台http://www.zcygov.cn/，在线申请获取招标文件（登录政府采购云平台 → 项目采购 → 获取招标文件，如有操作性问题，可与政采云在线客服进行咨询，咨询电话：</w:t>
      </w:r>
      <w:r>
        <w:rPr>
          <w:rFonts w:hint="eastAsia" w:ascii="新宋体" w:hAnsi="新宋体" w:eastAsia="新宋体" w:cs="新宋体"/>
          <w:i w:val="0"/>
          <w:caps w:val="0"/>
          <w:color w:val="auto"/>
          <w:spacing w:val="0"/>
          <w:kern w:val="0"/>
          <w:sz w:val="21"/>
          <w:szCs w:val="21"/>
          <w:highlight w:val="none"/>
          <w:lang w:val="en-US" w:eastAsia="zh-CN"/>
        </w:rPr>
        <w:t>95763</w:t>
      </w:r>
      <w:r>
        <w:rPr>
          <w:rFonts w:hint="eastAsia" w:ascii="新宋体" w:hAnsi="新宋体" w:eastAsia="新宋体" w:cs="新宋体"/>
          <w:color w:val="auto"/>
          <w:kern w:val="0"/>
          <w:sz w:val="21"/>
          <w:szCs w:val="21"/>
          <w:highlight w:val="none"/>
          <w:u w:val="none"/>
          <w:lang w:val="en-US" w:eastAsia="zh-CN" w:bidi="ar"/>
        </w:rPr>
        <w:t>）。</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方式：（1）线上获取（登录政府采购云平台 → 项目采购 → 获取招标文件）。本次招标不提供纸质版招标文件。</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（2）供应商获取招标文件前应注册成为政府采购云平台正式供应商。</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售价（元）：0</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四、提交投标文件截止时间、开标时间和地点</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提交投标文件截止时间：2023年8月14日 10：30 （北京时间）</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投标地点：政府采购云平台（</w:t>
      </w:r>
      <w:r>
        <w:rPr>
          <w:rFonts w:hint="eastAsia" w:ascii="新宋体" w:hAnsi="新宋体" w:eastAsia="新宋体" w:cs="新宋体"/>
          <w:color w:val="auto"/>
          <w:kern w:val="0"/>
          <w:sz w:val="21"/>
          <w:szCs w:val="21"/>
          <w:highlight w:val="none"/>
          <w:u w:val="none"/>
          <w:lang w:val="en-US" w:eastAsia="zh-CN" w:bidi="ar"/>
        </w:rPr>
        <w:fldChar w:fldCharType="begin"/>
      </w:r>
      <w:r>
        <w:rPr>
          <w:rFonts w:hint="eastAsia" w:ascii="新宋体" w:hAnsi="新宋体" w:eastAsia="新宋体" w:cs="新宋体"/>
          <w:color w:val="auto"/>
          <w:kern w:val="0"/>
          <w:sz w:val="21"/>
          <w:szCs w:val="21"/>
          <w:highlight w:val="none"/>
          <w:u w:val="none"/>
          <w:lang w:val="en-US" w:eastAsia="zh-CN" w:bidi="ar"/>
        </w:rPr>
        <w:instrText xml:space="preserve"> HYPERLINK "http://www.zcygov.cn/" </w:instrText>
      </w:r>
      <w:r>
        <w:rPr>
          <w:rFonts w:hint="eastAsia" w:ascii="新宋体" w:hAnsi="新宋体" w:eastAsia="新宋体" w:cs="新宋体"/>
          <w:color w:val="auto"/>
          <w:kern w:val="0"/>
          <w:sz w:val="21"/>
          <w:szCs w:val="21"/>
          <w:highlight w:val="none"/>
          <w:u w:val="none"/>
          <w:lang w:val="en-US" w:eastAsia="zh-CN" w:bidi="ar"/>
        </w:rPr>
        <w:fldChar w:fldCharType="separate"/>
      </w:r>
      <w:r>
        <w:rPr>
          <w:rFonts w:hint="eastAsia" w:ascii="新宋体" w:hAnsi="新宋体" w:eastAsia="新宋体" w:cs="新宋体"/>
          <w:color w:val="auto"/>
          <w:kern w:val="0"/>
          <w:sz w:val="21"/>
          <w:szCs w:val="21"/>
          <w:highlight w:val="none"/>
          <w:u w:val="none"/>
          <w:lang w:val="en-US" w:eastAsia="zh-CN" w:bidi="ar"/>
        </w:rPr>
        <w:t>www.zcygov.cn</w:t>
      </w:r>
      <w:r>
        <w:rPr>
          <w:rFonts w:hint="eastAsia" w:ascii="新宋体" w:hAnsi="新宋体" w:eastAsia="新宋体" w:cs="新宋体"/>
          <w:color w:val="auto"/>
          <w:kern w:val="0"/>
          <w:sz w:val="21"/>
          <w:szCs w:val="21"/>
          <w:highlight w:val="none"/>
          <w:u w:val="none"/>
          <w:lang w:val="en-US" w:eastAsia="zh-CN" w:bidi="ar"/>
        </w:rPr>
        <w:fldChar w:fldCharType="end"/>
      </w:r>
      <w:r>
        <w:rPr>
          <w:rFonts w:hint="eastAsia" w:ascii="新宋体" w:hAnsi="新宋体" w:eastAsia="新宋体" w:cs="新宋体"/>
          <w:color w:val="auto"/>
          <w:kern w:val="0"/>
          <w:sz w:val="21"/>
          <w:szCs w:val="21"/>
          <w:highlight w:val="none"/>
          <w:u w:val="none"/>
          <w:lang w:val="en-US" w:eastAsia="zh-CN" w:bidi="ar"/>
        </w:rPr>
        <w:t>）</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开标时间：2023年8月14日 10：30（北京时间）</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i w:val="0"/>
          <w:caps w:val="0"/>
          <w:color w:val="auto"/>
          <w:spacing w:val="0"/>
          <w:kern w:val="0"/>
          <w:sz w:val="21"/>
          <w:szCs w:val="21"/>
          <w:highlight w:val="none"/>
        </w:rPr>
      </w:pPr>
      <w:r>
        <w:rPr>
          <w:rFonts w:hint="eastAsia" w:ascii="新宋体" w:hAnsi="新宋体" w:eastAsia="新宋体" w:cs="新宋体"/>
          <w:i w:val="0"/>
          <w:caps w:val="0"/>
          <w:color w:val="auto"/>
          <w:spacing w:val="0"/>
          <w:kern w:val="0"/>
          <w:sz w:val="21"/>
          <w:szCs w:val="21"/>
          <w:highlight w:val="none"/>
        </w:rPr>
        <w:t>开标地点：在政府采购云平台（</w:t>
      </w:r>
      <w:r>
        <w:rPr>
          <w:rFonts w:hint="eastAsia" w:ascii="新宋体" w:hAnsi="新宋体" w:eastAsia="新宋体" w:cs="新宋体"/>
          <w:i w:val="0"/>
          <w:caps w:val="0"/>
          <w:color w:val="auto"/>
          <w:spacing w:val="0"/>
          <w:kern w:val="0"/>
          <w:sz w:val="21"/>
          <w:szCs w:val="21"/>
          <w:highlight w:val="none"/>
        </w:rPr>
        <w:fldChar w:fldCharType="begin"/>
      </w:r>
      <w:r>
        <w:rPr>
          <w:rFonts w:hint="eastAsia" w:ascii="新宋体" w:hAnsi="新宋体" w:eastAsia="新宋体" w:cs="新宋体"/>
          <w:i w:val="0"/>
          <w:caps w:val="0"/>
          <w:color w:val="auto"/>
          <w:spacing w:val="0"/>
          <w:kern w:val="0"/>
          <w:sz w:val="21"/>
          <w:szCs w:val="21"/>
          <w:highlight w:val="none"/>
        </w:rPr>
        <w:instrText xml:space="preserve"> HYPERLINK "http://www.zcygov.cn/" </w:instrText>
      </w:r>
      <w:r>
        <w:rPr>
          <w:rFonts w:hint="eastAsia" w:ascii="新宋体" w:hAnsi="新宋体" w:eastAsia="新宋体" w:cs="新宋体"/>
          <w:i w:val="0"/>
          <w:caps w:val="0"/>
          <w:color w:val="auto"/>
          <w:spacing w:val="0"/>
          <w:kern w:val="0"/>
          <w:sz w:val="21"/>
          <w:szCs w:val="21"/>
          <w:highlight w:val="none"/>
        </w:rPr>
        <w:fldChar w:fldCharType="separate"/>
      </w:r>
      <w:r>
        <w:rPr>
          <w:rFonts w:hint="eastAsia" w:ascii="新宋体" w:hAnsi="新宋体" w:eastAsia="新宋体" w:cs="新宋体"/>
          <w:i w:val="0"/>
          <w:caps w:val="0"/>
          <w:color w:val="auto"/>
          <w:spacing w:val="0"/>
          <w:kern w:val="0"/>
          <w:sz w:val="21"/>
          <w:szCs w:val="21"/>
          <w:highlight w:val="none"/>
        </w:rPr>
        <w:t>www.zcygov.cn</w:t>
      </w:r>
      <w:r>
        <w:rPr>
          <w:rFonts w:hint="eastAsia" w:ascii="新宋体" w:hAnsi="新宋体" w:eastAsia="新宋体" w:cs="新宋体"/>
          <w:i w:val="0"/>
          <w:caps w:val="0"/>
          <w:color w:val="auto"/>
          <w:spacing w:val="0"/>
          <w:kern w:val="0"/>
          <w:sz w:val="21"/>
          <w:szCs w:val="21"/>
          <w:highlight w:val="none"/>
        </w:rPr>
        <w:fldChar w:fldCharType="end"/>
      </w:r>
      <w:r>
        <w:rPr>
          <w:rFonts w:hint="eastAsia" w:ascii="新宋体" w:hAnsi="新宋体" w:eastAsia="新宋体" w:cs="新宋体"/>
          <w:i w:val="0"/>
          <w:caps w:val="0"/>
          <w:color w:val="auto"/>
          <w:spacing w:val="0"/>
          <w:kern w:val="0"/>
          <w:sz w:val="21"/>
          <w:szCs w:val="21"/>
          <w:highlight w:val="none"/>
        </w:rPr>
        <w:t>）上开启投标文件</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五、公告期限</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自本公告发布之日起5个工作日</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六、其他补充事宜</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08" w:lineRule="atLeast"/>
        <w:ind w:left="0" w:right="0" w:firstLine="1215" w:firstLineChars="500"/>
        <w:jc w:val="left"/>
        <w:rPr>
          <w:rFonts w:hint="eastAsia" w:ascii="新宋体" w:hAnsi="新宋体" w:eastAsia="新宋体" w:cs="新宋体"/>
          <w:color w:val="auto"/>
          <w:kern w:val="0"/>
          <w:sz w:val="24"/>
          <w:szCs w:val="24"/>
          <w:highlight w:val="none"/>
          <w:u w:val="none"/>
          <w:lang w:val="en-US" w:eastAsia="zh-CN" w:bidi="ar"/>
        </w:rPr>
      </w:pPr>
      <w:r>
        <w:rPr>
          <w:rFonts w:hint="eastAsia" w:ascii="新宋体" w:hAnsi="新宋体" w:eastAsia="新宋体" w:cs="新宋体"/>
          <w:color w:val="auto"/>
          <w:kern w:val="0"/>
          <w:sz w:val="24"/>
          <w:szCs w:val="24"/>
          <w:highlight w:val="none"/>
          <w:u w:val="none"/>
          <w:lang w:val="en-US" w:eastAsia="zh-CN" w:bidi="ar"/>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ascii="微软雅黑" w:hAnsi="微软雅黑" w:eastAsia="微软雅黑" w:cs="微软雅黑"/>
          <w:i w:val="0"/>
          <w:iCs w:val="0"/>
          <w:caps w:val="0"/>
          <w:color w:val="auto"/>
          <w:spacing w:val="0"/>
          <w:sz w:val="19"/>
          <w:szCs w:val="19"/>
          <w:highlight w:val="none"/>
        </w:rPr>
      </w:pPr>
      <w:r>
        <w:rPr>
          <w:rFonts w:ascii="仿宋" w:hAnsi="仿宋" w:eastAsia="仿宋" w:cs="仿宋"/>
          <w:i w:val="0"/>
          <w:iCs w:val="0"/>
          <w:caps w:val="0"/>
          <w:color w:val="auto"/>
          <w:spacing w:val="0"/>
          <w:kern w:val="0"/>
          <w:sz w:val="21"/>
          <w:szCs w:val="21"/>
          <w:highlight w:val="none"/>
          <w:lang w:val="en-US" w:eastAsia="zh-CN" w:bidi="ar"/>
        </w:rPr>
        <w:t>特别提示：</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hint="eastAsia" w:ascii="微软雅黑" w:hAnsi="微软雅黑" w:eastAsia="微软雅黑" w:cs="微软雅黑"/>
          <w:i w:val="0"/>
          <w:iCs w:val="0"/>
          <w:caps w:val="0"/>
          <w:color w:val="auto"/>
          <w:spacing w:val="0"/>
          <w:sz w:val="19"/>
          <w:szCs w:val="19"/>
          <w:highlight w:val="none"/>
        </w:rPr>
      </w:pPr>
      <w:r>
        <w:rPr>
          <w:rFonts w:hint="eastAsia" w:ascii="仿宋" w:hAnsi="仿宋" w:eastAsia="仿宋" w:cs="仿宋"/>
          <w:i w:val="0"/>
          <w:iCs w:val="0"/>
          <w:caps w:val="0"/>
          <w:color w:val="auto"/>
          <w:spacing w:val="0"/>
          <w:kern w:val="0"/>
          <w:sz w:val="21"/>
          <w:szCs w:val="21"/>
          <w:highlight w:val="none"/>
          <w:lang w:val="en-US" w:eastAsia="zh-CN" w:bidi="ar"/>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hint="eastAsia" w:ascii="微软雅黑" w:hAnsi="微软雅黑" w:eastAsia="微软雅黑" w:cs="微软雅黑"/>
          <w:i w:val="0"/>
          <w:iCs w:val="0"/>
          <w:caps w:val="0"/>
          <w:color w:val="auto"/>
          <w:spacing w:val="0"/>
          <w:sz w:val="19"/>
          <w:szCs w:val="19"/>
          <w:highlight w:val="none"/>
        </w:rPr>
      </w:pPr>
      <w:r>
        <w:rPr>
          <w:rFonts w:hint="eastAsia" w:ascii="仿宋" w:hAnsi="仿宋" w:eastAsia="仿宋" w:cs="仿宋"/>
          <w:i w:val="0"/>
          <w:iCs w:val="0"/>
          <w:caps w:val="0"/>
          <w:color w:val="auto"/>
          <w:spacing w:val="0"/>
          <w:kern w:val="0"/>
          <w:sz w:val="21"/>
          <w:szCs w:val="21"/>
          <w:highlight w:val="none"/>
          <w:lang w:val="en-US" w:eastAsia="zh-CN" w:bidi="ar"/>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hint="eastAsia" w:ascii="微软雅黑" w:hAnsi="微软雅黑" w:eastAsia="微软雅黑" w:cs="微软雅黑"/>
          <w:i w:val="0"/>
          <w:iCs w:val="0"/>
          <w:caps w:val="0"/>
          <w:color w:val="auto"/>
          <w:spacing w:val="0"/>
          <w:sz w:val="19"/>
          <w:szCs w:val="19"/>
          <w:highlight w:val="none"/>
        </w:rPr>
      </w:pPr>
      <w:r>
        <w:rPr>
          <w:rFonts w:hint="eastAsia" w:ascii="仿宋" w:hAnsi="仿宋" w:eastAsia="仿宋" w:cs="仿宋"/>
          <w:i w:val="0"/>
          <w:iCs w:val="0"/>
          <w:caps w:val="0"/>
          <w:color w:val="auto"/>
          <w:spacing w:val="0"/>
          <w:kern w:val="0"/>
          <w:sz w:val="21"/>
          <w:szCs w:val="21"/>
          <w:highlight w:val="none"/>
          <w:lang w:val="en-US" w:eastAsia="zh-CN" w:bidi="ar"/>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6" w:firstLineChars="200"/>
        <w:jc w:val="left"/>
        <w:textAlignment w:val="auto"/>
        <w:rPr>
          <w:rFonts w:hint="eastAsia" w:ascii="新宋体" w:hAnsi="新宋体" w:eastAsia="新宋体" w:cs="新宋体"/>
          <w:b/>
          <w:bCs/>
          <w:color w:val="auto"/>
          <w:kern w:val="0"/>
          <w:sz w:val="24"/>
          <w:szCs w:val="24"/>
          <w:highlight w:val="none"/>
          <w:u w:val="none"/>
          <w:lang w:val="en-US" w:eastAsia="zh-CN" w:bidi="ar"/>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 xml:space="preserve">七、对本次采购提出询问，请按以下方式联系 </w:t>
      </w:r>
      <w:r>
        <w:rPr>
          <w:rFonts w:hint="eastAsia" w:ascii="新宋体" w:hAnsi="新宋体" w:eastAsia="新宋体" w:cs="新宋体"/>
          <w:color w:val="auto"/>
          <w:kern w:val="0"/>
          <w:sz w:val="21"/>
          <w:szCs w:val="21"/>
          <w:highlight w:val="none"/>
          <w:u w:val="none"/>
          <w:lang w:val="en-US" w:eastAsia="zh-CN" w:bidi="ar"/>
        </w:rPr>
        <w:t xml:space="preserve">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1.采购人信息</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名    称：</w:t>
      </w:r>
      <w:r>
        <w:rPr>
          <w:rFonts w:hint="eastAsia" w:cs="宋体"/>
          <w:color w:val="auto"/>
          <w:sz w:val="21"/>
          <w:szCs w:val="21"/>
          <w:highlight w:val="none"/>
          <w:lang w:val="en-US" w:eastAsia="zh-CN"/>
        </w:rPr>
        <w:t>阿图什市教育局</w:t>
      </w:r>
      <w:r>
        <w:rPr>
          <w:rFonts w:hint="eastAsia" w:ascii="新宋体" w:hAnsi="新宋体" w:eastAsia="新宋体" w:cs="新宋体"/>
          <w:color w:val="auto"/>
          <w:kern w:val="0"/>
          <w:sz w:val="21"/>
          <w:szCs w:val="21"/>
          <w:highlight w:val="none"/>
          <w:u w:val="none"/>
          <w:lang w:val="en-US" w:eastAsia="zh-CN" w:bidi="ar"/>
        </w:rPr>
        <w:t xml:space="preserve">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地    址：阿图什市</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项目联系人：沙先生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项目联系方式：</w:t>
      </w:r>
      <w:r>
        <w:rPr>
          <w:rFonts w:hint="eastAsia" w:ascii="宋体" w:hAnsi="宋体" w:eastAsia="宋体" w:cs="宋体"/>
          <w:color w:val="auto"/>
          <w:sz w:val="21"/>
          <w:szCs w:val="21"/>
          <w:highlight w:val="none"/>
          <w:lang w:val="en-US" w:eastAsia="zh-CN"/>
        </w:rPr>
        <w:t>18199726032</w:t>
      </w:r>
      <w:r>
        <w:rPr>
          <w:rFonts w:hint="eastAsia" w:ascii="新宋体" w:hAnsi="新宋体" w:eastAsia="新宋体" w:cs="新宋体"/>
          <w:color w:val="auto"/>
          <w:kern w:val="0"/>
          <w:sz w:val="21"/>
          <w:szCs w:val="21"/>
          <w:highlight w:val="none"/>
          <w:u w:val="none"/>
          <w:lang w:val="en-US" w:eastAsia="zh-CN" w:bidi="ar"/>
        </w:rPr>
        <w:t xml:space="preserve">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2.采购代理机构信息</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名    称：新疆誉诚信工程项目管理有限责任公司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地    址：阿图什市友谊路141号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联 系 人：温女士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i w:val="0"/>
          <w:caps w:val="0"/>
          <w:color w:val="auto"/>
          <w:spacing w:val="0"/>
          <w:kern w:val="0"/>
          <w:sz w:val="21"/>
          <w:szCs w:val="21"/>
          <w:highlight w:val="none"/>
          <w:lang w:val="en-US"/>
        </w:rPr>
      </w:pPr>
      <w:r>
        <w:rPr>
          <w:rFonts w:hint="eastAsia" w:ascii="新宋体" w:hAnsi="新宋体" w:eastAsia="新宋体" w:cs="新宋体"/>
          <w:color w:val="auto"/>
          <w:kern w:val="0"/>
          <w:sz w:val="21"/>
          <w:szCs w:val="21"/>
          <w:highlight w:val="none"/>
          <w:u w:val="none"/>
          <w:lang w:val="en-US" w:eastAsia="zh-CN" w:bidi="ar"/>
        </w:rPr>
        <w:t xml:space="preserve">项目联系方式：19199746726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10"/>
        <w:rPr>
          <w:rFonts w:hint="eastAsia"/>
          <w:color w:val="auto"/>
          <w:highlight w:val="none"/>
        </w:rPr>
      </w:pPr>
    </w:p>
    <w:p>
      <w:pPr>
        <w:numPr>
          <w:ilvl w:val="0"/>
          <w:numId w:val="3"/>
        </w:numPr>
        <w:shd w:val="clear" w:color="auto" w:fill="auto"/>
        <w:spacing w:line="500" w:lineRule="exact"/>
        <w:ind w:left="-1816" w:leftChars="0" w:firstLine="3520" w:firstLineChars="0"/>
        <w:jc w:val="center"/>
        <w:outlineLvl w:val="0"/>
        <w:rPr>
          <w:rFonts w:hint="eastAsia" w:ascii="宋体"/>
          <w:b/>
          <w:color w:val="auto"/>
          <w:sz w:val="32"/>
          <w:szCs w:val="32"/>
          <w:highlight w:val="none"/>
        </w:rPr>
      </w:pPr>
      <w:bookmarkStart w:id="10" w:name="_Toc469495723"/>
      <w:r>
        <w:rPr>
          <w:rFonts w:hint="eastAsia" w:ascii="宋体"/>
          <w:b/>
          <w:color w:val="auto"/>
          <w:sz w:val="32"/>
          <w:szCs w:val="32"/>
          <w:highlight w:val="none"/>
        </w:rPr>
        <w:t>投标人须知</w:t>
      </w:r>
      <w:bookmarkStart w:id="11" w:name="_Toc469495722"/>
    </w:p>
    <w:p>
      <w:pPr>
        <w:numPr>
          <w:ilvl w:val="0"/>
          <w:numId w:val="4"/>
        </w:numPr>
        <w:shd w:val="clear" w:color="auto" w:fill="auto"/>
        <w:spacing w:line="500" w:lineRule="exact"/>
        <w:ind w:left="0" w:leftChars="0" w:firstLine="3520" w:firstLineChars="0"/>
        <w:jc w:val="both"/>
        <w:outlineLvl w:val="0"/>
        <w:rPr>
          <w:rFonts w:hint="eastAsia"/>
          <w:color w:val="auto"/>
          <w:highlight w:val="none"/>
        </w:rPr>
      </w:pPr>
      <w:r>
        <w:rPr>
          <w:rFonts w:hint="eastAsia" w:ascii="宋体"/>
          <w:b/>
          <w:color w:val="auto"/>
          <w:sz w:val="28"/>
          <w:szCs w:val="28"/>
          <w:highlight w:val="none"/>
        </w:rPr>
        <w:t>投标人须知前附表</w:t>
      </w:r>
      <w:bookmarkEnd w:id="11"/>
    </w:p>
    <w:tbl>
      <w:tblPr>
        <w:tblStyle w:val="28"/>
        <w:tblW w:w="983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12"/>
        <w:gridCol w:w="1536"/>
        <w:gridCol w:w="728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95" w:leftChars="-45" w:right="-83" w:rightChars="-39"/>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条款号</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内容</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firstLine="2130" w:firstLineChars="1000"/>
              <w:jc w:val="both"/>
              <w:textAlignment w:val="auto"/>
              <w:outlineLvl w:val="9"/>
              <w:rPr>
                <w:b w:val="0"/>
                <w:bCs/>
                <w:color w:val="auto"/>
                <w:sz w:val="21"/>
                <w:szCs w:val="21"/>
                <w:highlight w:val="none"/>
                <w:lang w:val="en-US" w:eastAsia="zh-CN"/>
              </w:rPr>
            </w:pPr>
            <w:r>
              <w:rPr>
                <w:rFonts w:hint="eastAsia"/>
                <w:b w:val="0"/>
                <w:bCs/>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1</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采购人</w:t>
            </w:r>
            <w:r>
              <w:rPr>
                <w:rFonts w:hint="eastAsia" w:ascii="宋体" w:hAnsi="宋体" w:eastAsia="宋体" w:cs="宋体"/>
                <w:b/>
                <w:bCs w:val="0"/>
                <w:color w:val="auto"/>
                <w:sz w:val="21"/>
                <w:szCs w:val="21"/>
                <w:highlight w:val="none"/>
                <w:lang w:eastAsia="zh-CN"/>
              </w:rPr>
              <w:t>信</w:t>
            </w:r>
            <w:r>
              <w:rPr>
                <w:rFonts w:hint="eastAsia" w:ascii="宋体" w:hAnsi="宋体" w:eastAsia="宋体" w:cs="宋体"/>
                <w:b/>
                <w:bCs w:val="0"/>
                <w:color w:val="auto"/>
                <w:sz w:val="21"/>
                <w:szCs w:val="21"/>
                <w:highlight w:val="none"/>
              </w:rPr>
              <w:t>息</w:t>
            </w:r>
          </w:p>
        </w:tc>
        <w:tc>
          <w:tcPr>
            <w:tcW w:w="72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采购单位：阿图什市教育局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b w:val="0"/>
                <w:bCs/>
                <w:color w:val="auto"/>
                <w:sz w:val="21"/>
                <w:szCs w:val="21"/>
                <w:highlight w:val="none"/>
                <w:lang w:val="en-US" w:eastAsia="zh-CN"/>
              </w:rPr>
            </w:pPr>
            <w:r>
              <w:rPr>
                <w:rFonts w:hint="eastAsia" w:eastAsia="宋体"/>
                <w:b w:val="0"/>
                <w:bCs/>
                <w:color w:val="auto"/>
                <w:sz w:val="21"/>
                <w:szCs w:val="21"/>
                <w:highlight w:val="none"/>
                <w:lang w:val="en-US" w:eastAsia="zh-CN"/>
              </w:rPr>
              <w:t>联系人：</w:t>
            </w:r>
            <w:r>
              <w:rPr>
                <w:rFonts w:hint="eastAsia"/>
                <w:b w:val="0"/>
                <w:bCs/>
                <w:color w:val="auto"/>
                <w:sz w:val="21"/>
                <w:szCs w:val="21"/>
                <w:highlight w:val="none"/>
                <w:lang w:val="en-US" w:eastAsia="zh-CN"/>
              </w:rPr>
              <w:t>沙先生</w:t>
            </w:r>
            <w:r>
              <w:rPr>
                <w:rFonts w:hint="eastAsia" w:eastAsia="宋体"/>
                <w:b w:val="0"/>
                <w:bCs/>
                <w:color w:val="auto"/>
                <w:sz w:val="21"/>
                <w:szCs w:val="21"/>
                <w:highlight w:val="none"/>
                <w:lang w:val="en-US" w:eastAsia="zh-CN"/>
              </w:rPr>
              <w:t xml:space="preserve">        联系电话：</w:t>
            </w:r>
            <w:r>
              <w:rPr>
                <w:rFonts w:hint="eastAsia"/>
                <w:b w:val="0"/>
                <w:bCs/>
                <w:color w:val="auto"/>
                <w:sz w:val="21"/>
                <w:szCs w:val="21"/>
                <w:highlight w:val="none"/>
                <w:lang w:val="en-US" w:eastAsia="zh-CN"/>
              </w:rPr>
              <w:t>13809988058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default"/>
                <w:b/>
                <w:bCs w:val="0"/>
                <w:color w:val="auto"/>
                <w:sz w:val="21"/>
                <w:szCs w:val="21"/>
                <w:highlight w:val="none"/>
                <w:lang w:val="en-US" w:eastAsia="zh-CN"/>
              </w:rPr>
              <w:t>2</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rPr>
              <w:t>采购代理机构</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lang w:eastAsia="zh-CN"/>
              </w:rPr>
              <w:t>新疆誉诚信工程项目管理有限责任公司</w:t>
            </w:r>
          </w:p>
          <w:p>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cs="宋体"/>
                <w:color w:val="auto"/>
                <w:kern w:val="0"/>
                <w:sz w:val="21"/>
                <w:szCs w:val="21"/>
                <w:highlight w:val="none"/>
                <w:lang w:val="en-US" w:eastAsia="zh-CN"/>
              </w:rPr>
              <w:t>阿图什市友谊路141号</w:t>
            </w:r>
            <w:r>
              <w:rPr>
                <w:rFonts w:hint="eastAsia" w:ascii="宋体" w:hAnsi="宋体" w:eastAsia="宋体" w:cs="宋体"/>
                <w:color w:val="auto"/>
                <w:kern w:val="0"/>
                <w:sz w:val="21"/>
                <w:szCs w:val="21"/>
                <w:highlight w:val="none"/>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温女士</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宋体" w:hAnsi="宋体" w:cs="宋体"/>
                <w:color w:val="auto"/>
                <w:kern w:val="2"/>
                <w:sz w:val="21"/>
                <w:szCs w:val="21"/>
                <w:highlight w:val="none"/>
                <w:lang w:val="en-US" w:eastAsia="zh-CN" w:bidi="ar"/>
              </w:rPr>
              <w:t>19199746726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3</w:t>
            </w:r>
          </w:p>
        </w:tc>
        <w:tc>
          <w:tcPr>
            <w:tcW w:w="1536" w:type="dxa"/>
            <w:noWrap w:val="0"/>
            <w:vAlign w:val="center"/>
          </w:tcPr>
          <w:p>
            <w:pPr>
              <w:pStyle w:val="24"/>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项目名称</w:t>
            </w:r>
          </w:p>
          <w:p>
            <w:pPr>
              <w:pStyle w:val="24"/>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项目编号</w:t>
            </w:r>
          </w:p>
          <w:p>
            <w:pPr>
              <w:pStyle w:val="24"/>
              <w:keepNext w:val="0"/>
              <w:keepLines w:val="0"/>
              <w:widowControl/>
              <w:suppressLineNumbers w:val="0"/>
              <w:spacing w:before="0" w:beforeAutospacing="0" w:after="0" w:afterAutospacing="0" w:line="510" w:lineRule="atLeast"/>
              <w:ind w:right="0"/>
              <w:jc w:val="center"/>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采购内容</w:t>
            </w:r>
          </w:p>
        </w:tc>
        <w:tc>
          <w:tcPr>
            <w:tcW w:w="7288" w:type="dxa"/>
            <w:noWrap w:val="0"/>
            <w:vAlign w:val="center"/>
          </w:tcPr>
          <w:p>
            <w:pPr>
              <w:pStyle w:val="24"/>
              <w:keepNext w:val="0"/>
              <w:keepLines w:val="0"/>
              <w:widowControl/>
              <w:suppressLineNumbers w:val="0"/>
              <w:spacing w:before="0" w:beforeAutospacing="0" w:after="0" w:afterAutospacing="0" w:line="510" w:lineRule="atLeast"/>
              <w:ind w:right="0"/>
              <w:jc w:val="both"/>
              <w:rPr>
                <w:rFonts w:hint="default" w:ascii="Times New Roman" w:hAnsi="Times New Roman"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项目名称：2023年支持学前教育发展资金建设项目（设备采购）</w:t>
            </w:r>
            <w:r>
              <w:rPr>
                <w:rFonts w:hint="eastAsia" w:ascii="Times New Roman" w:hAnsi="Times New Roman" w:cs="Times New Roman"/>
                <w:b/>
                <w:bCs w:val="0"/>
                <w:color w:val="auto"/>
                <w:kern w:val="2"/>
                <w:sz w:val="21"/>
                <w:szCs w:val="21"/>
                <w:highlight w:val="none"/>
                <w:lang w:val="en-US" w:eastAsia="zh-CN" w:bidi="ar-SA"/>
              </w:rPr>
              <w:t>二次</w:t>
            </w:r>
          </w:p>
          <w:p>
            <w:pPr>
              <w:pStyle w:val="24"/>
              <w:keepNext w:val="0"/>
              <w:keepLines w:val="0"/>
              <w:widowControl/>
              <w:suppressLineNumbers w:val="0"/>
              <w:spacing w:before="0" w:beforeAutospacing="0" w:after="0" w:afterAutospacing="0" w:line="510" w:lineRule="atLeast"/>
              <w:ind w:right="0"/>
              <w:jc w:val="both"/>
              <w:rPr>
                <w:rFonts w:hint="eastAsia" w:ascii="Times New Roman" w:hAnsi="Times New Roman" w:eastAsia="宋体" w:cs="Times New Roman"/>
                <w:b/>
                <w:bCs/>
                <w:color w:val="auto"/>
                <w:kern w:val="2"/>
                <w:sz w:val="21"/>
                <w:szCs w:val="21"/>
                <w:highlight w:val="none"/>
                <w:lang w:val="en-US" w:eastAsia="zh-CN" w:bidi="ar-SA"/>
              </w:rPr>
            </w:pPr>
            <w:r>
              <w:rPr>
                <w:rFonts w:hint="eastAsia" w:ascii="新宋体" w:hAnsi="新宋体" w:eastAsia="新宋体" w:cs="新宋体"/>
                <w:b/>
                <w:bCs/>
                <w:i w:val="0"/>
                <w:caps w:val="0"/>
                <w:color w:val="auto"/>
                <w:spacing w:val="0"/>
                <w:kern w:val="0"/>
                <w:sz w:val="21"/>
                <w:szCs w:val="21"/>
                <w:highlight w:val="none"/>
                <w:lang w:val="en-US" w:eastAsia="zh-CN"/>
              </w:rPr>
              <w:t>标项名称</w:t>
            </w:r>
            <w:r>
              <w:rPr>
                <w:rFonts w:hint="eastAsia" w:ascii="Times New Roman" w:hAnsi="Times New Roman" w:eastAsia="宋体" w:cs="Times New Roman"/>
                <w:b/>
                <w:bCs/>
                <w:color w:val="auto"/>
                <w:kern w:val="2"/>
                <w:sz w:val="21"/>
                <w:szCs w:val="21"/>
                <w:highlight w:val="none"/>
                <w:lang w:val="en-US" w:eastAsia="zh-CN" w:bidi="ar-SA"/>
              </w:rPr>
              <w:t>：2023年支持学前教育发展资金建设项目（设备采购）</w:t>
            </w:r>
            <w:r>
              <w:rPr>
                <w:rFonts w:hint="eastAsia" w:ascii="Times New Roman" w:hAnsi="Times New Roman" w:cs="Times New Roman"/>
                <w:b/>
                <w:bCs/>
                <w:color w:val="auto"/>
                <w:kern w:val="2"/>
                <w:sz w:val="21"/>
                <w:szCs w:val="21"/>
                <w:highlight w:val="none"/>
                <w:lang w:val="en-US" w:eastAsia="zh-CN" w:bidi="ar-SA"/>
              </w:rPr>
              <w:t>二包</w:t>
            </w:r>
          </w:p>
          <w:p>
            <w:pPr>
              <w:pStyle w:val="24"/>
              <w:keepNext w:val="0"/>
              <w:keepLines w:val="0"/>
              <w:widowControl/>
              <w:suppressLineNumbers w:val="0"/>
              <w:spacing w:before="0" w:beforeAutospacing="0" w:after="0" w:afterAutospacing="0" w:line="510" w:lineRule="atLeast"/>
              <w:ind w:right="0"/>
              <w:jc w:val="both"/>
              <w:rPr>
                <w:rFonts w:hint="eastAsia" w:ascii="新宋体" w:hAnsi="新宋体" w:eastAsia="新宋体" w:cs="新宋体"/>
                <w:color w:val="auto"/>
                <w:kern w:val="0"/>
                <w:sz w:val="21"/>
                <w:szCs w:val="21"/>
                <w:highlight w:val="none"/>
                <w:u w:val="none"/>
                <w:lang w:val="en-US" w:eastAsia="zh-CN" w:bidi="ar"/>
              </w:rPr>
            </w:pPr>
            <w:r>
              <w:rPr>
                <w:rFonts w:hint="eastAsia" w:ascii="Times New Roman" w:hAnsi="Times New Roman" w:eastAsia="宋体" w:cs="Times New Roman"/>
                <w:b w:val="0"/>
                <w:bCs/>
                <w:color w:val="auto"/>
                <w:kern w:val="2"/>
                <w:sz w:val="21"/>
                <w:szCs w:val="21"/>
                <w:highlight w:val="none"/>
                <w:lang w:val="en-US" w:eastAsia="zh-CN" w:bidi="ar-SA"/>
              </w:rPr>
              <w:t>项目编号</w:t>
            </w:r>
            <w:r>
              <w:rPr>
                <w:rFonts w:hint="eastAsia" w:ascii="Times New Roman" w:hAnsi="Times New Roman" w:eastAsia="宋体" w:cs="Times New Roman"/>
                <w:b/>
                <w:bCs w:val="0"/>
                <w:color w:val="auto"/>
                <w:kern w:val="2"/>
                <w:sz w:val="21"/>
                <w:szCs w:val="21"/>
                <w:highlight w:val="none"/>
                <w:lang w:val="en-US" w:eastAsia="zh-CN" w:bidi="ar-SA"/>
              </w:rPr>
              <w:t>：</w:t>
            </w:r>
            <w:r>
              <w:rPr>
                <w:rFonts w:hint="eastAsia" w:ascii="新宋体" w:hAnsi="新宋体" w:eastAsia="新宋体" w:cs="新宋体"/>
                <w:color w:val="auto"/>
                <w:kern w:val="0"/>
                <w:sz w:val="21"/>
                <w:szCs w:val="21"/>
                <w:highlight w:val="none"/>
                <w:u w:val="none"/>
                <w:lang w:val="en-US" w:eastAsia="zh-CN" w:bidi="ar"/>
              </w:rPr>
              <w:t>ATSCG-2023037-1</w:t>
            </w:r>
          </w:p>
          <w:p>
            <w:pPr>
              <w:pStyle w:val="24"/>
              <w:keepNext w:val="0"/>
              <w:keepLines w:val="0"/>
              <w:widowControl/>
              <w:suppressLineNumbers w:val="0"/>
              <w:spacing w:before="0" w:beforeAutospacing="0" w:after="0" w:afterAutospacing="0" w:line="510" w:lineRule="atLeast"/>
              <w:ind w:right="0"/>
              <w:jc w:val="both"/>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采购内容：玩教具一批。（具体详见招标文件采购内容及参数要求）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4</w:t>
            </w:r>
          </w:p>
        </w:tc>
        <w:tc>
          <w:tcPr>
            <w:tcW w:w="1536" w:type="dxa"/>
            <w:noWrap w:val="0"/>
            <w:vAlign w:val="center"/>
          </w:tcPr>
          <w:p>
            <w:pPr>
              <w:pStyle w:val="24"/>
              <w:keepNext w:val="0"/>
              <w:keepLines w:val="0"/>
              <w:widowControl/>
              <w:suppressLineNumbers w:val="0"/>
              <w:spacing w:before="0" w:beforeAutospacing="0" w:after="0" w:afterAutospacing="0" w:line="510" w:lineRule="atLeast"/>
              <w:ind w:right="0"/>
              <w:jc w:val="center"/>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采购预算</w:t>
            </w:r>
          </w:p>
          <w:p>
            <w:pPr>
              <w:pStyle w:val="24"/>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最高投标限价</w:t>
            </w:r>
          </w:p>
        </w:tc>
        <w:tc>
          <w:tcPr>
            <w:tcW w:w="7288" w:type="dxa"/>
            <w:noWrap w:val="0"/>
            <w:vAlign w:val="center"/>
          </w:tcPr>
          <w:p>
            <w:pPr>
              <w:pStyle w:val="24"/>
              <w:keepNext w:val="0"/>
              <w:keepLines w:val="0"/>
              <w:widowControl/>
              <w:suppressLineNumbers w:val="0"/>
              <w:spacing w:before="0" w:beforeAutospacing="0" w:after="0" w:afterAutospacing="0" w:line="510" w:lineRule="atLeast"/>
              <w:ind w:right="0"/>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采购预算：</w:t>
            </w:r>
            <w:r>
              <w:rPr>
                <w:rFonts w:hint="eastAsia" w:ascii="Times New Roman" w:hAnsi="Times New Roman" w:cs="Times New Roman"/>
                <w:color w:val="auto"/>
                <w:kern w:val="2"/>
                <w:sz w:val="21"/>
                <w:szCs w:val="21"/>
                <w:highlight w:val="none"/>
                <w:lang w:val="en-US" w:eastAsia="zh-CN" w:bidi="ar-SA"/>
              </w:rPr>
              <w:t>3300000</w:t>
            </w:r>
            <w:r>
              <w:rPr>
                <w:rFonts w:hint="eastAsia" w:ascii="Times New Roman" w:hAnsi="Times New Roman" w:eastAsia="宋体" w:cs="Times New Roman"/>
                <w:color w:val="auto"/>
                <w:kern w:val="2"/>
                <w:sz w:val="21"/>
                <w:szCs w:val="21"/>
                <w:highlight w:val="none"/>
                <w:lang w:val="en-US" w:eastAsia="zh-CN" w:bidi="ar-SA"/>
              </w:rPr>
              <w:t>元</w:t>
            </w:r>
          </w:p>
          <w:p>
            <w:pPr>
              <w:pStyle w:val="24"/>
              <w:keepNext w:val="0"/>
              <w:keepLines w:val="0"/>
              <w:widowControl/>
              <w:suppressLineNumbers w:val="0"/>
              <w:spacing w:before="0" w:beforeAutospacing="0" w:after="0" w:afterAutospacing="0" w:line="510" w:lineRule="atLeast"/>
              <w:ind w:right="0"/>
              <w:jc w:val="left"/>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最高投标限价：</w:t>
            </w:r>
            <w:r>
              <w:rPr>
                <w:rFonts w:hint="eastAsia" w:ascii="Times New Roman" w:hAnsi="Times New Roman" w:cs="Times New Roman"/>
                <w:b/>
                <w:bCs/>
                <w:color w:val="auto"/>
                <w:kern w:val="2"/>
                <w:sz w:val="21"/>
                <w:szCs w:val="21"/>
                <w:highlight w:val="none"/>
                <w:lang w:val="en-US" w:eastAsia="zh-CN" w:bidi="ar-SA"/>
              </w:rPr>
              <w:t>3300000</w:t>
            </w:r>
            <w:r>
              <w:rPr>
                <w:rFonts w:hint="eastAsia" w:ascii="Times New Roman" w:hAnsi="Times New Roman" w:eastAsia="宋体" w:cs="Times New Roman"/>
                <w:b/>
                <w:bCs/>
                <w:color w:val="auto"/>
                <w:kern w:val="2"/>
                <w:sz w:val="21"/>
                <w:szCs w:val="21"/>
                <w:highlight w:val="none"/>
                <w:lang w:val="en-US" w:eastAsia="zh-CN" w:bidi="ar-SA"/>
              </w:rPr>
              <w:t>.00元，投标人的投标报价不得高于最高投标限价，否则其投标将被否决。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5</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资金来源</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 xml:space="preserve">2023年支持学前教育发展资金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3"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6</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供货时间</w:t>
            </w:r>
          </w:p>
        </w:tc>
        <w:tc>
          <w:tcPr>
            <w:tcW w:w="7288"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00" w:lineRule="exact"/>
              <w:ind w:left="0" w:leftChars="0" w:right="0" w:rightChars="0"/>
              <w:jc w:val="both"/>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30天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7</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outlineLvl w:val="9"/>
              <w:rPr>
                <w:rFonts w:hint="eastAsia"/>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供货</w:t>
            </w:r>
            <w:r>
              <w:rPr>
                <w:rFonts w:hint="eastAsia" w:ascii="宋体" w:hAnsi="宋体" w:eastAsia="宋体" w:cs="宋体"/>
                <w:b/>
                <w:bCs w:val="0"/>
                <w:color w:val="auto"/>
                <w:sz w:val="21"/>
                <w:szCs w:val="21"/>
                <w:highlight w:val="none"/>
                <w:lang w:eastAsia="zh-CN"/>
              </w:rPr>
              <w:t>地点</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cs="宋体"/>
                <w:color w:val="auto"/>
                <w:szCs w:val="21"/>
                <w:highlight w:val="none"/>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8</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质保期</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2年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2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9</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center"/>
              <w:textAlignment w:val="auto"/>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rPr>
              <w:t>付款方式</w:t>
            </w:r>
          </w:p>
        </w:tc>
        <w:tc>
          <w:tcPr>
            <w:tcW w:w="7288" w:type="dxa"/>
            <w:noWrap w:val="0"/>
            <w:vAlign w:val="center"/>
          </w:tcPr>
          <w:p>
            <w:pPr>
              <w:pStyle w:val="1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具体按双方合同约定执行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8"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10</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招标方式</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公开招标</w:t>
            </w:r>
            <w:r>
              <w:rPr>
                <w:rFonts w:hint="eastAsia" w:hAnsi="宋体" w:cs="宋体-18030"/>
                <w:b w:val="0"/>
                <w:bCs/>
                <w:color w:val="auto"/>
                <w:sz w:val="21"/>
                <w:szCs w:val="21"/>
                <w:highlight w:val="none"/>
                <w:lang w:val="en-US" w:eastAsia="zh-CN"/>
              </w:rPr>
              <w:t>(本项目采用网上电子招投标)</w:t>
            </w:r>
            <w:r>
              <w:rPr>
                <w:rFonts w:hint="eastAsia"/>
                <w:b w:val="0"/>
                <w:bCs/>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11</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投标人资格条件及其他要求</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1.满足《中华人民共和国政府采购法》第二十二条规定；</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2.落实政府采购政策需满足的资格要求：标项2：供应商为中小企业。 </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3.本项目的特定资格要求：标项2：</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1).具备三证合一营业执照副本；</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2).法定代表人投标需提供法定代表人资格证明书，委托代理人投标需提供法定代表人授权委托书；</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3).投标企业须提供投标人（被授权在职人员）近3个月有效的社保证明；</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4).未被“信用中国”（www.creditchina.gov.cn）、中国政府采购网（www.ccgp.gov.cn）列入失信被执行人、重大税收违法案件当事人名单、政府采购严重违法失信行为记录名单；</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5).</w:t>
            </w:r>
            <w:r>
              <w:rPr>
                <w:rFonts w:hint="eastAsia" w:hAnsi="Times New Roman" w:cs="Times New Roman"/>
                <w:b w:val="0"/>
                <w:bCs/>
                <w:color w:val="auto"/>
                <w:sz w:val="21"/>
                <w:szCs w:val="21"/>
                <w:highlight w:val="none"/>
                <w:lang w:val="en-US" w:eastAsia="zh-CN"/>
              </w:rPr>
              <w:t>本项目不接受联合体投标。</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default"/>
                <w:b w:val="0"/>
                <w:bCs/>
                <w:color w:val="auto"/>
                <w:highlight w:val="none"/>
                <w:lang w:val="en-US" w:eastAsia="zh-CN"/>
              </w:rPr>
            </w:pPr>
            <w:r>
              <w:rPr>
                <w:rFonts w:hint="eastAsia" w:cs="Times New Roman"/>
                <w:b w:val="0"/>
                <w:bCs/>
                <w:color w:val="auto"/>
                <w:sz w:val="21"/>
                <w:szCs w:val="21"/>
                <w:highlight w:val="none"/>
                <w:lang w:val="en-US" w:eastAsia="zh-CN"/>
              </w:rPr>
              <w:t>6).</w:t>
            </w:r>
            <w:r>
              <w:rPr>
                <w:rFonts w:hint="eastAsia" w:hAnsi="Times New Roman" w:cs="Times New Roman"/>
                <w:b w:val="0"/>
                <w:bCs/>
                <w:color w:val="auto"/>
                <w:sz w:val="21"/>
                <w:szCs w:val="21"/>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12</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供应商信用</w:t>
            </w:r>
          </w:p>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查询</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1、查询渠道：信用中国（网址：http://www.creditchina.gov.cn）、中国政府采购网(网址：http://www.ccgp.gov.cn）。</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2、截止时点：开标后评标前。</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3、信用信息查询记录和证据留存的具体方式：由采购组织机构在规定查询时间内打印信用信息查询记录并归入项目档案。</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13</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b/>
                <w:bCs w:val="0"/>
                <w:color w:val="auto"/>
                <w:sz w:val="21"/>
                <w:szCs w:val="21"/>
                <w:highlight w:val="none"/>
                <w:lang w:val="en-US" w:eastAsia="zh-CN"/>
              </w:rPr>
            </w:pPr>
            <w:r>
              <w:rPr>
                <w:rFonts w:hint="eastAsia"/>
                <w:b/>
                <w:bCs w:val="0"/>
                <w:color w:val="auto"/>
                <w:sz w:val="21"/>
                <w:szCs w:val="21"/>
                <w:highlight w:val="none"/>
                <w:lang w:val="en-US" w:eastAsia="zh-CN"/>
              </w:rPr>
              <w:t>踏勘现场</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14</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投标预备会</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15</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联合体投标</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pacing w:line="360" w:lineRule="auto"/>
              <w:textAlignment w:val="auto"/>
              <w:rPr>
                <w:rFonts w:hint="eastAsia" w:ascii="宋体" w:hAnsi="宋体" w:eastAsia="宋体" w:cs="宋体"/>
                <w:b w:val="0"/>
                <w:bCs/>
                <w:color w:val="auto"/>
                <w:sz w:val="21"/>
                <w:szCs w:val="21"/>
                <w:highlight w:val="none"/>
              </w:rPr>
            </w:pP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不接受</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16</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招标代理费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单位在领取本项目</w:t>
            </w: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130" w:firstLineChars="1000"/>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招标代理服务收费标准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eastAsia="zh-CN"/>
                    </w:rPr>
                    <w:t>服务招标</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1.50%</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val="en-US" w:eastAsia="zh-CN"/>
                    </w:rPr>
                    <w:t>0.80</w:t>
                  </w:r>
                  <w:r>
                    <w:rPr>
                      <w:rFonts w:hint="eastAsia" w:ascii="宋体" w:hAnsi="宋体" w:eastAsia="宋体" w:cs="宋体"/>
                      <w:b w:val="0"/>
                      <w:bCs/>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w:t>
                  </w:r>
                  <w:r>
                    <w:rPr>
                      <w:rFonts w:hint="eastAsia" w:ascii="宋体" w:hAnsi="宋体" w:eastAsia="宋体" w:cs="宋体"/>
                      <w:b w:val="0"/>
                      <w:bCs/>
                      <w:snapToGrid w:val="0"/>
                      <w:color w:val="auto"/>
                      <w:sz w:val="21"/>
                      <w:szCs w:val="21"/>
                      <w:highlight w:val="none"/>
                      <w:lang w:val="en-US" w:eastAsia="zh-CN"/>
                    </w:rPr>
                    <w:t>45</w:t>
                  </w:r>
                  <w:r>
                    <w:rPr>
                      <w:rFonts w:hint="eastAsia" w:ascii="宋体" w:hAnsi="宋体" w:eastAsia="宋体" w:cs="宋体"/>
                      <w:b w:val="0"/>
                      <w:bCs/>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w:t>
                  </w:r>
                  <w:r>
                    <w:rPr>
                      <w:rFonts w:hint="eastAsia" w:ascii="宋体" w:hAnsi="宋体" w:eastAsia="宋体" w:cs="宋体"/>
                      <w:b w:val="0"/>
                      <w:bCs/>
                      <w:snapToGrid w:val="0"/>
                      <w:color w:val="auto"/>
                      <w:sz w:val="21"/>
                      <w:szCs w:val="21"/>
                      <w:highlight w:val="none"/>
                      <w:lang w:val="en-US" w:eastAsia="zh-CN"/>
                    </w:rPr>
                    <w:t>25</w:t>
                  </w:r>
                  <w:r>
                    <w:rPr>
                      <w:rFonts w:hint="eastAsia" w:ascii="宋体" w:hAnsi="宋体" w:eastAsia="宋体" w:cs="宋体"/>
                      <w:b w:val="0"/>
                      <w:bCs/>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招标代理服务收费按差额定率累进法计算。例如：某项目招标代理业务</w:t>
            </w: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b w:val="0"/>
                <w:bCs/>
                <w:color w:val="auto"/>
                <w:sz w:val="21"/>
                <w:szCs w:val="21"/>
                <w:highlight w:val="none"/>
              </w:rPr>
            </w:pPr>
            <w:r>
              <w:rPr>
                <w:rFonts w:hint="eastAsia" w:ascii="宋体" w:hAnsi="宋体" w:eastAsia="宋体" w:cs="宋体"/>
                <w:b w:val="0"/>
                <w:bCs/>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17</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b/>
                <w:bCs w:val="0"/>
                <w:color w:val="auto"/>
                <w:sz w:val="21"/>
                <w:szCs w:val="21"/>
                <w:highlight w:val="none"/>
                <w:lang w:val="en-US" w:eastAsia="zh-CN"/>
              </w:rPr>
              <w:t>投标有效期</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bCs w:val="0"/>
                <w:color w:val="auto"/>
                <w:sz w:val="21"/>
                <w:szCs w:val="21"/>
                <w:highlight w:val="none"/>
                <w:lang w:val="en-US" w:eastAsia="zh-CN"/>
              </w:rPr>
              <w:t>投标有效期为</w:t>
            </w:r>
            <w:r>
              <w:rPr>
                <w:rFonts w:hint="eastAsia" w:ascii="宋体" w:hAnsi="Times New Roman" w:eastAsia="宋体" w:cs="Times New Roman"/>
                <w:b/>
                <w:bCs w:val="0"/>
                <w:color w:val="auto"/>
                <w:sz w:val="21"/>
                <w:szCs w:val="21"/>
                <w:highlight w:val="none"/>
                <w:u w:val="single" w:color="auto"/>
                <w:lang w:val="en-US" w:eastAsia="zh-CN"/>
              </w:rPr>
              <w:t xml:space="preserve"> 60 日历</w:t>
            </w:r>
            <w:r>
              <w:rPr>
                <w:rFonts w:hint="eastAsia"/>
                <w:b/>
                <w:bCs w:val="0"/>
                <w:color w:val="auto"/>
                <w:sz w:val="21"/>
                <w:szCs w:val="21"/>
                <w:highlight w:val="none"/>
                <w:lang w:val="en-US" w:eastAsia="zh-CN"/>
              </w:rPr>
              <w:t>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19</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Cs w:val="21"/>
                <w:highlight w:val="none"/>
              </w:rPr>
            </w:pPr>
            <w:r>
              <w:rPr>
                <w:rFonts w:hint="eastAsia" w:ascii="宋体"/>
                <w:b/>
                <w:bCs w:val="0"/>
                <w:color w:val="auto"/>
                <w:szCs w:val="21"/>
                <w:highlight w:val="none"/>
              </w:rPr>
              <w:t>投标保证金</w:t>
            </w:r>
          </w:p>
        </w:tc>
        <w:tc>
          <w:tcPr>
            <w:tcW w:w="7288" w:type="dxa"/>
            <w:noWrap w:val="0"/>
            <w:vAlign w:val="center"/>
          </w:tcPr>
          <w:p>
            <w:pPr>
              <w:snapToGrid w:val="0"/>
              <w:spacing w:line="290" w:lineRule="exact"/>
              <w:rPr>
                <w:rFonts w:hint="eastAsia" w:ascii="宋体" w:hAnsi="宋体" w:cs="宋体-18030"/>
                <w:b w:val="0"/>
                <w:bCs/>
                <w:color w:val="auto"/>
                <w:szCs w:val="21"/>
                <w:highlight w:val="none"/>
              </w:rPr>
            </w:pPr>
            <w:r>
              <w:rPr>
                <w:rFonts w:hint="eastAsia" w:ascii="宋体" w:hAnsi="宋体" w:cs="宋体-18030"/>
                <w:b w:val="0"/>
                <w:bCs/>
                <w:color w:val="auto"/>
                <w:szCs w:val="21"/>
                <w:highlight w:val="none"/>
              </w:rPr>
              <w:t>投标保证金交纳方式：投标保证金应当以支票、汇票、本票、网上银行支付或者金融机构、担保机构出具的保函等非现金形式交纳。</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18030"/>
                <w:b w:val="0"/>
                <w:bCs/>
                <w:color w:val="auto"/>
                <w:szCs w:val="21"/>
                <w:highlight w:val="none"/>
              </w:rPr>
            </w:pPr>
            <w:r>
              <w:rPr>
                <w:rFonts w:hint="eastAsia" w:ascii="宋体" w:hAnsi="宋体" w:cs="宋体-18030"/>
                <w:b/>
                <w:bCs w:val="0"/>
                <w:color w:val="auto"/>
                <w:szCs w:val="21"/>
                <w:highlight w:val="none"/>
              </w:rPr>
              <w:t>投标保证金的金额：</w:t>
            </w:r>
            <w:r>
              <w:rPr>
                <w:rFonts w:hint="eastAsia" w:hAnsi="宋体" w:cs="宋体-18030"/>
                <w:b/>
                <w:bCs w:val="0"/>
                <w:color w:val="auto"/>
                <w:szCs w:val="21"/>
                <w:highlight w:val="none"/>
                <w:lang w:val="en-US" w:eastAsia="zh-CN"/>
              </w:rPr>
              <w:t>6</w:t>
            </w:r>
            <w:r>
              <w:rPr>
                <w:rFonts w:hint="eastAsia" w:ascii="宋体" w:hAnsi="宋体" w:cs="宋体-18030"/>
                <w:b/>
                <w:bCs w:val="0"/>
                <w:color w:val="auto"/>
                <w:szCs w:val="21"/>
                <w:highlight w:val="none"/>
              </w:rPr>
              <w:t>0000</w:t>
            </w:r>
            <w:r>
              <w:rPr>
                <w:rFonts w:hint="eastAsia" w:hAnsi="宋体" w:cs="宋体-18030"/>
                <w:b/>
                <w:bCs w:val="0"/>
                <w:color w:val="auto"/>
                <w:szCs w:val="21"/>
                <w:highlight w:val="none"/>
                <w:lang w:val="en-US" w:eastAsia="zh-CN"/>
              </w:rPr>
              <w:t>.00</w:t>
            </w:r>
            <w:r>
              <w:rPr>
                <w:rFonts w:hint="eastAsia" w:ascii="宋体" w:hAnsi="宋体" w:cs="宋体-18030"/>
                <w:b/>
                <w:bCs w:val="0"/>
                <w:color w:val="auto"/>
                <w:szCs w:val="21"/>
                <w:highlight w:val="none"/>
              </w:rPr>
              <w:t>元（</w:t>
            </w:r>
            <w:r>
              <w:rPr>
                <w:rFonts w:hint="eastAsia" w:hAnsi="宋体" w:cs="宋体-18030"/>
                <w:b/>
                <w:bCs w:val="0"/>
                <w:color w:val="auto"/>
                <w:szCs w:val="21"/>
                <w:highlight w:val="none"/>
                <w:lang w:val="en-US" w:eastAsia="zh-CN"/>
              </w:rPr>
              <w:t>陆</w:t>
            </w:r>
            <w:r>
              <w:rPr>
                <w:rFonts w:hint="eastAsia" w:ascii="宋体" w:hAnsi="宋体" w:cs="宋体-18030"/>
                <w:b/>
                <w:bCs w:val="0"/>
                <w:color w:val="auto"/>
                <w:szCs w:val="21"/>
                <w:highlight w:val="none"/>
                <w:lang w:eastAsia="zh-CN"/>
              </w:rPr>
              <w:t>万</w:t>
            </w:r>
            <w:r>
              <w:rPr>
                <w:rFonts w:hint="eastAsia" w:ascii="宋体" w:hAnsi="宋体" w:cs="宋体-18030"/>
                <w:b/>
                <w:bCs w:val="0"/>
                <w:color w:val="auto"/>
                <w:szCs w:val="21"/>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20</w:t>
            </w:r>
          </w:p>
        </w:tc>
        <w:tc>
          <w:tcPr>
            <w:tcW w:w="1536" w:type="dxa"/>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hAnsi="宋体"/>
                <w:b/>
                <w:bCs w:val="0"/>
                <w:color w:val="auto"/>
                <w:sz w:val="21"/>
                <w:szCs w:val="21"/>
                <w:highlight w:val="none"/>
                <w:lang w:eastAsia="zh-CN"/>
              </w:rPr>
              <w:t>投标保证金</w:t>
            </w:r>
          </w:p>
        </w:tc>
        <w:tc>
          <w:tcPr>
            <w:tcW w:w="7288" w:type="dxa"/>
            <w:tcBorders>
              <w:bottom w:val="single" w:color="auto" w:sz="4" w:space="0"/>
            </w:tcBorders>
            <w:noWrap w:val="0"/>
            <w:vAlign w:val="top"/>
          </w:tcPr>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投标保证金缴纳要求：</w:t>
            </w:r>
          </w:p>
          <w:p>
            <w:pPr>
              <w:snapToGrid w:val="0"/>
              <w:spacing w:line="29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投标保证金以电汇、网银等转账形式提交的，应在投标截止前以总公司的基本账户一次性汇入指定账户（以到账时间为准），不接受现金及任何个人汇款。确认到账后，手持汇款银行电子回单及基本账户信息/开户许可证复印件（两份）；（一份加盖上企业公章，另一份无需盖章留有空白），到阿图什市政务服务和公共资源交易中心财务室核查缴纳情况，缴纳成功的由阿图什市政务服务和公共资源交易中心财务室在企业携带的银行回单上加盖财务章专用章，作为该项目投标保证金的缴纳依据。</w:t>
            </w:r>
          </w:p>
          <w:p>
            <w:pPr>
              <w:snapToGrid w:val="0"/>
              <w:spacing w:line="290" w:lineRule="exact"/>
              <w:ind w:firstLine="426"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2、其他特殊情况处理：有效投标保证金成功交纳后，截止开标时间，供应商无正当理由不参加该项目投标且不递交弃标函，投标保证金不予退还。</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户名：阿图什市政务服务和公共资源交易中心</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账号：30456301040005267</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行名：中国农业银行阿图什市天山分理处</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行号：103893045636</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联系人：祝女士</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xml:space="preserve"> 电话：0908-4222076    </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备注：</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1、缴纳时必须写清楚某某项目投标保证金,在核查投标保证金时请统一用A4纸打印银行回单。2、投标保证金退还（招投标结束中标结果公示后）：</w:t>
            </w:r>
          </w:p>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rPr>
            </w:pPr>
            <w:r>
              <w:rPr>
                <w:rFonts w:hint="eastAsia" w:ascii="宋体" w:hAnsi="宋体" w:eastAsia="宋体" w:cs="宋体"/>
                <w:b w:val="0"/>
                <w:bCs/>
                <w:color w:val="auto"/>
                <w:szCs w:val="21"/>
                <w:highlight w:val="none"/>
                <w:lang w:val="en-US" w:eastAsia="zh-CN"/>
              </w:rPr>
              <w:t xml:space="preserve">①、投标企业：待开标完成后，3至5个工作日以内政资中心财务人员将收取的项目投标保证金按投标企业基本户退回。②、中标企业：需提供已签订合同复印件一份（并携带合同原件，由中心工作人员核对后退还）。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21</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投标文件形式</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15"/>
              <w:ind w:left="0" w:leftChars="0" w:firstLine="0" w:firstLineChars="0"/>
              <w:rPr>
                <w:rFonts w:hint="eastAsia"/>
                <w:color w:val="auto"/>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22</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投标文件份数及要求</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b w:val="0"/>
                <w:bCs/>
                <w:color w:val="auto"/>
                <w:sz w:val="21"/>
                <w:szCs w:val="21"/>
                <w:highlight w:val="none"/>
                <w:lang w:val="en-US" w:eastAsia="zh-CN"/>
              </w:rPr>
            </w:pPr>
            <w:r>
              <w:rPr>
                <w:rFonts w:hint="default"/>
                <w:b w:val="0"/>
                <w:bCs/>
                <w:color w:val="auto"/>
                <w:sz w:val="21"/>
                <w:szCs w:val="21"/>
                <w:highlight w:val="none"/>
                <w:lang w:val="en-US" w:eastAsia="zh-CN"/>
              </w:rPr>
              <w:t>1、一份电子加密标书（“.jmbs”格式），一份备份标书文件（“.bfbs”格式）。</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b w:val="0"/>
                <w:bCs/>
                <w:color w:val="auto"/>
                <w:sz w:val="21"/>
                <w:szCs w:val="21"/>
                <w:highlight w:val="none"/>
                <w:lang w:val="en-US" w:eastAsia="zh-CN"/>
              </w:rPr>
            </w:pPr>
            <w:r>
              <w:rPr>
                <w:rFonts w:hint="default"/>
                <w:b w:val="0"/>
                <w:bCs/>
                <w:color w:val="auto"/>
                <w:sz w:val="21"/>
                <w:szCs w:val="21"/>
                <w:highlight w:val="none"/>
                <w:lang w:val="en-US" w:eastAsia="zh-CN"/>
              </w:rPr>
              <w:t>2、每份电子投标文件应包括资格证明文件和商务及技术文件两部分。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9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23</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zh-CN"/>
              </w:rPr>
              <w:t>投标文件的上传和递交</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u w:val="single" w:color="auto"/>
                <w:lang w:val="en-US" w:eastAsia="zh-CN"/>
              </w:rPr>
            </w:pPr>
            <w:r>
              <w:rPr>
                <w:rFonts w:hint="eastAsia"/>
                <w:b w:val="0"/>
                <w:bCs/>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val="0"/>
                <w:bCs/>
                <w:color w:val="auto"/>
                <w:sz w:val="21"/>
                <w:szCs w:val="21"/>
                <w:highlight w:val="none"/>
                <w:u w:val="single" w:color="auto"/>
                <w:lang w:val="en-US" w:eastAsia="zh-CN"/>
              </w:rPr>
              <w:t>在开标时间开始后，待采购组织机构发出解密通知后30分钟内解密投标文件。</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a.供应商未能在投标截止时间前成功上传电子加密投标文件的投标无效。</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24</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lang w:eastAsia="zh-CN"/>
              </w:rPr>
              <w:t>投标截止</w:t>
            </w:r>
            <w:r>
              <w:rPr>
                <w:rFonts w:hint="eastAsia" w:ascii="宋体"/>
                <w:b/>
                <w:bCs w:val="0"/>
                <w:color w:val="auto"/>
                <w:sz w:val="21"/>
                <w:szCs w:val="21"/>
                <w:highlight w:val="none"/>
              </w:rPr>
              <w:t>时间及地点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ascii="Times New Roman" w:hAnsi="Times New Roman" w:cs="Times New Roman"/>
                <w:b w:val="0"/>
                <w:bCs/>
                <w:color w:val="auto"/>
                <w:sz w:val="21"/>
                <w:szCs w:val="21"/>
                <w:highlight w:val="none"/>
                <w:lang w:eastAsia="zh-CN"/>
              </w:rPr>
              <w:t>投标截止</w:t>
            </w:r>
            <w:r>
              <w:rPr>
                <w:rFonts w:hint="eastAsia" w:ascii="Times New Roman" w:hAnsi="Times New Roman" w:cs="Times New Roman"/>
                <w:b w:val="0"/>
                <w:bCs/>
                <w:color w:val="auto"/>
                <w:sz w:val="21"/>
                <w:szCs w:val="21"/>
                <w:highlight w:val="none"/>
              </w:rPr>
              <w:t>时间：</w:t>
            </w:r>
            <w:r>
              <w:rPr>
                <w:rFonts w:hint="eastAsia"/>
                <w:b w:val="0"/>
                <w:bCs/>
                <w:color w:val="auto"/>
                <w:sz w:val="21"/>
                <w:szCs w:val="21"/>
                <w:highlight w:val="none"/>
                <w:lang w:val="en-US" w:eastAsia="zh-CN"/>
              </w:rPr>
              <w:t>2023</w:t>
            </w:r>
            <w:r>
              <w:rPr>
                <w:rFonts w:hint="eastAsia"/>
                <w:b w:val="0"/>
                <w:bCs/>
                <w:color w:val="auto"/>
                <w:sz w:val="21"/>
                <w:szCs w:val="21"/>
                <w:highlight w:val="none"/>
              </w:rPr>
              <w:t>年</w:t>
            </w:r>
            <w:r>
              <w:rPr>
                <w:rFonts w:hint="eastAsia"/>
                <w:b w:val="0"/>
                <w:bCs/>
                <w:color w:val="auto"/>
                <w:sz w:val="21"/>
                <w:szCs w:val="21"/>
                <w:highlight w:val="none"/>
                <w:lang w:val="en-US" w:eastAsia="zh-CN"/>
              </w:rPr>
              <w:t>8</w:t>
            </w:r>
            <w:r>
              <w:rPr>
                <w:rFonts w:hint="eastAsia"/>
                <w:b w:val="0"/>
                <w:bCs/>
                <w:color w:val="auto"/>
                <w:sz w:val="21"/>
                <w:szCs w:val="21"/>
                <w:highlight w:val="none"/>
              </w:rPr>
              <w:t>月</w:t>
            </w:r>
            <w:r>
              <w:rPr>
                <w:rFonts w:hint="eastAsia"/>
                <w:b w:val="0"/>
                <w:bCs/>
                <w:color w:val="auto"/>
                <w:sz w:val="21"/>
                <w:szCs w:val="21"/>
                <w:highlight w:val="none"/>
                <w:lang w:val="en-US" w:eastAsia="zh-CN"/>
              </w:rPr>
              <w:t>14</w:t>
            </w:r>
            <w:r>
              <w:rPr>
                <w:rFonts w:hint="eastAsia"/>
                <w:b w:val="0"/>
                <w:bCs/>
                <w:color w:val="auto"/>
                <w:sz w:val="21"/>
                <w:szCs w:val="21"/>
                <w:highlight w:val="none"/>
              </w:rPr>
              <w:t>日</w:t>
            </w:r>
            <w:r>
              <w:rPr>
                <w:rFonts w:hint="eastAsia"/>
                <w:b w:val="0"/>
                <w:bCs/>
                <w:color w:val="auto"/>
                <w:sz w:val="21"/>
                <w:szCs w:val="21"/>
                <w:highlight w:val="none"/>
                <w:lang w:val="en-US" w:eastAsia="zh-CN"/>
              </w:rPr>
              <w:t>10</w:t>
            </w:r>
            <w:r>
              <w:rPr>
                <w:rFonts w:hint="eastAsia"/>
                <w:b w:val="0"/>
                <w:bCs/>
                <w:color w:val="auto"/>
                <w:sz w:val="21"/>
                <w:szCs w:val="21"/>
                <w:highlight w:val="none"/>
              </w:rPr>
              <w:t>时</w:t>
            </w:r>
            <w:r>
              <w:rPr>
                <w:rFonts w:hint="eastAsia"/>
                <w:b w:val="0"/>
                <w:bCs/>
                <w:color w:val="auto"/>
                <w:sz w:val="21"/>
                <w:szCs w:val="21"/>
                <w:highlight w:val="none"/>
                <w:lang w:val="en-US" w:eastAsia="zh-CN"/>
              </w:rPr>
              <w:t>30</w:t>
            </w:r>
            <w:r>
              <w:rPr>
                <w:rFonts w:hint="eastAsia"/>
                <w:b w:val="0"/>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lang w:eastAsia="zh-CN"/>
              </w:rPr>
              <w:t>投标</w:t>
            </w:r>
            <w:r>
              <w:rPr>
                <w:rFonts w:hint="eastAsia"/>
                <w:b w:val="0"/>
                <w:bCs/>
                <w:color w:val="auto"/>
                <w:sz w:val="21"/>
                <w:szCs w:val="21"/>
                <w:highlight w:val="none"/>
              </w:rPr>
              <w:t>地点：</w:t>
            </w:r>
            <w:r>
              <w:rPr>
                <w:rFonts w:hint="eastAsia"/>
                <w:b w:val="0"/>
                <w:bCs/>
                <w:color w:val="auto"/>
                <w:sz w:val="21"/>
                <w:szCs w:val="21"/>
                <w:highlight w:val="none"/>
                <w:lang w:eastAsia="zh-CN"/>
              </w:rPr>
              <w:t>新疆</w:t>
            </w:r>
            <w:r>
              <w:rPr>
                <w:rFonts w:hint="eastAsia"/>
                <w:b w:val="0"/>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b/>
                <w:bCs w:val="0"/>
                <w:color w:val="auto"/>
                <w:sz w:val="21"/>
                <w:szCs w:val="21"/>
                <w:highlight w:val="none"/>
                <w:lang w:val="en-US" w:eastAsia="zh-CN"/>
              </w:rPr>
              <w:t>25</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开标时间及地点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rPr>
              <w:t>开标时间：</w:t>
            </w:r>
            <w:r>
              <w:rPr>
                <w:rFonts w:hint="eastAsia"/>
                <w:b w:val="0"/>
                <w:bCs/>
                <w:color w:val="auto"/>
                <w:sz w:val="21"/>
                <w:szCs w:val="21"/>
                <w:highlight w:val="none"/>
                <w:lang w:val="en-US" w:eastAsia="zh-CN"/>
              </w:rPr>
              <w:t>2023</w:t>
            </w:r>
            <w:r>
              <w:rPr>
                <w:rFonts w:hint="eastAsia"/>
                <w:b w:val="0"/>
                <w:bCs/>
                <w:color w:val="auto"/>
                <w:sz w:val="21"/>
                <w:szCs w:val="21"/>
                <w:highlight w:val="none"/>
              </w:rPr>
              <w:t>年</w:t>
            </w:r>
            <w:r>
              <w:rPr>
                <w:rFonts w:hint="eastAsia"/>
                <w:b w:val="0"/>
                <w:bCs/>
                <w:color w:val="auto"/>
                <w:sz w:val="21"/>
                <w:szCs w:val="21"/>
                <w:highlight w:val="none"/>
                <w:lang w:val="en-US" w:eastAsia="zh-CN"/>
              </w:rPr>
              <w:t>8</w:t>
            </w:r>
            <w:r>
              <w:rPr>
                <w:rFonts w:hint="eastAsia"/>
                <w:b w:val="0"/>
                <w:bCs/>
                <w:color w:val="auto"/>
                <w:sz w:val="21"/>
                <w:szCs w:val="21"/>
                <w:highlight w:val="none"/>
              </w:rPr>
              <w:t>月</w:t>
            </w:r>
            <w:r>
              <w:rPr>
                <w:rFonts w:hint="eastAsia"/>
                <w:b w:val="0"/>
                <w:bCs/>
                <w:color w:val="auto"/>
                <w:sz w:val="21"/>
                <w:szCs w:val="21"/>
                <w:highlight w:val="none"/>
                <w:lang w:val="en-US" w:eastAsia="zh-CN"/>
              </w:rPr>
              <w:t>14</w:t>
            </w:r>
            <w:r>
              <w:rPr>
                <w:rFonts w:hint="eastAsia"/>
                <w:b w:val="0"/>
                <w:bCs/>
                <w:color w:val="auto"/>
                <w:sz w:val="21"/>
                <w:szCs w:val="21"/>
                <w:highlight w:val="none"/>
              </w:rPr>
              <w:t>日</w:t>
            </w:r>
            <w:r>
              <w:rPr>
                <w:rFonts w:hint="eastAsia"/>
                <w:b w:val="0"/>
                <w:bCs/>
                <w:color w:val="auto"/>
                <w:sz w:val="21"/>
                <w:szCs w:val="21"/>
                <w:highlight w:val="none"/>
                <w:lang w:val="en-US" w:eastAsia="zh-CN"/>
              </w:rPr>
              <w:t>10</w:t>
            </w:r>
            <w:r>
              <w:rPr>
                <w:rFonts w:hint="eastAsia"/>
                <w:b w:val="0"/>
                <w:bCs/>
                <w:color w:val="auto"/>
                <w:sz w:val="21"/>
                <w:szCs w:val="21"/>
                <w:highlight w:val="none"/>
              </w:rPr>
              <w:t>时</w:t>
            </w:r>
            <w:r>
              <w:rPr>
                <w:rFonts w:hint="eastAsia"/>
                <w:b w:val="0"/>
                <w:bCs/>
                <w:color w:val="auto"/>
                <w:sz w:val="21"/>
                <w:szCs w:val="21"/>
                <w:highlight w:val="none"/>
                <w:lang w:val="en-US" w:eastAsia="zh-CN"/>
              </w:rPr>
              <w:t>30</w:t>
            </w:r>
            <w:r>
              <w:rPr>
                <w:rFonts w:hint="eastAsia"/>
                <w:b w:val="0"/>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rPr>
              <w:t>开标地点：在</w:t>
            </w:r>
            <w:r>
              <w:rPr>
                <w:rFonts w:hint="eastAsia"/>
                <w:b w:val="0"/>
                <w:bCs/>
                <w:color w:val="auto"/>
                <w:sz w:val="21"/>
                <w:szCs w:val="21"/>
                <w:highlight w:val="none"/>
                <w:lang w:eastAsia="zh-CN"/>
              </w:rPr>
              <w:t>新疆</w:t>
            </w:r>
            <w:r>
              <w:rPr>
                <w:rFonts w:hint="eastAsia"/>
                <w:b w:val="0"/>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26</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评标委员会的组建</w:t>
            </w:r>
          </w:p>
        </w:tc>
        <w:tc>
          <w:tcPr>
            <w:tcW w:w="7288" w:type="dxa"/>
            <w:noWrap w:val="0"/>
            <w:vAlign w:val="top"/>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评标委员会由招标人依法组建；采购人代表1人，评审专家4人，共5人。</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评标专家确定方式：专家评委由招标人在开标前48小时内从政采云专家库中随机抽取。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27</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是否授权评标委员会确定中标候选人</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hAnsi="宋体"/>
                <w:b w:val="0"/>
                <w:bCs/>
                <w:color w:val="auto"/>
                <w:sz w:val="21"/>
                <w:szCs w:val="21"/>
                <w:highlight w:val="no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28</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中标候选人公示媒介</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b w:val="0"/>
                <w:bCs/>
                <w:color w:val="auto"/>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u w:val="none"/>
                <w:lang w:val="en-US" w:eastAsia="zh-CN" w:bidi="ar-SA"/>
              </w:rPr>
              <w:t>新疆政府采购网</w:t>
            </w:r>
            <w:r>
              <w:rPr>
                <w:rFonts w:hint="eastAsia" w:ascii="Times New Roman" w:hAnsi="Times New Roman" w:cs="Times New Roman"/>
                <w:b w:val="0"/>
                <w:bCs/>
                <w:color w:val="auto"/>
                <w:kern w:val="2"/>
                <w:sz w:val="21"/>
                <w:szCs w:val="21"/>
                <w:highlight w:val="none"/>
                <w:u w:val="none"/>
                <w:lang w:val="en-US" w:eastAsia="zh-CN" w:bidi="ar-SA"/>
              </w:rPr>
              <w:t>、</w:t>
            </w:r>
            <w:r>
              <w:rPr>
                <w:rFonts w:hint="eastAsia" w:ascii="Times New Roman" w:hAnsi="Times New Roman" w:eastAsia="宋体" w:cs="Times New Roman"/>
                <w:b w:val="0"/>
                <w:bCs/>
                <w:color w:val="auto"/>
                <w:kern w:val="2"/>
                <w:sz w:val="21"/>
                <w:szCs w:val="21"/>
                <w:highlight w:val="none"/>
                <w:u w:val="none"/>
                <w:lang w:val="en-US" w:eastAsia="zh-CN" w:bidi="ar-SA"/>
              </w:rPr>
              <w:t>克州公共资源交易网，公示期为一个工作日。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29</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履约担保</w:t>
            </w:r>
          </w:p>
        </w:tc>
        <w:tc>
          <w:tcPr>
            <w:tcW w:w="7288" w:type="dxa"/>
            <w:noWrap w:val="0"/>
            <w:vAlign w:val="top"/>
          </w:tcPr>
          <w:p>
            <w:pPr>
              <w:keepNext w:val="0"/>
              <w:keepLines w:val="0"/>
              <w:pageBreakBefore w:val="0"/>
              <w:numPr>
                <w:ilvl w:val="0"/>
                <w:numId w:val="5"/>
              </w:numPr>
              <w:shd w:val="clear" w:color="auto" w:fill="auto"/>
              <w:kinsoku/>
              <w:wordWrap/>
              <w:overflowPunct/>
              <w:topLinePunct w:val="0"/>
              <w:autoSpaceDE/>
              <w:autoSpaceDN/>
              <w:bidi w:val="0"/>
              <w:adjustRightInd/>
              <w:snapToGrid w:val="0"/>
              <w:spacing w:line="360" w:lineRule="auto"/>
              <w:textAlignment w:val="auto"/>
              <w:outlineLvl w:val="9"/>
              <w:rPr>
                <w:rFonts w:hint="eastAsia" w:ascii="宋体"/>
                <w:b w:val="0"/>
                <w:bCs/>
                <w:color w:val="auto"/>
                <w:szCs w:val="21"/>
                <w:highlight w:val="none"/>
                <w:lang w:val="en-US" w:eastAsia="zh-CN"/>
              </w:rPr>
            </w:pPr>
            <w:r>
              <w:rPr>
                <w:rFonts w:hint="eastAsia"/>
                <w:b w:val="0"/>
                <w:bCs/>
                <w:color w:val="auto"/>
                <w:highlight w:val="none"/>
                <w:lang w:val="en-US" w:eastAsia="zh-CN"/>
              </w:rPr>
              <w:t>中标供应商在合同签订后5个工作日内向采购人交纳中标价5%的履约保证金（本项目履约保证金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p>
            <w:pPr>
              <w:keepNext w:val="0"/>
              <w:keepLines w:val="0"/>
              <w:pageBreakBefore w:val="0"/>
              <w:numPr>
                <w:ilvl w:val="0"/>
                <w:numId w:val="0"/>
              </w:numPr>
              <w:shd w:val="clear" w:color="auto" w:fill="auto"/>
              <w:kinsoku/>
              <w:wordWrap/>
              <w:overflowPunct/>
              <w:topLinePunct w:val="0"/>
              <w:autoSpaceDE/>
              <w:autoSpaceDN/>
              <w:bidi w:val="0"/>
              <w:adjustRightInd/>
              <w:snapToGrid w:val="0"/>
              <w:spacing w:line="360" w:lineRule="auto"/>
              <w:textAlignment w:val="auto"/>
              <w:outlineLvl w:val="9"/>
              <w:rPr>
                <w:rFonts w:hint="eastAsia" w:ascii="宋体"/>
                <w:b w:val="0"/>
                <w:bCs/>
                <w:color w:val="auto"/>
                <w:szCs w:val="21"/>
                <w:highlight w:val="none"/>
                <w:lang w:val="en-US" w:eastAsia="zh-CN"/>
              </w:rPr>
            </w:pPr>
            <w:r>
              <w:rPr>
                <w:rFonts w:hint="eastAsia" w:ascii="宋体" w:hAnsi="Times New Roman" w:eastAsia="宋体" w:cs="宋体"/>
                <w:b w:val="0"/>
                <w:bCs/>
                <w:color w:val="auto"/>
                <w:kern w:val="0"/>
                <w:sz w:val="21"/>
                <w:szCs w:val="21"/>
                <w:highlight w:val="none"/>
                <w:u w:val="none" w:color="000000"/>
                <w:lang w:val="en-US" w:eastAsia="zh-CN" w:bidi="ar-SA"/>
              </w:rPr>
              <w:t>2、</w:t>
            </w:r>
            <w:r>
              <w:rPr>
                <w:rFonts w:hint="eastAsia" w:ascii="宋体"/>
                <w:b w:val="0"/>
                <w:bCs/>
                <w:color w:val="auto"/>
                <w:szCs w:val="21"/>
                <w:highlight w:val="none"/>
                <w:lang w:val="en-US" w:eastAsia="zh-CN"/>
              </w:rPr>
              <w:t>签订合同后，如中标供应商不按合同约定履约的，履约保证金不予退还，履约保证金不足以赔偿损失的，按实际损失赔偿。</w:t>
            </w:r>
          </w:p>
          <w:p>
            <w:pPr>
              <w:shd w:val="clear" w:color="auto" w:fill="auto"/>
              <w:spacing w:line="440" w:lineRule="exact"/>
              <w:jc w:val="left"/>
              <w:rPr>
                <w:rFonts w:hint="eastAsia"/>
                <w:b w:val="0"/>
                <w:bCs/>
                <w:color w:val="auto"/>
                <w:highlight w:val="none"/>
                <w:lang w:val="en-US" w:eastAsia="zh-CN"/>
              </w:rPr>
            </w:pPr>
            <w:r>
              <w:rPr>
                <w:rFonts w:hint="eastAsia" w:ascii="宋体"/>
                <w:b w:val="0"/>
                <w:bCs/>
                <w:color w:val="auto"/>
                <w:szCs w:val="21"/>
                <w:highlight w:val="none"/>
                <w:lang w:val="en-US" w:eastAsia="zh-CN"/>
              </w:rPr>
              <w:t>3、如果中标供应商在供货期内没有涉及采购人的应付而未付金额或违约行为，采购人在项目验收合格后或提前终止合同后全额无息退还履约保证金。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30</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eastAsia="zh-CN"/>
              </w:rPr>
            </w:pPr>
            <w:r>
              <w:rPr>
                <w:rFonts w:hint="eastAsia" w:ascii="宋体" w:hAnsi="宋体" w:cs="宋体"/>
                <w:b/>
                <w:bCs w:val="0"/>
                <w:color w:val="auto"/>
                <w:sz w:val="21"/>
                <w:szCs w:val="21"/>
                <w:highlight w:val="none"/>
                <w:lang w:eastAsia="zh-CN"/>
              </w:rPr>
              <w:t>招标</w:t>
            </w:r>
            <w:r>
              <w:rPr>
                <w:rFonts w:hint="eastAsia" w:ascii="宋体" w:hAnsi="宋体" w:cs="宋体"/>
                <w:b/>
                <w:bCs w:val="0"/>
                <w:color w:val="auto"/>
                <w:sz w:val="21"/>
                <w:szCs w:val="21"/>
                <w:highlight w:val="none"/>
              </w:rPr>
              <w:t>文件领取</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时间：2023年7月24日至2023年7月31日，每天上午10:00至14:00，下午16:00至20：00（北京时间，法定节假日除外）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地点：供应商登陆政采云平台http://www.zcygov.cn/，在线申请获取招标文件（登录政府采购云平台 → 项目采购 → 获取招标文件，如有操作性问题，可与政采云在线客服进行咨询，咨询电话：</w:t>
            </w:r>
            <w:r>
              <w:rPr>
                <w:rFonts w:hint="eastAsia" w:ascii="宋体" w:hAnsi="宋体" w:cs="宋体"/>
                <w:b w:val="0"/>
                <w:bCs/>
                <w:color w:val="auto"/>
                <w:sz w:val="21"/>
                <w:szCs w:val="21"/>
                <w:highlight w:val="none"/>
                <w:lang w:eastAsia="zh-CN"/>
              </w:rPr>
              <w:t>95763</w:t>
            </w:r>
            <w:r>
              <w:rPr>
                <w:rFonts w:hint="eastAsia" w:ascii="宋体" w:hAnsi="宋体" w:cs="宋体"/>
                <w:b w:val="0"/>
                <w:bCs/>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b/>
                <w:bCs w:val="0"/>
                <w:color w:val="auto"/>
                <w:sz w:val="21"/>
                <w:szCs w:val="21"/>
                <w:highlight w:val="none"/>
                <w:lang w:val="en-US" w:eastAsia="zh-CN"/>
              </w:rPr>
            </w:pPr>
            <w:r>
              <w:rPr>
                <w:rFonts w:hint="eastAsia" w:ascii="宋体" w:hAnsi="宋体"/>
                <w:b/>
                <w:bCs w:val="0"/>
                <w:color w:val="auto"/>
                <w:sz w:val="21"/>
                <w:szCs w:val="21"/>
                <w:highlight w:val="none"/>
                <w:lang w:val="en-US" w:eastAsia="zh-CN"/>
              </w:rPr>
              <w:t>31</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r>
              <w:rPr>
                <w:rFonts w:hint="eastAsia" w:ascii="宋体" w:hAnsi="宋体" w:eastAsia="宋体" w:cs="宋体"/>
                <w:b/>
                <w:bCs w:val="0"/>
                <w:color w:val="auto"/>
                <w:szCs w:val="21"/>
                <w:highlight w:val="none"/>
              </w:rPr>
              <w:t>中小微企业政策文件</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（1）根据财政部、工业和信息化部关于印发《政府采购促进中小企业发展管理办法》的通知（财库[2020]46号）和</w:t>
            </w:r>
            <w:r>
              <w:rPr>
                <w:rFonts w:hint="eastAsia" w:ascii="宋体" w:hAnsi="宋体" w:eastAsia="宋体" w:cs="宋体"/>
                <w:b w:val="0"/>
                <w:bCs/>
                <w:color w:val="auto"/>
                <w:sz w:val="21"/>
                <w:szCs w:val="21"/>
                <w:highlight w:val="none"/>
                <w:lang w:val="en-US" w:eastAsia="zh-CN"/>
              </w:rPr>
              <w:t>关于进一步加大政府采购支持中小企业力度的通知-</w:t>
            </w:r>
            <w:r>
              <w:rPr>
                <w:rFonts w:hint="eastAsia" w:ascii="宋体" w:hAnsi="宋体" w:eastAsia="宋体" w:cs="宋体"/>
                <w:b w:val="0"/>
                <w:bCs/>
                <w:color w:val="auto"/>
                <w:sz w:val="21"/>
                <w:szCs w:val="21"/>
                <w:highlight w:val="none"/>
                <w:lang w:eastAsia="zh-CN"/>
              </w:rPr>
              <w:t>财库[2022]19号，供应商提供的服务属于《工业和信息化部、国家统计局、国家发展和改革委员会、财政部关于印发中小企业划型标准规定的通知》（工信部联企业[2011]300号）中规定的小型、微型企业标准的，按招标文件格式提供《中小企业声明函（</w:t>
            </w:r>
            <w:r>
              <w:rPr>
                <w:rFonts w:hint="eastAsia" w:ascii="宋体" w:hAnsi="宋体" w:cs="宋体"/>
                <w:b w:val="0"/>
                <w:bCs/>
                <w:color w:val="auto"/>
                <w:sz w:val="21"/>
                <w:szCs w:val="21"/>
                <w:highlight w:val="none"/>
                <w:lang w:val="en-US" w:eastAsia="zh-CN"/>
              </w:rPr>
              <w:t>货物</w:t>
            </w:r>
            <w:r>
              <w:rPr>
                <w:rFonts w:hint="eastAsia" w:ascii="宋体" w:hAnsi="宋体" w:eastAsia="宋体" w:cs="宋体"/>
                <w:b w:val="0"/>
                <w:bCs/>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bCs w:val="0"/>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Cs w:val="21"/>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bCs w:val="0"/>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Cs w:val="21"/>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8"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b/>
                <w:bCs w:val="0"/>
                <w:color w:val="auto"/>
                <w:sz w:val="21"/>
                <w:szCs w:val="21"/>
                <w:highlight w:val="none"/>
                <w:lang w:val="en-US" w:eastAsia="zh-CN"/>
              </w:rPr>
            </w:pPr>
            <w:r>
              <w:rPr>
                <w:rFonts w:hint="eastAsia" w:ascii="宋体" w:hAnsi="宋体"/>
                <w:b/>
                <w:bCs w:val="0"/>
                <w:color w:val="auto"/>
                <w:sz w:val="21"/>
                <w:szCs w:val="21"/>
                <w:highlight w:val="none"/>
                <w:lang w:val="en-US" w:eastAsia="zh-CN"/>
              </w:rPr>
              <w:t>32</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r>
              <w:rPr>
                <w:rFonts w:hint="eastAsia" w:ascii="宋体" w:hAnsi="宋体" w:eastAsia="宋体" w:cs="宋体"/>
                <w:b/>
                <w:bCs w:val="0"/>
                <w:color w:val="auto"/>
                <w:szCs w:val="21"/>
                <w:highlight w:val="none"/>
                <w:lang w:val="en-US" w:eastAsia="zh-CN"/>
              </w:rPr>
              <w:t>中小微企业政策文件说明</w:t>
            </w:r>
          </w:p>
        </w:tc>
        <w:tc>
          <w:tcPr>
            <w:tcW w:w="7288" w:type="dxa"/>
            <w:noWrap w:val="0"/>
            <w:vAlign w:val="top"/>
          </w:tcPr>
          <w:p>
            <w:pPr>
              <w:snapToGrid w:val="0"/>
              <w:spacing w:line="29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rPr>
              <w:t>本项目</w:t>
            </w:r>
            <w:r>
              <w:rPr>
                <w:rFonts w:hint="eastAsia"/>
                <w:color w:val="auto"/>
                <w:highlight w:val="none"/>
                <w:lang w:eastAsia="zh-CN"/>
              </w:rPr>
              <w:t>为专门面向中小企业项目，资金为全部预留。</w:t>
            </w:r>
          </w:p>
          <w:p>
            <w:pPr>
              <w:keepNext w:val="0"/>
              <w:keepLines w:val="0"/>
              <w:pageBreakBefore w:val="0"/>
              <w:numPr>
                <w:ilvl w:val="0"/>
                <w:numId w:val="0"/>
              </w:numPr>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Cs w:val="21"/>
                <w:highlight w:val="none"/>
              </w:rPr>
            </w:pPr>
            <w:r>
              <w:rPr>
                <w:rFonts w:hint="eastAsia"/>
                <w:color w:val="auto"/>
                <w:highlight w:val="none"/>
                <w:lang w:val="en-US" w:eastAsia="zh-CN"/>
              </w:rPr>
              <w:t>2.本采购项目中小企业划分标准所属行业为：</w:t>
            </w:r>
            <w:r>
              <w:rPr>
                <w:rFonts w:hint="eastAsia"/>
                <w:color w:val="auto"/>
                <w:highlight w:val="yellow"/>
                <w:lang w:val="en-US" w:eastAsia="zh-CN"/>
              </w:rPr>
              <w:t>批发和零售业。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rPr>
            </w:pPr>
            <w:r>
              <w:rPr>
                <w:rFonts w:hint="eastAsia"/>
                <w:b/>
                <w:bCs w:val="0"/>
                <w:color w:val="auto"/>
                <w:sz w:val="21"/>
                <w:szCs w:val="21"/>
                <w:highlight w:val="none"/>
              </w:rPr>
              <w:t>备注</w:t>
            </w:r>
          </w:p>
        </w:tc>
        <w:tc>
          <w:tcPr>
            <w:tcW w:w="8824" w:type="dxa"/>
            <w:gridSpan w:val="2"/>
            <w:noWrap w:val="0"/>
            <w:vAlign w:val="center"/>
          </w:tcPr>
          <w:p>
            <w:pPr>
              <w:numPr>
                <w:ilvl w:val="0"/>
                <w:numId w:val="0"/>
              </w:numPr>
              <w:spacing w:line="400" w:lineRule="exact"/>
              <w:ind w:leftChars="0"/>
              <w:jc w:val="left"/>
              <w:rPr>
                <w:rFonts w:hint="eastAsia"/>
                <w:color w:val="auto"/>
                <w:highlight w:val="none"/>
              </w:rPr>
            </w:pP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bookmarkEnd w:id="10"/>
    </w:tbl>
    <w:p>
      <w:pPr>
        <w:pageBreakBefore/>
        <w:shd w:val="clear" w:color="auto" w:fill="auto"/>
        <w:spacing w:before="312" w:beforeLines="100" w:after="312" w:afterLines="100" w:line="440" w:lineRule="exact"/>
        <w:jc w:val="center"/>
        <w:outlineLvl w:val="1"/>
        <w:rPr>
          <w:rFonts w:hint="eastAsia" w:ascii="宋体"/>
          <w:b/>
          <w:color w:val="auto"/>
          <w:sz w:val="28"/>
          <w:szCs w:val="32"/>
          <w:highlight w:val="none"/>
        </w:rPr>
      </w:pPr>
      <w:r>
        <w:rPr>
          <w:rFonts w:hint="eastAsia" w:ascii="宋体"/>
          <w:b/>
          <w:color w:val="auto"/>
          <w:sz w:val="28"/>
          <w:szCs w:val="28"/>
          <w:highlight w:val="none"/>
        </w:rPr>
        <w:t>二、投标人须知</w:t>
      </w:r>
    </w:p>
    <w:p>
      <w:pPr>
        <w:shd w:val="clear" w:color="auto" w:fill="auto"/>
        <w:spacing w:line="440" w:lineRule="exact"/>
        <w:jc w:val="center"/>
        <w:outlineLvl w:val="2"/>
        <w:rPr>
          <w:rFonts w:hint="eastAsia" w:ascii="宋体"/>
          <w:color w:val="auto"/>
          <w:sz w:val="28"/>
          <w:szCs w:val="28"/>
          <w:highlight w:val="none"/>
        </w:rPr>
      </w:pPr>
      <w:bookmarkStart w:id="12"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12"/>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项目编号：见投标人须知前附表。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招标人：见投标人须知前附表。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供货期（服务周期）：见投标人须知前附表。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供货地点：见投标人须知前附表。</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1.2招标人及联系人:见投标人须知前附表。</w:t>
      </w:r>
    </w:p>
    <w:p>
      <w:pPr>
        <w:shd w:val="clear" w:color="auto" w:fill="auto"/>
        <w:snapToGrid w:val="0"/>
        <w:spacing w:line="440" w:lineRule="exact"/>
        <w:ind w:firstLine="745" w:firstLineChars="350"/>
        <w:rPr>
          <w:rFonts w:hint="eastAsia" w:ascii="宋体"/>
          <w:color w:val="auto"/>
          <w:szCs w:val="21"/>
          <w:highlight w:val="none"/>
          <w:u w:val="single"/>
        </w:rPr>
      </w:pPr>
      <w:r>
        <w:rPr>
          <w:rFonts w:hint="eastAsia" w:ascii="宋体"/>
          <w:color w:val="auto"/>
          <w:szCs w:val="21"/>
          <w:highlight w:val="none"/>
        </w:rPr>
        <w:t xml:space="preserve"> 代理机构及联系人:见投标人须知前附表。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2.招标范围：</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3.标包划分：</w:t>
      </w:r>
    </w:p>
    <w:p>
      <w:pPr>
        <w:shd w:val="clear" w:color="auto" w:fill="auto"/>
        <w:snapToGrid w:val="0"/>
        <w:spacing w:line="440" w:lineRule="exact"/>
        <w:ind w:firstLine="426"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4.招标方式：</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5.计价方式：</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固定合价</w:t>
      </w:r>
      <w:r>
        <w:rPr>
          <w:rFonts w:hint="eastAsia" w:ascii="宋体"/>
          <w:color w:val="auto"/>
          <w:szCs w:val="21"/>
          <w:highlight w:val="none"/>
          <w:u w:val="single"/>
        </w:rPr>
        <w:t xml:space="preserve"> 。</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6.评标办法：</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b/>
          <w:bCs/>
          <w:color w:val="auto"/>
          <w:szCs w:val="21"/>
          <w:highlight w:val="none"/>
          <w:u w:val="single"/>
        </w:rPr>
        <w:t>符合</w:t>
      </w:r>
      <w:r>
        <w:rPr>
          <w:rFonts w:hint="eastAsia" w:ascii="宋体"/>
          <w:b/>
          <w:bCs/>
          <w:color w:val="auto"/>
          <w:szCs w:val="21"/>
          <w:highlight w:val="none"/>
          <w:u w:val="single"/>
          <w:lang w:val="en-US" w:eastAsia="zh-CN"/>
        </w:rPr>
        <w:t>招标</w:t>
      </w:r>
      <w:r>
        <w:rPr>
          <w:rFonts w:hint="eastAsia" w:ascii="宋体"/>
          <w:b/>
          <w:bCs/>
          <w:color w:val="auto"/>
          <w:szCs w:val="21"/>
          <w:highlight w:val="none"/>
          <w:u w:val="single"/>
          <w:lang w:eastAsia="zh-CN"/>
        </w:rPr>
        <w:t>文件</w:t>
      </w:r>
      <w:r>
        <w:rPr>
          <w:rFonts w:hint="eastAsia" w:ascii="宋体"/>
          <w:b/>
          <w:bCs/>
          <w:color w:val="auto"/>
          <w:szCs w:val="21"/>
          <w:highlight w:val="none"/>
          <w:u w:val="single"/>
        </w:rPr>
        <w:t>的综合评分法</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7.投标人资格：</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rPr>
          <w:rFonts w:hint="eastAsia"/>
          <w:b/>
          <w:color w:val="auto"/>
          <w:szCs w:val="21"/>
          <w:highlight w:val="none"/>
        </w:rPr>
      </w:pPr>
      <w:r>
        <w:rPr>
          <w:rFonts w:hint="eastAsia"/>
          <w:b/>
          <w:color w:val="auto"/>
          <w:szCs w:val="21"/>
          <w:highlight w:val="none"/>
        </w:rPr>
        <w:t>8. 投标费用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pPr>
        <w:shd w:val="clear" w:color="auto" w:fill="auto"/>
        <w:spacing w:line="440" w:lineRule="exact"/>
        <w:rPr>
          <w:rFonts w:hint="eastAsia"/>
          <w:b/>
          <w:color w:val="auto"/>
          <w:szCs w:val="21"/>
          <w:highlight w:val="none"/>
        </w:rPr>
      </w:pPr>
      <w:r>
        <w:rPr>
          <w:rFonts w:hint="eastAsia"/>
          <w:b/>
          <w:color w:val="auto"/>
          <w:szCs w:val="21"/>
          <w:highlight w:val="none"/>
        </w:rPr>
        <w:t>9.</w:t>
      </w:r>
      <w:bookmarkStart w:id="13" w:name="_Toc144974507"/>
      <w:bookmarkStart w:id="14" w:name="_Toc247592876"/>
      <w:bookmarkStart w:id="15" w:name="_Toc296602429"/>
      <w:bookmarkStart w:id="16" w:name="_Toc152045539"/>
      <w:bookmarkStart w:id="17" w:name="_Toc247513962"/>
      <w:bookmarkStart w:id="18" w:name="_Toc152042315"/>
      <w:bookmarkStart w:id="19" w:name="_Toc247527563"/>
      <w:r>
        <w:rPr>
          <w:rFonts w:hint="eastAsia"/>
          <w:b/>
          <w:color w:val="auto"/>
          <w:szCs w:val="21"/>
          <w:highlight w:val="none"/>
        </w:rPr>
        <w:t xml:space="preserve"> 踏勘现场</w:t>
      </w:r>
      <w:bookmarkEnd w:id="13"/>
      <w:bookmarkEnd w:id="14"/>
      <w:bookmarkEnd w:id="15"/>
      <w:bookmarkEnd w:id="16"/>
      <w:bookmarkEnd w:id="17"/>
      <w:bookmarkEnd w:id="18"/>
      <w:bookmarkEnd w:id="19"/>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b w:val="0"/>
          <w:bCs w:val="0"/>
          <w:color w:val="auto"/>
          <w:highlight w:val="none"/>
          <w:lang w:eastAsia="zh-CN"/>
        </w:rPr>
        <w:t>。</w:t>
      </w:r>
      <w:r>
        <w:rPr>
          <w:rFonts w:hint="eastAsia" w:ascii="宋体"/>
          <w:b w:val="0"/>
          <w:bCs w:val="0"/>
          <w:color w:val="auto"/>
          <w:szCs w:val="21"/>
          <w:highlight w:val="none"/>
        </w:rPr>
        <w:t xml:space="preserve"> </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9.2 投标人踏勘现场发生的费用自理。</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20" w:name="_Toc247513963"/>
      <w:bookmarkStart w:id="21" w:name="_Toc144974508"/>
      <w:bookmarkStart w:id="22" w:name="_Toc296602430"/>
      <w:bookmarkStart w:id="23" w:name="_Toc152042316"/>
      <w:bookmarkStart w:id="24" w:name="_Toc152045540"/>
      <w:bookmarkStart w:id="25" w:name="_Toc247527564"/>
      <w:bookmarkStart w:id="26" w:name="_Toc247592877"/>
    </w:p>
    <w:p>
      <w:pPr>
        <w:shd w:val="clear" w:color="auto" w:fill="auto"/>
        <w:spacing w:line="440" w:lineRule="exact"/>
        <w:rPr>
          <w:rFonts w:hint="eastAsia"/>
          <w:b/>
          <w:color w:val="auto"/>
          <w:szCs w:val="21"/>
          <w:highlight w:val="none"/>
        </w:rPr>
      </w:pPr>
      <w:r>
        <w:rPr>
          <w:rFonts w:hint="eastAsia"/>
          <w:b/>
          <w:color w:val="auto"/>
          <w:szCs w:val="21"/>
          <w:highlight w:val="none"/>
        </w:rPr>
        <w:t>10. 投标预备会</w:t>
      </w:r>
      <w:bookmarkEnd w:id="20"/>
      <w:bookmarkEnd w:id="21"/>
      <w:bookmarkEnd w:id="22"/>
      <w:bookmarkEnd w:id="23"/>
      <w:bookmarkEnd w:id="24"/>
      <w:bookmarkEnd w:id="25"/>
      <w:bookmarkEnd w:id="26"/>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pPr>
        <w:shd w:val="clear" w:color="auto" w:fill="auto"/>
        <w:spacing w:line="440" w:lineRule="exact"/>
        <w:rPr>
          <w:rFonts w:hint="eastAsia"/>
          <w:b/>
          <w:color w:val="auto"/>
          <w:szCs w:val="21"/>
          <w:highlight w:val="none"/>
        </w:rPr>
      </w:pPr>
      <w:r>
        <w:rPr>
          <w:rFonts w:hint="eastAsia"/>
          <w:b/>
          <w:color w:val="auto"/>
          <w:szCs w:val="21"/>
          <w:highlight w:val="none"/>
        </w:rPr>
        <w:t>11. 联合投标</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14"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6"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pPr>
        <w:pStyle w:val="12"/>
        <w:shd w:val="clear" w:color="auto" w:fill="auto"/>
        <w:spacing w:after="0" w:line="400" w:lineRule="exact"/>
        <w:ind w:left="0" w:leftChars="0" w:firstLine="430"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pPr>
        <w:shd w:val="clear" w:color="auto" w:fill="auto"/>
        <w:spacing w:line="440" w:lineRule="exact"/>
        <w:jc w:val="left"/>
        <w:rPr>
          <w:rFonts w:hint="eastAsia" w:ascii="宋体"/>
          <w:b/>
          <w:color w:val="auto"/>
          <w:szCs w:val="21"/>
          <w:highlight w:val="none"/>
        </w:rPr>
      </w:pPr>
      <w:r>
        <w:rPr>
          <w:rFonts w:hint="eastAsia" w:ascii="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rPr>
        <w:t>12.1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6"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3" w:leftChars="100" w:firstLine="319"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b/>
          <w:color w:val="auto"/>
          <w:szCs w:val="21"/>
          <w:highlight w:val="none"/>
        </w:rPr>
      </w:pPr>
      <w:r>
        <w:rPr>
          <w:rFonts w:hint="eastAsia"/>
          <w:b/>
          <w:color w:val="auto"/>
          <w:szCs w:val="21"/>
          <w:highlight w:val="none"/>
        </w:rPr>
        <w:t>13.投标人应注意的事项</w:t>
      </w:r>
    </w:p>
    <w:p>
      <w:pPr>
        <w:shd w:val="clear" w:color="auto" w:fill="auto"/>
        <w:spacing w:line="440" w:lineRule="exact"/>
        <w:ind w:firstLine="426"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6" w:firstLineChars="200"/>
        <w:rPr>
          <w:rFonts w:hint="eastAsia" w:ascii="宋体"/>
          <w:b/>
          <w:bCs w:val="0"/>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r>
        <w:rPr>
          <w:rFonts w:hint="eastAsia" w:ascii="宋体"/>
          <w:b/>
          <w:bCs w:val="0"/>
          <w:color w:val="auto"/>
          <w:szCs w:val="21"/>
          <w:highlight w:val="none"/>
        </w:rPr>
        <w:t>。</w:t>
      </w:r>
    </w:p>
    <w:p>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ind w:firstLine="319"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bookmarkStart w:id="27" w:name="_Toc469495725"/>
    </w:p>
    <w:p>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r>
        <w:rPr>
          <w:rFonts w:hint="eastAsia" w:ascii="宋体"/>
          <w:b/>
          <w:color w:val="auto"/>
          <w:sz w:val="28"/>
          <w:szCs w:val="28"/>
          <w:highlight w:val="none"/>
        </w:rPr>
        <w:t>（二）</w:t>
      </w:r>
      <w:bookmarkEnd w:id="27"/>
      <w:r>
        <w:rPr>
          <w:rFonts w:hint="eastAsia" w:ascii="宋体"/>
          <w:b/>
          <w:color w:val="auto"/>
          <w:sz w:val="28"/>
          <w:szCs w:val="28"/>
          <w:highlight w:val="none"/>
          <w:lang w:eastAsia="zh-CN"/>
        </w:rPr>
        <w:t>招标文件</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14</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的编制依据</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w:t>
      </w:r>
      <w:r>
        <w:rPr>
          <w:rFonts w:hint="eastAsia" w:ascii="宋体"/>
          <w:color w:val="auto"/>
          <w:szCs w:val="21"/>
          <w:highlight w:val="none"/>
          <w:lang w:eastAsia="zh-CN"/>
        </w:rPr>
        <w:t>民法典</w:t>
      </w:r>
      <w:r>
        <w:rPr>
          <w:rFonts w:hint="eastAsia" w:ascii="宋体"/>
          <w:color w:val="auto"/>
          <w:szCs w:val="21"/>
          <w:highlight w:val="none"/>
        </w:rPr>
        <w:t>》</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15</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的组成</w:t>
      </w:r>
    </w:p>
    <w:p>
      <w:pPr>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采购文件</w:t>
      </w:r>
      <w:r>
        <w:rPr>
          <w:rFonts w:hint="eastAsia" w:ascii="宋体"/>
          <w:color w:val="auto"/>
          <w:szCs w:val="21"/>
          <w:highlight w:val="none"/>
        </w:rPr>
        <w:t>包括内容：</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第二章  投标须知</w:t>
      </w:r>
    </w:p>
    <w:p>
      <w:pPr>
        <w:shd w:val="clear" w:color="auto" w:fill="auto"/>
        <w:spacing w:line="440" w:lineRule="exact"/>
        <w:ind w:firstLine="1491" w:firstLineChars="700"/>
        <w:rPr>
          <w:rFonts w:hint="eastAsia" w:ascii="宋体"/>
          <w:color w:val="auto"/>
          <w:szCs w:val="21"/>
          <w:highlight w:val="none"/>
          <w:lang w:eastAsia="zh-CN"/>
        </w:rPr>
      </w:pPr>
      <w:r>
        <w:rPr>
          <w:rFonts w:hint="eastAsia" w:ascii="宋体"/>
          <w:color w:val="auto"/>
          <w:szCs w:val="21"/>
          <w:highlight w:val="none"/>
        </w:rPr>
        <w:t>第三章  评标办法</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第四章  采购内容及技术要求</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第五章  合同条款及格式</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第六章  投标文件格式文本</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pPr>
        <w:pStyle w:val="14"/>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pPr>
        <w:shd w:val="clear" w:color="auto" w:fill="auto"/>
        <w:spacing w:line="440" w:lineRule="exact"/>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rPr>
        <w:t xml:space="preserve">.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426" w:firstLineChars="200"/>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pPr>
        <w:shd w:val="clear" w:color="auto" w:fill="auto"/>
        <w:spacing w:line="400" w:lineRule="exact"/>
        <w:ind w:firstLine="426"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pPr>
        <w:shd w:val="clear" w:color="auto" w:fill="auto"/>
        <w:spacing w:line="400" w:lineRule="exact"/>
        <w:ind w:firstLine="426"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pPr>
        <w:shd w:val="clear" w:color="auto" w:fill="auto"/>
        <w:spacing w:line="400" w:lineRule="exact"/>
        <w:rPr>
          <w:rFonts w:ascii="宋体" w:hAnsi="宋体"/>
          <w:b/>
          <w:color w:val="auto"/>
          <w:szCs w:val="21"/>
          <w:highlight w:val="none"/>
        </w:rPr>
      </w:pP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rPr>
        <w:t xml:space="preserve">.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pPr>
        <w:shd w:val="clear" w:color="auto" w:fill="auto"/>
        <w:spacing w:line="400" w:lineRule="exact"/>
        <w:ind w:firstLine="319"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pPr>
        <w:shd w:val="clear" w:color="auto" w:fill="auto"/>
        <w:spacing w:line="440" w:lineRule="exact"/>
        <w:rPr>
          <w:rFonts w:hint="eastAsia" w:ascii="宋体"/>
          <w:color w:val="auto"/>
          <w:szCs w:val="21"/>
          <w:highlight w:val="none"/>
        </w:rPr>
      </w:pPr>
      <w:bookmarkStart w:id="28"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结果公告。</w:t>
      </w:r>
    </w:p>
    <w:p>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28"/>
    </w:p>
    <w:p>
      <w:pPr>
        <w:shd w:val="clear" w:color="auto" w:fill="auto"/>
        <w:spacing w:line="440" w:lineRule="exact"/>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rPr>
        <w:t xml:space="preserve">. </w:t>
      </w:r>
      <w:r>
        <w:rPr>
          <w:rFonts w:hint="eastAsia" w:ascii="宋体" w:cs="宋体"/>
          <w:b/>
          <w:color w:val="auto"/>
          <w:szCs w:val="21"/>
          <w:highlight w:val="none"/>
        </w:rPr>
        <w:t>投标的语言及度量衡单位</w:t>
      </w:r>
    </w:p>
    <w:p>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pPr>
        <w:shd w:val="clear" w:color="auto" w:fill="auto"/>
        <w:spacing w:line="400" w:lineRule="exact"/>
        <w:rPr>
          <w:rFonts w:hint="eastAsia" w:ascii="宋体" w:hAnsi="宋体"/>
          <w:b/>
          <w:color w:val="auto"/>
          <w:szCs w:val="21"/>
          <w:highlight w:val="none"/>
        </w:rPr>
      </w:pPr>
      <w:r>
        <w:rPr>
          <w:rFonts w:hint="eastAsia"/>
          <w:b/>
          <w:color w:val="auto"/>
          <w:szCs w:val="21"/>
          <w:highlight w:val="none"/>
        </w:rPr>
        <w:t>2</w:t>
      </w:r>
      <w:r>
        <w:rPr>
          <w:rFonts w:hint="eastAsia"/>
          <w:b/>
          <w:color w:val="auto"/>
          <w:szCs w:val="21"/>
          <w:highlight w:val="none"/>
          <w:lang w:val="en-US" w:eastAsia="zh-CN"/>
        </w:rPr>
        <w:t>0</w:t>
      </w:r>
      <w:r>
        <w:rPr>
          <w:rFonts w:hint="eastAsia"/>
          <w:b/>
          <w:color w:val="auto"/>
          <w:szCs w:val="21"/>
          <w:highlight w:val="none"/>
        </w:rPr>
        <w:t xml:space="preserve">. </w:t>
      </w:r>
      <w:r>
        <w:rPr>
          <w:rFonts w:hint="eastAsia" w:ascii="宋体" w:hAnsi="宋体"/>
          <w:b/>
          <w:color w:val="auto"/>
          <w:szCs w:val="21"/>
          <w:highlight w:val="none"/>
        </w:rPr>
        <w:t>投标文件的组成</w:t>
      </w:r>
    </w:p>
    <w:p>
      <w:pPr>
        <w:shd w:val="clear" w:color="auto" w:fill="auto"/>
        <w:spacing w:line="400" w:lineRule="exact"/>
        <w:ind w:firstLine="426"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pPr>
        <w:shd w:val="clear" w:color="auto" w:fill="auto"/>
        <w:spacing w:line="440" w:lineRule="exact"/>
        <w:rPr>
          <w:rFonts w:hint="eastAsia" w:ascii="宋体" w:eastAsia="宋体"/>
          <w:b/>
          <w:color w:val="auto"/>
          <w:sz w:val="24"/>
          <w:szCs w:val="24"/>
          <w:highlight w:val="none"/>
          <w:lang w:eastAsia="zh-CN"/>
        </w:rPr>
      </w:pPr>
      <w:r>
        <w:rPr>
          <w:rFonts w:hint="eastAsia" w:ascii="宋体"/>
          <w:b/>
          <w:bCs w:val="0"/>
          <w:color w:val="auto"/>
          <w:sz w:val="21"/>
          <w:szCs w:val="21"/>
          <w:highlight w:val="none"/>
        </w:rPr>
        <w:t>2</w:t>
      </w:r>
      <w:r>
        <w:rPr>
          <w:rFonts w:hint="eastAsia" w:ascii="宋体"/>
          <w:b/>
          <w:bCs w:val="0"/>
          <w:color w:val="auto"/>
          <w:sz w:val="21"/>
          <w:szCs w:val="21"/>
          <w:highlight w:val="none"/>
          <w:lang w:val="en-US" w:eastAsia="zh-CN"/>
        </w:rPr>
        <w:t>0</w:t>
      </w:r>
      <w:r>
        <w:rPr>
          <w:rFonts w:hint="eastAsia" w:ascii="宋体"/>
          <w:b/>
          <w:bCs w:val="0"/>
          <w:color w:val="auto"/>
          <w:sz w:val="21"/>
          <w:szCs w:val="21"/>
          <w:highlight w:val="none"/>
        </w:rPr>
        <w:t>.1资格证明文件</w:t>
      </w:r>
      <w:r>
        <w:rPr>
          <w:rFonts w:hint="eastAsia" w:ascii="宋体"/>
          <w:b/>
          <w:bCs w:val="0"/>
          <w:color w:val="auto"/>
          <w:sz w:val="21"/>
          <w:szCs w:val="21"/>
          <w:highlight w:val="none"/>
          <w:lang w:eastAsia="zh-CN"/>
        </w:rPr>
        <w:t>（包括但不限于）</w:t>
      </w:r>
    </w:p>
    <w:p>
      <w:pPr>
        <w:shd w:val="clear" w:color="auto" w:fill="auto"/>
        <w:spacing w:line="440" w:lineRule="exact"/>
        <w:ind w:firstLine="312"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1、法人或者非法人组织的营业执照等证明文件复印件（须加盖本单位章）或自然人的身份证明复印件;</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4、投标保证金收据或投标担保函；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5、投标企业须提供投标人（被授权在职人员）近3个月有效的社保证明；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6、参加政府采购活动前3年内在经营活动中没有重大违法记录的书面声明;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eastAsia" w:ascii="宋体" w:hAnsi="宋体" w:eastAsia="宋体" w:cs="宋体"/>
          <w:color w:val="auto"/>
          <w:kern w:val="2"/>
          <w:sz w:val="21"/>
          <w:szCs w:val="21"/>
          <w:highlight w:val="none"/>
          <w:lang w:val="en-US" w:eastAsia="zh-CN" w:bidi="ar-SA"/>
        </w:rPr>
        <w:t>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287" w:firstLineChars="135"/>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、投标人须知资料表要求的其他资格证明文件;</w:t>
      </w:r>
    </w:p>
    <w:p>
      <w:pPr>
        <w:shd w:val="clear" w:color="auto" w:fill="auto"/>
        <w:spacing w:line="440" w:lineRule="exact"/>
        <w:rPr>
          <w:rFonts w:hint="eastAsia" w:ascii="Times New Roman" w:hAnsi="宋体" w:eastAsia="宋体" w:cs="Times New Roman"/>
          <w:color w:val="auto"/>
          <w:sz w:val="21"/>
          <w:szCs w:val="21"/>
          <w:highlight w:val="none"/>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0</w:t>
      </w: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 xml:space="preserve"> 商务及技术文件</w:t>
      </w:r>
      <w:r>
        <w:rPr>
          <w:rFonts w:hint="eastAsia" w:ascii="宋体"/>
          <w:b/>
          <w:color w:val="auto"/>
          <w:sz w:val="21"/>
          <w:szCs w:val="21"/>
          <w:highlight w:val="none"/>
          <w:lang w:eastAsia="zh-CN"/>
        </w:rPr>
        <w:t>（包括但不限于）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、投标分项报价表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、技术规格偏离表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、商务条款偏离表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、投标人基本情况表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、近三年类似项目业绩表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、中小企业声明函(货物)</w:t>
      </w:r>
    </w:p>
    <w:p>
      <w:pPr>
        <w:shd w:val="clear" w:color="auto" w:fill="auto"/>
        <w:spacing w:line="440" w:lineRule="exact"/>
        <w:ind w:firstLine="287" w:firstLineChars="135"/>
        <w:rPr>
          <w:rFonts w:hint="eastAsia"/>
          <w:color w:val="auto"/>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、投标人关联单位的说明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val="en-US" w:eastAsia="zh-CN"/>
        </w:rPr>
        <w:t>、评分标准和细则中技术部分证明材料</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、评分标准和细则中技术部分证明材料（格式自拟）</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、投标人认为有必要提供的其他证明材料（格式自拟）</w:t>
      </w:r>
    </w:p>
    <w:p>
      <w:pPr>
        <w:shd w:val="clear" w:color="auto" w:fill="auto"/>
        <w:spacing w:line="400" w:lineRule="exact"/>
        <w:ind w:firstLine="422"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22"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rPr>
        <w:t>.</w:t>
      </w:r>
      <w:r>
        <w:rPr>
          <w:rFonts w:hint="eastAsia" w:ascii="宋体"/>
          <w:b/>
          <w:color w:val="auto"/>
          <w:szCs w:val="21"/>
          <w:highlight w:val="none"/>
        </w:rPr>
        <w:t>投标报价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.2投标报价表上应清楚标明投标人拟提供</w:t>
      </w:r>
      <w:r>
        <w:rPr>
          <w:rFonts w:hint="eastAsia" w:ascii="宋体"/>
          <w:color w:val="auto"/>
          <w:szCs w:val="21"/>
          <w:highlight w:val="none"/>
          <w:lang w:val="en-US" w:eastAsia="zh-CN"/>
        </w:rPr>
        <w:t>货物（服务）</w:t>
      </w:r>
      <w:r>
        <w:rPr>
          <w:rFonts w:hint="eastAsia" w:ascii="宋体"/>
          <w:color w:val="auto"/>
          <w:szCs w:val="21"/>
          <w:highlight w:val="none"/>
        </w:rPr>
        <w:t>的名称、数量、单价和总价。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.3投标人只允许有一个方案、一个报价。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.4投标人应按“采购内容及技术参数要求”所列</w:t>
      </w:r>
      <w:r>
        <w:rPr>
          <w:rFonts w:hint="eastAsia" w:ascii="宋体"/>
          <w:color w:val="auto"/>
          <w:szCs w:val="21"/>
          <w:highlight w:val="none"/>
          <w:lang w:val="en-US" w:eastAsia="zh-CN"/>
        </w:rPr>
        <w:t>服务</w:t>
      </w:r>
      <w:r>
        <w:rPr>
          <w:rFonts w:hint="eastAsia" w:ascii="宋体"/>
          <w:color w:val="auto"/>
          <w:szCs w:val="21"/>
          <w:highlight w:val="none"/>
        </w:rPr>
        <w:t>逐项进行单价报价，并最终按</w:t>
      </w:r>
      <w:r>
        <w:rPr>
          <w:rFonts w:hint="eastAsia" w:ascii="宋体"/>
          <w:color w:val="auto"/>
          <w:szCs w:val="21"/>
          <w:highlight w:val="none"/>
          <w:lang w:val="en-US" w:eastAsia="zh-CN"/>
        </w:rPr>
        <w:t>服务</w:t>
      </w:r>
      <w:r>
        <w:rPr>
          <w:rFonts w:hint="eastAsia" w:ascii="宋体"/>
          <w:color w:val="auto"/>
          <w:szCs w:val="21"/>
          <w:highlight w:val="none"/>
        </w:rPr>
        <w:t>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w:t>
      </w:r>
      <w:r>
        <w:rPr>
          <w:rFonts w:hint="eastAsia" w:ascii="宋体"/>
          <w:color w:val="auto"/>
          <w:szCs w:val="21"/>
          <w:highlight w:val="none"/>
          <w:lang w:val="en-US" w:eastAsia="zh-CN"/>
        </w:rPr>
        <w:t>货物及服务</w:t>
      </w:r>
      <w:r>
        <w:rPr>
          <w:rFonts w:hint="eastAsia" w:ascii="宋体"/>
          <w:color w:val="auto"/>
          <w:szCs w:val="21"/>
          <w:highlight w:val="none"/>
        </w:rPr>
        <w:t>交货地验收价格，其总价即为履行合同的固定总价。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pPr>
        <w:shd w:val="clear" w:color="auto" w:fill="auto"/>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w:t>
      </w:r>
      <w:r>
        <w:rPr>
          <w:rFonts w:hint="eastAsia" w:ascii="宋体"/>
          <w:color w:val="auto"/>
          <w:szCs w:val="21"/>
          <w:highlight w:val="none"/>
        </w:rPr>
        <w:t>功能而必须配置的配套或辅助设施及相应技术措施的费用，这些费用将被视为已包含在总投标价中。</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08"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w:t>
      </w:r>
      <w:r>
        <w:rPr>
          <w:rFonts w:hint="eastAsia" w:ascii="宋体"/>
          <w:color w:val="auto"/>
          <w:szCs w:val="21"/>
          <w:highlight w:val="none"/>
          <w:lang w:val="en-US" w:eastAsia="zh-CN"/>
        </w:rPr>
        <w:t>货物及服务</w:t>
      </w:r>
      <w:r>
        <w:rPr>
          <w:rFonts w:hint="eastAsia" w:ascii="宋体"/>
          <w:color w:val="auto"/>
          <w:szCs w:val="21"/>
          <w:highlight w:val="none"/>
        </w:rPr>
        <w:t>的随机备品、备件另行收费，否则在计算评标价时这部分费用将不予扣除，在授予合同时将从中标价格中扣除该部分费用。</w:t>
      </w:r>
    </w:p>
    <w:p>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w:t>
      </w:r>
      <w:r>
        <w:rPr>
          <w:rFonts w:hint="eastAsia" w:ascii="宋体"/>
          <w:color w:val="auto"/>
          <w:szCs w:val="21"/>
          <w:highlight w:val="none"/>
          <w:lang w:val="en-US" w:eastAsia="zh-CN"/>
        </w:rPr>
        <w:t>服务</w:t>
      </w:r>
      <w:r>
        <w:rPr>
          <w:rFonts w:hint="eastAsia" w:ascii="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投标有效期</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 除投标人须知前附表另有规定外，投标有效期为60天。</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rPr>
        <w:t>. 投标保证金</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.2自中标通知书发出之日起5个工作日内退还未中标投标人的投标保证金，自政府采购合同签订之日起5个工作日内退还中标人的投标保证金。</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（3）提供虚假材料谋取中标的；</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（4）经查实属于陪标、串通投标的等。</w:t>
      </w:r>
    </w:p>
    <w:p>
      <w:pPr>
        <w:shd w:val="clear" w:color="auto" w:fill="auto"/>
        <w:spacing w:line="400" w:lineRule="exact"/>
        <w:ind w:firstLine="426" w:firstLineChars="200"/>
        <w:rPr>
          <w:rFonts w:hint="eastAsia" w:ascii="宋体"/>
          <w:color w:val="auto"/>
          <w:szCs w:val="21"/>
          <w:highlight w:val="none"/>
        </w:rPr>
      </w:pPr>
      <w:bookmarkStart w:id="29"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24条</w:t>
      </w:r>
      <w:r>
        <w:rPr>
          <w:rFonts w:hint="eastAsia" w:ascii="宋体"/>
          <w:color w:val="auto"/>
          <w:szCs w:val="21"/>
          <w:highlight w:val="none"/>
        </w:rPr>
        <w:t>规定执行。</w:t>
      </w:r>
    </w:p>
    <w:p>
      <w:pPr>
        <w:pStyle w:val="3"/>
        <w:shd w:val="clear" w:color="auto" w:fill="auto"/>
        <w:bidi w:val="0"/>
        <w:jc w:val="center"/>
        <w:rPr>
          <w:rFonts w:hint="eastAsia"/>
          <w:color w:val="auto"/>
          <w:sz w:val="28"/>
          <w:szCs w:val="28"/>
          <w:highlight w:val="none"/>
        </w:rPr>
      </w:pPr>
      <w:r>
        <w:rPr>
          <w:rFonts w:hint="eastAsia"/>
          <w:color w:val="auto"/>
          <w:sz w:val="28"/>
          <w:szCs w:val="28"/>
          <w:highlight w:val="none"/>
        </w:rPr>
        <w:t>（四）</w:t>
      </w:r>
      <w:bookmarkEnd w:id="29"/>
      <w:r>
        <w:rPr>
          <w:rFonts w:hint="eastAsia"/>
          <w:color w:val="auto"/>
          <w:sz w:val="28"/>
          <w:szCs w:val="28"/>
          <w:highlight w:val="none"/>
        </w:rPr>
        <w:t>投标文件的制作、上传及递交要求</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pPr>
        <w:pStyle w:val="6"/>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6"/>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pPr>
        <w:pStyle w:val="6"/>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6"/>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6"/>
        <w:shd w:val="clear" w:color="auto" w:fill="auto"/>
        <w:snapToGrid w:val="0"/>
        <w:spacing w:line="360" w:lineRule="auto"/>
        <w:ind w:firstLine="532"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）如有特殊情况，采购组织机构延长截止时间和开标时间，采购组织机构和供应商的权利和义务将受到新的截止时间和开标时间的约束。</w:t>
      </w:r>
    </w:p>
    <w:p>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30" w:name="_Toc469495728"/>
      <w:r>
        <w:rPr>
          <w:rFonts w:hint="eastAsia" w:ascii="黑体" w:eastAsia="黑体"/>
          <w:color w:val="auto"/>
          <w:sz w:val="28"/>
          <w:szCs w:val="28"/>
          <w:highlight w:val="none"/>
        </w:rPr>
        <w:t>（五）开 标、评标和定标</w:t>
      </w:r>
      <w:bookmarkEnd w:id="30"/>
    </w:p>
    <w:p>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31" w:name="_Toc73975822"/>
      <w:r>
        <w:rPr>
          <w:rFonts w:hint="eastAsia" w:ascii="宋体" w:hAnsi="宋体" w:eastAsia="宋体" w:cs="宋体"/>
          <w:b/>
          <w:bCs/>
          <w:color w:val="auto"/>
          <w:sz w:val="21"/>
          <w:szCs w:val="21"/>
          <w:highlight w:val="none"/>
          <w:lang w:val="en-US" w:eastAsia="zh-CN"/>
        </w:rPr>
        <w:t>28.1开标邀请</w:t>
      </w:r>
      <w:bookmarkEnd w:id="31"/>
    </w:p>
    <w:p>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9"/>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outlineLvl w:val="2"/>
        <w:rPr>
          <w:rFonts w:hint="eastAsia" w:ascii="宋体" w:hAnsi="宋体" w:eastAsia="宋体" w:cs="宋体"/>
          <w:b/>
          <w:color w:val="auto"/>
          <w:sz w:val="21"/>
          <w:szCs w:val="21"/>
          <w:highlight w:val="none"/>
        </w:rPr>
      </w:pPr>
      <w:bookmarkStart w:id="32"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32"/>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r>
        <w:rPr>
          <w:rFonts w:hint="eastAsia" w:ascii="宋体" w:hAnsi="宋体" w:eastAsia="宋体" w:cs="宋体"/>
          <w:b/>
          <w:bCs/>
          <w:color w:val="auto"/>
          <w:kern w:val="0"/>
          <w:sz w:val="21"/>
          <w:szCs w:val="21"/>
          <w:highlight w:val="none"/>
        </w:rPr>
        <w:t>组织签署《政府采购活动现场确认声明书》，供应商应在20分钟内通过邮件形式将经签署的《政府采购活动现场确认声明书》发送至采购代理机构指定邮箱</w:t>
      </w:r>
      <w:r>
        <w:rPr>
          <w:rFonts w:hint="eastAsia" w:ascii="宋体" w:hAnsi="宋体" w:cs="宋体"/>
          <w:b/>
          <w:bCs/>
          <w:color w:val="auto"/>
          <w:kern w:val="0"/>
          <w:sz w:val="21"/>
          <w:szCs w:val="21"/>
          <w:highlight w:val="none"/>
          <w:lang w:val="en-US" w:eastAsia="zh-CN"/>
        </w:rPr>
        <w:t>546123694</w:t>
      </w:r>
      <w:r>
        <w:rPr>
          <w:rFonts w:hint="eastAsia" w:ascii="宋体" w:hAnsi="宋体" w:eastAsia="宋体" w:cs="宋体"/>
          <w:b/>
          <w:bCs/>
          <w:color w:val="auto"/>
          <w:kern w:val="0"/>
          <w:sz w:val="21"/>
          <w:szCs w:val="21"/>
          <w:highlight w:val="none"/>
          <w:lang w:val="en-US" w:eastAsia="zh-CN"/>
        </w:rPr>
        <w:t>@qq.com</w:t>
      </w:r>
      <w:r>
        <w:rPr>
          <w:rFonts w:hint="eastAsia" w:ascii="宋体" w:hAnsi="宋体" w:eastAsia="宋体" w:cs="宋体"/>
          <w:b/>
          <w:bCs/>
          <w:color w:val="auto"/>
          <w:kern w:val="0"/>
          <w:sz w:val="21"/>
          <w:szCs w:val="21"/>
          <w:highlight w:val="none"/>
        </w:rPr>
        <w:t>，逾期发送或未发送的视为无异议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 审查结束公布投标供应商的资格符合情况。资格审查未获通过的供应商，其商务技术文件及报价文件不再进入评审。</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pPr>
        <w:widowControl/>
        <w:shd w:val="clear" w:color="auto" w:fill="auto"/>
        <w:spacing w:line="440" w:lineRule="exact"/>
        <w:ind w:firstLine="213" w:firstLineChars="100"/>
        <w:rPr>
          <w:rFonts w:hint="eastAsia" w:ascii="宋体"/>
          <w:b/>
          <w:bCs/>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b/>
          <w:bCs/>
          <w:color w:val="auto"/>
          <w:szCs w:val="21"/>
          <w:highlight w:val="none"/>
        </w:rPr>
        <w:t>评标委员会由采购人或采购代理机构依法组建，成员由采购人代表和评审专家组成，成员人数为</w:t>
      </w:r>
      <w:r>
        <w:rPr>
          <w:rFonts w:hint="eastAsia" w:ascii="宋体"/>
          <w:b/>
          <w:bCs/>
          <w:color w:val="auto"/>
          <w:szCs w:val="21"/>
          <w:highlight w:val="none"/>
          <w:lang w:val="en-US" w:eastAsia="zh-CN"/>
        </w:rPr>
        <w:t>5</w:t>
      </w:r>
      <w:r>
        <w:rPr>
          <w:rFonts w:hint="eastAsia" w:ascii="宋体"/>
          <w:b/>
          <w:bCs/>
          <w:color w:val="auto"/>
          <w:szCs w:val="21"/>
          <w:highlight w:val="none"/>
        </w:rPr>
        <w:t>人，其中评审专家不少于成员总数的三分之二。</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.1审查、评价投标文件是否符合采购文件的商务、技术等实质性要求。</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.2要求供应商对投标文件有关事项作出澄清或者说明。</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.3对投标文件进行比较和评价。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.4确定中标候选人名单，以及根据采购人委托直接确定中标人。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.5向采购人、采购代理机构或者有关部门报告评审中发现的违法行为。</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hAnsi="宋体" w:eastAsia="宋体" w:cs="宋体"/>
          <w:b/>
          <w:color w:val="auto"/>
          <w:sz w:val="21"/>
          <w:szCs w:val="21"/>
          <w:highlight w:val="none"/>
          <w:lang w:val="en-US" w:eastAsia="zh-CN"/>
        </w:rPr>
        <w:t>34.评标程序</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26"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综合评分法货物项目的价格分值占总分值的比重(即权值)为</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宋体"/>
          <w:color w:val="auto"/>
          <w:szCs w:val="21"/>
          <w:highlight w:val="none"/>
          <w:lang w:val="en-US" w:eastAsia="zh-CN"/>
        </w:rPr>
        <w:t>30</w:t>
      </w:r>
      <w:r>
        <w:rPr>
          <w:rFonts w:hint="eastAsia" w:ascii="宋体"/>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7 评标委员会根据评审汇总情况和采购文件规定确定中标候选供应商排序名单。</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xml:space="preserve">8 起草评审报告，所有评审人员须在评审报告上签字确认，对自己的评审意见承担法律责任。 </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9 采购组织机构对评标委员会评审专家进行评价。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10 修改评审结果</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（1）分值汇总计算错误的；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（2）分项评分超出评分标准范围的；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（4）经评标委员会认定评分畸高、畸低的。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pPr>
        <w:shd w:val="clear" w:color="auto" w:fill="auto"/>
        <w:spacing w:line="440" w:lineRule="exact"/>
        <w:ind w:firstLine="213"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未按招标文件规定装订；</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投标文件内容未按招标文件规定签字或盖章的；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投标人未按招标文件变更通知更改投标文件的；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标项投标报价超过招标文件规定的预算金额或最高限价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未实质性响应招标文件中条款要求的投标文件；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投标文件中承诺的投标有效期少于招标文件中载明的投标有效期；</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符合招标文件规定废标情形的；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供应商的报价均超过了采购预算（或最高限价），采购人不能支付的;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（1）短时间内能消除不可抗力因素的，采购代理机构或评审小组在消除不可抗力因素后继续组织电子交易活动；</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pPr>
        <w:shd w:val="clear" w:color="auto" w:fill="auto"/>
        <w:spacing w:line="440" w:lineRule="exact"/>
        <w:ind w:firstLine="426" w:firstLineChars="200"/>
        <w:jc w:val="left"/>
        <w:rPr>
          <w:rFonts w:hint="eastAsia" w:ascii="宋体"/>
          <w:b w:val="0"/>
          <w:bCs w:val="0"/>
          <w:color w:val="auto"/>
          <w:szCs w:val="21"/>
          <w:highlight w:val="none"/>
          <w:lang w:val="en-US" w:eastAsia="zh-CN"/>
        </w:rPr>
      </w:pPr>
      <w:bookmarkStart w:id="33" w:name="_Toc469495729"/>
      <w:r>
        <w:rPr>
          <w:rFonts w:hint="eastAsia" w:ascii="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b w:val="0"/>
          <w:bCs w:val="0"/>
          <w:color w:val="auto"/>
          <w:szCs w:val="21"/>
          <w:highlight w:val="none"/>
          <w:lang w:val="en-US" w:eastAsia="zh-CN"/>
        </w:rPr>
        <w:t>.1采购结果确认（确定中标供应商）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40.2</w:t>
      </w:r>
      <w:r>
        <w:rPr>
          <w:rFonts w:hint="eastAsia" w:ascii="宋体"/>
          <w:b/>
          <w:bCs/>
          <w:color w:val="auto"/>
          <w:szCs w:val="21"/>
          <w:highlight w:val="none"/>
          <w:lang w:val="en-US" w:eastAsia="zh-CN"/>
        </w:rPr>
        <w:t>采购结果经采购人确认后2个工作日内，采购代理机构将在新疆政府采购网（www.zjzfcg.gov.cn）、克州公共资源交易网上公告采购结果，中标公告期限为1个工作日。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 中标通知书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lang w:val="en-US" w:eastAsia="zh-CN"/>
        </w:rPr>
        <w:t>克州公共资源交易网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bCs/>
          <w:color w:val="auto"/>
          <w:szCs w:val="21"/>
          <w:highlight w:val="none"/>
          <w:lang w:val="en-US" w:eastAsia="zh-CN"/>
        </w:rPr>
        <w:t>采购组织机构向中标人发出中标通知书。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pStyle w:val="50"/>
        <w:ind w:left="0" w:leftChars="0" w:firstLine="0" w:firstLineChars="0"/>
        <w:rPr>
          <w:rFonts w:hint="eastAsia" w:ascii="宋体"/>
          <w:b w:val="0"/>
          <w:bCs w:val="0"/>
          <w:color w:val="auto"/>
          <w:szCs w:val="21"/>
          <w:highlight w:val="none"/>
          <w:lang w:val="en-US" w:eastAsia="zh-CN"/>
        </w:rPr>
      </w:pPr>
    </w:p>
    <w:p>
      <w:pPr>
        <w:shd w:val="clear" w:color="auto" w:fill="auto"/>
        <w:spacing w:before="156" w:beforeLines="50" w:line="440" w:lineRule="exact"/>
        <w:ind w:firstLine="3113" w:firstLineChars="1100"/>
        <w:jc w:val="both"/>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33"/>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34" w:name="_Toc73975842"/>
      <w:bookmarkStart w:id="35" w:name="_Toc469495730"/>
      <w:r>
        <w:rPr>
          <w:rFonts w:hint="eastAsia" w:ascii="宋体"/>
          <w:b w:val="0"/>
          <w:bCs w:val="0"/>
          <w:color w:val="auto"/>
          <w:szCs w:val="21"/>
          <w:highlight w:val="none"/>
          <w:lang w:val="en-US" w:eastAsia="zh-CN"/>
        </w:rPr>
        <w:t>42．履约保证金</w:t>
      </w:r>
      <w:bookmarkEnd w:id="34"/>
    </w:p>
    <w:p>
      <w:pPr>
        <w:widowControl/>
        <w:spacing w:line="440" w:lineRule="exact"/>
        <w:ind w:firstLine="213" w:firstLineChars="1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 中标供应商在签订合同后5个工作日内向采购人交纳中标价</w:t>
      </w:r>
      <w:r>
        <w:rPr>
          <w:rFonts w:hint="eastAsia" w:ascii="宋体"/>
          <w:b/>
          <w:bCs/>
          <w:color w:val="auto"/>
          <w:szCs w:val="21"/>
          <w:highlight w:val="none"/>
          <w:lang w:val="en-US" w:eastAsia="zh-CN"/>
        </w:rPr>
        <w:t>5%的履约保证金</w:t>
      </w:r>
      <w:r>
        <w:rPr>
          <w:rFonts w:hint="eastAsia" w:ascii="宋体"/>
          <w:b w:val="0"/>
          <w:bCs w:val="0"/>
          <w:color w:val="auto"/>
          <w:szCs w:val="21"/>
          <w:highlight w:val="none"/>
          <w:lang w:val="en-US" w:eastAsia="zh-CN"/>
        </w:rPr>
        <w:t>（</w:t>
      </w:r>
      <w:r>
        <w:rPr>
          <w:rFonts w:hint="eastAsia" w:ascii="宋体" w:hAnsi="宋体" w:cs="宋体"/>
          <w:color w:val="auto"/>
          <w:kern w:val="0"/>
          <w:szCs w:val="21"/>
          <w:highlight w:val="none"/>
          <w:lang w:eastAsia="zh-CN"/>
        </w:rPr>
        <w:t>本项目履约保证金接收保函形式</w:t>
      </w:r>
      <w:r>
        <w:rPr>
          <w:rFonts w:hint="eastAsia" w:ascii="宋体"/>
          <w:b w:val="0"/>
          <w:bCs w:val="0"/>
          <w:color w:val="auto"/>
          <w:szCs w:val="21"/>
          <w:highlight w:val="none"/>
          <w:lang w:val="en-US" w:eastAsia="zh-CN"/>
        </w:rPr>
        <w:t>；若以电汇、银行转账方式提交的，必须转到采购人的指定账户）。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 签订合同后，如中标供应商不按合同约定履约的，履约保证金不予退还，履约保证金不足以赔偿损失的，按实际损失赔偿。</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42.3 如果中标供应商在供货期内没有涉及采购人的应付而未付金额或违约行为，采购人在项目验收合格后或提前终止合同后全额无息退还履约保证金。</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36" w:name="_Toc73975843"/>
      <w:r>
        <w:rPr>
          <w:rFonts w:hint="eastAsia" w:ascii="宋体"/>
          <w:b w:val="0"/>
          <w:bCs w:val="0"/>
          <w:color w:val="auto"/>
          <w:szCs w:val="21"/>
          <w:highlight w:val="none"/>
          <w:lang w:val="en-US" w:eastAsia="zh-CN"/>
        </w:rPr>
        <w:t>43．签订合同及公告</w:t>
      </w:r>
      <w:bookmarkEnd w:id="36"/>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43.1采购人在中标通知书发出之日起30日内与中标供应商签订合同。</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43.2中标供应商拖延、拒签合同的,取消中标资格。</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35"/>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rPr>
        <w:t xml:space="preserve">. 对招标人的纪律要求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对评标委员会成员的纪律要求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adjustRightInd w:val="0"/>
        <w:snapToGrid w:val="0"/>
        <w:spacing w:line="440" w:lineRule="exact"/>
        <w:ind w:firstLine="319" w:firstLineChars="150"/>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9"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pPr>
        <w:shd w:val="clear" w:color="auto" w:fill="auto"/>
        <w:spacing w:line="440" w:lineRule="exact"/>
        <w:ind w:firstLine="312" w:firstLineChars="147"/>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48．质疑和投诉</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采购文件、采购过程和中标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（三）对中标结果提出质疑的，为中标结果公告期限届满之日。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w:t>
      </w:r>
      <w:r>
        <w:rPr>
          <w:rFonts w:hint="eastAsia" w:ascii="宋体" w:hAnsi="Times New Roman" w:eastAsia="宋体" w:cs="Times New Roman"/>
          <w:b w:val="0"/>
          <w:bCs w:val="0"/>
          <w:color w:val="auto"/>
          <w:szCs w:val="21"/>
          <w:highlight w:val="none"/>
          <w:lang w:val="en-US" w:eastAsia="zh-CN"/>
        </w:rPr>
        <w:t>供应商有下列情形之一的，采购代理机构上报至</w:t>
      </w:r>
      <w:r>
        <w:rPr>
          <w:rFonts w:hint="eastAsia" w:ascii="宋体" w:cs="Times New Roman"/>
          <w:b w:val="0"/>
          <w:bCs w:val="0"/>
          <w:color w:val="auto"/>
          <w:szCs w:val="21"/>
          <w:highlight w:val="none"/>
          <w:lang w:val="en-US" w:eastAsia="zh-CN"/>
        </w:rPr>
        <w:t>阿图什市</w:t>
      </w:r>
      <w:r>
        <w:rPr>
          <w:rFonts w:hint="eastAsia" w:ascii="宋体" w:hAnsi="Times New Roman" w:eastAsia="宋体" w:cs="Times New Roman"/>
          <w:b w:val="0"/>
          <w:bCs w:val="0"/>
          <w:color w:val="auto"/>
          <w:szCs w:val="21"/>
          <w:highlight w:val="none"/>
          <w:lang w:val="en-US" w:eastAsia="zh-CN"/>
        </w:rPr>
        <w:t>财政局政府采购办，</w:t>
      </w:r>
      <w:r>
        <w:rPr>
          <w:rFonts w:hint="eastAsia" w:ascii="宋体"/>
          <w:b w:val="0"/>
          <w:bCs w:val="0"/>
          <w:color w:val="auto"/>
          <w:szCs w:val="21"/>
          <w:highlight w:val="none"/>
          <w:lang w:val="en-US" w:eastAsia="zh-CN"/>
        </w:rPr>
        <w:t>将其列入不良行为记录名单：</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黑体" w:eastAsia="黑体"/>
          <w:color w:val="auto"/>
          <w:sz w:val="30"/>
          <w:szCs w:val="30"/>
          <w:highlight w:val="none"/>
        </w:rPr>
      </w:pPr>
    </w:p>
    <w:p>
      <w:pPr>
        <w:pStyle w:val="50"/>
        <w:shd w:val="clear" w:color="auto" w:fill="auto"/>
        <w:rPr>
          <w:rFonts w:hint="eastAsia" w:ascii="黑体" w:eastAsia="黑体"/>
          <w:color w:val="auto"/>
          <w:sz w:val="30"/>
          <w:szCs w:val="30"/>
          <w:highlight w:val="none"/>
        </w:rPr>
      </w:pPr>
    </w:p>
    <w:p>
      <w:pPr>
        <w:pStyle w:val="50"/>
        <w:shd w:val="clear" w:color="auto" w:fill="auto"/>
        <w:rPr>
          <w:rFonts w:hint="eastAsia" w:ascii="黑体" w:eastAsia="黑体"/>
          <w:color w:val="auto"/>
          <w:sz w:val="30"/>
          <w:szCs w:val="30"/>
          <w:highlight w:val="none"/>
        </w:rPr>
      </w:pPr>
    </w:p>
    <w:p>
      <w:pPr>
        <w:pStyle w:val="50"/>
        <w:shd w:val="clear" w:color="auto" w:fill="auto"/>
        <w:rPr>
          <w:rFonts w:hint="eastAsia" w:ascii="黑体" w:eastAsia="黑体"/>
          <w:color w:val="auto"/>
          <w:sz w:val="30"/>
          <w:szCs w:val="30"/>
          <w:highlight w:val="none"/>
        </w:rPr>
      </w:pPr>
    </w:p>
    <w:p>
      <w:pPr>
        <w:pStyle w:val="50"/>
        <w:shd w:val="clear" w:color="auto" w:fill="auto"/>
        <w:rPr>
          <w:rFonts w:hint="eastAsia" w:ascii="黑体" w:eastAsia="黑体"/>
          <w:color w:val="auto"/>
          <w:sz w:val="30"/>
          <w:szCs w:val="30"/>
          <w:highlight w:val="none"/>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pStyle w:val="27"/>
        <w:rPr>
          <w:rFonts w:hint="eastAsia" w:ascii="宋体" w:hAnsi="宋体" w:eastAsia="宋体" w:cs="宋体"/>
          <w:b/>
          <w:bCs/>
          <w:color w:val="auto"/>
          <w:sz w:val="21"/>
          <w:szCs w:val="21"/>
          <w:highlight w:val="none"/>
          <w:lang w:eastAsia="zh-CN"/>
        </w:rPr>
      </w:pPr>
    </w:p>
    <w:p>
      <w:pPr>
        <w:pStyle w:val="27"/>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pStyle w:val="10"/>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10"/>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10"/>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10"/>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10"/>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10"/>
        <w:rPr>
          <w:rFonts w:hint="eastAsia"/>
          <w:color w:val="auto"/>
          <w:highlight w:val="none"/>
          <w:lang w:eastAsia="zh-CN"/>
        </w:rPr>
      </w:pPr>
    </w:p>
    <w:p>
      <w:pPr>
        <w:pStyle w:val="50"/>
        <w:rPr>
          <w:rFonts w:hint="eastAsia" w:ascii="宋体" w:hAnsi="宋体" w:eastAsia="宋体" w:cs="宋体"/>
          <w:b/>
          <w:bCs/>
          <w:color w:val="auto"/>
          <w:sz w:val="21"/>
          <w:szCs w:val="21"/>
          <w:highlight w:val="none"/>
          <w:lang w:eastAsia="zh-CN"/>
        </w:rPr>
      </w:pPr>
    </w:p>
    <w:p>
      <w:pPr>
        <w:pStyle w:val="50"/>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pPr>
        <w:pStyle w:val="50"/>
        <w:rPr>
          <w:rFonts w:hint="eastAsia"/>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408"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bookmarkStart w:id="37" w:name="_Toc17515"/>
    </w:p>
    <w:p>
      <w:pPr>
        <w:shd w:val="clear" w:color="auto" w:fill="auto"/>
        <w:ind w:left="7951" w:hanging="5814"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814"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37"/>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ind w:left="4055" w:leftChars="304" w:hanging="3408" w:hangingChars="1600"/>
        <w:textAlignment w:val="auto"/>
        <w:outlineLvl w:val="0"/>
        <w:rPr>
          <w:rFonts w:hint="eastAsia" w:ascii="宋体" w:hAnsi="宋体" w:eastAsia="宋体" w:cs="宋体"/>
          <w:b/>
          <w:bCs/>
          <w:color w:val="auto"/>
          <w:sz w:val="21"/>
          <w:szCs w:val="21"/>
          <w:highlight w:val="none"/>
        </w:rPr>
      </w:pPr>
      <w:bookmarkStart w:id="38" w:name="_Toc11499"/>
      <w:r>
        <w:rPr>
          <w:rFonts w:hint="eastAsia" w:ascii="宋体" w:hAnsi="宋体" w:eastAsia="宋体" w:cs="宋体"/>
          <w:b/>
          <w:bCs/>
          <w:color w:val="auto"/>
          <w:sz w:val="21"/>
          <w:szCs w:val="21"/>
          <w:highlight w:val="none"/>
        </w:rPr>
        <w:t>质疑前置及时间要求</w:t>
      </w:r>
      <w:bookmarkEnd w:id="3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39" w:name="_Toc13508"/>
      <w:r>
        <w:rPr>
          <w:rFonts w:hint="eastAsia" w:ascii="宋体" w:hAnsi="宋体" w:eastAsia="宋体" w:cs="宋体"/>
          <w:b/>
          <w:bCs/>
          <w:color w:val="auto"/>
          <w:sz w:val="21"/>
          <w:szCs w:val="21"/>
          <w:highlight w:val="none"/>
        </w:rPr>
        <w:t>二、书面方式</w:t>
      </w:r>
      <w:bookmarkEnd w:id="39"/>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40" w:name="_Toc5978"/>
      <w:r>
        <w:rPr>
          <w:rFonts w:hint="eastAsia" w:ascii="宋体" w:hAnsi="宋体" w:eastAsia="宋体" w:cs="宋体"/>
          <w:b/>
          <w:bCs/>
          <w:color w:val="auto"/>
          <w:sz w:val="21"/>
          <w:szCs w:val="21"/>
          <w:highlight w:val="none"/>
        </w:rPr>
        <w:t>三、虚假、恶意投诉法律责任</w:t>
      </w:r>
      <w:bookmarkEnd w:id="40"/>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阿图什市</w:t>
      </w:r>
      <w:r>
        <w:rPr>
          <w:rFonts w:hint="eastAsia" w:ascii="宋体" w:hAnsi="宋体" w:eastAsia="宋体" w:cs="宋体"/>
          <w:color w:val="auto"/>
          <w:sz w:val="21"/>
          <w:szCs w:val="21"/>
          <w:highlight w:val="none"/>
          <w:lang w:val="en-US" w:eastAsia="zh-CN"/>
        </w:rPr>
        <w:t>财政局政府采购办</w:t>
      </w:r>
      <w:r>
        <w:rPr>
          <w:rFonts w:hint="eastAsia" w:ascii="宋体" w:hAnsi="宋体" w:eastAsia="宋体" w:cs="宋体"/>
          <w:color w:val="auto"/>
          <w:sz w:val="21"/>
          <w:szCs w:val="21"/>
          <w:highlight w:val="none"/>
        </w:rPr>
        <w:t>监管办公室</w:t>
      </w:r>
    </w:p>
    <w:p>
      <w:pPr>
        <w:shd w:val="clear" w:color="auto" w:fill="auto"/>
        <w:jc w:val="right"/>
        <w:rPr>
          <w:rFonts w:hint="eastAsia" w:ascii="宋体" w:hAnsi="宋体" w:eastAsia="宋体" w:cs="宋体"/>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宋体" w:hAnsi="宋体" w:eastAsia="宋体" w:cs="宋体"/>
          <w:b/>
          <w:bCs/>
          <w:color w:val="auto"/>
          <w:sz w:val="32"/>
          <w:szCs w:val="32"/>
          <w:highlight w:val="none"/>
        </w:rPr>
      </w:pPr>
      <w:bookmarkStart w:id="41"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41"/>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6" w:firstLineChars="200"/>
        <w:textAlignment w:val="auto"/>
        <w:outlineLvl w:val="0"/>
        <w:rPr>
          <w:rFonts w:hint="eastAsia" w:ascii="宋体" w:hAnsi="宋体" w:eastAsia="宋体" w:cs="宋体"/>
          <w:bCs/>
          <w:color w:val="auto"/>
          <w:sz w:val="21"/>
          <w:szCs w:val="21"/>
          <w:highlight w:val="none"/>
        </w:rPr>
      </w:pPr>
      <w:bookmarkStart w:id="42" w:name="_Toc9061"/>
      <w:r>
        <w:rPr>
          <w:rFonts w:hint="eastAsia" w:ascii="宋体" w:hAnsi="宋体" w:eastAsia="宋体" w:cs="宋体"/>
          <w:bCs/>
          <w:color w:val="auto"/>
          <w:sz w:val="21"/>
          <w:szCs w:val="21"/>
          <w:highlight w:val="none"/>
        </w:rPr>
        <w:t>一、质疑供应商基本信息</w:t>
      </w:r>
      <w:bookmarkEnd w:id="4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3" w:name="_Toc15938"/>
      <w:r>
        <w:rPr>
          <w:rFonts w:hint="eastAsia" w:ascii="宋体" w:hAnsi="宋体" w:eastAsia="宋体" w:cs="宋体"/>
          <w:bCs/>
          <w:color w:val="auto"/>
          <w:sz w:val="21"/>
          <w:szCs w:val="21"/>
          <w:highlight w:val="none"/>
        </w:rPr>
        <w:t>二、质疑项目基本情况</w:t>
      </w:r>
      <w:bookmarkEnd w:id="4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4" w:name="_Toc18271"/>
      <w:r>
        <w:rPr>
          <w:rFonts w:hint="eastAsia" w:ascii="宋体" w:hAnsi="宋体" w:eastAsia="宋体" w:cs="宋体"/>
          <w:bCs/>
          <w:color w:val="auto"/>
          <w:sz w:val="21"/>
          <w:szCs w:val="21"/>
          <w:highlight w:val="none"/>
        </w:rPr>
        <w:t>三、质疑事项具体内容</w:t>
      </w:r>
      <w:bookmarkEnd w:id="4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5" w:name="_Toc22365"/>
      <w:r>
        <w:rPr>
          <w:rFonts w:hint="eastAsia" w:ascii="宋体" w:hAnsi="宋体" w:eastAsia="宋体" w:cs="宋体"/>
          <w:bCs/>
          <w:color w:val="auto"/>
          <w:sz w:val="21"/>
          <w:szCs w:val="21"/>
          <w:highlight w:val="none"/>
        </w:rPr>
        <w:t>四、与质疑事项相关的质疑请求</w:t>
      </w:r>
      <w:bookmarkEnd w:id="4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pPr>
        <w:pStyle w:val="50"/>
        <w:shd w:val="clear" w:color="auto" w:fill="auto"/>
        <w:ind w:left="0" w:leftChars="0" w:firstLine="0" w:firstLineChars="0"/>
        <w:rPr>
          <w:rFonts w:hint="eastAsia" w:ascii="黑体" w:eastAsia="黑体"/>
          <w:color w:val="auto"/>
          <w:sz w:val="30"/>
          <w:szCs w:val="30"/>
          <w:highlight w:val="none"/>
        </w:rPr>
      </w:pPr>
    </w:p>
    <w:p>
      <w:pPr>
        <w:pageBreakBefore/>
        <w:shd w:val="clear" w:color="auto" w:fill="auto"/>
        <w:spacing w:line="440" w:lineRule="exact"/>
        <w:jc w:val="center"/>
        <w:outlineLvl w:val="0"/>
        <w:rPr>
          <w:rFonts w:hint="eastAsia" w:ascii="黑体" w:eastAsia="黑体"/>
          <w:color w:val="auto"/>
          <w:sz w:val="30"/>
          <w:szCs w:val="30"/>
          <w:highlight w:val="none"/>
        </w:rPr>
      </w:pPr>
      <w:bookmarkStart w:id="46" w:name="_Toc469495731"/>
      <w:r>
        <w:rPr>
          <w:rFonts w:hint="eastAsia" w:ascii="黑体" w:eastAsia="黑体"/>
          <w:color w:val="auto"/>
          <w:sz w:val="30"/>
          <w:szCs w:val="30"/>
          <w:highlight w:val="none"/>
        </w:rPr>
        <w:t>第三章  评标办法</w:t>
      </w:r>
      <w:bookmarkEnd w:id="46"/>
    </w:p>
    <w:p>
      <w:pPr>
        <w:shd w:val="clear" w:color="auto" w:fill="auto"/>
        <w:jc w:val="center"/>
        <w:outlineLvl w:val="1"/>
        <w:rPr>
          <w:rFonts w:hint="eastAsia" w:ascii="宋体" w:hAnsi="Times New Roman" w:eastAsia="宋体" w:cs="Times New Roman"/>
          <w:b/>
          <w:color w:val="auto"/>
          <w:sz w:val="28"/>
          <w:szCs w:val="28"/>
          <w:highlight w:val="none"/>
        </w:rPr>
      </w:pPr>
      <w:bookmarkStart w:id="47" w:name="_Toc469495733"/>
      <w:bookmarkStart w:id="48" w:name="_Toc362983802"/>
      <w:bookmarkStart w:id="49" w:name="_Toc267320058"/>
      <w:bookmarkStart w:id="50"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kern w:val="0"/>
          <w:szCs w:val="21"/>
          <w:highlight w:val="none"/>
          <w:lang w:bidi="ar-SA"/>
        </w:rPr>
        <w:t>评标委员会由采购人代表和有关技术、经济等方面的专家组成，成员人数应当为</w:t>
      </w:r>
      <w:r>
        <w:rPr>
          <w:rFonts w:hint="eastAsia" w:ascii="宋体" w:hAnsi="宋体" w:cs="宋体"/>
          <w:b/>
          <w:bCs/>
          <w:color w:val="auto"/>
          <w:kern w:val="0"/>
          <w:szCs w:val="21"/>
          <w:highlight w:val="none"/>
          <w:lang w:val="en-US" w:eastAsia="zh-CN" w:bidi="ar-SA"/>
        </w:rPr>
        <w:t>5</w:t>
      </w:r>
      <w:r>
        <w:rPr>
          <w:rFonts w:hint="eastAsia" w:ascii="宋体" w:hAnsi="宋体" w:eastAsia="宋体" w:cs="宋体"/>
          <w:b/>
          <w:bCs/>
          <w:color w:val="auto"/>
          <w:kern w:val="0"/>
          <w:szCs w:val="21"/>
          <w:highlight w:val="none"/>
          <w:lang w:bidi="ar-SA"/>
        </w:rPr>
        <w:t>人。</w:t>
      </w:r>
      <w:r>
        <w:rPr>
          <w:rFonts w:hint="eastAsia" w:ascii="宋体" w:hAnsi="宋体" w:eastAsia="宋体" w:cs="宋体"/>
          <w:color w:val="auto"/>
          <w:kern w:val="0"/>
          <w:szCs w:val="21"/>
          <w:highlight w:val="none"/>
          <w:lang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pPr>
        <w:pStyle w:val="54"/>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pPr>
        <w:pStyle w:val="54"/>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pPr>
        <w:pStyle w:val="54"/>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pPr>
        <w:pStyle w:val="54"/>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pPr>
        <w:shd w:val="clear" w:color="auto" w:fill="auto"/>
        <w:tabs>
          <w:tab w:val="left" w:pos="1547"/>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pPr>
        <w:pStyle w:val="23"/>
        <w:shd w:val="clear" w:color="auto" w:fill="auto"/>
        <w:tabs>
          <w:tab w:val="left" w:pos="720"/>
          <w:tab w:val="clear" w:pos="0"/>
        </w:tabs>
        <w:spacing w:line="440" w:lineRule="exact"/>
        <w:ind w:firstLine="542"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5.3评标报告与推荐</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候选人</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小组各成员应当独立对每个有效响应的文件进行评价、打分，然后汇总每个供应商每项评分因素的得分。</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综合评分法</w:t>
      </w:r>
      <w:r>
        <w:rPr>
          <w:rFonts w:hint="eastAsia" w:ascii="宋体" w:hAnsi="宋体" w:cs="宋体"/>
          <w:bCs/>
          <w:color w:val="auto"/>
          <w:szCs w:val="21"/>
          <w:highlight w:val="none"/>
          <w:lang w:val="en-US" w:eastAsia="zh-CN"/>
        </w:rPr>
        <w:t>货物采购</w:t>
      </w:r>
      <w:r>
        <w:rPr>
          <w:rFonts w:hint="eastAsia" w:ascii="宋体" w:hAnsi="宋体" w:eastAsia="宋体" w:cs="宋体"/>
          <w:bCs/>
          <w:color w:val="auto"/>
          <w:szCs w:val="21"/>
          <w:highlight w:val="none"/>
        </w:rPr>
        <w:t>项目的价格分值占总分值的比重(即权值)为</w:t>
      </w:r>
      <w:r>
        <w:rPr>
          <w:rFonts w:hint="eastAsia" w:ascii="宋体" w:hAnsi="宋体" w:cs="宋体"/>
          <w:bCs/>
          <w:color w:val="auto"/>
          <w:szCs w:val="21"/>
          <w:highlight w:val="none"/>
          <w:lang w:val="en-US" w:eastAsia="zh-CN"/>
        </w:rPr>
        <w:t>30</w:t>
      </w:r>
      <w:r>
        <w:rPr>
          <w:rFonts w:hint="eastAsia" w:ascii="宋体" w:hAnsi="宋体" w:eastAsia="宋体" w:cs="宋体"/>
          <w:bCs/>
          <w:color w:val="auto"/>
          <w:szCs w:val="21"/>
          <w:highlight w:val="none"/>
        </w:rPr>
        <w:t>％，采购项目中含不同采购对象的，以占项目资金比例最高的采购对象确定其项目属性。其价格不列为评分因素，有特殊情况需要在上述规定范围外设定价格分权重的。</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综合评分法中的价格分统一采用低价优先法计算，即满足</w:t>
      </w:r>
      <w:r>
        <w:rPr>
          <w:rFonts w:hint="eastAsia" w:ascii="宋体" w:hAnsi="宋体" w:eastAsia="宋体" w:cs="宋体"/>
          <w:bCs/>
          <w:color w:val="auto"/>
          <w:szCs w:val="21"/>
          <w:highlight w:val="none"/>
          <w:lang w:eastAsia="zh-CN"/>
        </w:rPr>
        <w:t>招标文件</w:t>
      </w:r>
      <w:r>
        <w:rPr>
          <w:rFonts w:hint="eastAsia" w:ascii="宋体" w:hAnsi="宋体" w:eastAsia="宋体" w:cs="宋体"/>
          <w:bCs/>
          <w:color w:val="auto"/>
          <w:szCs w:val="21"/>
          <w:highlight w:val="none"/>
        </w:rPr>
        <w:t>要求且最后报价最低的供应商的价格为</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基准价，其价格分为满分。其他供应商的价格分统一按照下列公式计算：</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报价得分=（</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基准价/最后</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报价）×价格权值×100</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项目评审过程中，不得去掉最后报价中的最高报价和最低报价。</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小组应当根据综合评分情况，按照评审得分由高到低顺序推荐3名以上</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候选供应商符合《政府采购竞争性</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采购方式管理暂行办法》法第二十五条</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小组应当根据综合评分情况，按照评审得分由高到低顺序推荐3名以上</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候选供应商。符合本办法第二十一条第三款情形的，可以推荐2家</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候选供应商。评审得分相同的，按照最后报价由低到高的顺序推荐。评审得分且最后报价相同的，按照技术指标优劣顺序推荐。</w:t>
      </w: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both"/>
        <w:outlineLvl w:val="1"/>
        <w:rPr>
          <w:rFonts w:hint="eastAsia" w:ascii="宋体"/>
          <w:b/>
          <w:color w:val="auto"/>
          <w:sz w:val="28"/>
          <w:szCs w:val="28"/>
          <w:highlight w:val="none"/>
        </w:rPr>
      </w:pPr>
    </w:p>
    <w:p>
      <w:pPr>
        <w:shd w:val="clear" w:color="auto" w:fill="auto"/>
        <w:jc w:val="both"/>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47"/>
      <w:bookmarkEnd w:id="48"/>
    </w:p>
    <w:p>
      <w:pPr>
        <w:pStyle w:val="10"/>
        <w:rPr>
          <w:rFonts w:hint="eastAsia"/>
          <w:color w:val="auto"/>
          <w:highlight w:val="none"/>
        </w:rPr>
      </w:pPr>
    </w:p>
    <w:p>
      <w:pPr>
        <w:shd w:val="clear" w:color="auto" w:fill="auto"/>
        <w:spacing w:line="400" w:lineRule="exact"/>
        <w:ind w:firstLine="312"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pPr>
        <w:shd w:val="clear" w:color="auto" w:fill="auto"/>
        <w:spacing w:line="400" w:lineRule="exact"/>
        <w:ind w:firstLine="312"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28"/>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10"/>
        <w:gridCol w:w="5542"/>
        <w:gridCol w:w="130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restart"/>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项目</w:t>
            </w:r>
          </w:p>
        </w:tc>
        <w:tc>
          <w:tcPr>
            <w:tcW w:w="5952" w:type="dxa"/>
            <w:gridSpan w:val="2"/>
            <w:vMerge w:val="restart"/>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评审内容</w:t>
            </w:r>
          </w:p>
        </w:tc>
        <w:tc>
          <w:tcPr>
            <w:tcW w:w="2501" w:type="dxa"/>
            <w:gridSpan w:val="2"/>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5952" w:type="dxa"/>
            <w:gridSpan w:val="2"/>
            <w:vMerge w:val="continue"/>
            <w:noWrap w:val="0"/>
            <w:vAlign w:val="top"/>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1305" w:type="dxa"/>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c>
          <w:tcPr>
            <w:tcW w:w="1196" w:type="dxa"/>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86" w:type="dxa"/>
            <w:vMerge w:val="restart"/>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查</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标</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准</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(适</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用</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于</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资</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格</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后</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5542" w:type="dxa"/>
            <w:noWrap w:val="0"/>
            <w:vAlign w:val="center"/>
          </w:tcPr>
          <w:p>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lang w:val="en-US" w:eastAsia="zh-CN"/>
              </w:rPr>
              <w:t>合格有效的</w:t>
            </w:r>
            <w:r>
              <w:rPr>
                <w:rFonts w:hint="eastAsia" w:ascii="宋体" w:hAnsi="宋体" w:eastAsia="宋体" w:cs="宋体"/>
                <w:color w:val="auto"/>
                <w:szCs w:val="21"/>
                <w:highlight w:val="none"/>
              </w:rPr>
              <w:t>三证合一营业执照</w:t>
            </w:r>
            <w:r>
              <w:rPr>
                <w:rFonts w:hint="eastAsia" w:ascii="宋体" w:hAnsi="宋体" w:eastAsia="宋体" w:cs="宋体"/>
                <w:color w:val="auto"/>
                <w:szCs w:val="21"/>
                <w:highlight w:val="none"/>
                <w:lang w:eastAsia="zh-CN"/>
              </w:rPr>
              <w:t>；</w:t>
            </w:r>
          </w:p>
        </w:tc>
        <w:tc>
          <w:tcPr>
            <w:tcW w:w="1305"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5542" w:type="dxa"/>
            <w:noWrap w:val="0"/>
            <w:vAlign w:val="center"/>
          </w:tcPr>
          <w:p>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法定代表人投标需提供法定代表人资格证明书，委托代理人投标需提供法定代表人授权委托书；</w:t>
            </w:r>
          </w:p>
        </w:tc>
        <w:tc>
          <w:tcPr>
            <w:tcW w:w="1305"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5542"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投标企业须提供投标人（被授权在职人员）近3个月有效的社保证明</w:t>
            </w:r>
            <w:r>
              <w:rPr>
                <w:rFonts w:hint="eastAsia" w:cs="宋体"/>
                <w:color w:val="auto"/>
                <w:kern w:val="2"/>
                <w:sz w:val="21"/>
                <w:szCs w:val="21"/>
                <w:highlight w:val="none"/>
                <w:lang w:val="en-US" w:eastAsia="zh-CN" w:bidi="ar-SA"/>
              </w:rPr>
              <w:t>；</w:t>
            </w:r>
          </w:p>
        </w:tc>
        <w:tc>
          <w:tcPr>
            <w:tcW w:w="1305"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4</w:t>
            </w:r>
          </w:p>
        </w:tc>
        <w:tc>
          <w:tcPr>
            <w:tcW w:w="5542" w:type="dxa"/>
            <w:noWrap w:val="0"/>
            <w:vAlign w:val="center"/>
          </w:tcPr>
          <w:p>
            <w:pPr>
              <w:tabs>
                <w:tab w:val="left" w:pos="720"/>
              </w:tabs>
              <w:spacing w:line="440" w:lineRule="exact"/>
              <w:jc w:val="left"/>
              <w:rPr>
                <w:rFonts w:hint="default" w:ascii="宋体" w:hAnsi="宋体" w:eastAsia="宋体" w:cs="宋体"/>
                <w:color w:val="auto"/>
                <w:kern w:val="2"/>
                <w:sz w:val="21"/>
                <w:szCs w:val="21"/>
                <w:highlight w:val="none"/>
                <w:lang w:val="en-US" w:eastAsia="zh-CN" w:bidi="ar-SA"/>
              </w:rPr>
            </w:pPr>
            <w:r>
              <w:rPr>
                <w:rFonts w:hint="eastAsia" w:ascii="新宋体" w:hAnsi="新宋体" w:eastAsia="新宋体" w:cs="新宋体"/>
                <w:color w:val="auto"/>
                <w:sz w:val="21"/>
                <w:szCs w:val="21"/>
                <w:highlight w:val="none"/>
                <w:lang w:val="en-US" w:eastAsia="zh-CN" w:bidi="ar"/>
              </w:rPr>
              <w:t>投标保证金汇款凭证和保证金收据或保函等票据；</w:t>
            </w:r>
          </w:p>
        </w:tc>
        <w:tc>
          <w:tcPr>
            <w:tcW w:w="1305"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p>
        </w:tc>
        <w:tc>
          <w:tcPr>
            <w:tcW w:w="5542" w:type="dxa"/>
            <w:noWrap w:val="0"/>
            <w:vAlign w:val="center"/>
          </w:tcPr>
          <w:p>
            <w:pPr>
              <w:widowControl/>
              <w:shd w:val="clear" w:color="auto" w:fill="auto"/>
              <w:jc w:val="left"/>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未被“信用中国”（www.creditchina.gov.cn）、中国政府采购网（www.ccgp.gov.cn）列入失信被执行人、重大税收违法案件当事人名单、政府采购严重违法失信行为记录名单；</w:t>
            </w:r>
          </w:p>
        </w:tc>
        <w:tc>
          <w:tcPr>
            <w:tcW w:w="1305"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6</w:t>
            </w:r>
          </w:p>
        </w:tc>
        <w:tc>
          <w:tcPr>
            <w:tcW w:w="5542" w:type="dxa"/>
            <w:noWrap w:val="0"/>
            <w:vAlign w:val="center"/>
          </w:tcPr>
          <w:p>
            <w:pPr>
              <w:widowControl/>
              <w:shd w:val="clear" w:color="auto" w:fill="auto"/>
              <w:jc w:val="left"/>
              <w:textAlignment w:val="center"/>
              <w:rPr>
                <w:rFonts w:hint="eastAsia" w:ascii="宋体" w:hAnsi="宋体" w:eastAsia="宋体" w:cs="宋体"/>
                <w:color w:val="auto"/>
                <w:kern w:val="2"/>
                <w:sz w:val="21"/>
                <w:szCs w:val="21"/>
                <w:highlight w:val="none"/>
                <w:lang w:val="en-US" w:eastAsia="zh-CN" w:bidi="ar-SA"/>
              </w:rPr>
            </w:pPr>
            <w:r>
              <w:rPr>
                <w:rFonts w:hint="eastAsia"/>
                <w:color w:val="auto"/>
                <w:highlight w:val="none"/>
              </w:rPr>
              <w:t>供应商为中小企业</w:t>
            </w:r>
          </w:p>
        </w:tc>
        <w:tc>
          <w:tcPr>
            <w:tcW w:w="2501" w:type="dxa"/>
            <w:gridSpan w:val="2"/>
            <w:noWrap w:val="0"/>
            <w:vAlign w:val="top"/>
          </w:tcPr>
          <w:p>
            <w:pPr>
              <w:shd w:val="clear" w:color="auto" w:fil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Cs w:val="21"/>
                <w:highlight w:val="none"/>
              </w:rPr>
              <w:t>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86" w:type="dxa"/>
            <w:vMerge w:val="continue"/>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p>
        </w:tc>
        <w:tc>
          <w:tcPr>
            <w:tcW w:w="8453" w:type="dxa"/>
            <w:gridSpan w:val="4"/>
            <w:noWrap w:val="0"/>
            <w:vAlign w:val="center"/>
          </w:tcPr>
          <w:p>
            <w:pPr>
              <w:shd w:val="clear" w:color="auto" w:fill="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评审结果“√”表示合格；“×”表示不合格，一项不合格结果为不合格，如不合格，请在结果中写明原因。</w:t>
            </w:r>
          </w:p>
        </w:tc>
      </w:tr>
    </w:tbl>
    <w:p>
      <w:pPr>
        <w:shd w:val="clear" w:color="auto" w:fill="auto"/>
        <w:spacing w:before="156" w:beforeLines="50" w:line="440" w:lineRule="exact"/>
        <w:ind w:firstLine="213" w:firstLineChars="100"/>
        <w:rPr>
          <w:rFonts w:hint="eastAsia"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13" w:firstLineChars="100"/>
        <w:rPr>
          <w:rFonts w:hint="eastAsia" w:ascii="宋体"/>
          <w:b/>
          <w:color w:val="auto"/>
          <w:szCs w:val="21"/>
          <w:highlight w:val="none"/>
          <w:lang w:val="en-US" w:eastAsia="zh-CN"/>
        </w:rPr>
      </w:pPr>
    </w:p>
    <w:p>
      <w:pPr>
        <w:rPr>
          <w:rFonts w:hint="eastAsia"/>
          <w:lang w:val="en-US" w:eastAsia="zh-CN"/>
        </w:rPr>
      </w:pPr>
    </w:p>
    <w:p>
      <w:pPr>
        <w:pStyle w:val="2"/>
        <w:numPr>
          <w:ilvl w:val="1"/>
          <w:numId w:val="0"/>
        </w:numPr>
        <w:ind w:left="431" w:leftChars="0"/>
        <w:rPr>
          <w:rFonts w:hint="eastAsia"/>
          <w:lang w:val="en-US" w:eastAsia="zh-CN"/>
        </w:rPr>
      </w:pPr>
    </w:p>
    <w:p>
      <w:pPr>
        <w:rPr>
          <w:rFonts w:hint="eastAsia"/>
          <w:lang w:val="en-US" w:eastAsia="zh-CN"/>
        </w:rPr>
      </w:pPr>
    </w:p>
    <w:p>
      <w:pPr>
        <w:shd w:val="clear" w:color="auto" w:fill="auto"/>
        <w:spacing w:before="156" w:beforeLines="50" w:line="440" w:lineRule="exact"/>
        <w:ind w:firstLine="213" w:firstLineChars="100"/>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pPr>
        <w:shd w:val="clear" w:color="auto" w:fill="auto"/>
        <w:spacing w:line="440" w:lineRule="exact"/>
        <w:ind w:firstLine="319"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28"/>
        <w:tblpPr w:leftFromText="180" w:rightFromText="180" w:vertAnchor="text" w:horzAnchor="page" w:tblpX="1293" w:tblpY="544"/>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项目</w:t>
            </w:r>
          </w:p>
        </w:tc>
        <w:tc>
          <w:tcPr>
            <w:tcW w:w="7074" w:type="dxa"/>
            <w:gridSpan w:val="2"/>
            <w:tcBorders>
              <w:top w:val="single" w:color="auto" w:sz="4" w:space="0"/>
            </w:tcBorders>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评审内容</w:t>
            </w:r>
          </w:p>
        </w:tc>
        <w:tc>
          <w:tcPr>
            <w:tcW w:w="1502" w:type="dxa"/>
            <w:gridSpan w:val="2"/>
            <w:tcBorders>
              <w:top w:val="single" w:color="auto" w:sz="4" w:space="0"/>
              <w:right w:val="single" w:color="auto" w:sz="4" w:space="0"/>
            </w:tcBorders>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pPr>
              <w:rPr>
                <w:rFonts w:hint="eastAsia" w:ascii="宋体" w:hAnsi="宋体" w:cs="宋体"/>
                <w:color w:val="auto"/>
                <w:highlight w:val="none"/>
              </w:rPr>
            </w:pPr>
          </w:p>
        </w:tc>
        <w:tc>
          <w:tcPr>
            <w:tcW w:w="7074" w:type="dxa"/>
            <w:gridSpan w:val="2"/>
            <w:tcBorders>
              <w:bottom w:val="single" w:color="auto" w:sz="4" w:space="0"/>
            </w:tcBorders>
            <w:noWrap w:val="0"/>
            <w:vAlign w:val="top"/>
          </w:tcPr>
          <w:p>
            <w:pPr>
              <w:rPr>
                <w:rFonts w:hint="eastAsia" w:ascii="宋体" w:hAnsi="宋体" w:cs="宋体"/>
                <w:color w:val="auto"/>
                <w:highlight w:val="none"/>
              </w:rPr>
            </w:pPr>
          </w:p>
        </w:tc>
        <w:tc>
          <w:tcPr>
            <w:tcW w:w="753" w:type="dxa"/>
            <w:noWrap w:val="0"/>
            <w:vAlign w:val="center"/>
          </w:tcPr>
          <w:p>
            <w:pPr>
              <w:jc w:val="center"/>
              <w:rPr>
                <w:rFonts w:hint="eastAsia" w:ascii="宋体" w:hAnsi="宋体" w:cs="宋体"/>
                <w:b/>
                <w:color w:val="auto"/>
                <w:sz w:val="24"/>
                <w:highlight w:val="none"/>
              </w:rPr>
            </w:pPr>
            <w:r>
              <w:rPr>
                <w:rFonts w:hint="eastAsia" w:ascii="宋体" w:hAnsi="宋体" w:cs="宋体"/>
                <w:color w:val="auto"/>
                <w:spacing w:val="-2"/>
                <w:szCs w:val="21"/>
                <w:highlight w:val="none"/>
              </w:rPr>
              <w:t>√</w:t>
            </w:r>
          </w:p>
        </w:tc>
        <w:tc>
          <w:tcPr>
            <w:tcW w:w="749" w:type="dxa"/>
            <w:tcBorders>
              <w:right w:val="single" w:color="auto" w:sz="4" w:space="0"/>
            </w:tcBorders>
            <w:noWrap w:val="0"/>
            <w:vAlign w:val="center"/>
          </w:tcPr>
          <w:p>
            <w:pPr>
              <w:ind w:firstLine="209" w:firstLineChars="100"/>
              <w:rPr>
                <w:rFonts w:hint="eastAsia" w:ascii="宋体" w:hAnsi="宋体" w:cs="宋体"/>
                <w:b/>
                <w:color w:val="auto"/>
                <w:sz w:val="24"/>
                <w:highlight w:val="none"/>
              </w:rPr>
            </w:pPr>
            <w:r>
              <w:rPr>
                <w:rFonts w:hint="eastAsia" w:ascii="宋体" w:hAnsi="宋体" w:cs="宋体"/>
                <w:color w:val="auto"/>
                <w:spacing w:val="-2"/>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审</w:t>
            </w:r>
          </w:p>
          <w:p>
            <w:pPr>
              <w:jc w:val="center"/>
              <w:rPr>
                <w:rFonts w:hint="eastAsia" w:ascii="宋体" w:hAnsi="宋体" w:cs="宋体"/>
                <w:color w:val="auto"/>
                <w:szCs w:val="21"/>
                <w:highlight w:val="none"/>
              </w:rPr>
            </w:pPr>
            <w:r>
              <w:rPr>
                <w:rFonts w:hint="eastAsia" w:ascii="宋体" w:hAnsi="宋体" w:cs="宋体"/>
                <w:color w:val="auto"/>
                <w:szCs w:val="21"/>
                <w:highlight w:val="none"/>
              </w:rPr>
              <w:t>查</w:t>
            </w:r>
          </w:p>
          <w:p>
            <w:pPr>
              <w:jc w:val="center"/>
              <w:rPr>
                <w:rFonts w:hint="eastAsia" w:ascii="宋体" w:hAnsi="宋体" w:cs="宋体"/>
                <w:color w:val="auto"/>
                <w:szCs w:val="21"/>
                <w:highlight w:val="none"/>
              </w:rPr>
            </w:pPr>
            <w:r>
              <w:rPr>
                <w:rFonts w:hint="eastAsia" w:ascii="宋体" w:hAnsi="宋体" w:cs="宋体"/>
                <w:color w:val="auto"/>
                <w:szCs w:val="21"/>
                <w:highlight w:val="none"/>
              </w:rPr>
              <w:t>标</w:t>
            </w:r>
          </w:p>
          <w:p>
            <w:pPr>
              <w:jc w:val="center"/>
              <w:rPr>
                <w:rFonts w:hint="eastAsia" w:ascii="宋体" w:hAnsi="宋体" w:cs="宋体"/>
                <w:color w:val="auto"/>
                <w:szCs w:val="21"/>
                <w:highlight w:val="none"/>
              </w:rPr>
            </w:pPr>
            <w:r>
              <w:rPr>
                <w:rFonts w:hint="eastAsia" w:ascii="宋体" w:hAnsi="宋体" w:cs="宋体"/>
                <w:color w:val="auto"/>
                <w:szCs w:val="21"/>
                <w:highlight w:val="none"/>
              </w:rPr>
              <w:t>准</w:t>
            </w: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高于设定的采购</w:t>
            </w:r>
            <w:r>
              <w:rPr>
                <w:rFonts w:hint="eastAsia" w:ascii="宋体" w:cs="Times New Roman"/>
                <w:color w:val="auto"/>
                <w:szCs w:val="21"/>
                <w:highlight w:val="none"/>
                <w:lang w:val="en-US" w:eastAsia="zh-CN"/>
              </w:rPr>
              <w:t>最高限价</w:t>
            </w:r>
            <w:r>
              <w:rPr>
                <w:rFonts w:hint="eastAsia" w:ascii="宋体" w:hAnsi="Times New Roman" w:eastAsia="宋体" w:cs="Times New Roman"/>
                <w:color w:val="auto"/>
                <w:szCs w:val="21"/>
                <w:highlight w:val="none"/>
              </w:rPr>
              <w:t>的；</w:t>
            </w:r>
          </w:p>
        </w:tc>
        <w:tc>
          <w:tcPr>
            <w:tcW w:w="753" w:type="dxa"/>
            <w:tcBorders>
              <w:left w:val="single" w:color="auto" w:sz="4" w:space="0"/>
              <w:right w:val="single" w:color="auto" w:sz="4" w:space="0"/>
            </w:tcBorders>
            <w:noWrap w:val="0"/>
            <w:vAlign w:val="top"/>
          </w:tcPr>
          <w:p>
            <w:pPr>
              <w:jc w:val="center"/>
              <w:rPr>
                <w:rFonts w:hint="eastAsia" w:ascii="宋体" w:hAnsi="宋体" w:cs="宋体"/>
                <w:b/>
                <w:color w:val="auto"/>
                <w:szCs w:val="21"/>
                <w:highlight w:val="none"/>
              </w:rPr>
            </w:pPr>
          </w:p>
        </w:tc>
        <w:tc>
          <w:tcPr>
            <w:tcW w:w="749" w:type="dxa"/>
            <w:tcBorders>
              <w:left w:val="single" w:color="auto" w:sz="4" w:space="0"/>
              <w:right w:val="single" w:color="auto" w:sz="4" w:space="0"/>
            </w:tcBorders>
            <w:noWrap w:val="0"/>
            <w:vAlign w:val="top"/>
          </w:tcPr>
          <w:p>
            <w:pPr>
              <w:jc w:val="center"/>
              <w:rPr>
                <w:rFonts w:hint="eastAsia" w:ascii="宋体" w:hAnsi="宋体" w:cs="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法定代表人身份证明及授权委托书有效，且符合招标文件规定的格式。</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3</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lef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4</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left w:val="single" w:color="auto" w:sz="4" w:space="0"/>
              <w:bottom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5</w:t>
            </w:r>
          </w:p>
        </w:tc>
        <w:tc>
          <w:tcPr>
            <w:tcW w:w="6579" w:type="dxa"/>
            <w:tcBorders>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p>
        </w:tc>
        <w:tc>
          <w:tcPr>
            <w:tcW w:w="753" w:type="dxa"/>
            <w:tcBorders>
              <w:left w:val="single" w:color="auto" w:sz="4" w:space="0"/>
              <w:bottom w:val="single" w:color="auto" w:sz="4" w:space="0"/>
            </w:tcBorders>
            <w:noWrap w:val="0"/>
            <w:vAlign w:val="top"/>
          </w:tcPr>
          <w:p>
            <w:pPr>
              <w:rPr>
                <w:rFonts w:hint="eastAsia" w:ascii="宋体" w:hAnsi="宋体" w:cs="宋体"/>
                <w:color w:val="auto"/>
                <w:szCs w:val="21"/>
                <w:highlight w:val="none"/>
              </w:rPr>
            </w:pPr>
          </w:p>
        </w:tc>
        <w:tc>
          <w:tcPr>
            <w:tcW w:w="749" w:type="dxa"/>
            <w:tcBorders>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满足招标文件提出的技术和质量要求。</w:t>
            </w:r>
          </w:p>
        </w:tc>
        <w:tc>
          <w:tcPr>
            <w:tcW w:w="7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top w:val="single" w:color="auto" w:sz="4" w:space="0"/>
              <w:left w:val="single" w:color="auto" w:sz="4" w:space="0"/>
            </w:tcBorders>
            <w:noWrap w:val="0"/>
            <w:vAlign w:val="center"/>
          </w:tcPr>
          <w:p>
            <w:pPr>
              <w:shd w:val="clear" w:color="auto" w:fill="auto"/>
              <w:spacing w:line="40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7</w:t>
            </w:r>
          </w:p>
        </w:tc>
        <w:tc>
          <w:tcPr>
            <w:tcW w:w="6579" w:type="dxa"/>
            <w:tcBorders>
              <w:top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供货</w:t>
            </w:r>
            <w:r>
              <w:rPr>
                <w:rFonts w:hint="eastAsia" w:ascii="宋体" w:hAnsi="Times New Roman" w:eastAsia="宋体" w:cs="Times New Roman"/>
                <w:color w:val="auto"/>
                <w:szCs w:val="21"/>
                <w:highlight w:val="none"/>
              </w:rPr>
              <w:t>期限满足招标文件要求。</w:t>
            </w:r>
          </w:p>
        </w:tc>
        <w:tc>
          <w:tcPr>
            <w:tcW w:w="753" w:type="dxa"/>
            <w:tcBorders>
              <w:top w:val="single" w:color="auto" w:sz="4" w:space="0"/>
              <w:left w:val="single" w:color="auto" w:sz="4" w:space="0"/>
            </w:tcBorders>
            <w:noWrap w:val="0"/>
            <w:vAlign w:val="top"/>
          </w:tcPr>
          <w:p>
            <w:pPr>
              <w:rPr>
                <w:rFonts w:hint="eastAsia" w:ascii="宋体" w:hAnsi="宋体" w:cs="宋体"/>
                <w:color w:val="auto"/>
                <w:szCs w:val="21"/>
                <w:highlight w:val="none"/>
              </w:rPr>
            </w:pPr>
          </w:p>
        </w:tc>
        <w:tc>
          <w:tcPr>
            <w:tcW w:w="749" w:type="dxa"/>
            <w:tcBorders>
              <w:top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lef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8</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投标文件</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含有采购人不能接受的附加条件；</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lef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9</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lef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10</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7996" w:type="dxa"/>
            <w:gridSpan w:val="3"/>
            <w:tcBorders>
              <w:left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pacing w:val="-2"/>
                <w:szCs w:val="21"/>
                <w:highlight w:val="none"/>
                <w:lang w:eastAsia="zh-CN"/>
              </w:rPr>
              <w:t>评审结果：须写通过或者不通过</w:t>
            </w:r>
          </w:p>
        </w:tc>
        <w:tc>
          <w:tcPr>
            <w:tcW w:w="1502" w:type="dxa"/>
            <w:gridSpan w:val="2"/>
            <w:tcBorders>
              <w:left w:val="single" w:color="auto" w:sz="4" w:space="0"/>
              <w:right w:val="single" w:color="auto" w:sz="4" w:space="0"/>
            </w:tcBorders>
            <w:noWrap w:val="0"/>
            <w:vAlign w:val="center"/>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pPr>
              <w:ind w:firstLine="375" w:firstLineChars="180"/>
              <w:rPr>
                <w:rFonts w:hint="eastAsia" w:ascii="宋体" w:hAnsi="宋体" w:cs="宋体"/>
                <w:color w:val="auto"/>
                <w:szCs w:val="21"/>
                <w:highlight w:val="none"/>
              </w:rPr>
            </w:pPr>
            <w:r>
              <w:rPr>
                <w:rFonts w:hint="eastAsia" w:ascii="宋体" w:hAnsi="宋体" w:cs="宋体"/>
                <w:color w:val="auto"/>
                <w:spacing w:val="-2"/>
                <w:szCs w:val="21"/>
                <w:highlight w:val="none"/>
              </w:rPr>
              <w:t xml:space="preserve">结论：通过评审打“√”，未通过评审打“×”   </w:t>
            </w:r>
            <w:r>
              <w:rPr>
                <w:rFonts w:hint="eastAsia" w:ascii="宋体" w:hAnsi="宋体" w:cs="宋体"/>
                <w:color w:val="auto"/>
                <w:szCs w:val="21"/>
                <w:highlight w:val="none"/>
              </w:rPr>
              <w:t>注：如有一项不合格，作废标处理。</w:t>
            </w:r>
          </w:p>
        </w:tc>
      </w:tr>
    </w:tbl>
    <w:p>
      <w:pPr>
        <w:shd w:val="clear" w:color="auto" w:fill="auto"/>
        <w:spacing w:line="400" w:lineRule="exact"/>
        <w:rPr>
          <w:rFonts w:hint="eastAsia" w:ascii="宋体"/>
          <w:color w:val="auto"/>
          <w:szCs w:val="21"/>
          <w:highlight w:val="none"/>
          <w:lang w:val="en-US" w:eastAsia="zh-CN"/>
        </w:rPr>
      </w:pPr>
    </w:p>
    <w:p>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pPr>
        <w:shd w:val="clear" w:color="auto" w:fill="auto"/>
        <w:spacing w:line="400" w:lineRule="exact"/>
        <w:ind w:firstLine="532"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pPr>
        <w:shd w:val="clear" w:color="auto" w:fill="auto"/>
        <w:spacing w:line="400" w:lineRule="exact"/>
        <w:ind w:firstLine="426"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51" w:name="_Toc469495734"/>
      <w:bookmarkStart w:id="52" w:name="_Toc362983803"/>
    </w:p>
    <w:p>
      <w:pPr>
        <w:shd w:val="clear" w:color="auto" w:fill="auto"/>
        <w:spacing w:line="400" w:lineRule="exact"/>
        <w:ind w:firstLine="3113" w:firstLineChars="1100"/>
        <w:rPr>
          <w:rFonts w:hint="eastAsia" w:ascii="宋体"/>
          <w:b/>
          <w:color w:val="auto"/>
          <w:sz w:val="28"/>
          <w:szCs w:val="28"/>
          <w:highlight w:val="none"/>
        </w:rPr>
      </w:pPr>
    </w:p>
    <w:p>
      <w:pPr>
        <w:shd w:val="clear" w:color="auto" w:fill="auto"/>
        <w:spacing w:line="400" w:lineRule="exact"/>
        <w:ind w:firstLine="3113" w:firstLineChars="1100"/>
        <w:rPr>
          <w:rFonts w:hint="eastAsia" w:ascii="宋体"/>
          <w:b/>
          <w:color w:val="auto"/>
          <w:sz w:val="24"/>
          <w:highlight w:val="none"/>
        </w:rPr>
      </w:pPr>
      <w:r>
        <w:rPr>
          <w:rFonts w:hint="eastAsia" w:ascii="宋体"/>
          <w:b/>
          <w:color w:val="auto"/>
          <w:sz w:val="28"/>
          <w:szCs w:val="28"/>
          <w:highlight w:val="none"/>
        </w:rPr>
        <w:t>三  投标文件的澄清和补正</w:t>
      </w:r>
      <w:bookmarkEnd w:id="51"/>
      <w:bookmarkEnd w:id="52"/>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3" w:firstLineChars="100"/>
        <w:jc w:val="left"/>
        <w:rPr>
          <w:rFonts w:hint="eastAsia" w:ascii="宋体"/>
          <w:color w:val="auto"/>
          <w:szCs w:val="21"/>
          <w:highlight w:val="none"/>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宋体"/>
          <w:b/>
          <w:color w:val="auto"/>
          <w:sz w:val="24"/>
          <w:highlight w:val="none"/>
        </w:rPr>
      </w:pPr>
      <w:bookmarkStart w:id="53" w:name="_Toc469495735"/>
      <w:r>
        <w:rPr>
          <w:rFonts w:hint="eastAsia" w:ascii="宋体"/>
          <w:b/>
          <w:color w:val="auto"/>
          <w:sz w:val="24"/>
          <w:highlight w:val="none"/>
        </w:rPr>
        <w:t>四 比较与评价</w:t>
      </w:r>
      <w:bookmarkEnd w:id="53"/>
    </w:p>
    <w:p>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bookmarkStart w:id="54" w:name="_Toc469495736"/>
      <w:bookmarkStart w:id="55" w:name="_Toc362983805"/>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546"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（8）评分标准和细则（综合评分法评分标准）</w:t>
      </w:r>
    </w:p>
    <w:tbl>
      <w:tblPr>
        <w:tblStyle w:val="28"/>
        <w:tblpPr w:leftFromText="180" w:rightFromText="180" w:vertAnchor="text" w:horzAnchor="page" w:tblpX="1706" w:tblpY="260"/>
        <w:tblOverlap w:val="never"/>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374"/>
        <w:gridCol w:w="769"/>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7" w:type="dxa"/>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序号</w:t>
            </w:r>
          </w:p>
        </w:tc>
        <w:tc>
          <w:tcPr>
            <w:tcW w:w="1374" w:type="dxa"/>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评分因素</w:t>
            </w:r>
          </w:p>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及权重</w:t>
            </w:r>
          </w:p>
        </w:tc>
        <w:tc>
          <w:tcPr>
            <w:tcW w:w="769" w:type="dxa"/>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分值</w:t>
            </w:r>
          </w:p>
        </w:tc>
        <w:tc>
          <w:tcPr>
            <w:tcW w:w="6150" w:type="dxa"/>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547"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p>
        </w:tc>
        <w:tc>
          <w:tcPr>
            <w:tcW w:w="1374"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投标报价</w:t>
            </w:r>
          </w:p>
        </w:tc>
        <w:tc>
          <w:tcPr>
            <w:tcW w:w="769"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30分</w:t>
            </w:r>
          </w:p>
        </w:tc>
        <w:tc>
          <w:tcPr>
            <w:tcW w:w="6150"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评标基准价=有效投标报价的最低值，有效投标报价等于基准值的得满分，投标报价得分=（评标基准价/投标报价）×价格权重×100。有效投标报价为通过初步审查的供应商报价</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注：投标报价超过采购预算价的按废标处理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trPr>
        <w:tc>
          <w:tcPr>
            <w:tcW w:w="547"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p>
        </w:tc>
        <w:tc>
          <w:tcPr>
            <w:tcW w:w="1374"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配置及性能技术指标</w:t>
            </w:r>
          </w:p>
        </w:tc>
        <w:tc>
          <w:tcPr>
            <w:tcW w:w="769"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35分</w:t>
            </w:r>
          </w:p>
        </w:tc>
        <w:tc>
          <w:tcPr>
            <w:tcW w:w="6150"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1．技术指标、参数完全符合招标文件技术指标、参数要求的得25分.</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2．投标人技术指标、参数高于招标文件规定的相应技术指标、参数的，每有一项加1分，最高得10分（并提供真实相关证明资料（加盖公章的检测报告），否则不计分值）。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2" w:hRule="atLeast"/>
        </w:trPr>
        <w:tc>
          <w:tcPr>
            <w:tcW w:w="547"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p>
        </w:tc>
        <w:tc>
          <w:tcPr>
            <w:tcW w:w="1374"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性能要求（所投产品提供如下参数相关功能的产品检测报告</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p>
        </w:tc>
        <w:tc>
          <w:tcPr>
            <w:tcW w:w="769"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20分</w:t>
            </w:r>
          </w:p>
        </w:tc>
        <w:tc>
          <w:tcPr>
            <w:tcW w:w="6150"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一，一体机提供：1.嵌入式Android操作系统下，内置通过权威眼科医院临床试验验证的电子视力表软件，支持通过触摸方式进行视力检测，助力校园近视防控工作开展。（提供具有CMA及CNAS认证标识的第三方检测机构权威检测报告）；2.电子视力表软件由设备生产厂商与与权威三甲医院眼科共同开发，符合GB11533-2011标准对数视力表相关要求，保证测试数据的准确性和权威性。（提供国家权威眼科医院出具的临床试验报告复印件并加盖厂家公章）；3.整机内置信息发布系统，信息发布系统后台管理系统采用“B/S”架构、SaaS服务方式，可以选择web端推送内容。（提供功能截图）；4.信息发布系统功能特点：定时开关机、远程发布、监控管理、自动循环播放、分组式管理。（提供功能截图.）。共计6分，每小项1.5分。</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二，</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悬浮地板</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提供</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提供国家体育用品质量监督检验中心出具的检验报告</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1分。</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三，电钢琴提供国家轻工业乐器检测报告</w:t>
            </w:r>
            <w:r>
              <w:rPr>
                <w:rFonts w:hint="eastAsia" w:ascii="仿宋" w:hAnsi="仿宋" w:eastAsia="仿宋" w:cs="仿宋"/>
                <w:color w:val="auto"/>
                <w:kern w:val="2"/>
                <w:sz w:val="21"/>
                <w:szCs w:val="21"/>
                <w:highlight w:val="none"/>
                <w:lang w:val="en-US" w:eastAsia="zh-CN" w:bidi="ar-SA"/>
              </w:rPr>
              <w:t>。共计1分。</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四，科学实验室提供生物生长史检测报告；立体月球仪检测报告；智能语音共振鼓检测报告；趣味轨道车检测报告。共计4分，每小项1分。</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五，墙面乐高玩具提供摩登旋梯质检报告；疯狂跑道质检报告；奇想齿轮检测报告；百变插珠质检报告；万能迷宫质检报告；管道游戏-软管接力的检验报告。共计6分，每小项1分。</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六，安吉户外体能训练组合爬梯（自由组装）的检测报告</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；安吉游戏轮胎小车。共计2分，每小项1分。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9" w:hRule="atLeast"/>
        </w:trPr>
        <w:tc>
          <w:tcPr>
            <w:tcW w:w="547"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p>
        </w:tc>
        <w:tc>
          <w:tcPr>
            <w:tcW w:w="1374"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实施方案</w:t>
            </w:r>
          </w:p>
        </w:tc>
        <w:tc>
          <w:tcPr>
            <w:tcW w:w="769"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6分</w:t>
            </w:r>
          </w:p>
        </w:tc>
        <w:tc>
          <w:tcPr>
            <w:tcW w:w="6150"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1．投标单位有合理的、详细的、流程清晰的、切实可行的、完整的项目实施方案；进行评价打分，优秀的得3分，一般的得1分，不提供的不得分。</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2．投标人在充分响应招标文件要求的前提下做出相关违约惩罚措施或服务承诺，措施或承诺可行、合理的，进行评价打分。详细的得3分，一般的得1分，不提供的不得分。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trPr>
        <w:tc>
          <w:tcPr>
            <w:tcW w:w="547"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1374"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 xml:space="preserve">售后服务及质量保证措施  </w:t>
            </w:r>
          </w:p>
        </w:tc>
        <w:tc>
          <w:tcPr>
            <w:tcW w:w="769"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6分</w:t>
            </w:r>
          </w:p>
        </w:tc>
        <w:tc>
          <w:tcPr>
            <w:tcW w:w="6150"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1.对投标人根据本项目所提供的售后</w:t>
            </w:r>
            <w:r>
              <w:rPr>
                <w:rFonts w:hint="eastAsia" w:ascii="仿宋" w:hAnsi="仿宋" w:eastAsia="仿宋" w:cs="仿宋"/>
                <w:color w:val="auto"/>
                <w:kern w:val="2"/>
                <w:sz w:val="21"/>
                <w:szCs w:val="21"/>
                <w:highlight w:val="none"/>
                <w:lang w:val="en-US" w:eastAsia="zh-CN" w:bidi="ar-SA"/>
              </w:rPr>
              <w:t>服务方案进行评分，</w:t>
            </w:r>
            <w:r>
              <w:rPr>
                <w:rFonts w:hint="eastAsia" w:ascii="仿宋" w:hAnsi="仿宋" w:eastAsia="仿宋" w:cs="仿宋"/>
                <w:color w:val="auto"/>
                <w:kern w:val="2"/>
                <w:sz w:val="21"/>
                <w:szCs w:val="21"/>
                <w:highlight w:val="none"/>
                <w:lang w:val="en-US" w:eastAsia="zh-CN" w:bidi="ar-SA"/>
              </w:rPr>
              <w:t>售后方案内容详实，科学合理的得3分，售后方案内容简单、科</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学合理性一般的得1分。（最高3分）</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2.质保期满足招标文件要求的得1分，每延长一年加1分，最多加2分。（最高3分）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547"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w:t>
            </w:r>
          </w:p>
        </w:tc>
        <w:tc>
          <w:tcPr>
            <w:tcW w:w="1374"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标书制作</w:t>
            </w:r>
          </w:p>
        </w:tc>
        <w:tc>
          <w:tcPr>
            <w:tcW w:w="769"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3分</w:t>
            </w:r>
          </w:p>
        </w:tc>
        <w:tc>
          <w:tcPr>
            <w:tcW w:w="6150" w:type="dxa"/>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投标文件按照招标文件要求的格式、内容及顺序填写（包括目录、页码、签字、总体编排等项目），整齐美观的得3分，一般的得1分。</w:t>
            </w:r>
          </w:p>
        </w:tc>
      </w:tr>
    </w:tbl>
    <w:p>
      <w:pPr>
        <w:rPr>
          <w:rFonts w:hint="eastAsia"/>
          <w:color w:val="auto"/>
          <w:highlight w:val="none"/>
          <w:lang w:val="en-US" w:eastAsia="zh-CN"/>
        </w:rPr>
      </w:pP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2、供应商在评标过程中，所进行的力图影响评标结果的不符合招标规则的活动，可能导致其被取消中标资格。</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3、与招标文件有重大偏离的投标文件将被拒绝。</w:t>
      </w:r>
    </w:p>
    <w:p>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%×100</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lang w:val="en-US" w:eastAsia="zh-CN"/>
        </w:rPr>
        <w:t>候选人。</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5、最低报价不作为评标的唯一依据。采购人不承诺将合同授予报价最低的投标人。</w:t>
      </w:r>
    </w:p>
    <w:p>
      <w:pPr>
        <w:shd w:val="clear" w:color="auto" w:fill="auto"/>
        <w:spacing w:before="156" w:beforeLines="50" w:line="400" w:lineRule="exact"/>
        <w:jc w:val="left"/>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6、经评标委员会评议，认为投标报价过高、超出采购人预算的项目，可以不确立中标人，做为废标处理。</w:t>
      </w:r>
    </w:p>
    <w:p>
      <w:pPr>
        <w:shd w:val="clear" w:color="auto" w:fill="auto"/>
        <w:spacing w:before="156" w:beforeLines="50" w:line="400" w:lineRule="exact"/>
        <w:jc w:val="center"/>
        <w:outlineLvl w:val="1"/>
        <w:rPr>
          <w:rFonts w:hint="eastAsia" w:ascii="宋体"/>
          <w:b w:val="0"/>
          <w:bCs/>
          <w:color w:val="auto"/>
          <w:sz w:val="24"/>
          <w:highlight w:val="none"/>
        </w:rPr>
      </w:pPr>
      <w:r>
        <w:rPr>
          <w:rFonts w:hint="eastAsia" w:ascii="宋体"/>
          <w:b w:val="0"/>
          <w:bCs/>
          <w:color w:val="auto"/>
          <w:sz w:val="24"/>
          <w:highlight w:val="none"/>
        </w:rPr>
        <w:t>五</w:t>
      </w:r>
      <w:r>
        <w:rPr>
          <w:rFonts w:hint="eastAsia" w:ascii="宋体"/>
          <w:b w:val="0"/>
          <w:bCs/>
          <w:color w:val="auto"/>
          <w:sz w:val="24"/>
          <w:highlight w:val="none"/>
          <w:lang w:eastAsia="zh-CN"/>
        </w:rPr>
        <w:t>、</w:t>
      </w:r>
      <w:r>
        <w:rPr>
          <w:rFonts w:hint="eastAsia" w:ascii="宋体"/>
          <w:b w:val="0"/>
          <w:bCs/>
          <w:color w:val="auto"/>
          <w:sz w:val="24"/>
          <w:highlight w:val="none"/>
        </w:rPr>
        <w:t>推荐中标候选人</w:t>
      </w:r>
    </w:p>
    <w:p>
      <w:pPr>
        <w:shd w:val="clear" w:color="auto" w:fill="auto"/>
        <w:snapToGrid w:val="0"/>
        <w:spacing w:line="400" w:lineRule="exact"/>
        <w:ind w:firstLine="426" w:firstLineChars="200"/>
        <w:rPr>
          <w:rFonts w:hint="eastAsia" w:ascii="宋体"/>
          <w:b w:val="0"/>
          <w:bCs/>
          <w:color w:val="auto"/>
          <w:szCs w:val="21"/>
          <w:highlight w:val="none"/>
        </w:rPr>
      </w:pPr>
      <w:r>
        <w:rPr>
          <w:rFonts w:hint="eastAsia" w:ascii="宋体"/>
          <w:b w:val="0"/>
          <w:bCs/>
          <w:color w:val="auto"/>
          <w:szCs w:val="21"/>
          <w:highlight w:val="none"/>
          <w:lang w:val="en-US" w:eastAsia="zh-CN"/>
        </w:rPr>
        <w:t>11.1</w:t>
      </w:r>
      <w:r>
        <w:rPr>
          <w:rFonts w:hint="eastAsia" w:ascii="宋体" w:hAnsi="宋体"/>
          <w:b w:val="0"/>
          <w:bCs/>
          <w:color w:val="auto"/>
          <w:szCs w:val="21"/>
          <w:highlight w:val="none"/>
        </w:rPr>
        <w:t>评标委员会推荐</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名中标候选人，并标明排序。</w:t>
      </w:r>
    </w:p>
    <w:p>
      <w:pPr>
        <w:shd w:val="clear" w:color="auto" w:fill="auto"/>
        <w:spacing w:line="400" w:lineRule="exact"/>
        <w:ind w:firstLine="416" w:firstLineChars="196"/>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11.2</w:t>
      </w:r>
      <w:r>
        <w:rPr>
          <w:rFonts w:hint="eastAsia" w:ascii="宋体" w:hAnsi="宋体"/>
          <w:b w:val="0"/>
          <w:bCs/>
          <w:color w:val="auto"/>
          <w:szCs w:val="21"/>
          <w:highlight w:val="none"/>
        </w:rPr>
        <w:t>如出现报价相同情况，则由招标人现场抽签确定中标候选人排名顺序。</w:t>
      </w:r>
    </w:p>
    <w:p>
      <w:pPr>
        <w:shd w:val="clear" w:color="auto" w:fill="auto"/>
        <w:snapToGrid w:val="0"/>
        <w:spacing w:line="400" w:lineRule="exact"/>
        <w:ind w:firstLine="426"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12.</w:t>
      </w:r>
      <w:r>
        <w:rPr>
          <w:rFonts w:hint="eastAsia" w:ascii="宋体" w:hAnsi="宋体"/>
          <w:b w:val="0"/>
          <w:bCs/>
          <w:color w:val="auto"/>
          <w:szCs w:val="21"/>
          <w:highlight w:val="none"/>
        </w:rPr>
        <w:t>无效投标条款</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.1投标文件有下列情形之一的,其投标文件拒收:</w:t>
      </w:r>
    </w:p>
    <w:p>
      <w:pPr>
        <w:shd w:val="clear" w:color="auto" w:fill="auto"/>
        <w:snapToGrid w:val="0"/>
        <w:spacing w:line="400" w:lineRule="exact"/>
        <w:ind w:firstLine="426" w:firstLineChars="200"/>
        <w:jc w:val="left"/>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w:t>
      </w:r>
      <w:r>
        <w:rPr>
          <w:rFonts w:hint="eastAsia" w:ascii="宋体" w:hAnsi="宋体" w:cs="宋体"/>
          <w:b w:val="0"/>
          <w:bCs/>
          <w:color w:val="auto"/>
          <w:szCs w:val="21"/>
          <w:highlight w:val="none"/>
        </w:rPr>
        <w:t>未在开标截止时间前通过网上招标投标系统递交有效电子投标文件的，开标系统不予接收。</w:t>
      </w:r>
    </w:p>
    <w:p>
      <w:pPr>
        <w:shd w:val="clear" w:color="auto" w:fill="auto"/>
        <w:snapToGrid w:val="0"/>
        <w:spacing w:line="400" w:lineRule="exact"/>
        <w:ind w:firstLine="426" w:firstLineChars="200"/>
        <w:jc w:val="left"/>
        <w:rPr>
          <w:rFonts w:hint="eastAsia" w:ascii="宋体" w:hAnsi="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b w:val="0"/>
          <w:bCs/>
          <w:color w:val="auto"/>
          <w:szCs w:val="21"/>
          <w:highlight w:val="none"/>
        </w:rPr>
        <w:t>所有投标人应在规定时间里完成投标文件的解密工作【投标人</w:t>
      </w:r>
      <w:r>
        <w:rPr>
          <w:rFonts w:hint="eastAsia" w:ascii="宋体" w:hAnsi="宋体"/>
          <w:b w:val="0"/>
          <w:bCs/>
          <w:color w:val="auto"/>
          <w:szCs w:val="21"/>
          <w:highlight w:val="none"/>
          <w:lang w:eastAsia="zh-CN"/>
        </w:rPr>
        <w:t>使用</w:t>
      </w:r>
      <w:r>
        <w:rPr>
          <w:rFonts w:hint="eastAsia" w:ascii="宋体" w:hAnsi="宋体"/>
          <w:b w:val="0"/>
          <w:bCs/>
          <w:color w:val="auto"/>
          <w:szCs w:val="21"/>
          <w:highlight w:val="none"/>
        </w:rPr>
        <w:t>其有效加密</w:t>
      </w:r>
    </w:p>
    <w:p>
      <w:pPr>
        <w:shd w:val="clear" w:color="auto" w:fill="auto"/>
        <w:snapToGrid w:val="0"/>
        <w:spacing w:line="400" w:lineRule="exact"/>
        <w:jc w:val="left"/>
        <w:rPr>
          <w:rFonts w:hint="eastAsia" w:ascii="宋体" w:hAnsi="宋体" w:cs="宋体"/>
          <w:b w:val="0"/>
          <w:bCs/>
          <w:color w:val="auto"/>
          <w:szCs w:val="21"/>
          <w:highlight w:val="none"/>
        </w:rPr>
      </w:pPr>
      <w:r>
        <w:rPr>
          <w:rFonts w:hint="eastAsia" w:ascii="宋体" w:hAnsi="宋体"/>
          <w:b w:val="0"/>
          <w:bCs/>
          <w:color w:val="auto"/>
          <w:szCs w:val="21"/>
          <w:highlight w:val="none"/>
        </w:rPr>
        <w:t>锁（CA锁）</w:t>
      </w:r>
      <w:r>
        <w:rPr>
          <w:rFonts w:hint="eastAsia" w:ascii="宋体" w:hAnsi="宋体"/>
          <w:b w:val="0"/>
          <w:bCs/>
          <w:color w:val="auto"/>
          <w:szCs w:val="21"/>
          <w:highlight w:val="none"/>
          <w:lang w:eastAsia="zh-CN"/>
        </w:rPr>
        <w:t>进行</w:t>
      </w:r>
      <w:r>
        <w:rPr>
          <w:rFonts w:hint="eastAsia" w:ascii="宋体" w:hAnsi="宋体"/>
          <w:b w:val="0"/>
          <w:bCs/>
          <w:color w:val="auto"/>
          <w:szCs w:val="21"/>
          <w:highlight w:val="none"/>
        </w:rPr>
        <w:t>解密（因投标人原因未能提供有效CA锁对其投标文件进行解密的，其投标文件按无效标处理），以网上招投标系统解密倒计时为准】，因系统原因未能成功解密的投标文件，可导入</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也无法导入的，则投标文件被否决。</w:t>
      </w:r>
    </w:p>
    <w:p>
      <w:pPr>
        <w:shd w:val="clear" w:color="auto" w:fill="auto"/>
        <w:snapToGrid w:val="0"/>
        <w:spacing w:line="400" w:lineRule="exact"/>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.2投标人有下列情形之一的,资格审查后其投标作无效投标处理：</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(2)投标人为本项目提供招标代理服务的；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(3)投标人与在本项目代理机构存在相互任职或工作的；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(4)投标保证金未按规定要求缴纳的；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w:t>
      </w:r>
      <w:r>
        <w:rPr>
          <w:rFonts w:hint="eastAsia" w:ascii="宋体" w:hAnsi="宋体"/>
          <w:b w:val="0"/>
          <w:bCs/>
          <w:color w:val="auto"/>
          <w:szCs w:val="21"/>
          <w:highlight w:val="none"/>
        </w:rPr>
        <w:t>评标专家无法查看并检验电子标书中相关资料的；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(6)投标人超出营业范围投标的；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(7)联合体投标未提交联合体协议的；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(8)被暂停营业的；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(9)被暂停或取消投标资格的；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(10)财产被接管或冻结的；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(11)投标人单位负责人为同一人或者存在控股、管理关系的不同单位的；</w:t>
      </w:r>
    </w:p>
    <w:p>
      <w:pPr>
        <w:shd w:val="clear" w:color="auto" w:fill="auto"/>
        <w:snapToGrid w:val="0"/>
        <w:spacing w:line="400" w:lineRule="exact"/>
        <w:ind w:firstLine="319" w:firstLineChars="150"/>
        <w:jc w:val="left"/>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w:t>
      </w:r>
      <w:r>
        <w:rPr>
          <w:rFonts w:hint="eastAsia" w:ascii="宋体" w:hAnsi="宋体" w:cs="宋体"/>
          <w:b w:val="0"/>
          <w:bCs/>
          <w:color w:val="auto"/>
          <w:szCs w:val="21"/>
          <w:highlight w:val="none"/>
        </w:rPr>
        <w:t>标人基本资格条件和特定资格条件中有一项及以上不符合要求的；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（13）投标人使用相同的MAC地址进行报名的；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（16）</w:t>
      </w:r>
      <w:r>
        <w:rPr>
          <w:rFonts w:hint="eastAsia" w:ascii="宋体" w:hAnsi="宋体" w:cs="宋体"/>
          <w:b w:val="0"/>
          <w:bCs/>
          <w:color w:val="auto"/>
          <w:szCs w:val="21"/>
          <w:highlight w:val="none"/>
          <w:lang w:eastAsia="zh-CN"/>
        </w:rPr>
        <w:t>采购文件</w:t>
      </w:r>
      <w:r>
        <w:rPr>
          <w:rFonts w:hint="eastAsia" w:ascii="宋体" w:hAnsi="宋体" w:cs="宋体"/>
          <w:b w:val="0"/>
          <w:bCs/>
          <w:color w:val="auto"/>
          <w:szCs w:val="21"/>
          <w:highlight w:val="none"/>
        </w:rPr>
        <w:t>规定的其它无效投标情形。</w:t>
      </w:r>
    </w:p>
    <w:p>
      <w:pPr>
        <w:shd w:val="clear" w:color="auto" w:fill="auto"/>
        <w:snapToGrid w:val="0"/>
        <w:spacing w:line="400" w:lineRule="exact"/>
        <w:ind w:firstLine="426"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.3 投标人有下列情形之一的,符合性审查后其投标按无效投标处理：</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(1)投标文件签字、盖章不全，经评标委员会一致认定对开评标内容有实质性影响并经监督部门核准的；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)同一投标人提交两个以上不同的投标文件或者投标报价，但</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规定提交备选方案的除外；</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)投标文件没有对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的实质性要求和条件作出响应;</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)投标报价超出规定的投标限价或公布的采购预算的；注：投标人的投标报价各项单价均不得高于</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给定的单价最高限价，否则，其投标文件将按无效投标处理。</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)不按评标委员会要求澄清、说明或补正的，或者评标委员会根据</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的规定对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的计算错误进行修正后，投标人不接受修正的投标报价的。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）未按照</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的规定提交投标保证金的；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）投标文件含有采购人不能接受的附加条件的;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规定的其它无效投标情形。</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pPr>
        <w:ind w:firstLine="426" w:firstLineChars="200"/>
        <w:jc w:val="both"/>
        <w:rPr>
          <w:rFonts w:hint="eastAsia" w:ascii="Times New Roman" w:hAnsi="Times New Roman" w:eastAsia="宋体" w:cs="Times New Roman"/>
          <w:b/>
          <w:bCs/>
          <w:color w:val="auto"/>
          <w:sz w:val="32"/>
          <w:szCs w:val="40"/>
          <w:highlight w:val="none"/>
          <w:lang w:val="en-US" w:eastAsia="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bookmarkEnd w:id="49"/>
      <w:bookmarkEnd w:id="50"/>
      <w:bookmarkEnd w:id="54"/>
      <w:bookmarkEnd w:id="55"/>
      <w:bookmarkStart w:id="56" w:name="OLE_LINK4"/>
    </w:p>
    <w:p>
      <w:pPr>
        <w:jc w:val="center"/>
        <w:rPr>
          <w:rFonts w:hint="eastAsia" w:ascii="Times New Roman" w:hAnsi="Times New Roman" w:eastAsia="宋体" w:cs="Times New Roman"/>
          <w:b/>
          <w:bCs/>
          <w:color w:val="auto"/>
          <w:sz w:val="32"/>
          <w:szCs w:val="40"/>
          <w:highlight w:val="none"/>
          <w:lang w:val="en-US" w:eastAsia="zh-CN"/>
        </w:rPr>
        <w:sectPr>
          <w:headerReference r:id="rId3" w:type="default"/>
          <w:footerReference r:id="rId4" w:type="default"/>
          <w:pgSz w:w="11905" w:h="16838"/>
          <w:pgMar w:top="1440" w:right="1797" w:bottom="1440" w:left="1797" w:header="850" w:footer="992" w:gutter="0"/>
          <w:pgNumType w:fmt="decimal"/>
          <w:cols w:space="720" w:num="1"/>
          <w:rtlGutter w:val="0"/>
          <w:docGrid w:type="linesAndChars" w:linePitch="325" w:charSpace="635"/>
        </w:sectPr>
      </w:pPr>
    </w:p>
    <w:p>
      <w:pPr>
        <w:jc w:val="center"/>
        <w:rPr>
          <w:rFonts w:hint="eastAsia" w:ascii="Times New Roman" w:hAnsi="Times New Roman" w:eastAsia="宋体" w:cs="Times New Roman"/>
          <w:b/>
          <w:bCs/>
          <w:color w:val="auto"/>
          <w:sz w:val="32"/>
          <w:szCs w:val="40"/>
          <w:highlight w:val="none"/>
          <w:lang w:val="en-US" w:eastAsia="zh-CN"/>
        </w:rPr>
      </w:pPr>
      <w:r>
        <w:rPr>
          <w:rFonts w:hint="eastAsia" w:ascii="Times New Roman" w:hAnsi="Times New Roman" w:eastAsia="宋体" w:cs="Times New Roman"/>
          <w:b/>
          <w:bCs/>
          <w:color w:val="auto"/>
          <w:sz w:val="32"/>
          <w:szCs w:val="40"/>
          <w:highlight w:val="none"/>
          <w:lang w:val="en-US" w:eastAsia="zh-CN"/>
        </w:rPr>
        <w:t>第四章、采购内容及技术要求</w:t>
      </w:r>
    </w:p>
    <w:p>
      <w:pPr>
        <w:rPr>
          <w:rFonts w:hint="eastAsia" w:ascii="宋体" w:hAnsi="宋体" w:cs="宋体"/>
          <w:b/>
          <w:bCs/>
          <w:color w:val="auto"/>
          <w:kern w:val="2"/>
          <w:sz w:val="24"/>
          <w:szCs w:val="24"/>
          <w:highlight w:val="none"/>
          <w:lang w:val="en-US" w:eastAsia="zh-CN" w:bidi="ar-SA"/>
        </w:rPr>
      </w:pPr>
    </w:p>
    <w:p>
      <w:pPr>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一、技术参数</w:t>
      </w:r>
    </w:p>
    <w:tbl>
      <w:tblPr>
        <w:tblStyle w:val="28"/>
        <w:tblW w:w="140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428"/>
        <w:gridCol w:w="641"/>
        <w:gridCol w:w="805"/>
        <w:gridCol w:w="8089"/>
        <w:gridCol w:w="922"/>
        <w:gridCol w:w="782"/>
        <w:gridCol w:w="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51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阿图什市第二幼儿园</w:t>
            </w:r>
          </w:p>
        </w:tc>
        <w:tc>
          <w:tcPr>
            <w:tcW w:w="92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单价（元）</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合计（元）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大型会议桌长桌简约会议桌组合接待桌</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采用25mm密度板，无甲醛味，耐磨，耐烫，板面有多种颜色可以选择，厚度0.6MM，木纹清晰自然，颜色线条拼合细密，采用知名品牌E1级中密度纤维板基材，台面厚度80MM，封边为2MM厚，优质烘干实木封边，平直、顺滑，不脱胶、不翘起，台面厚度30MM，其余部件18MM，所有木材需经过三道烘干处理、防潮、防腐、防虫等化学处理，符合国家GB18584-2001标准，木材含水率低于9%，性能稳定不易变形。采用知名品牌亚光环保聚酯漆，开放漆工艺，油漆工艺为五底三面，酮模坚硬、光泽、亮丽、光滑平整，无颗粒、气泡、渣点，颜色均匀，耐磨耐高温，漆面硬度达3H以上，底漆、面漆符合国家GB18518-2001标准。采用优质标准五金件配件链接，整体五金配件紧密拼接，封边细腻，线条均匀，转角过度自然，间隙细小且均等。采用环保胶黏剂及白乳胶，粘合剂符合国家GB18583-2001，白乳胶符合国家环境技术要求（12人坐）。</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书柜文件柜实木收纳家用靠墙落地组合多功能柜3m*2m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1、饰面：IP饰面纸，通过GB/T 15102-2006技术标准浸渍胶膜纸饰面；具有色泽鲜明，防潮、耐磨、抗酸碱、抗弯能力强、抗污染特性；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2、基材：采用优质E1级板,优质绿色环保产品,甲醛含量≤1.0mg/L,密度≥760kg/m3,静曲张度≥51.2Mpa,吸水膨胀率≤8.1%. （GB18580-2001），板内密度偏差、含水率、静曲强度、弹性模量、内胶合强度、表面胶合强度、2h吸水厚度膨胀率、握钉率均达到《环境标志产品认证技术要求人造板及其制品》 （HBC 17－2003）的相关要求、GB/T 4897-2015国标标准。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3、粘合剂：知名品牌乳胶；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五金配件：优质国标五金配件，优质锌合金液压阻尼铰链，国标锁芯锁具，纯铜镀铬拉手，符合金属家具通用技术条件GB/T 3325-2017。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成人办公用小型现代创意简约桌椅（一桌一椅）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尺寸1400*700*760mm 简约时尚，采用E1级实木颗粒板耐磨防腐抗划痕</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推拉式会议桌（可折叠带鼓轮）</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冷轧钢管，顶板为1.4mm钢板冲压成型，立柱50*25*T1.2方通，层板为0.7mm钢板冲压折边，表面全处理后高温静电喷涂。手按折叠开关，带刹车PU静音轮。板材采用优质三聚氰胺饰面的刨花板基材，基材经过防虫防潮防腐处理，表面防刮耐磨，面板厚度25mm，1.5mmPVC封边，挡板厚度15mm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职员办公桌简约现代六人位办公室桌椅组合屏风桌工位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基材：采用优质绿色环保E1级颗粒板，饰面采用优质环保三聚氰胺饰面，密度高且均匀，干燥至低于9%的含水率，经防腐蚀、防虫等化学处理。木材甲醛含量小于0.4㎜/100㎏，密度970㎏/㎡，吸水厚度膨胀率1.3%/24小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2、配件：优质无声导轨、铰链、合页、锁具及五金连接件，所有五金配件全部经过防锈，防腐处理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3、铝材：新达铝材，纯铝合金6063-T工业铝型材,高强度结构，壁厚1.5MM，不变形，表面采用阳极氧化，氧化膜厚15um,氧化表面美观，耐腐蚀，环保耐用,不易断裂。</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bookmarkStart w:id="141" w:name="_GoBack" w:colFirst="0" w:colLast="4"/>
            <w:r>
              <w:rPr>
                <w:rFonts w:hint="eastAsia" w:ascii="宋体" w:hAnsi="宋体" w:eastAsia="宋体" w:cs="宋体"/>
                <w:i w:val="0"/>
                <w:iCs w:val="0"/>
                <w:color w:val="auto"/>
                <w:kern w:val="0"/>
                <w:sz w:val="18"/>
                <w:szCs w:val="18"/>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弓形椅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500*450*980mm，网面，不锈钢钢架，弓</w:t>
            </w:r>
            <w:r>
              <w:rPr>
                <w:rFonts w:hint="eastAsia" w:ascii="宋体" w:hAnsi="宋体" w:eastAsia="宋体" w:cs="宋体"/>
                <w:i w:val="0"/>
                <w:iCs w:val="0"/>
                <w:color w:val="auto"/>
                <w:kern w:val="0"/>
                <w:sz w:val="18"/>
                <w:szCs w:val="18"/>
                <w:highlight w:val="none"/>
                <w:u w:val="none"/>
                <w:lang w:val="en-US" w:eastAsia="zh-CN" w:bidi="ar"/>
              </w:rPr>
              <w:t>形</w:t>
            </w:r>
            <w:r>
              <w:rPr>
                <w:rFonts w:hint="eastAsia" w:ascii="宋体" w:hAnsi="宋体" w:eastAsia="宋体" w:cs="宋体"/>
                <w:i w:val="0"/>
                <w:iCs w:val="0"/>
                <w:color w:val="auto"/>
                <w:kern w:val="0"/>
                <w:sz w:val="18"/>
                <w:szCs w:val="18"/>
                <w:highlight w:val="none"/>
                <w:u w:val="none"/>
                <w:lang w:val="en-US" w:eastAsia="zh-CN" w:bidi="ar"/>
              </w:rPr>
              <w:t>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bookmarkEnd w:id="14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墙面乐高14平米加滑道</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1.底板52片，【材质：进口桦木夹板，52片完整底板（48*48cm）】2.收纳盒27个【材质：进口桦木夹板，27个完整收纳盒（48*12.5cm）】3奇想齿轮2套【不同大小，不同颜色的齿轮，通过小朋友任意的搭建，连接出不同的图案，然后进行旋转操作。材质：桦木，环保水性漆。大齿轮黄色，橙色各1个，小齿轮红色，浅绿，紫色，浅蓝各2个，小齿轮蓝色，粉色，深绿，黄色各1个，合计14个齿轮.可迁移元素（mg/kg）: 锑 ≤ 60;砷 ≤ 25;钡 ≤1000;镉 ≤75;铬 ≤60;铅 ≤90 ;汞 ≤60;硒 ≤500.】4.疯狂跑道3套【通过不同孔的轨道，拼接成各种轨道路径，然后将球或者汽车从顶部放开，能够顺着轨道滚到下方设定好的位置。材质：榉木，环保水性漆。轨道有蓝，橙，黄，绿，原木色，各4个，总共20块轨道,圆柱有蓝，橙，黄，绿，原木色，各4个，总共20个圆柱， 6个直径为4.2cm圆球，2辆小车。可迁移元素（mg/kg）: 锑 ≤ 60;砷 ≤ 25;钡 ≤1000;镉 ≤75;铬 ≤60;铅 ≤90 ;汞 ≤60;硒 ≤500.】5.疯狂跑道-冲关挑战1套【疯狂跑道-冲关挑战是在疯狂跑道基础上增加任务块，其目的是培养幼儿任务意识，是幼儿社会性发展的表现。】6.疯狂跑道-趣味模块1套【疯狂跑道-趣味模块是在疯狂跑道基础上增加趣味模块，丰富游戏趣味性】7.管道游戏1套【使用不同的管道配件连接建立多样的管道布局，再用木圆环固定在孔板上，然后将小球从顶端处释放，小球在管道内运动，最终落入收纳盒。教育要点：管道游戏是一款通过搭建，观察小球从管道中的运动和掉落，感知重力存在的游戏，在搭建预算过程中促进幼儿想象力和创造力发展。】8.管道游戏--软管接力1套【游戏配置清单：软管：4个，固定器12个，插珠（塑料扣长）24颗清水。                                                                                                                                                                          教育要点：该款玩具是为幼儿提供塑料软管及固定使用的配件，经过幼儿自由搭建或根据主题搭建后，形成小球滚动的通道，幼儿观察小球滚落的速度与时长。通过通道搭建和小球的滚动，促进幼儿小肌肉群、幼儿手眼协调、沟通合作能力的发展；在游戏中，幼儿会自然地观察小球在管道中运动的速度、方向，探索洞口位置、推力大小与小球落下位置的关系等物理原理。感受推力大小、惯性原理在小球运动中的不同作用，从而促使幼儿进一步观察生活中的力学原理。可迁移元素（mg/kg）: 锑 ≤ 60;砷 ≤ 25;钡 ≤1000;镉 ≤75;铬 ≤60;铅 ≤90 ;汞 ≤60;硒 ≤500.】9.音乐之旅1套【将轨道和音阶进行搭建，从轨道上方放下彩球，球敲击音阶，发出美妙音乐，也可以将音阶照乐谱的顺序进行排放，能够敲击出一首好听的音乐。材质：榉木，环保水性漆。原木色轨道16个，尺寸为28cm*3.7cm*2.7cm,平帽木柱16个，竖琴片16个，横琴片8个，榉木敲棒1个，滚珠2颗。】10.万能迷宫1套【运用四种不同形状的方块，拼搭出各种各样的迷宫路径，通过磁力棒，将钢珠在轨道内进行远笔操作，完成各种任务场景。材质：桦木，环保水性漆。轨道有一字轨道18个.半圆轨道7个.双半圆轨道4个.人字轨道7个，共计36个，2个吸棒，6颗钢珠，2个吸盘。可迁移元素（mg/kg）: 锑 ≤ 60;砷 ≤ 25;钡 ≤1000;镉 ≤75;铬 ≤60;铅 ≤90 ;汞 ≤60;硒 ≤500.】11.冲出机关1套【运用四种不同形状的方块，拼搭出各种各样的迷宫路径，通过磁力棒，将钢珠在轨道内进行远笔操作，完成各种任务场景。材质：桦木，环保水性漆。5块机关障碍物】12.四色游戏1套【通过在滑轨上的移动，使用12颗棋子，拼搭成提示卡上的不同图案。材质：榉木，环保水性漆。一字槽滑轨8个，十字槽滑轨4个，2个半圆槽滑轨，插珠10颗，棋子红，黄，绿，蓝各3个，总共12个，颜色提示卡1个。】13.多米诺1套【红色多米诺8片、橙色多米诺6片、黄色多米诺6片、绿色多米诺6片、蓝色多米诺6片，红色插珠8颗、橙色插珠6颗、黄色插珠6颗、绿色插珠6颗、蓝色插珠6颗】14.卡通拼图1套【提供动物原图，让小朋友在分开的九块图案里找出相应的图案，并将它重新拼成完整的图案。拼图1套，插珠32颗，11个十字槽滑轨，9个一字槽滑轨。】15.四子棋1套【传统经典双人游戏，每人一次放置一个颜色棋子，看谁最先将将四颗棋子连成一条线，线条可以是直线，可以是横线，也可以是斜线。材质：榉木，环保水性漆。一字槽36个，插珠18颗，红绿棋子各24颗】16.快乐小投手1套【根据不同的内容，例如数字、颜色、动物等，小朋友找到后，相应的投上去。材质：榉木，环保水性漆。圆柱6颗，6个颜色套圈，6个数字套圈】17.绳索探险1套【一款手眼协调平衡游戏，通过手握圆球拉动绳子，将钢珠从起点，移动到终点。材质：榉木，环保水性漆。1片底板，尺寸48cm*48cm，绳圈一条，钢珠6颗，固定绳圈木螺丝2颗，固定底板木螺丝4颗】18.写字训练游戏1套【写字训练游戏板 是一款专为3岁以上孩子书写训练游戏，发展幼儿视触协调能力的提升，让幼儿运笔能力的提高，培养幼儿入小学的积极情感。】19.城市滑轨1套【材质：榉木、桦木，环保水性漆。一字形滑轨80个，十字形滑轨10个，T字形滑轨15个，单圆角滑轨5个，人字形滑轨5个，双圆角滑轨5个，滑动小车7个，城市设施模块一套】20.律动阶梯1套【配置清单：阶梯轨道4个，木摇摆2个，小木车1个，滚球1个。玩法要点：使用律动阶梯在孔板上搭建，不同的玩法场景（玩木摇摆、玩车、玩球）去要调整阶梯的角度和连接位置，需要多次尝试，最终能够成功滚落收纳盒中。教育要点：律动阶梯是一款适合4岁以上的孩子学习认知重力、阻力、离心力以及速度、角度之间关系的力学进阶玩具，启发幼儿对科学好奇心和求知欲】21.摩登旋梯（96cm高）1套【玩法要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1、将开关拨置电池供电，摩登旋梯会自动开始运转，把球传输到至高点。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2、将开关拨置摇动发电供电，摇动发电机手柄，摩登旋梯开始运转，把球传输到至高点。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3、当电池电量降低时，将充电器插头插入右边充电插座进行充电即可。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摩登旋梯运珠装置，由高精度铝合金法兰轴，实木齿轮和道球转台，进口蜗轮蜗杆直流减速电机，手摇发电机及充电电池等结构，巧妙组合成动感的三维道球路径将下游木球运往上游， 木球通过孔板墙面变化无穷的疯狂跑道循环滚动，充分体验三维空间的美妙和运动的快感，整个动态过程非常壮观。 可迁移元素（mg/kg）: 锑 ≤ 60;砷 ≤ 25;钡 ≤1000;镉 ≤75;铬 ≤60;铅 ≤90 ;汞 ≤60;硒 ≤500. 产品尺寸48*96cm】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多功能一体机</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台</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屏幕可视区域＞85英寸（对角线），采用UHD超高清液晶屏，显示比例16:9，分辨率3840(H)*2160(Z)，可视角度≥178°；最大屏幕亮度≥350cd/m²，符合国家GBZ40070H-2021CZ《儿童青少年学习用品近视防控卫生要求》。（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2.整机金属材质，屏幕表面防眩光钢化玻璃，厚度≤4mm，透过率＞88%，表面硬度＞8H 。屏幕灰阶≥256级，NTSC色域覆盖率不低于85%。钢化玻璃选用国标优等品，光学变形、点状缺陷、尺寸偏差、弯曲度、透射比等均符合GB11614H-2009YL平板玻璃标准（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整机显示屏幕贴合方式采用全贴合工艺，屏幕保护玻璃与显示液晶屏组件无任何间隙，中间无空气介质，减少显示面板与玻璃间的偏光、散射，画面显示更加清晰通透、可视角度更广。整机采用直流背光源，保证显示画面无频闪，有效避免视觉疲劳。硬件低蓝光背光技术，在源头减少有害蓝光波段能量，蓝光占比（有害蓝光415～455nm能量综合）/（整体蓝光400～500能量综合）＜50%，低蓝光保护显示不偏色、不泛黄。（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4.整机屏幕能够准确还原画面细节，画面细节及伽马值无损失，确保师生观看画面不会因显示损耗导致视觉偏差。视网膜蓝光危害（蓝光加权辐射亮度LB）满足IEC TR 62778:2014蓝光危害RG0级别。（提供具有CMA认证标识的第三方检测机构权威检测报告及国家级相关机构出具的技术证明文件）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5.整机电磁干扰ITE达到国标GB/T9254HZ-2008 Class B等级，满足教学环境多电子设备共用，无需采取任何电磁辐射防护措施。（提供产品CCC认证证书复印件并加盖厂商公章，CCC证书内不得体现ClassA警示标识）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6.整机具备自动光感功能，能感应并自动调节屏幕亮度来达到在不同光照环境下的最佳显示效果，此功能可设置开启或关闭。（提供具有CMA认证标识的第三方检测机构权威检测报告）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7.采用红外触控技术，支持Windows系统中进行不低于20点触控，支持在Android系统中进行10点或以上触控。（提供具有CMA认证标识的第三方检测机构权威检测报告）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整机支持多种智能护眼功能，可通过两侧触控按键及前置物理按键进行护眼模式切换，护眼模式下，整机显示画面更加柔和，有效保护视力；在书写或触控屏幕时，亮度自动降低，保护教师眼睛，触控或书写完成后亮度增加，适合观看。（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整机内置非独立的高清摄像头，摄像头与整机采用一体化设计，无外露连线。摄像头对角角度≥135度，拍摄像素数≥1300W，可用于远程巡课、二维码扫描等功能。且摄像头具备工作指示灯，摄像头运行时，有指示灯提示。支持一键开启录课功能，可将屏幕中显示的课件、音视频内容与老师人声同时录制。（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支持一键开启录课功能，可将屏幕中显示的课件、音视频内容与老师人声同时录制。（提供具有CMA认证标识的第三方检测机构权威检测报告）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10.整机内置不低于8阵列麦克风，麦克风采用非独立扩展形式，不占用整机设备端口，可用于对教室环境音频进行采集，麦克风拾音距离≥12米。（提供具有CMA认证标识的第三方检测机构权威检测报告）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11.为满足课堂视听需求，整机具备不少于2 个中高音单元和1个中低音单元，整机扩声系统总功率不低于50W。（提供具有CMA认证标识的第三方检测机构权威检测报告）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整机具备不少于6个独立物理按键，包括三合一电源按键，设置、音量加减及不少于2个可自定义功能按键，自定义功能包含半屏模式、一键录课、护眼模式等功能，满足不同用户的使用需求。（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整机具备前置Type-C接口，可实现音视频输入，外接电脑设备经双头Type-C线连接至整机，即可把外接电脑设备画面投到整机上，同时在整机上操作画面，可实现触摸电脑的操作，无需再连接触控USB线。前置Type-C接口支持4K 60Hz显示输入；支持快速充电协议，可以给教学平板、教学笔记本、手机等进行快速充电。（提供具有CMA认证标识的第三方检测机构权威检测报告）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14.内置无线网卡，实现WiFi 2.4G/5G无线上网、AP热点发射及BT蓝牙连接。Wi-Fi和AP热点工作距离≥12m。有线网线可实现Android、Windows双系统有线网络连通。支持802.1x EAP身份认证网络连接，能够登陆需要进行身份认证的校园网。（提供具有CMA认证标识的第三方检测机构权威检测报告）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无线传屏功能：内置无线投屏接收系统，无需外置接收器，无线投屏发射器与整机匹配后即可实现传屏功能，将外部电脑的屏幕画面及声音通过无线方式传输到整机上。（提供具有CMA认证标识的第三方检测机构权威检测报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设备具备全通道悬浮菜单，悬浮菜单具有信号源切换、白板软件、锁屏、降半屏等功能。具备全通道双侧边虚拟按键，通过侧边栏可实现返回、主页、信源、页面切换、白板、批注、进入二级菜单等功能；二级菜单包括但不仅限于：无线网络、蓝牙、护眼、半屏、截图、锁屏、设置、计时器、计算器、音量加减、亮度调节等功能。（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任意通道下，可通过五指长按屏幕，实现息屏和唤醒屏幕的功能；可识别五指上、下、左、右方向手势滑动调用相应功能，支持将各手势滑动方向自定义设置为无操作、息屏、批注、主页、半屏模式等。（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18.整机内置嵌入式安卓系统，版本≥11.0，运行内存≥2GB ，内置存储空间＞8GB。提供快捷桌面，用户可以快捷进入白板、文件管理、电脑桌面及更多应用。安卓系统下可实现windows系统中常用的教学应用功能，如白板书写、WPS软件使用和网页浏览。能对USB接口所读取到的文件进行自动归类，可分类查找文档、图片、多媒体，检索后可直接在界面中打开。白板书写内容可导出PDF、IWB、JPG等格式。（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19.嵌入式Android操作系统下，内置通过权威眼科医院临床试验验证的电子视力表软件，支持通过触摸方式进行视力检测，助力校园近视防控工作开展。（提供具有CMA及CNAS认证标识的第三方检测机构权威检测报告）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电子视力表软件由设备生产厂商与与权威三甲医院眼科共同开发，符合GB11533-2011标准对数视力表相关要求，保证测试数据的准确性和权威性。（提供国家权威眼科医院出具的临床试验报告复印件并加盖厂家公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21.内置权威三甲医院眼科制作的护眼百科内容，包含专家视频、护眼动画等资源；不少于50个权威护眼视频。（提供具有CMA及CNAS认证标识的第三方检测机构权威检测报告）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22.整机内置信息发布系统，信息发布系统后台管理系统采用“B/S”架构、SaaS服务方式，可以选择web端推送内容。（提供功能截图）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23.信息发布系统功能特点：定时开关机、远程发布、监控管理、自动循环播放、分组式管理。（提供功能截图）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24.整机进入还原界面时，可点击屏幕选择安卓系统还原、OPS还原以及正常启动选项。（提供具有CMA认证标识的第三方检测机构权威检测报告）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25.整机支持智能U盘锁功能，可设置触摸及按键锁定，锁定后无法随意自由操作，需要使用时插入USB key解锁。（提供具有CMA认证标识的第三方检测机构权威检测报告）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26.硬件自检功能：整机具备内置硬件自检工具，可以一键进行硬件系统自动检测，对系统内存空间、存储空间、软件版本、wifi模块、OPS状态、本机温度、光感、红外触摸框连接状态等提供直观的状态提示。（提供具有CMA认证标识的第三方检测机构权威检测报告）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27.移动可推拉支架，万向轮带锁止功能，国标钢架结构可承重150GK，安全稳定。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28.电脑模块可抽拉式插入整机，支持不断电情况下热插拔，接口采用Intel通用标准80PIN，即插即用，易于维护。处理器Intel Core i5， DDR4内存≥8GB ，SSD固态硬盘≥256GB。具有独立非外扩展的电脑USB接口：≥3路USB3.0，≥1路USB2.0，且支持Android/windows双系统调用；具有一键还原和系统保护功能。(提供具有CMA认证标识的第三方检测机构权威检测报告)；为保障与整机的兼容性，电脑模块与整机为同一制造商。（提供电脑模块与整机CCC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29.PPT教学助手：无需打开任何其他软件，支持课件上下翻页、页面预览及快速跳转；支持自动启动批注功能；支持书写、擦除功能，支持手势擦除，支持一键清除笔迹；支持小黑板辅助教学功能、可调用放大镜、聚光灯等小工具进行授课；支持一键开启录屏功能，将课件、音视频内容与老师人声同时录制，录制完成后保存到桌面，供老师后续作为教学素材使用；支持课件及板书内容直接生成分享二维码，扫码后支持在手机端进行查看及二次分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教学白板软件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1.采用备授课一体化设计，教师可根据教学场景自由切换类PPT界面的备课模式与触控交互教学模式，适用于教室、办公室等不同备授课环境，便于教师教学使用；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支持老师自主注册个人账号登陆使用，根据教师账号信息将教师云空间匹配至对应学校、学科校本资源库，支持老师通过数字账号、微信二维码等方式登录个人账号；为教师提供永久免费使用的5G个人云存储空间，同时根据每名教师使用时长与教学资料制作频率提供可扩展升级空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支持课件云同步，课件内容的编辑修改可自动同步至云端，无需单独保存上传，保障多端调用的同个课件均为最新版本，有效避免教学资源的损坏、遗失；编辑多份互动课件时，教师可一键将所有处于编辑状态的课件同步到互动课件云空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4.支持课件云存储，无需使用U盘等存储设备，联网登陆账号即可获取云课件；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5.支持分组管理云课件，用户可自定义分组名称，对课件进行分类管理；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6.互动教学课件支持开放式云分享，分享者可将互动课件、课件组以web链接和二维码形式分享给一个或多个用户，分享链接可设置访问有效期，接收用户可在云空间下载、打开、编辑或再次分享课件；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8.支持设置课件中元素出现、动作、消失动画，提供至少40种动画类型；提供至少10种形式的触发动画设置，提供至少5种课件页面翻页动画设置；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9.内置不少于40种符合教学需要的课件背景供教师直接使用，且教师可自定义课件背景。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10.教学软件兼容传统课件制作工具的组合快捷按键，支持如加粗（Ctrl+B）、文字居中（Ctrl+E）等教师熟悉的组合按键，鼠标悬停至功能按键时自动提示组合快捷键，内置组合快捷键数量不少于50个；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11.数学公式：支持中英文、数学公式的编辑输入，可快速输入方程组，提供不少于70个数学符号及模板；预置不少于40个常用数学公式，无需编辑一键插入；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12.支持录课助手功能，可进行桌面录制、桌面及摄像头录制、教室全场景录制等多种录制方式，录制的视频可保存到本地，供老师自行使用；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古诗词：提供覆盖幼儿、小学、初中、高中的古诗词、古文教学资源：包含原文、翻译、背景介绍、作者介绍，全部古诗词资源按照年级学段、朝代、诗人进行精细分类，教师仅需点击分类关键词即可快速跳转至对应资源，无需输入诗词名称即可快速检索，支持教师直接搜索诗词、古文名称或作者名称进行查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移动授课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1)软件提供移动授课功能模块，不需借助任何外接设备，只需手机与交互智能平板能访问互联网，即可进行移动授课；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2)可实现与Android、iOS、Windows系统的手机、平板、笔记本电脑等终端进行无线连接；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3)具备客户端生成热点功能，在没有路由器的情况下，可通过客户端生成局域网热点供外部终端进行无线连接，并支持二维码扫描连接，无需手动设置；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4)支持Office、WPS及白板软件课件远程同步，可通过移动端对智能平板上的课件实现页面预览、远程翻页、激光笔等功能；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5)可实现交互智能平板与手持终端屏幕同步显示，支持多种手持终端的手势识别；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6)具备移动展台功能，可对试卷、课本等实物进行拍摄并将照片一键上传至大屏，上传前可对照片进行裁剪旋转等操作，对上传的照片可进行批注、擦除、保存等操作；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7)具备多图对比展示功能，可将多位学生的作业、试卷或实验结果拍摄上传至交互智能平板进行对比展示，双向批注；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8)具备本地文件智能管理功能，可对移动终端上的图片、视频、压缩包进行自动分类，方便快速找到相应文件，并支持一键上传到交互智能平板中并打开；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9)支持手机投屏，可通过该软件将手机屏幕画面实时投影到大屏上；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10)提供直播功能，移动端拍摄画面实时同步至授课显示端，直播竖屏、全屏显示方式根据移动端拍摄自动适配；</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电钢琴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1、演奏性能:白键下沉偏差≤1.0㎜;相邻两白键偏差≤0.5㎜;相邻两白键高度误差≤0.5㎜; 全键盘白键表面高度误差≤2.0㎜；琴键耐久性≥100万次。2、声学品质: 全音域音准误差≤±2音分; 相邻两键音准误差之差≤3音分;全键盘同一音名的音高变化≤2音分。3、有害物质限量:甲醛≤0.08mg/m³;甲苯≤0.20mg/m³;二甲苯≤0.20mg/m³;苯≤0.11mg/m³;总挥发有机化合物≤0.60mg/m³。4、琴键规格:标准钢琴键。5、键盘逐级配重:有。6、键盘传感器≥3个。7、键盘盖:滑动式。8、双钢琴功能:有。9、钢琴音色明亮度调节范围≥±3。10、力度感应≥3级,可关闭。11、复音数≥192。12、音色数量≥22种。13、数字效果器:有。14、模拟音效:制音共鸣、音槌响应。15、节拍器速度调节范围≥20-255拍/分钟。16、节拍器音量调节功能:有。17、混响≥4种。18、合唱≥4种。19、音乐厅效果≥4种。20、乐曲库≥60首,音量可调。21、用户乐曲数量≥10首,每首乐曲文件容量≥90KB,音量可调。22、演奏会乐曲数量≥10首。23、 乐曲学习功能:有,左手声部/右手声部分可开练习,音量可调。24、音律≥17种。25、轨道录音功能:有,轨道数量≥2轨,每首乐曲音符容量≥5,000个。26、三角钢琴音色快捷按钮数量≥2个。27、移调范围≥±12个半音。28、调音功能:有,A4=415.5Hz-465.9Hz。29、八度升降范围≥±2。30、踏板类型:标准钢琴三踏板。31、MIDI接收频道≥16。32、MIDI设备接口类型:B型USB。33、耳机接口数量≥2个。34、电源接通指示灯:有。35、谱架:有。36、扬声器输出功率≥16W。37、扬声器直径≥12㎝。38、供电方式:交流供电。39、自动关机功能:有。40、面板锁定功能:有。有害物质含量（单位：mg/m³）：甲醛≤0.08%；甲苯≤0.20%；二甲苯≤0.20%；苯≤0.11%；总挥发有机化合物≤0.60%。含配套钢琴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16寸实木鼓身中国鼓降龙款 包含儿童鼓架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16寸实木红鼓+鼓棒+鼓架</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4.6*2.5墙面乐高玩具加滑道</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1.底板50片，【材质：进口桦木夹板，36片完整底板（48*48cm），4片（28*48cm），9片（48*45.5cm），1片（28*45.5cm）】2.收纳盒10个【材质：进口桦木夹板，9个完整收纳盒（48*12.5cm）,1个28cm】3.疯狂跑道1套【通过不同孔的轨道，拼接成各种轨道路径，然后将球或者汽车从顶部放开，能够顺着轨道滚到下方设定好的位置。材质：榉木，环保水性漆。轨道有蓝，橙，黄，绿，原木色，各4个，总共20块轨道,圆柱有蓝，橙，黄，绿，原木色，各4个，总共20个圆柱， 6个直径为4.2cm圆球，2辆小车。可迁移元素（mg/kg）: 锑 ≤ 60;砷 ≤ 25;钡 ≤1000;镉 ≤75;铬 ≤60;铅 ≤90 ;汞 ≤60;硒 ≤500.】4.疯狂跑道-大力摆锤1套【疯狂跑道-大力摆锤，疯狂跑道的辅助配件之一，参数：大力摆锤6个，每个尺24.8*5*8cm。6个有表情图片的木球，直径4.2厘米。通过大力摆锤的撞击，表情木球沿着搭好轨道到达目的地。】5.手掌游戏1套【通过手指表达出来的数字，在下面找到相对应的算数小圆片。材质：榉木，环保水性漆。两个手掌，算数小圆片35颗。】6.数独游戏1套【数独是一种逻辑性的数字填充游戏，玩家须以数字填进每一格，而每行、每列相加总和相同的游戏。材质：榉木，环保水性漆。2片小底板，红棋子1-4，蓝棋子1-4，各4套，合计32个棋子。可迁移元素（mg/kg）: 锑 ≤ 60;砷 ≤ 25;钡 ≤1000;镉 ≤75;铬 ≤60;铅 ≤90 ;汞 ≤60;硒 ≤500.】7.百变插珠6套【运用8种不同颜色的彩色插珠和四颗眼睛，拼搭出各种各样的图案。材质：榉木，环保水性漆。插珠有红.黄.蓝.绿.橙.紫.黑，白，8种颜色各36颗，另外加白色眼睛4颗，共计292颗。可迁移元素（mg/kg）: 锑 ≤ 60;砷 ≤ 25;钡 ≤1000;镉 ≤75;铬 ≤60;铅 ≤90 ;汞 ≤60;硒 ≤500.】8.幸运转盘1套【转动方向轮，停止后，按方向轮从“1”到“4”的顺序，相应的找到按顺序构成的颜色图案。材质：榉木，环保水性漆。2个大圆盘，2个指针，和18个小圆片组成。】9.磁力板（三角形）1套【通过黑白两种颜色的画板为基板，再配以各种磁力积木造形，拼接出各种图案。材质：榉木和磁力板环保水性漆。内容：红色写字板配件+几何积木块96颗。木螺丝4颗。】10.缤纷魔方1套【8个不同颜色方块，通过九宫格的滑轨上进行平移，最终完成所需的图案。8种颜色的正四方块，1个圆盘，1个指针,插珠12颗，9个十字滑轨。】11.圆柱游戏3套【对于那些小小班或小班力气较小的小朋友，提供拼插操作，搭建不同的图案造型。材质：榉木，环保水性漆。圆柱8种颜色各25颗，总共200颗圆柱,每根长度4.8CM，直径1.5CM。】12.记忆翻版1套【简单的让小朋友先认知动物，然后找一一对应的动物，最后做记忆游戏。材质：榉木，环保水性漆。图板共18组，每组2个，共36个，记忆棋子6种颜色，各6颗，共36颗。】13.叮当小木鞋1套【材质：榉木，环保水性漆。木鞋游戏板2片,白色穿绳长插珠4颗,红色穿绳长插珠12颗,红色棉绳1根,黄色棉绳1根,黑色棉绳1根,】14.沙包游戏1套【沙包游戏是一款三岁以上的孩子可以让他们多玩的投掷游戏，使手臂、肩、肘及腕等处的肌肉灵活协调，并强化肌肉。】15.奇妙锁具1套【材质：榉木，环保水性漆。锁具模块11组，使用不同的颜色形状的锁具模块在孔板上拼搭各种造型，孩子在好奇心的作用下打开各种锁具门，里面有各种卡通造型的小动物。】16.骰子堆堆乐1套【配置清单：清水插珠:18颗  长圆柱4个,题卡一份(5张),骰子6种颜色每种12颗,布袋一个,28*28*1.5CM板一块.】17.创想粒子1套【配数：一套提卡（5张正反面打印图案），一套共计：368颗，2.4*2.4cm，可以在孔板墙上搭建，也可以在桌面搭建的。可以根据提卡上面的造型，也可以自己想像的造型。该款玩具属于创意搭建产品。，3-6岁的幼儿在题卡的指引下，可以1人或2-4人在孔板上开展快速的创意搭建或主题搭建，也可以自己自由创意搭建。在操作过程中，可以促进幼儿手部精细肌肉的发育能力，以及颜色识别与归类能力、图形图像识别与构造能力、点数与目测数数、模式等数学能力的发展；同时可以促进幼儿合作能力、专注力、耐力等的发展，以及创造性思维的发展。可迁移元素（mg/kg）: 锑 ≤ 60;砷 ≤ 25;钡 ≤1000;镉 ≤75;铬 ≤60;铅 ≤90 ;汞 ≤60;硒 ≤500.】18.缤纷组合1套【配置清单：内含5款动物面板，40颗木质螺丝，两个木质螺丝刀。运用不同颜色的圆形和六边形螺丝，同色螺丝固定同色动物板，设计不同的作品，或者在孔板上搭建出不同游戏场景等。1.在操作中理解7以内数的加减运算；在操作中用正确的语言表达方位；.能够根据大小、轻重、快慢进行排序。对图形图像的认知和识别,以及幼儿手部小肌肉动作发展和沟通和合作能力的发展】19.手指迷宫1套【榉木圆片的直径是7.5CM，厚度是15MM,　背部装了塑料扣，插到孔板上面的，圆片是可以转动的，面上是开槽，配数请见图片。该产品属于迷宫系列游戏产品。3-7岁的幼儿在孔板上可以自由搭建，然后进行“人物”走迷宫游戏，在柚子过程中，不断调整迷宫路线，确保迷宫游“通路”，也有“死穴”。幼儿在操作过程中，手拿童趣味的人物图块，在滑轨中“行走”，以此能够锻炼幼儿空间方位知觉能力、手臂大肌肉群的发展以及手腕手指的精细动作发展，以及颜色识别你、图形图像组合与重构能力的发展。】20.空中花园1套【配件清单：玫红色宝石积木8个，橙色宝石积木8个，黄色宝石积木8个，绿色宝石积木8个，天蓝色宝石积木8个，叶片积木41个。该款玩具利用叶子和彩色“花朵”插柱在孔板上进行建构游戏。3-6岁的幼儿可以1人或2-4人开展创意搭建游戏，在游戏过程中，可以促进幼儿手部精细肌肉的发育能力，空间知觉能力，颜色识别与归类能力，以及图形图像识别能力、点数与目测数数等能力的发展；在合作游戏过程中，构图造型设计过程中也可以促进幼儿沟通与交流能力的发展。】</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乐高积木收纳箱</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透明塑料箱，120L</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速叠杯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环保材质，约6.5*8cm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跳棋</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跳棋，游戏者每人选择一种颜色的棋子并将自己的棋子放在棋盘相应的位置。游戏者轮流掷一枚骰子得分高者先行。</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五子棋</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尺寸约：20*20cm，可折叠，黑白棋子。</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单排儿童滑轮鞋（中大班鞋码可收放）+护具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（中大班鞋码可收放）+护具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三阶魔方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三阶</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儿童跳绳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绳长2.5米，握感舒适，跳绳时不易脱手，高强度跳绳结实耐用。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呼啦圈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直径50cm包海绵</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加绑绳背带儿童非洲鼓</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8寸，雕花，桃花芯木整木掏空鼓腔，老山羊皮鼓面，采用天然山羊皮，不经漂白处理音质纯正使用寿命长，登山绳固定锁音。 鼓身高40cm左右 鼓面尺寸 18-20cm左右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加绑绳背带成人非洲鼓</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12寸，雕花，桃花芯木整木掏空鼓腔，老山羊皮鼓面，采用天然山羊皮，不经漂白处理音质纯正使用寿命长，登山绳固定锁音。 鼓身高60cm左右   鼓面尺寸 28-30cm左右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百变魔尺48段</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48段魔尺 48段百变魔尺弹力结构 益智儿童减压玩具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松木靠胶花架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规格：1.2*0.4*1.2m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材质：采用1.5cm厚樟子松，光滑无毛刺,环保漆无味。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画板90*60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2#图板，外观尺寸不小于900mm×600mm×18mm。2、材质：双面椴木三合板，四周实木边框；3、要求：边框宽≥10mm、45度割角拼接，对角线平面误差小于2mm，四边直角误差小于2mm，边框气钉眼需进行表面处理。整体板面平整、表面光滑、洁净、无毛刺。应符合JY0001-2003的有关规定。</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画架木制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儿童木质竹马高脚高跷 （90厘米）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90厘米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儿童舞龙含龙珠 （6人玩）</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儿童烫金的，5米，配龙球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儿童狮子（舞狮单人）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幼儿桌</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橡木，六人桌，长120cm,宽60cm，高55cm。材质：1、桌面采用优质橡木齿拼接而成，不开裂、不易变形。2、桌腿采用优质橡木实木加工而成无毛刺，规格4.8*4.8cm ，3、整体采用榫卯结构坚固耐用4.采用进口优质环保油漆喷涂而成，安全、无毒无味，凸显木材纹理，手感光滑。</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原木风格正桌</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长60cm,宽60cm，高55cm。1、桌面采用优质橡木齿拼接而成，不开裂、不易变形。2、桌腿采用优质橡木实木加工而成无毛刺，规格4.8*4.8cm ，3、整体采用榫卯结构坚固耐用4.采用进口优质环保油漆喷涂而成，安全、无毒无味，凸显木材纹理，手感光滑。</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橡木笑脸椅子</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规格：29*29*55cm.座高28cm。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1、椅面采用A级板材橡胶木指接板不易开裂、不易变形，厚度1.6cm，椅面29*29cm大笑脸后背造型宽14.5cm挂边2*3.5cm 椅前腿3.5*2.7cm，椅后腿4.8*2.7cm，底部有4根2*2.5cm支撑条，所有边角做圆处理。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2、整体采用榫卯结构均经过刨光、砂光、倒角、圆角处理，成品无毛刺、无裂纹，接缝自然，无明显缺口和缝隙。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3、油漆采用知名品牌环保净味油漆喷涂而成，表面漆膜平整光亮、无皱皮、发粘和漏漆现象。三底两面，均为整体喷涂漆面。榫接部分采用环保白乳胶做加固处理，安全、无毒无味，凸显木材纹理，手感光滑。</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蒙台梭利教具88件套装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1.插座圆柱体：由4组圆柱体组成。培养儿童辨别大小、高低、粗细、深浅的触觉、视觉能力，依圆柱体顺序对应培养逻辑思考敏锐观察能力；把握圆柄可作握笔练习和写字前准备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2.棕色梯：由10块长方体组成。透过触觉、视觉的辨别在知觉上对等次的差异有充分的认识，发展眼、手、肌肉的动作协调；了解递进、递减的关系；学习长方体的概念；培养逻辑思考（顺序性和专注观察能力。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3.粉红塔： 由10块立方体组成。透过视觉正确获得对三维空间差别变化的知觉；了解递进、递减的关系；培养立方体的概念、手眼协调 和肌肉运动的控制力；积高时敏锐的观察力；数学教育（理解十进制法）的间接准备；逻辑思考（顺序性）的能力。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4.音桶：两个木箱中各有6个木制圆筒组成，圆筒内装有石子、沙子、壳类、米粒、米糠等不同材料，摇动时发出强弱不同的声音。培养辨别声音强弱的听觉能力，发展腕部的肌肉运动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5.温量板： 由金属、石材、木质、地毯片各2块组成，培养对温度的感觉，辨别温度的差异。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6.构成三角形：由5盒不同的三角形块组成。透过视觉认识三角形，通过对多边形的组合与分解了解三角形与多边形的几何关系和相等概念。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7.重量板：进口实木6组12个。培养辨别轻重的感觉和判断力。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8.几何图形嵌板：由几何嵌板操作1个屉、6层几何嵌板橱1个、几何嵌板35块、几何图形卡片99张组成。通过肌肉和触觉的联合，帮助视觉认识平面几何图形；发展手眼协调、注意力和观察力；平面几何学的预备。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9.三项式：木制立方体和长方体共27块组成。培养视觉对三次元的辨别能力，数学的思考能力，可作为三项式（a+b+c）³的代数教具使用。 (a+b+c)³=a³+3a²b+3a²c+b³+3ab²+3b²c+c³+3ac²+3bc²+6abc</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10.手眼调节掷圈：由5个可组装的锣口木柱和5个麻绳套圈组成，锻炼手眼协调能力。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11.几何体支柱：由1个插板盒、3个圆柱、3个三棱柱、3个四方柱组成。培养儿童对实体的感觉，认识几何体特征，可作颜色分类，高-&gt;低比较，排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12.立体四子棋：由16组64颗棋子组成，分成两组，锻炼观察与逻辑分析能力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13.彩色圆柱：由4盒、每盒10个圆柱组成。培养视觉上识别大小、对应概念，发展手眼动作的协调，手臂肌肉控制力，培养敏锐的观察和注意力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14.长棒：由10根方长棒组成。透过触觉、视觉的辨别，在知觉上对长度的差别有正确的了解，发展手、眼与肌肉的协调性；数学教育（量，基本运算、十进制元、分制系统）的直接准备教具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15.嗅觉筒：通过嗅觉筒的配对操作，训练嗅觉器官辨别各种气味的能力，利用嗅觉器官感知事物的经验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16.味觉瓶：，玻璃。由8个滴瓶组成。品尝各式味道，培养辨别基本味觉的能力。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铁制几何嵌板：金属几何嵌板是书写能力的直接预备，练习金属嵌板不仅强化三指抓的能力，加强腕肌的协调力，而且透过描绘的练习，更可增强笔触力道的熟练度，重迭描绘不同的几何图形板使图形变化无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几何立体组：包括长方体、正方体、球体、椭球体、卵形体、三角柱、圆柱、圆椎、三角椎、四角椎，另有11枚与上述几何体的一个侧面相等的投影板组成。培养儿童对实体的感觉，认识各种几何体，了解其特征；进入几何学的准备，刺激肌肉的感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19.触觉板：由13块表面粗糙和光滑程度不同的木板组成。培养粗糙与光滑的触觉感和分析、比较的思维能力。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20.二项式：木制立方体和长方体共8块组成。培养视觉对立体空间的认识和数学思考能力，可作为计算体积(a+b)³ 的代数教具。(a+b)³=a³+3a²b+3ab²+b³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21.色板：由大、中、小3盒各种颜色的小色板组成。培养分辨颜色的对色彩的美感，颜色的对比及组合的预备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22.圆圆板：由100个彩色圆组成。可做颜色的排序、对应。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23.圆柱体阶梯：由1个插板，25个高低、颜色不同的圆柱组成。可作颜色分类，高-&gt;低比较，排序。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24.1-100连续数板：儿童将活动数字卡片排列在一定的方格板上，认识1-100的排列并认识数的连续性。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25.数棒（3岁以下）： 由从短到长10根红、蓝相同的木棒和从1到10的10块数字片组成。数棒是代表连续“量”的教具。认识、了解数的及数词，记忆1到10，十进制法的预备，导入数的概念。</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26.二倍数： 由7个木块组成。培养2倍的概念，认识简单的倍数关系，导入平方概念。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27.乘除法板： 进行得数最大为100的乘法题目，熟练后可导入乘法心算。练习被除数最大为81以内除法题目，从感官上认识平均分配的概念，熟练后可导入除法心算。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28.十进位法及银行游戏：由10颗单珠、10根珠棒、10个100珠板、2个1000珠阵、4套数字卡片组成。了解十进制法的排列与形成，学习交换的规则，可做大数目四则运算。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30.三倍数：用立方体或长方体等实物来显示三倍数之间的关系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31.黑白串珠棒： 加深了解十以内的数量的概念，体会等量交换的概念，可用于进行加减法运算练习。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32.平方珠链：由10串珠链（55个珠棒）组成。加强以1为单位的数的连续概念；学习平方的概念；乘算的预备。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33.塞根板：由4块板、18块数字片组成。对于11到19的数能正确的做名称练习；能把握连续数的排列，体会连续数的顺序关系；了解10位与个位数的关系；学习量与代表数量的符号（数字）的一致性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34.加、减法板：加数最大为9的加法练习，熟练后可导入加法心算；用于呈现被减数最到为18的减法运算练习，熟练后可导入减法心算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35.邮票游戏：幼儿通过银行游戏认识十进制元法以后，即可进入邮票游戏的操作，熟悉数字的转换关系，并进行大数量的四则运算，培养数学思考能力。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36.分数小人： 由1个木座、小人4组10块组成。知道1个整体（=1）如何分成若干部分，作为进入分数的预备。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37.立方体：由1000颗边长为1厘米的立方块组成，学习立方的概念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38.数字与筹码：由55个圆片，10张1到10数字卡片组成。了解数与量的关系，认识奇数与偶数。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39.体积组：认识整体与部分的关系，建立不同几何立体的体积可以换算的概念，发展儿童对空间的概念。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40.灰色串珠棒：熟悉十以内数量、数位与名称，为学习减法运算做准备。、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41.彩色串珠棒：学习0-10的概念、10以内的加减法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42.立方珠链及框架： 由1个框架、55串珠链（385根珠棒）组成。学习立方的概念和学乘法的预备。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43.接龙减龙游戏：练习加减混合运算，增加儿童对数学的兴趣，培养孩子的逻辑思考能力。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44.砂数学板：由0到9数字长板1块，0到9数字单板10块组成。培养认识0到9的数字，练习书写数字，是写前的预备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45.纺棰棒箱：由2个整理箱、45根纺棰棒，10块数字片组成。指导0的概念，加强数与量集合的概念。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46.加减乘除巨阵盘：由10檔彩色算珠组成，每檔10个算珠，学习加减乘除。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47.数数棒组：学习0-10的概念、10以内的加减法。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48.彩色小数棒：熟悉十以内数量、数字与名称，为学习平方、立方做间接准备。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49.算术尺：由标有1公分刻度的尺子组成，可进行加减法的运算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50.算术天平组：由天平、称盘与彩色木珠组成，学习数量与平衡的关系。、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51.圆形分数板：由彩色23片圆形分数板、1个双面钉板组成。认识分数，了解部分与整体的关系，增进组合概念。利用钉板背面，配二长短、颜色不同的橡皮筋，可发挥幼儿的想象力与创造力。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52.四方拼盘：由三角形、正方形、平行四边形木块组成，学习几何图形与关系。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53.分解几何盘：由1个木座、9组多种几何图形组成。是进入分数的预备。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54.1000串珠链：由100根（每根10颗珠）珠棒串成一条组成。加强对数的认识；熟悉连续数及其顺序；与100串珠板、1000的立方体珠块比较，培养差别的印象，加强十进制法的知识，培养专注力与独立性。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55.黄色串珠棒：认识数与量等量交换的概念，为进行银行游戏做准备。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56.数学拼板：熟悉数字，理解数与量的关系，培养数学学习兴趣。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57.不规则拼盘：由不规则几何图形嵌板组成，认识几何图形与锻炼观察能力。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58.1公分方块组：刻度为1公分的连接尺组成，学习加减运算方法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59.几何图形板：认识几何图形，为学习几何知识打基础。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60.称盘组：由天平、木棍与彩色串珠组成，学习数量、加减与平衡的关系。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61.十进位组：由1公分方块与10块连接条，以及10平方连接块组成，学习十进制制的关系。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62.几何体阶梯：进口实木5组，可作颜色分类，三种几何图形，感官学习，高→低比较、排序。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63.组合几何体盘：由正5边形、正方形、正三角形、长方形与圆形的面积分解组合，学习分数、面积的关系。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64.数数看： 由1-5彩色算珠架组成。可进行分类、集合、分解、量的学习。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65.双字母砂字板：熟悉汉语拼音的组成及发音，练习书写。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66.砂纸字母板：由大小写砂纸字母板各26块组成。通过触摸认识英文字母，为书写做预备。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67.活动字母箱：熟悉字母，练习单词的拼写。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68.拼音结构练习：练习汉语拼音的正确组合，掌握拼音拼读规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69.印刷字母箱：由大小写印刷字母各5套、布袋2个组成（照片仅供参考）。认识英文字母大小写的印刷体。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70.亚洲地图嵌板： 由1套嵌板组成。了解中国的位置，认识各省、直辖市、自治区和省会城市的位置；培养空间思维。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71.活动时钟：直观认识时钟的构成，了解时间概念，为看生活中的表打基础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72.中国地图嵌板：    认识亚洲各个国家的位置、名称及风土人情，初步认识地理的空间概念。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73.世界洲际地图嵌板：由1套嵌板组成。建立地图概念，从地图上认识世界上7大洲和4大洋的位置，培养空思维。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74.太阳系九大行星嵌板：由1套嵌板组成，认识太阳系，了解九大行星位置，培养空间思维。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75.动植物卡片柜，植物卡片，动物卡片 ：由14块树叶嵌板,5层木橱1个组成。学习识别各种树叶、植物。纸质。学习识别各种动物。纸质。学习识别各种动物植物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76.鸟嵌板：培养手眼协作及独立性提高观察分析能力和专注力，了解动物—鸟的各个部分的基本构造。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77.青蛙嵌板：培养手眼协作及独立性提高观察分析能力和专注力，了解动物—青蛙的各个部分的基本构造。</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78.树嵌板：培养手眼协作及独立性提高观察分析能力和专注力，了解植物的树的各个部分的基本构造。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79.花嵌板：培养手眼协作及独立性提高观察分析能力和专注力，了解植物的花的各个部分的基本构造。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80.马嵌板：培养手眼协作及独立性提高观察分析能力和专注力，了解动物的马的各个部分的基本构造。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81.树叶嵌板：培养手眼协作及独立性提高观察分析能力和专注力，了解 植物的叶的各个部分的基本构造。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82.鱼嵌板：培养手眼协作及独立性提高观察分析能力和专注力，了解动物的鱼的各个部分的基本构造。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83.乌龟嵌板：培养手眼协作及独立性提高观察分析能力和专注力，了解动物的乌龟的各个部分的基本构造。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84.二指抓：由1个插座板、9个小人组成。锻练两指抓物的能力，提高手眼协调能力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85.衣饰架及衣饰：棉布。由1个架、12个框、12件衣饰组成。学会各种绳带、纽扣的系法，锻练手指灵活性，培养适应日常生活的自理能力。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86.儿童地毯大号，儿童地毯小号，环保化工纤维。供铺垫操教具使用。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87.儿童地毯中号：环保化工纤维。供铺垫操教具使用。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原木组合柜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规格：360*30*120cm，材质：1、整体采用优质橡木板加工而成，不开裂、不易变形。2、采用进口优质环保油漆喷涂而成，安全、无毒无味，凸显木材纹理，手感光滑。</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儿童快乐滚筒（大、中、小）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50*90cm /56*90cm/63*90cm,PVC材质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200件炭化童话小镇（户外)</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1、材质：采用优质新西兰松木。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2、工艺：碳烤、静电喷水性环保油漆、磨圆角、光滑无毛刺 。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3.可迁移元素（mg/kg）: 可溶性锑 ≤ 60;可溶性砷 ≤ 25;可溶性钡 ≤1000;可溶性镉 ≤75;可溶性铬 ≤60;可溶性铅 ≤90 ;可溶性汞 ≤60;可溶性硒 ≤500。尺寸：三角形：70*25*4cm  5个，长方体Ⅰ： 70*10*4cm 56个，长方体Ⅱ： 20*10*4cm 108 片，长方体Ⅲ：120*10*4cm 10个，长方体Ⅳ：120*5*4cm 8个，屋顶版Ⅰ：130*11*1.5cm  2个，屋顶版Ⅱ：130*11*1.5cm  6个，屋顶版Ⅲ：80*11*1.5cm  2个，屋顶版Ⅳ：80*11*1.5cm  6个，烟囱：10*10*4cm 2个，脚垫：10*10*4cm 2个，黑板：20*9*1.5 1个； 厚度：1cm ，工艺：环保油漆、磨圆角、光滑无毛刺、彩图印刷，材质：榉木；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人物系列：老奶奶3*7*1cm，1块；老爷爷 2.9*7*1cm，1块；爸爸 2.7*8*1cm ，1块；妈妈 2.7*8*1cm ，1块；姐姐 2.9*5*1cm ，1块；弟弟 2.7*5*1cm ，1块；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森林系列：小树1：5.8*8*1cm，1块；小树2 ：5.5*8*1cm，1块；小树3：6.5*8*1cm，1块；小树4：4.8*9*1cm ，1块；小树5：5.8*8*1cm ，1块；小树6： 5.5*8*1cm ，1块；小树7：6.5*8*1cm ，1块；小树8：4.8*9*1cm，1块；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城市系列：直升飞机 5.6*4.8*1cm，1块；公交车 7.9*4.1*1cm ，1块；轮船 7.9*3.6*1cm，1块；施工车 5.6*4.9*1cm，1块；救护车 5.6*4.8*1cm,1块；消防车 6*5.2*1cm，1块；警车 5.8*4.8*1cm ，1块；货车 6*4.7*1cm，1块；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海洋系列： 乌龟 6*4.4*1cm ，1块；石斑鱼 6*2.2*1cm ，1块；螃蟹 5*3*1cm ，1块；海马 6*2.6*1cm ；1块；鲸鱼6.3*3*1cm，1块 ；蝴蝶鱼 5*3*1cm 1块；海星 5*5*1cm，1块；海豚 6*3*1cm，1块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农场系列：绵羊 6.5*5*1cm ，1块；小猪 7*4.5*1cm ，1块；奶牛 7*5*1cm ，1块；毛驴 4.8*5.5*1cm ，1块；小马 5*5.5*1cm ，1块；公鸡 4*4.5*1cm ，1块；母鸡 4.5*4.5*1cm ，1块；鸭子 4*5*1cm，1块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太空系列：宇航员 4.5*7*1cm，1块；火箭：8*3*1cm ，1块；雷达 10*6*1cm ,1块；慧星 6*3*1cm，1块；星球1 7.5*6*1cm ，1块；星球2 6.5*4*1cm，1块；宇宙飞船1：5.5*4.5*1cm ，1块；宇宙飞船2 ：6.5*4*1cm ，1块；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182件路径积木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1、采用优质进口榉木，竹木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2、工艺：彩色印刷，磨圆角、光滑无毛刺。可迁移元素（mg/kg）: 可溶性锑 ≤ 60;可溶性砷 ≤ 25;可溶性钡 ≤1000;可溶性镉 ≤75;可溶性铬 ≤60;可溶性铅 ≤90 ;可溶性汞 ≤60;可溶性硒 ≤500。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3、配置：                                                                                                                                                                     起点板105mm×118.5mm×20mm，粉色，4个；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终点板105mm×119.5mm×20mm，紫色，4个；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黑板模块105mm×113.5mm×20MM，黑色，5个；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3倍数直板193.5mm×60mm×20mm,清水漆12个；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2倍数直板113.5mm×60mm×20mm,清水漆12个；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1倍数直板73.5mm×60mm×20mm，清漆16个；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转弯板件135mm×118mm×20mm，清水漆24个；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交叉十字板件209.5mm×117.5mm×20mm，黑色4个；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转弯十字板件193.5mm×193.5mm×20mm,黑色4个；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T形板件（凸）209.5mm×118mm×20mm，清水漆3个；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T形板件（凹）177.5mm×134.5mm×20mm,清水漆3个；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二转一板件240mm×193.5mm×20mm,,清水漆1个；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一转二板件240mm×193.5mm×20mm,清水漆1个；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双头（凸）89.5mm×60mm×20mm，清水漆8个；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双头（凹）57.5mm×60mm×20mm，清水漆8个；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陡坡件390mm×85mm×60mm，清水漆2个；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半陡坡件195mm*85mm*60mm，清水漆4个，以上尺寸都是榉木材质；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厚度：1cm ，工艺：环保油漆、磨圆角、光滑无毛刺、彩图印刷，材质：榉木；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人物系列：老奶奶3*7cm ，老爷爷 2.9*7cm，爸爸 2.7*8cm ，妈妈 2.7*8cm ，姐姐 2.9*5cm ，弟弟 2.7*5cm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森林系列：小树1 5.8*8 cm，小树2  5.5*8cm，小树3  6.5*8cm，小树4 4.8*9cm ，小树5 5.8*8cm ，小树6 5.5*8cm ，小树7 6.5*8cm ，小树8 4.8*9cm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城市系列：直升飞机 5.6*4.8cm，公交车 7.9*4.1cm ，轮船 7.9*3.6cm，施工车 5.6*4.9cm；救护车 5.6*4.8cm, 消防车 6*5.2cm，警车 5.8*4.8cm ，货车 6*4.7cm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海洋系列： 乌龟 6*4.4cm ，石斑鱼 6*2.2cm ，螃蟹 5*3cm ;海马 6*2.6cm ；鲸鱼6.3*3cm ；蝴蝶鱼 5*3cm ；海星 5*5cm ；海豚 6*3cm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农场系列：绵羊 6.5*5cm ，小猪 7*4.5cm ，奶牛 7*5cm ，毛驴 4.8*5.5cm ，小马 5*5.5cm ，公鸡 4*4.5cm  ，母鸡 4.5*4.5cm  ，鸭子 4*5cm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太空系列：宇航员 4.5*7cm ，火箭：8*3cm ，雷达 10*6cm ,慧星 6*3cm ；星球1 7.5*6cm ，星球2 6.5*4cm ，宇宙飞船1 5.5*4.5cm ，宇宙飞船2 6.5*4cm；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交通标志：停止标志、红绿灯标志、施工标志、安全标志、禁止掉头标志、前方有行人标志、停车场标志、前方拥堵标志、限速40标志、自行车道标志、人行横道标志、禁止鸣笛标志、直升机场标志、公交车道标志、禁停标志，高度11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滑动小车：私家车、出租车、消防车、救护车、小火车、警车；共计182片</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27片盒装镜面积木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1、采用优质进口松木，安全亚克力镜片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2、工艺：透底水清漆，倒角，光滑无毛刺。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3、提供第三方权威检测机构出具的GB6675-2014国标检测报告（检测报告必须包括: 1.GB 6675.1-2014-玩具安全第1部分：基本规范；2.GB6675.2-2014-玩具第2部分：机械与物流性能；3.GB6675.3-2014玩具安全第3部分：易燃性能；4.GB6675.1-2014-章节5.3.7-领苯二甲酸酯；5.GB6675.1-2014章节5.3.3&amp;GB6675.4-2014-特定元素的迁移;6.GB18581-2020-甲醛；共六个项目检测合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4、一共6个形状，2种镜面位置，27片积木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名称：立方体，尺寸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（单位：CM）：4.8*4.8*4.8，数量：5块，镜片数量：2块，位置：相邻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名称：正方体，尺寸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（单位：CM）：4.8*4.8*9.6，数量：6块，镜片数量：2块，位置：相邻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名称：三棱柱，尺寸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（单位：CM）：6.2*6.2*4.8，数量：4块，镜片数量：2块，位置：对面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名称：长方体，尺寸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（单位：CM）：14.3*7.2*2.3，数量：4块，镜片数量：2块，位置：对面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名称：圆柱体，尺寸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（单位：CM）：5*5*9.6，数量：4块，镜片数量：2块，位置：对面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名称：三棱柱，尺寸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（单位：CM）：4.5*4.5*4.8，数量：4块，镜片数量：0块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名称：收纳盒，尺寸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（单位：CM）：42*28*5.5，数量：1块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132件机械积木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1、采用优质榉木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2、工艺：原木无油漆，磨圆角、光滑无毛刺。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3、可迁移元素（mg/kg）: 可溶性锑 ≤ 60;可溶性砷 ≤ 25;可溶性钡 ≤1000;可溶性镉 ≤75;可溶性铬 ≤60;可溶性铅 ≤90 ;可溶性汞 ≤60;可溶性硒 ≤500。                                                                 4、配置：                                                                                                                                                                    三角（大）：114×58×25mm 10个；                                                                                                                                                                       梯形117×33.5×25mm  20个；                                                                                                                                                                          长条1：117×25×25mm 25个；                                                                                                                                                                                   长条2 ：117×33.5×25mm 25个；                                                                                                                                                                       基座1：58×42×25mm 5个；                                                                                                                                                                                          方形（4孔）：117×117×25mm 5个；                                                                                                                                                                 八边形（2孔）：117×117×25mm 5个；                                                                                                                                                                     方形（1孔）：67×67×25mm 10个；                                                                                                                                                                    方形：67×67×25mm 5个；                                                                                                                                                                                 长方形：67×42×25mm 3个；                                                                                                                                                                三角形（小）：82.5×41×25mm 5个；                                                                                                                                                         基座2：50×25×25mm 2个；                                                                                                                                                                                        H型（1孔）：117×75×25mm 4个；                                                                                                                                                      眼睛：50×50×10mm 8个； 14个形状， 共132片/套。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三节鞍马跳箱</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75*50*40cm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花棍铃铛手摇花（八铃铛)</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20厘米【五彩色】升级款8个铃铛</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手腕软绳丝带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彩带丝带 礼物扎带绑绳丝条节日用品布置创意</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牙刷道具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早教道具特大牙刷 玫红色 25*8*7cm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儿童升旗手套装（5女5男，白色）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含帽子衣服裤子手套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玻璃文件柜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采用一级冷轧钢板做主体,柜身表面采用的是混合型热固性粉末喷涂,能耐高温,防静电。柜门制作技艺优良,可保证开合顺滑,流畅;柜内层板可按自身要求自由调节高度,柜底有水平调整装置,可以增强安全和稳定</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档案架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单面6层板主架 2000*1000*300mm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幼儿卡通坐垫</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加厚透气春夏秋冬四季座垫儿童可爱坐垫 粉色卡30*35CM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干泡法茶具全套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12件套盖碗 白瓷+六君子+长方条纹盘</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儿童组合沙发茶几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儿童沙发幼儿园图书室区角娃娃家阅读区小沙发可爱套装组 4件+茶几组合 粉色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木制彩色沙锤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1、材质：木质刻画   2.尺寸：长26cm，最大直径8cm，手柄长13cm，手柄最大直径2cm;3、通过摇晃砂球发出沙沙声。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串铃铛</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1.外观构成：手摇铃由塑料手柄、塑料铃圈和10颗金属铃铛构成；  2个为一付；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2.规格：手柄长≧6.5cm，宽≧1cm；铃铛规格≧15*17mm；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3.使用方法：使用时双手各持一个摇铃，摇晃使其发声。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木制牛皮铃鼓</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直径15cm高5.5cm，桦木圈、牛皮皮鼓面、8铃金属铃片</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木柄碰钟</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1.外观构成：碰钟为黄铜材质，颜色为黄色，形似喇叭花型，手柄为木制，原木色，碰钟和手柄由螺丝钉联接构成；2个为一付；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2.规格：全长≧12.3cm，碰钟直径≧3.3cm，高≧2.8cm；壁厚；0.1cm手柄：手柄长度≧9.2cm，直径≧1.5cm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3.使用方法：使用时左右手各碰钟一个，相互敲击，使其发声；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用于奥尔夫打击乐教学或伴奏；亦可作为玩具或提高训练儿童听力及加强儿童音乐方面的培养</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节奏棒</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1：材质：木质椿木:；2、尺寸：长20cm，直径2cm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大号木制单响筒原木色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1、材质：木质 2、尺寸：总长19cm，音筒直径4cm，筒壁厚0.6cm，手柄长9cm，筒深7.5cm，筒长10cm；敲棒长15.5cm，槌头直径0.5cm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大号木制双响筒原木色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1.外观构成：材质为木质，由筒体、手柄构成； 配敲棒一根；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2.规格：筒长≧22.8cm，外径≧5cm，内径≧3.5cm；手柄长≧18.5cm，直径≧1.2cm；敲棒长≧16.7cm，直径≧1.4cm；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4.使用方法：使用前将手柄细端与响筒旋紧固定，使用时一手持双响筒，一手持敲棒，伴随节奏使其发声，因响筒两端掏空深度不同，其发音高低也不同；</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三角铁8寸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8寸，斜边20cm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乐器收纳柜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80*38*1800cm，铁制</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乐高积木带收纳箱</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木质火车套装带轨道滑行拼装木制积木  双组合矿山吊车+收纳箱装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笔墨纸砚全套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入门实用（十八件套）含包装盒</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室外卡通造型垃圾桶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65*28*70cm，食品级工程塑料，滚塑一次成型，抗静电能力强，安全环保，耐候性好，强度高。</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儿童牛皮鼓、鼓锤（12寸40×22厘米）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1、鼓面直径400mm，高度230mm，木质鼓腔，卷曲成圆柱形，表面无疤痕、裂缝，不变形，并喷红漆。 2、击槌用硬杂木制成，前端呈球状。表面无疤痕、裂纹。 3、堂鼓的鼓身上下口径相同，中部略大，漆面光洁。 4、演奏时，发出“咚、咚”声，不得有杂音。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儿童锣、锣锤（直径22厘米）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黄铜/22公分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儿童镲（直径18厘米）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黄铜/18公分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懒人沙发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单人布艺客厅卧室阳台小沙发100*120CM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方形、虫形滑板车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规格：41*45cm，选用进口食品级工程塑料，色彩鲜艳。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木色快板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原色专业老竹快板，穿线材质：丝绒线，材质：老竹，仿古铜钱，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配置：2块大板5块小板为一套，绒布袋包装。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成人尺寸：大板19*6.2cm，小板12.2*4.5cm，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儿童尺寸：大板17.5*5.5cm，小板11*4cm。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响板木制彩色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1、材质：木质、三色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2、规格：全长≧21CM，响板头最大直径≧4.5CM， 手柄直径≧1.6CM，主板厚度≧0.7CM                                                                             3、结构：由主板及两块盖板连接组成，主板及盖板各有两个孔，主板夹在两盖板中间，用线绳穿过两圆孔串联在一起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4、使用方法：手持响板前后晃动即可</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活动室音响设备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含1、QSC-112  单12寸返听音/4只。2、QSC-110  单10寸返听音/2只。3、T4.800 专业两通道功率放大/2台。4、XA12 调音/1台。5、D4.8  数字音频处理/1台。6、F100全自动啸叫处理器1台。7、U-999H 真分集无线手持式话筒 一拖四1套。8、SP-SP108电源时序/1台。9、18U网络机/1台。10、音箱支/6个。11、音箱线/200米（国标线缆五氧化铜2*2.5*2四心屏蔽线缆）12、信号线/200米（国标工程128信号屏蔽线缆）13、怪兽工程接/50个。14、多功能升降话筒重型落地支/2支。15、安装调试及培训</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文化长廊</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长廊材料配制  防腐木现场定制，油漆面光滑无毛刺无异味。1，立柱17*17*400cm 2，圈梁17*8.5*300cm 3，顶梁10.5*4.3*300cm  防水板120*240*1.0cm  5，收边装饰板1.8*13.5*300cm 6，树脂瓦配龙脊。</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阿图什市第六幼儿园</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教师办公桌</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尺寸1200*600*750耐磨耐刮采用16MME1级实木颗粒板制作而成</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幼儿桌</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橡木，六人桌，长120cm,宽60cm，高55cm。材质：1、桌面采用优质橡木齿拼接而成，不开裂、不易变形。2、桌腿采用优质橡木实木加工而成无毛刺，规格4.8*4.8cm ，3、整体采用榫卯结构坚固耐用4.采用进口优质环保油漆喷涂而成，安全、无毒无味，凸显木材纹理，手感光滑。</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速叠杯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环保材质，约6.5*8cm</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跳棋</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跳棋，游戏者每人选择一种颜色的棋子并将自己的棋子放在棋盘相应的位置。游戏者轮流掷一枚骰子得分高者先行。</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五子棋</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尺寸约：20*20cm，可折叠，黑白棋子。</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呼啦圈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直径50cm，采用环保工程塑料，色彩鲜艳  安全环保。</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儿童护旗手套装白色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含帽子衣服裤子手套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跳跳杆训练器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电子式</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4"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科学实验室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一、多样植物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1儿童塑封机 1套：1.尺寸：230*113*62mm2.材质：塑料+金属3.功能：过塑平整、低噪音，使用方便，可用于幼儿对树叶等标本的塑封。4.技术要求：过胶宽度NBB-5001（mm），过胶厚度≤0.4（mm），过胶速度300mm/min，最大塑封宽度210（mm）。2 透明塑封膜1台： 1.尺寸：110*160mm2.材质：PET薄膜3.功能：适用于幼儿树叶标本塑封，制作树叶标本书签，可以于长期保存，再此过程中锻炼幼儿的动手能力，一套包含薄膜100张。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种子的传播 4套：1.尺寸：约120*120*20mm2.材质：亚克力外框+铜版纸3.功能：用于幼儿了解种子的传播方式，种子因自身结构特点具有多种传播方式，包含风传播、弹射传播、水传播、动物传播等。4 树叶标本夹套装 4套：1.尺寸：220*280mm,2.材质：塑料+尼龙绳+瓦楞纸3.功能：凹槽设计操作方便，包含有瓦楞纸板及捆绳，操作简便、实用性强，用于树叶的压平风干。4.配件内容：标本夹2个、瓦楞纸板4张、尼龙绳1条。5 植物种植盒4套： 1.尺寸：185*145*110mm2.材料：PET材质3.功能：12孔设计，具有保温保湿功能。在植物的种植过程中，透明的保温盖一方面有保温保湿的功能，一方面方便幼儿的观察，幼儿可清晰观察到植物的成长过程，方便幼儿记录。6 树木年轮切片 4个：1.尺寸：直径120-140mm，厚度10mm2.材质：实木横切面3.功能：可清晰观察树木年轮形态，通过探索课程使幼儿对树木的年轮有清晰的认识，也可用于图画。"7 仿真蔬菜模型 4套：1.尺寸：1:1真实比例2.材质：宝丽龙、PU泡沫、树脂3.功能：展示各种蔬菜，用于幼儿了解不同种类的蔬菜，了解我们吃的蔬菜是植物的不同部位。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二、精准测量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 幼儿卡通体重秤 1台：1.尺寸：260*250mm2.材质：塑料+金属。3.功能：具有USB充电功能，LCD夜视显示屏，上称自动称量，无需开关，最高承重180kg。9 测量台秤 4台：1.尺寸:170*170*150mm。2.材质：PP塑料材质3.功能：最大测量重量1kg，可用以幼儿测量常见物品的重量，了解重量的测量原理。秤盘可以与秤体分离，具有归零调节钮。10 风力风向计4套： 1.尺寸：124*40*165mm2.材质：PS、PP、HIPS3.功能：根据风向标的指向帮助判别风吹来的方向，包含底座、指南针、风向指针、风杯等配件。"11 测量小皮尺 16个：1.尺寸：直径约50mm2.材质：塑料材质3.功能：卡通款式，双面尺寸，测量长度150cm，操作简便安全，适用于幼儿对尺子的应用和理解。12 温度湿度计4个： 1.尺寸：直径190mm，厚30mm2.材质：ABS+亚克力面板+金属3.功能：箭型温度指针，定位更加准确，宽刻度间隔，大数字刻度表盘，便于幼儿读数。4.技术要求：温度范围：-20-40℃，湿度范围10-90%；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三、实用工具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13儿童工具套装4套： 1.产品尺寸：多种尺寸2.材质：ABS环保材质3.功能：包含多种仿真工具，锻炼幼儿的动手能力及认知能力，帮助幼儿了解常用工具的使用和辨别，包含扳手、锤子、螺丝、螺母等配件不少于20个。14 放大镜 6个：1.产品尺寸：直径100mm2.材质：全树脂材质。3.功能：一次成型，透光清晰，光学指标准确。15 垃圾分类 4套：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1.产品尺寸：50*150mm，2.材质：安全塑料材质。3.功能：每套包含儿童教学垃圾箱4个（厨余垃圾箱、可回收垃圾箱、有害物质垃圾箱、其他垃圾）。16 儿童灭火器模型 4个：1.尺寸：290*80mm2.材质：塑料3.功能：灭火器造型，加深幼儿对灭火工具的认识，通过课程介绍，使幼儿不玩火，了解基本的逃离火灾方法。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四、自然之光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17双目望远镜 4个：1.尺寸：150*130mm。2.材质：环保ABS、光学镜片。3.功能：8倍变焦，卡通造型，拆卸方便，重量轻，方便携带。18 儿童DIY潜望镜4个 ：1.尺寸：120*120*110mm,2.材质：PVC、亚克力，3.功能：可用于幼儿手工制作潜望镜，锻炼幼儿的动手能力，并了解光的折射现象。19 儿童启蒙显微镜4个： 1.尺寸:185*130*230mm。2.材质：安全塑料，3.功能：双目观察，可调焦距，放大10倍。适合3岁以上幼儿使用，培养儿童对科学知识的探索兴趣，锻炼动手动脑能力。20 三棱镜 4个。1.尺寸：100*180mm2.材质：塑料底座、K9光学玻璃3.功能：可用于演示光的色散现象，做工精细，倒边均匀美观，表面抛光透亮，透明度好，没有瑕疵。支架做工精细、美观，三角处圆滑，不割手，支架表面细腻光滑，手感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五、人体的奥秘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21内脏围裙1套： 1.尺寸：650*450mm2.材质：斜纹布、聚酯纤维等3.功能：帮助幼儿了解人体百科知识，加强幼儿自我认知，学会保护自我以及认知自己的身体结构。22 儿童听诊器4个： 1.尺寸：界面直径46mm。2.材质：PVC+金属。3.功能：葫芦式耳塞，贴合入耳，用于幼儿对声音的了解。23 人体魔方 4个：1.尺寸：200*80mm2.材质：塑料3.功能：用于幼儿了解人体器官及骨骼，锻炼动手能力。24 牙齿模型 4个：1.尺寸：60*80mm2.材质：PVC 3.功能：适用于儿童人体课程教学，可认知自己的牙齿，知道刷牙的正确方法。"25 人类进化史4套： 1.尺寸：50-100mm2.材质：环保塑料材质3.功能：用于幼儿了解人类进化过程，每套包含人类进化模型5个，南方古猿、能人、直立人、穴居人、晚期智人。26指纹鉴定4套： 1.尺寸：多种尺寸2.材质：ABS 3.功能：身份卡1张，印台1块，毛刷1把，黑色塑胶片1张，眼镜1副，小放大镜1个，透明胶带1卷。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六、地球宇宙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27八大行星 4套：1.尺寸：直径120mm，高140mm 2.材质：塑料材质3.功能：球体分别是太阳、水星、金星、地球、火星、木星、土星、天王星、海王星，用于演示八大行星的运动轨迹28 月相仪 4个：1.尺寸：230*230*100mm2.材质：ABS环保材料3.功能：可观察到月球在1个月之内的月相变化，操作简便，实用性强，用于《神秘的月球》、《月相变化》等课程。"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七、神秘的电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29  神奇浮动球 4套：1.尺寸：底座尺寸135*135*70mm2.材质：ABS+金属3.功能：包含电池盒、开关、导线、底座、电动机、扇叶，底座可安装电开关、电池，组装小型喷泉。30 辉光球1套： 1.尺寸：350×350×250mm2.材质：树脂、合金  3.功能：它能形象地表示雷电闪光的现象，既直观又形象，而且安全、方便、容易操作。"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 自发电手电筒 4个：1.尺寸：107*50*35mm2.材质：塑料、电子元件等3.功能：按压发点，可用于幼儿课程观察光的传播方式。32 马卡龙泡沫球 4个：1.尺寸：多种尺寸2.材质:优质EPP材质3.功能：质量轻、弹性好、无异味、用于幼儿对静电的了解。33 静电胶棒 4根：1.尺寸：140mm2.材质：塑料3.功能：用于幼儿静电的探索，培养幼儿动手动脑的兴趣。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八、透明空气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34阻力伞1个 ：1.尺寸:直径1米2.材质：涤纶布3.功能：阻力伞，伞体轻便，有外袋配置，携带方便，可用于幼儿体验并感知神奇的空气阻力。"35 空气试验套装 4套：1.尺寸：100mm2.材质：PE 3.功能：可用于幼儿捕捉空气，了解空气是真实存在的。"36 动力气球车4套 ：1.尺寸：220*110mm2.材质：ABS、金属3.功能：通过下压给气球打气，松开开关小车在空气的推力下向前滑动，用于演示空气力量大。"37 旋涡演示器 4个：1.尺寸：702cm*220mm,2.材质：ABS3.功能：含透明瓶子2个连接器1个，用于探究空气的流动性相关实验。38 飞机模型 4个：1.产品尺寸：31*3*7cm。2.材质：塑料。3.功能：演示飞机飞行状态，了解空气对飞机飞行的影响。"39 趣味降落伞 4个：1.产品尺寸：48*43cm,2.材质：涤纶布、ABS，3.功能：手抛降落伞，可用于幼儿理解空气的阻力。"</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九、多样动物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40 认知卡4套 1.产品尺寸：110*160mm2.材质：PET薄膜3.功能：适用于幼儿动物的认知，包含啄木鸟、猫头鹰、鸡、企鹅等图片。"41 超级大象1个： 1.产品尺寸：420*260*370mm。2.材质：空心硬塑料。3.功能：可用于幼儿认知大象，并了解大象的相关知识。"42 恐龙探索 4个：1.产品尺寸：180*75*130mm。2.材质：塑料。3.功能：恐龙可以拆装，在了解恐龙相关知识的过程中锻炼幼儿的动手能力。"43 小蝌蚪变青蛙4套： 1.产品尺寸：3-5cm。2.材质：树脂。3.功能：青蛙成长的不同阶段体态特征，形象生动。44 动物沙盘套装 4套：1.产品尺寸：50*130mm2.材质：环保PVC材质。3.功能：包含多种动物，用于幼儿对动物的认知，锻炼幼儿的语言表达能力。"45 动物饲养盒4个： 1.产品尺寸：175*175*130mm2.材质：ABS、PC3.功能:圆形透明，有透气孔，具有放大镜，幼儿可清洗观察到昆虫的活动细节。"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十、奇妙化学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46化学实验材料包 4套：1.产品尺寸：5-15mm2.材质：塑料等多种材质3.功能：包含小苏打、明矾、漏斗、小勺等多种实验器材。可做不少于100个科学小实验"47 试管套装4套： 1.产品尺寸：180*40*50mm，试管容量50ml。2.材质：环保塑料。3.功能：教具用于儿童化学小试验，每套包含一个试管架及4支试管。48 色素材料 4包：1.产品尺寸：15*45mm。2.材质：塑料+颜料。3.功能：可溶于水，无毒无害，用于儿童化学小试验，每套包含5瓶色素。49 儿童护目镜4个： 1.产品尺寸：12.5*15*5cm，2.材质：环保塑料3.含有PC镜片，用于实验过程中对幼儿眼睛的保护。50 烧杯 4个：1.产品尺寸：50*60妈妈，100ml容量2.材质：环保塑料。3.功能：用于幼儿化学实验，产品透明度高，无异味。"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十一、力与平衡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51 链条齿轮套装4套 1.外观尺寸：31*38*6cm，2.材质：塑料，3.功能：包含多种齿轮，颜色艳丽，方便拼搭，可用于幼儿齿轮课程教学。52 平衡插珠4套： 1.尺寸：28*16cm，2.材质：安全环保塑胶3.功能：4种同等粗细不同长度的杆，4种颜色24粒积木球，球体有很多洞眼，可自由拼插组装，锻炼幼儿手眼协调能力。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53 斜坡板 4套：1.产品尺寸：100*50mm。2.材质：复合板材。3.功能：用于幼儿园了解不同几何形状在斜坡板上的滚动情况。"54 弹跳青蛙 8个：1.尺寸：5*6*2cm，2.材质：ABS环保塑料，3.功能：青蛙早教幼儿园益智游戏，儿童桌面弹跳教具。55 青蛙积分纸4套：1.尺寸：40*40cm，2.材质：纸质，3.功能：围绕中心形成均等的圆形，制作成为一个靶标，用于弹跳蛙靶标计数和弹跳蛙步数统计。"56 拼装4层趣味轨道车1套 "产品尺寸：8*10*25cm,净重：0.75kg,材质;榉木。功能：具有多种游戏方式，滑轨可以拼接延长，制作滑动小车，也可以衔接在轨道柱上，制作重力小车。邻苯二甲酸酯：邻苯二甲酸二（2-乙基己基）酯(DEHP)≤0.003%；邻苯二甲酸二丁酯（DBP）≤0.003%；邻苯二甲酸丁苄酯(BBP)≤0.003%；邻苯二甲酸二异壬酯（DINP)≤0.005%；邻苯二甲酸二辛酯（DNOP）≤0.003%；邻苯二甲酸二异癸酯（DIDP）≤0.005%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十二、生命之水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57 沉浮块 4盒：1.产品尺寸：194*72*12mm。2.材质：塑胶+金属+木材。3.功能：用于幼儿水主题实验，了解影响水沉浮的因素。"58 实验水槽 4个：1.产品尺寸：270*200*100mm，2.材质：PP环保塑料，3.功能：用于幼儿水活动实验。"59 水温计 4个：1.产品尺寸：160*57mm。2.材质：ABS环保塑料、树脂，3.功能：温度测量范围：0℃～50℃,温度测量误差：±1℃,分辨率：0.1℃。60 水净化套装4套： 1.尺寸：总高200mm，底座直径60mm。2.材质：ABS、PC。3.功能：用于演示水净化过程。 61 浮力帆船4个 1.尺寸：125*73*40mm，2.材质：ABS3.功能：用于幼儿对浮力的理解，操作简便，效果明显。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十三、生物世界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62 手持显微镜 4个：1.尺寸：140*50mm2.材质：ABS3.功能：100倍放大倍数，用于观察植物的叶子或衣物等轻薄物体,带灯"63 蝗虫模型 4个：1.尺寸：82*52*22mm2.材质：硬质环保pvc塑胶3.功能：适用于儿童动物认知，造型逼真：64 蝎子模型 4个：1.尺寸：82*52*22mm2.材质：硬质环保pvc塑胶3.功能：适用于儿童动物认知，造型逼真：65 蜜蜂模型 4个：1.尺寸：90*60*52mm2.材质：硬质环保pvc塑胶3.功能：适用于儿童动物认知，造型逼真。66 螳螂 4个：1.尺寸：45*45*27mm2.材质：硬质环保pvc塑胶3.功能：适用于儿童动物认知，造型逼真：67 蜘蛛 4个：1.尺寸55*65*17mm2.材质：硬质环保pvc塑胶3.功能：适用于儿童动物认知，造型逼真：68 瓢虫 4个：1.尺寸：55*65*17mm2.材质：硬质环保pvc塑胶3.功能：适用于儿童动物认知，造型逼真。69 蟑螂模型4个 ：1.尺寸：55*65*17mm2.材质：硬质环保pvc塑胶3.功能：适用于儿童动物认知，造型逼真。70 生物成长过程标本1个： 黄高鳍刺尾鱼造型外框，外型尺寸：165x115x17mm，内部包埋标本尺寸：75x75x9mm,内部包含斑蝶生长史4个阶段。邻苯二甲酸酯：邻苯二甲酸二（2-乙基己基）酯(DEHP)≤0.003%；邻苯二甲酸二丁酯（DBP）≤0.003%；邻苯二甲酸丁苄酯(BBP)≤0.003%；邻苯二甲酸二异壬酯（DINP)≤0.005%；邻苯二甲酸二辛酯（DNOP）≤0.003%；邻苯二甲酸二异癸酯（DIDP）≤0.003%71昆虫认知卡-蜣螂 4套：1.尺寸：110*160mm2.材质：高级PET薄膜3.功能：适用于幼儿都事物的认知包含蜣螂认知卡。72 昆虫认知卡-竹节虫 4个：1.尺寸：110*160mm2.材质：高级PET薄膜。3.功能：适用于幼儿都事物的认知包含竹节虫认知卡、叶修虫认知卡。73 昆虫捕捉器4个： 1.尺寸：40*140*60mm，2.材质：环保塑料材质3.功能：可用户幼儿户外探索对昆虫的捕捉，方便、安全。74 昆虫套装 1套：1.尺寸：75*75*20mm，2.材质：树脂，3.功能:用于幼儿了解蝴蝶、飞蛾、豆娘、蜻蜓的外观，根据指南要求锻炼幼儿对比分类能力，细节清晰、形象生动、透明度优良,符合质量检测标准。75 农田里的害虫 1套：1.尺寸：225*185*50mm，2.材质：纸质包装、树脂，3.功能：形包含多种自然界的害虫，细节清晰，体态完整，产品符合相关检测标准。76 蚕宝宝生长记 1套：1.尺寸：225*185*50mm，2.材质：纸质包装、树脂，3.功能：形体完整，符合蚕自然成长过程，产品符合相关检测标准。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十四、淘气的磁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77 马蹄磁铁 8个：1.尺寸：18*21*2.7cm，2.材质：磁铁、pvc,3.功能：用于幼儿对磁铁的了解。"78 指南针4个： 1.尺寸：直径60mm2.材质：不锈钢3.功能：中文指北针。"79 磁悬浮套装4套： 1.尺寸：24*60*21cm2.材质：环保塑料、磁铁等材质3.功能：可制作磁悬浮，培养幼儿兴趣，加深幼儿对磁铁的认识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十五、美妙声音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80 传声筒套装 1套：1.材质：硅胶管 PP，2.产品包含：硅胶管1米*6条 Y型连接头*2个 +型连接头1个  喊话头*6个。81 多彩敲击琴4个： 1.尺寸：270*100mm2.材质：木质+金属3.功能：敲击棒敲击琴面，可发出不同清脆的音符，让幼儿感知音乐的魅力。82 五星手摇铃4个： 1.产品尺寸：150*90mm。材质：塑料+金属。功能：用于幼儿了解声音的相关课程。83 三角铁 4个：1.尺寸：边长100mm2.材质：环保塑料+金属3.功能：金属锤敲击铁三角，发出清脆的声音，用于幼儿了解声音相关内容。84 眼罩4个： 1.尺寸：150mm2.材质：安全布料3.功能：用于幼儿视觉的锻炼课程。"</w:t>
            </w:r>
          </w:p>
          <w:p>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十六、趣味数学 85 数字天平1个： 1.尺寸：250*700mm。2.材质：ABS环保塑料。3.功能：通过简单的天平游戏让幼儿了解到数学的奇妙，锻炼幼儿的逻辑思维能力。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86 猴子天平4套 ：1.尺寸：18*22cm。2.材质：环保塑料。3.功能：含小猴天平支架、多个数字串，利用数字及重量调节两边的平衡。87 几何套装4套： 1.产品尺寸：3-8.4cm,2.材质：松木，3.功能：包含长方体、球体、锥体等不同类型的几何体，用于幼儿认知几何体。"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十七、地球宇宙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88 单目望远镜 1架：1.尺寸：100*120*110cm2.材质：合金、塑料3.功能：儿童科教天文望远镜，高倍高清，用于儿童兴趣培养。包含三脚架、托盘、镜筒、寻星镜等，镜口直径60mm。89 运载火箭 1个：1.尺寸：23.5*42cm，2.材质：abs环保塑料，3.功能：具有声光功能，可用于幼儿的天文认知教学，激发幼儿对太空的探索。90 AR地球仪 1个：1.尺寸：直径32cm，2.材料：PVC，3.功能：中英文双语版，可用于幼儿地球科学课程讲解。91 立体月球仪1个： "树脂月球模型，直径 17.3cm，包括月球表面的地形，含有环形山、月海，标记清晰，位置准确。邻苯二甲酸酯：邻苯二甲酸二（2-乙基己基）酯(DEHP)≤0.003%；邻苯二甲酸二丁酯（DBP）≤0.003%；邻苯二甲酸丁苄酯(BBP)≤0.003%；邻苯二甲酸二异壬酯（DINP)≤0.005%；邻苯二甲酸二辛酯（DNOP）≤0.003%；邻苯二甲酸二异癸酯（DIDP）≤0.003%。92  太阳构造模型 1个：1.尺寸：高约40cm、直径32cm2.材质：玻璃钢材质，3.功能：包含底座，可转动，用于儿童认识太阳教学。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妙趣触控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93弹簧下楼梯 1套：1.尺寸：400×150×405mm,弹簧直径约80mm，2.材质：ABS/金属3.功能：探究弹簧重心变化运动状态的影响典型能够产生弹性形变的物体。将弹簧弯曲成拱形状，放在调节好的折叠架的顶端，然后松手，弹簧会翻转着运动到折叠架的底端，即出现“弹簧下楼梯”的现象。94 动物投球1个： 1.尺寸：46*35cm。2.材质：PET塑料+木质+金属3.功能：配有2个磁球，可以吸取小球，有鹿、猴子、老虎等多种卡通动物。 94纺织机 1台：1.尺寸：46*35cm。2.材质：PET塑料+木质+金属3.功能：配有2个磁球，可以吸取小球，有鹿、猴子、老虎等多种卡通动物。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现代科技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95风力发电模型1套： 1.尺寸：950*850*300mm,2.材质：塑料、五金、线材、马达。3.功能：通过齿轮带动线圈做切割磁感线运动，产生电流，使幼儿观察到风能转变为电能的自然现象。"96 风力发电模型1台。97 机器人1个。 1.尺寸：230*100*290mm2.产品材质：塑料3.产品功能：具有智力开发、动手动脑、手眼协调、亲自交流等功能。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妙趣共振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98智能语音共振鼓 1套：1、产品尺寸：20*30*55cm。材质：塑料+金属+木材。功能：此展项由两套开放的完全相同的鼓膜装置构成。其中一个鼓膜装置配有一个鼓槌，另一个鼓膜前方悬吊有一只乒乓球，观众用鼓槌敲击鼓膜，鼓膜振动，另一只鼓前方的乒乓球会跳动起来，这是因为这个鼓膜产生了共振现象。从而，通过这一演示，让观众了解了共振现象。本产品具有语音介绍功能。邻苯二甲酸酯：邻苯二甲酸二（2-乙基己基）酯(DEHP)≤0.003%；邻苯二甲酸二丁酯（DBP）≤0.003%；邻苯二甲酸丁苄酯(BBP)≤0.003%；邻苯二甲酸二异壬酯（DINP)≤0.005%；邻苯二甲酸二辛酯（DNOP）≤0.003%；邻苯二甲酸二异癸酯（DIDP）≤0.005%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妙趣造纸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99造纸机 1个：1.尺寸：38*11.5*32cm,2.材质：ABS塑料。3.功能：本产品可将废纸磨成纸浆，进行纸的再利用，可用于幼儿了解纸的制作过程。"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妙趣表演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100 头饰 30个：1.尺寸：200*200mm2.材质：EVA3.功能：包含太阳、狗、兔子、大象，opp透明袋独立包装，可用于自然课堂游戏活动。包括青蛙、鲤鱼、乌龟等活动头饰各一个，蜻蜓、蚂蚁等活动头饰各2个"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收纳箱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101 教具器材箱 74个：1.尺寸：外径270*183*140mm，内径240*160*130mm2.材质：进口加厚PP材质3.功能：无毒无味、安全环保，功能：用于功能教室内幼儿教学器材收纳。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文化环创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102 科学教室标题字 1套：1.尺寸：18*18cm，2.材质：亚克力，3.功能：粘贴于墙上，色彩鲜艳，突出教室主题。"103 科学环创1（8块）：1.尺寸：38cm,2.材质：PVC、户外相纸，3.功能：齿轮造型，含有多种科学内容。"104 科学环创2 （6块）：1.尺寸：38cm,2.材质：PVC、户外相纸，3.功能：包括爱因斯坦、杨振宁、钟南山等知名科学家人物介绍。"105 科学环创3 （6块）：1.尺寸：38cm,2.材质：PVC、户外相纸，3.功能：包括探索宇宙，STEAM对儿童的重要性等。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教学资料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106教师用书3本： 1.尺寸：18.1*25.6cm2.材质：铜版纸、胶版纸，3.功能：每册包含32节自然科学探索课程的详细教学过程及教学建议，辅助教室了解课程的开展形式及方法，内容丰富。107 幼儿手册（一阶段）30本： 1.尺寸：18.1*25.6cm，2.材质：铜版纸+胶版。3.功能：图文形式，形象生动。 108 幼儿手册（二阶段）30本： 1.尺寸：18.1*25.7cm，2.材质：铜版纸+胶版。3.功能：图文形式，形象生动。109 幼儿手册（三阶段）30本： 1.尺寸：18.1*25.7cm，2.材质：铜版纸+胶版。3.功能：图文形式，形象生动。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家具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110木质M柜 8套：1.尺寸：1000*290*950mm。2.功能：即装即用，采用优质五金 ,表面耐磨、耐污、耐划伤，易清洁。111 火箭柜2套： 1.尺寸：470*290*1015mm。2.功能：即装即用，采用优质五金 ,表面耐磨、耐污、耐划伤，易清洁。112 凹凸柜 1套：1.尺寸：1170*290*914mm。2.功能：即装即用，采用优质五金 ,表面耐磨、耐污、耐划伤，易清洁。"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113 长条桌 4张：1.尺寸：1200*600*480mm。2.功能：即装即用，采用优质五金 ,表面耐磨、耐污、耐划伤，易清洁。114 方桌 4张：1.尺寸：55*55*48cm，2.功能：桌面平整、光滑，适用于幼儿园科学教学活动。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阿图什市第三幼儿园</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班级文化墙毛毡布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Style w:val="69"/>
                <w:sz w:val="18"/>
                <w:szCs w:val="18"/>
                <w:highlight w:val="none"/>
                <w:lang w:val="en-US" w:eastAsia="zh-CN" w:bidi="ar"/>
              </w:rPr>
              <w:t>加厚毛毡布</w:t>
            </w:r>
            <w:r>
              <w:rPr>
                <w:rStyle w:val="71"/>
                <w:rFonts w:eastAsia="宋体"/>
                <w:sz w:val="18"/>
                <w:szCs w:val="18"/>
                <w:highlight w:val="none"/>
                <w:lang w:val="en-US" w:eastAsia="zh-CN" w:bidi="ar"/>
              </w:rPr>
              <w:t xml:space="preserve"> </w:t>
            </w:r>
            <w:r>
              <w:rPr>
                <w:rStyle w:val="69"/>
                <w:sz w:val="18"/>
                <w:szCs w:val="18"/>
                <w:highlight w:val="none"/>
                <w:lang w:val="en-US" w:eastAsia="zh-CN" w:bidi="ar"/>
              </w:rPr>
              <w:t>颜色甲方指定</w:t>
            </w:r>
            <w:r>
              <w:rPr>
                <w:rStyle w:val="71"/>
                <w:rFonts w:eastAsia="宋体"/>
                <w:sz w:val="18"/>
                <w:szCs w:val="18"/>
                <w:highlight w:val="none"/>
                <w:lang w:val="en-US" w:eastAsia="zh-CN" w:bidi="ar"/>
              </w:rPr>
              <w:t xml:space="preserve"> </w:t>
            </w:r>
            <w:r>
              <w:rPr>
                <w:rStyle w:val="69"/>
                <w:sz w:val="18"/>
                <w:szCs w:val="18"/>
                <w:highlight w:val="none"/>
                <w:lang w:val="en-US" w:eastAsia="zh-CN" w:bidi="ar"/>
              </w:rPr>
              <w:t>加厚</w:t>
            </w:r>
            <w:r>
              <w:rPr>
                <w:rStyle w:val="71"/>
                <w:rFonts w:eastAsia="宋体"/>
                <w:sz w:val="18"/>
                <w:szCs w:val="18"/>
                <w:highlight w:val="none"/>
                <w:lang w:val="en-US" w:eastAsia="zh-CN" w:bidi="ar"/>
              </w:rPr>
              <w:t>5mm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9"/>
                <w:sz w:val="18"/>
                <w:szCs w:val="18"/>
                <w:highlight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9"/>
                <w:sz w:val="18"/>
                <w:szCs w:val="18"/>
                <w:highlight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9"/>
                <w:sz w:val="18"/>
                <w:szCs w:val="18"/>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幼儿用桌</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橡木，六人桌，长120cm,宽60cm，高55cm。材质：1、桌面采用优质橡木齿拼接而成，不开裂、不易变形。2、桌腿采用优质橡木实木加工而成无毛刺，规格4.8*4.8cm ，3、整体采用榫卯结构坚固耐用4.采用进口优质环保油漆喷涂而成，安全、无毒无味，凸显木材纹理，手感光滑。</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区角玩具成品5套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小家电，12件，食品级工程塑料。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餐具饮具，7件，食品级工程塑料。</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蒙台梭利数学教具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1.插座圆柱体：由4组圆柱体组成。培养儿童辨别大小、高低、粗细、深浅的触觉、视觉能力，依圆柱体顺序对应培养逻辑思考敏锐观察能力；把握圆柄可作握笔练习和写字前准备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2.棕色梯：由10块长方体组成。透过触觉、视觉的辨别在知觉上对等次的差异有充分的认识，发展眼、手、肌肉的动作协调；了解递进、递减的关系；学习长方体的概念；培养逻辑思考（顺序性和专注观察能力。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3.粉红塔： 由10块立方体组成。透过视觉正确获得对三维空间差别变化的知觉；了解递进、递减的关系；培养立方体的概念、手眼协调 和肌肉运动的控制力；积高时敏锐的观察力；数学教育（理解十进制法）的间接准备；逻辑思考（顺序性）的能力。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4.音桶：两个木箱中各有6个木制圆筒组成，圆筒内装有石子、沙子、壳类、米粒、米糠等不同材料，摇动时发出强弱不同的声音。培养辨别声音强弱的听觉能力，发展腕部的肌肉运动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5.温量板： 由金属、石材、木质、地毯片各2块组成，培养对温度的感觉，辨别温度的差异。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6.构成三角形：由5盒不同的三角形块组成。透过视觉认识三角形，通过对多边形的组合与分解了解三角形与多边形的几何关系和相等概念。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7.重量板：进口实木6组12个。培养辨别轻重的感觉和判断力。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8.几何图形嵌板：由几何嵌板操作1个屉、6层几何嵌板橱1个、几何嵌板35块、几何图形卡片99张组成。通过肌肉和触觉的联合，帮助视觉认识平面几何图形；发展手眼协调、注意力和观察力；平面几何学的预备。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9.三项式：木制立方体和长方体共27块组成。培养视觉对三次元的辨别能力，数学的思考能力，可作为三项式（a+b+c）³的代数教具使用。 (a+b+c)³=a³+3a²b+3a²c+b³+3ab²+3b²c+c³+3ac²+3bc²+6abc</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10.手眼调节掷圈：由5个可组装的锣口木柱和5个麻绳套圈组成，锻炼手眼协调能力。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11.几何体支柱：由1个插板盒、3个圆柱、3个三棱柱、3个四方柱组成。培养儿童对实体的感觉，认识几何体特征，可作颜色分类，高-&gt;低比较，排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12.立体四子棋：由16组64颗棋子组成，分成两组，锻炼观察与逻辑分析能力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13.彩色圆柱：由4盒、每盒10个圆柱组成。培养视觉上识别大小、对应概念，发展手眼动作的协调，手臂肌肉控制力，培养敏锐的观察和注意力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14.长棒：由10根方长棒组成。透过触觉、视觉的辨别，在知觉上对长度的差别有正确的了解，发展手、眼与肌肉的协调性；数学教育（量，基本运算、十进制元、分制系统）的直接准备教具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15.嗅觉筒：通过嗅觉筒的配对操作，训练嗅觉器官辨别各种气味的能力，利用嗅觉器官感知事物的经验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16.味觉瓶：，玻璃。由8个滴瓶组成。品尝各式味道，培养辨别基本味觉的能力。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铁制几何嵌板：金属几何嵌板是书写能力的直接预备，练习金属嵌板不仅强化三指抓的能力，加强腕肌的协调力，而且透过描绘的练习，更可增强笔触力道的熟练度，重迭描绘不同的几何图形板使图形变化无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几何立体组：包括长方体、正方体、球体、椭球体、卵形体、三角柱、圆柱、圆椎、三角椎、四角椎，另有11枚与上述几何体的一个侧面相等的投影板组成。培养儿童对实体的感觉，认识各种几何体，了解其特征；进入几何学的准备，刺激肌肉的感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19.触觉板：由13块表面粗糙和光滑程度不同的木板组成。培养粗糙与光滑的触觉感和分析、比较的思维能力。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20.二项式：木制立方体和长方体共8块组成。培养视觉对立体空间的认识和数学思考能力，可作为计算体积(a+b)³ 的代数教具。(a+b)³=a³+3a²b+3ab²+b³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21.色板：由大、中、小3盒各种颜色的小色板组成。培养分辨颜色的对色彩的美感，颜色的对比及组合的预备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22.圆圆板：由100个彩色圆组成。可做颜色的排序、对应。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23.圆柱体阶梯：由1个插板，25个高低、颜色不同的圆柱组成。可作颜色分类，高-&gt;低比较，排序。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24.1-100连续数板：儿童将活动数字卡片排列在一定的方格板上，认识1-100的排列并认识数的连续性。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25.数棒（3岁以下）： 由从短到长10根红、蓝相同的木棒和从1到10的10块数字片组成。数棒是代表连续“量”的教具。认识、了解数的及数词，记忆1到10，十进制法的预备，导入数的概念。</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26.二倍数： 由7个木块组成。培养2倍的概念，认识简单的倍数关系，导入平方概念。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27.乘除法板： 进行得数最大为100的乘法题目，熟练后可导入乘法心算。练习被除数最大为81以内除法题目，从感官上认识平均分配的概念，熟练后可导入除法心算。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28.十进位法及银行游戏：由10颗单珠、10根珠棒、10个100珠板、2个1000珠阵、4套数字卡片组成。了解十进制法的排列与形成，学习交换的规则，可做大数目四则运算。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30.三倍数：用立方体或长方体等实物来显示三倍数之间的关系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31.黑白串珠棒： 加深了解十以内的数量的概念，体会等量交换的概念，可用于进行加减法运算练习。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32.平方珠链：由10串珠链（55个珠棒）组成。加强以1为单位的数的连续概念；学习平方的概念；乘算的预备。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33.塞根板：由4块板、18块数字片组成。对于11到19的数能正确的做名称练习；能把握连续数的排列，体会连续数的顺序关系；了解10位与个位数的关系；学习量与代表数量的符号（数字）的一致性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34.加、减法板：加数最大为9的加法练习，熟练后可导入加法心算；用于呈现被减数最到为18的减法运算练习，熟练后可导入减法心算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35.邮票游戏：幼儿通过银行游戏认识十进制元法以后，即可进入邮票游戏的操作，熟悉数字的转换关系，并进行大数量的四则运算，培养数学思考能力。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36.分数小人： 由1个木座、小人4组10块组成。知道1个整体（=1）如何分成若干部分，作为进入分数的预备。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37.立方体：由1000颗边长为1厘米的立方块组成，学习立方的概念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38.数字与筹码：由55个圆片，10张1到10数字卡片组成。了解数与量的关系，认识奇数与偶数。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39.体积组：认识整体与部分的关系，建立不同几何立体的体积可以换算的概念，发展儿童对空间的概念。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40.灰色串珠棒：熟悉十以内数量、数位与名称，为学习减法运算做准备。、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41.彩色串珠棒：学习0-10的概念、10以内的加减法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42.立方珠链及框架： 由1个框架、55串珠链（385根珠棒）组成。学习立方的概念和学乘法的预备。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43.接龙减龙游戏：练习加减混合运算，增加儿童对数学的兴趣，培养孩子的逻辑思考能力。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44.砂数学板：由0到9数字长板1块，0到9数字单板10块组成。培养认识0到9的数字，练习书写数字，是写前的预备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45.纺棰棒箱：由2个整理箱、45根纺棰棒，10块数字片组成。指导0的概念，加强数与量集合的概念。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46.加减乘除巨阵盘：由10檔彩色算珠组成，每檔10个算珠，学习加减乘除。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47.数数棒组：学习0-10的概念、10以内的加减法。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48.彩色小数棒：熟悉十以内数量、数字与名称，为学习平方、立方做间接准备。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49.算术尺：由标有1公分刻度的尺子组成，可进行加减法的运算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50.算术天平组：由天平、称盘与彩色木珠组成，学习数量与平衡的关系。、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51.圆形分数板：由彩色23片圆形分数板、1个双面钉板组成。认识分数，了解部分与整体的关系，增进组合概念。利用钉板背面，配二长短、颜色不同的橡皮筋，可发挥幼儿的想象力与创造力。</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52.四方拼盘：由三角形、正方形、平行四边形木块组成，学习几何图形与关系。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53.分解几何盘：由1个木座、9组多种几何图形组成。是进入分数的预备。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54.1000串珠链：由100根（每根10颗珠）珠棒串成一条组成。加强对数的认识；熟悉连续数及其顺序；与100串珠板、1000的立方体珠块比较，培养差别的印象，加强十进制法的知识，培养专注力与独立性。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55.黄色串珠棒：认识数与量等量交换的概念，为进行银行游戏做准备。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56.数学拼板：熟悉数字，理解数与量的关系，培养数学学习兴趣。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57.不规则拼盘：由不规则几何图形嵌板组成，认识几何图形与锻炼观察能力。58.1公分方块组：刻度为1公分的连接尺组成，学习加减运算方法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59.几何图形板：认识几何图形，为学习几何知识打基础。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60.称盘组：由天平、木棍与彩色串珠组成，学习数量、加减与平衡的关系。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61.十进位组：由1公分方块与10块连接条，以及10平方连接块组成，学习十进制制的关系。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62.几何体阶梯：进口实木5组，可作颜色分类，三种几何图形，感官学习，高→低比较、排序。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63.组合几何体盘：由正5边形、正方形、正三角形、长方形与圆形的面积分解组合，学习分数、面积的关系。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64.数数看： 由1-5彩色算珠架组成。可进行分类、集合、分解、量的学习。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65.双字母砂字板：熟悉汉语拼音的组成及发音，练习书写。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66.砂纸字母板：由大小写砂纸字母板各26块组成。通过触摸认识英文字母，为书写做预备。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67.活动字母箱：熟悉字母，练习单词的拼写。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68.拼音结构练习：练习汉语拼音的正确组合，掌握拼音拼读规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69.印刷字母箱：由大小写印刷字母各5套、布袋2个组成（照片仅供参考）。认识英文字母大小写的印刷体。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70.亚洲地图嵌板： 由1套嵌板组成。了解中国的位置，认识各省、直辖市、自治区和省会城市的位置；培养空间思维。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71.活动时钟：直观认识时钟的构成，了解时间概念，为看生活中的表打基础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72.中国地图嵌板：    认识亚洲各个国家的位置、名称及风土人情，初步认识地理的空间概念。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73.世界洲际地图嵌板：由1套嵌板组成。建立地图概念，从地图上认识世界上7大洲和4大洋的位置，培养空思维。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74.太阳系九大行星嵌板：由1套嵌板组成，认识太阳系，了解九大行星位置，培养空间思维。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75.动植物卡片柜，植物卡片，动物卡片 ：由14块树叶嵌板,5层木橱1个组成。学习识别各种树叶、植物。纸质。学习识别各种动物。纸质。学习识别各种动物植物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76.鸟嵌板：培养手眼协作及独立性提高观察分析能力和专注力，了解动物—鸟的各个部分的基本构造。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77.青蛙嵌板：培养手眼协作及独立性提高观察分析能力和专注力，了解动物—青蛙的各个部分的基本构造。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78.树嵌板：培养手眼协作及独立性提高观察分析能力和专注力，了解植物的树的各个部分的基本构造。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79.花嵌板：培养手眼协作及独立性提高观察分析能力和专注力，了解植物的花的各个部分的基本构造。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80.马嵌板：培养手眼协作及独立性提高观察分析能力和专注力，了解动物的马的各个部分的基本构造。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81.树叶嵌板：培养手眼协作及独立性提高观察分析能力和专注力，了解 植物的叶的各个部分的基本构造。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82.鱼嵌板：培养手眼协作及独立性提高观察分析能力和专注力，了解动物的鱼的各个部分的基本构造。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83.乌龟嵌板：培养手眼协作及独立性提高观察分析能力和专注力，了解动物的乌龟的各个部分的基本构造。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84.二指抓：由1个插座板、9个小人组成。锻练两指抓物的能力，提高手眼协调能力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85.衣饰架及衣饰：棉布。由1个架、12个框、12件衣饰组成。学会各种绳带、纽扣的系法，锻练手指灵活性，培养适应日常生活的自理能力。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86.儿童地毯大号，儿童地毯小号，环保化工纤维。供铺垫操教具使用。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87.儿童地毯中号：环保化工纤维。供铺垫操教具使用。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乐高积木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材质：榉木，最大尺寸（尺寸独有）长60*29.2mm，宽14.75*15.5mm，基础部件290个。可迁移元素（mg/kg）: 可溶性锑 ≤ 60;可溶性砷 ≤ 25;可溶性钡 ≤1000;可溶性镉 ≤75;可溶性铬 ≤60;可溶性铅 ≤90 ;可溶性汞 ≤60;可溶性硒 ≤500。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笔墨纸砚</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入门实用（十八件套）含包装盒</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室外卡通垃圾桶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65*28*70cm，食品级工程塑料，滚塑一次成型，抗静电能力强，安全环保，耐候性好，强度高。</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硬盘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移动式，1T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人体模型</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65CM躯干模型人体解剖器官结构模型</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电子视力仪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幼儿专用。幼儿专用。材质：铝合金边框,功能：5米测试,尺寸：75*23*8.5cm,重量：3.5kg</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幼儿童机械身高体重秤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幼儿专用。幼儿专用。1、最大秤重：120KG/分度值50G；2、称量范围：0.1kg-120kg，长度计量：70-190cm。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百变创意方块拼图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木制，环保油漆。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儿童过家家厨房做饭玩具套装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常规，　40件。塑料。食品级工程塑料。优质塑料，色彩鲜艳，安全适用。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三节鞍马跳箱</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体能跳高训练器材 小三档【75*40*20*50CM】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美工材料包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36支水彩笔、24支彩铅，2瓶胶水、12个粉饼、24支油画棒、1把直尺、24支蜡笔、1个卷笔刀、1块橡皮、1支笔刷、1支笔刷，1包回形针，1把剪刀，1个订书机 木盒子尺寸38*29.5*4.5厘米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阿图什市第十五幼儿园</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电钢琴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1、演奏性能:白键下沉偏差≤1.0㎜;相邻两白键偏差≤0.5㎜;相邻两白键高度误差≤0.5㎜; 全键盘白键表面高度误差≤2.0㎜；琴键耐久性≥100万次。2、声学品质: 全音域音准误差≤±2音分; 相邻两键音准误差之差≤3音分;全键盘同一音名的音高变化≤2音分。3、有害物质限量:甲醛≤0.08mg/m³;甲苯≤0.20mg/m³;二甲苯≤0.20mg/m³;苯≤0.11mg/m³;总挥发有机化合物≤0.60mg/m³。4、琴键规格:标准钢琴键。5、键盘逐级配重:有。6、键盘传感器≥3个。7、键盘盖:滑动式。8、双钢琴功能:有。9、钢琴音色明亮度调节范围≥±3。10、力度感应≥3级,可关闭。11、复音数≥192。12、音色数量≥22种。13、数字效果器:有。14、模拟音效:制音共鸣、音槌响应。15、节拍器速度调节范围≥20-255拍/分钟。16、节拍器音量调节功能:有。17、混响≥4种。18、合唱≥4种。19、音乐厅效果≥4种。20、乐曲库≥60首,音量可调。21、用户乐曲数量≥10首,每首乐曲文件容量≥90KB,音量可调。22、演奏会乐曲数量≥10首。23、 乐曲学习功能:有,左手声部/右手声部分可开练习,音量可调。24、音律≥17种。25、轨道录音功能:有,轨道数量≥2轨,每首乐曲音符容量≥5,000个。26、三角钢琴音色快捷按钮数量≥2个。27、移调范围≥±12个半音。28、调音功能:有,A4=415.5Hz-465.9Hz。29、八度升降范围≥±2。30、踏板类型:标准钢琴三踏板。31、MIDI接收频道≥16。32、MIDI设备接口类型:B型USB。33、耳机接口数量≥2个。34、电源接通指示灯:有。35、谱架:有。36、扬声器输出功率≥16W。37、扬声器直径≥12㎝。38、供电方式:交流供电。39、自动关机功能:有。40、面板锁定功能:有。有害物质含量（单位：mg/m³）：甲醛≤0.08%；甲苯≤0.20%；二甲苯≤0.20%；苯≤0.11%；总挥发有机化合物≤0.60%。含配套钢琴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4"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蒙台梭利（数学）玩具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插座圆柱体：由4组圆柱体组成。培养儿童辨别大小、高低、粗细、深浅的触觉、视觉能力，依圆柱体顺序对应培养逻辑思考敏锐观察能力；把握圆柄可作握笔练习和写字前准备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2.棕色梯：由10块长方体组成。透过触觉、视觉的辨别在知觉上对等次的差异有充分的认识，发展眼、手、肌肉的动作协调；了解递进、递减的关系；学习长方体的概念；培养逻辑思考（顺序性和专注观察能力。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3.粉红塔： 由10块立方体组成。透过视觉正确获得对三维空间差别变化的知觉；了解递进、递减的关系；培养立方体的概念、手眼协调 和肌肉运动的控制力；积高时敏锐的观察力；数学教育（理解十进制法）的间接准备；逻辑思考（顺序性）的能力。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4.音桶：两个木箱中各有6个木制圆筒组成，圆筒内装有石子、沙子、壳类、米粒、米糠等不同材料，摇动时发出强弱不同的声音。培养辨别声音强弱的听觉能力，发展腕部的肌肉运动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5.温量板： 由金属、石材、木质、地毯片各2块组成，培养对温度的感觉，辨别温度的差异。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6.构成三角形：由5盒不同的三角形块组成。透过视觉认识三角形，通过对多边形的组合与分解了解三角形与多边形的几何关系和相等概念。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7.重量板：进口实木6组12个。培养辨别轻重的感觉和判断力。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8.几何图形嵌板：由几何嵌板操作1个屉、6层几何嵌板橱1个、几何嵌板35块、几何图形卡片99张组成。通过肌肉和触觉的联合，帮助视觉认识平面几何图形；发展手眼协调、注意力和观察力；平面几何学的预备。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9.三项式：木制立方体和长方体共27块组成。培养视觉对三次元的辨别能力，数学的思考能力，可作为三项式（a+b+c）³的代数教具使用。 (a+b+c)³=a³+3a²b+3a²c+b³+3ab²+3b²c+c³+3ac²+3bc²+6abc</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10.手眼调节掷圈：由5个可组装的锣口木柱和5个麻绳套圈组成，锻炼手眼协调能力。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11.几何体支柱：由1个插板盒、3个圆柱、3个三棱柱、3个四方柱组成。培养儿童对实体的感觉，认识几何体特征，可作颜色分类，高-&gt;低比较，排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12.立体四子棋：由16组64颗棋子组成，分成两组，锻炼观察与逻辑分析能力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13.彩色圆柱：由4盒、每盒10个圆柱组成。培养视觉上识别大小、对应概念，发展手眼动作的协调，手臂肌肉控制力，培养敏锐的观察和注意力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14.长棒：由10根方长棒组成。透过触觉、视觉的辨别，在知觉上对长度的差别有正确的了解，发展手、眼与肌肉的协调性；数学教育（量，基本运算、十进制元、分制系统）的直接准备教具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15.嗅觉筒：通过嗅觉筒的配对操作，训练嗅觉器官辨别各种气味的能力，利用嗅觉器官感知事物的经验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16.味觉瓶：，玻璃。由8个滴瓶组成。品尝各式味道，培养辨别基本味觉的能力。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铁制几何嵌板：金属几何嵌板是书写能力的直接预备，练习金属嵌板不仅强化三指抓的能力，加强腕肌的协调力，而且透过描绘的练习，更可增强笔触力道的熟练度，重迭描绘不同的几何图形板使图形变化无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几何立体组：包括长方体、正方体、球体、椭球体、卵形体、三角柱、圆柱、圆椎、三角椎、四角椎，另有11枚与上述几何体的一个侧面相等的投影板组成。培养儿童对实体的感觉，认识各种几何体，了解其特征；进入几何学的准备，刺激肌肉的感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19.触觉板：由13块表面粗糙和光滑程度不同的木板组成。培养粗糙与光滑的触觉感和分析、比较的思维能力。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20.二项式：木制立方体和长方体共8块组成。培养视觉对立体空间的认识和数学思考能力，可作为计算体积(a+b)³ 的代数教具。(a+b)³=a³+3a²b+3ab²+b³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21.色板：由大、中、小3盒各种颜色的小色板组成。培养分辨颜色的对色彩的美感，颜色的对比及组合的预备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22.圆圆板：由100个彩色圆组成。可做颜色的排序、对应。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23.圆柱体阶梯：由1个插板，25个高低、颜色不同的圆柱组成。可作颜色分类，高-&gt;低比较，排序。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24.1-100连续数板：儿童将活动数字卡片排列在一定的方格板上，认识1-100的排列并认识数的连续性。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25.数棒（3岁以下）： 由从短到长10根红、蓝相同的木棒和从1到10的10块数字片组成。数棒是代表连续“量”的教具。认识、了解数的及数词，记忆1到10，十进制法的预备，导入数的概念。</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26.二倍数： 由7个木块组成。培养2倍的概念，认识简单的倍数关系，导入平方概念。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27.乘除法板： 进行得数最大为100的乘法题目，熟练后可导入乘法心算。练习被除数最大为81以内除法题目，从感官上认识平均分配的概念，熟练后可导入除法心算。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28.十进位法及银行游戏：由10颗单珠、10根珠棒、10个100珠板、2个1000珠阵、4套数字卡片组成。了解十进制法的排列与形成，学习交换的规则，可做大数目四则运算。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30.三倍数：用立方体或长方体等实物来显示三倍数之间的关系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31.黑白串珠棒： 加深了解十以内的数量的概念，体会等量交换的概念，可用于进行加减法运算练习。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32.平方珠链：由10串珠链（55个珠棒）组成。加强以1为单位的数的连续概念；学习平方的概念；乘算的预备。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33.塞根板：由4块板、18块数字片组成。对于11到19的数能正确的做名称练习；能把握连续数的排列，体会连续数的顺序关系；了解10位与个位数的关系；学习量与代表数量的符号（数字）的一致性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34.加、减法板：加数最大为9的加法练习，熟练后可导入加法心算；用于呈现被减数最到为18的减法运算练习，熟练后可导入减法心算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35.邮票游戏：幼儿通过银行游戏认识十进制元法以后，即可进入邮票游戏的操作，熟悉数字的转换关系，并进行大数量的四则运算，培养数学思考能力。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36.分数小人： 由1个木座、小人4组10块组成。知道1个整体（=1）如何分成若干部分，作为进入分数的预备。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37.立方体：由1000颗边长为1厘米的立方块组成，学习立方的概念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38.数字与筹码：由55个圆片，10张1到10数字卡片组成。了解数与量的关系，认识奇数与偶数。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39.体积组：认识整体与部分的关系，建立不同几何立体的体积可以换算的概念，发展儿童对空间的概念。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40.灰色串珠棒：熟悉十以内数量、数位与名称，为学习减法运算做准备。、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41.彩色串珠棒：学习0-10的概念、10以内的加减法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42.立方珠链及框架： 由1个框架、55串珠链（385根珠棒）组成。学习立方的概念和学乘法的预备。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43.接龙减龙游戏：练习加减混合运算，增加儿童对数学的兴趣，培养孩子的逻辑思考能力。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44.砂数学板：由0到9数字长板1块，0到9数字单板10块组成。培养认识0到9的数字，练习书写数字，是写前的预备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45.纺棰棒箱：由2个整理箱、45根纺棰棒，10块数字片组成。指导0的概念，加强数与量集合的概念。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46.加减乘除巨阵盘：由10檔彩色算珠组成，每檔10个算珠，学习加减乘除。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47.数数棒组：学习0-10的概念、10以内的加减法。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48.彩色小数棒：熟悉十以内数量、数字与名称，为学习平方、立方做间接准备。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49.算术尺：由标有1公分刻度的尺子组成，可进行加减法的运算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50.算术天平组：由天平、称盘与彩色木珠组成，学习数量与平衡的关系。、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51.圆形分数板：由彩色23片圆形分数板、1个双面钉板组成。认识分数，了解部分与整体的关系，增进组合概念。利用钉板背面，配二长短、颜色不同的橡皮筋，可发挥幼儿的想象力与创造力。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52.四方拼盘：由三角形、正方形、平行四边形木块组成，学习几何图形与关系。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53.分解几何盘：由1个木座、9组多种几何图形组成。是进入分数的预备。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54.1000串珠链：由100根（每根10颗珠）珠棒串成一条组成。加强对数的认识；熟悉连续数及其顺序；与100串珠板、1000的立方体珠块比较，培养差别的印象，加强十进制法的知识，培养专注力与独立性。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55.黄色串珠棒：认识数与量等量交换的概念，为进行银行游戏做准备。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56.数学拼板：熟悉数字，理解数与量的关系，培养数学学习兴趣。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57.不规则拼盘：由不规则几何图形嵌板组成，认识几何图形与锻炼观察能力。58.1公分方块组：刻度为1公分的连接尺组成，学习加减运算方法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59.几何图形板：认识几何图形，为学习几何知识打基础。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60.称盘组：由天平、木棍与彩色串珠组成，学习数量、加减与平衡的关系。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61.十进位组：由1公分方块与10块连接条，以及10平方连接块组成，学习十进制制的关系。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62.几何体阶梯：进口实木5组，可作颜色分类，三种几何图形，感官学习，高→低比较、排序。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63.组合几何体盘：由正5边形、正方形、正三角形、长方形与圆形的面积分解组合，学习分数、面积的关系。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64.数数看： 由1-5彩色算珠架组成。可进行分类、集合、分解、量的学习。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65.双字母砂字板：熟悉汉语拼音的组成及发音，练习书写。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66.砂纸字母板：由大小写砂纸字母板各26块组成。通过触摸认识英文字母，为书写做预备。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67.活动字母箱：熟悉字母，练习单词的拼写。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68.拼音结构练习：练习汉语拼音的正确组合，掌握拼音拼读规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69.印刷字母箱：由大小写印刷字母各5套、布袋2个组成（照片仅供参考）。认识英文字母大小写的印刷体。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70.亚洲地图嵌板： 由1套嵌板组成。了解中国的位置，认识各省、直辖市、自治区和省会城市的位置；培养空间思维。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71.活动时钟：直观认识时钟的构成，了解时间概念，为看生活中的表打基础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72.中国地图嵌板：    认识亚洲各个国家的位置、名称及风土人情，初步认识地理的空间概念。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73.世界洲际地图嵌板：由1套嵌板组成。建立地图概念，从地图上认识世界上7大洲和4大洋的位置，培养空思维。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74.太阳系九大行星嵌板：由1套嵌板组成，认识太阳系，了解九大行星位置，培养空间思维。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75.动植物卡片柜，植物卡片，动物卡片 ：由14块树叶嵌板,5层木橱1个组成。学习识别各种树叶、植物。纸质。学习识别各种动物。纸质。学习识别各种动物植物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76.鸟嵌板：培养手眼协作及独立性提高观察分析能力和专注力，了解动物—鸟的各个部分的基本构造。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77.青蛙嵌板：培养手眼协作及独立性提高观察分析能力和专注力，了解动物—青蛙的各个部分的基本构造。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78.树嵌板：培养手眼协作及独立性提高观察分析能力和专注力，了解植物的树的各个部分的基本构造。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79.花嵌板：培养手眼协作及独立性提高观察分析能力和专注力，了解植物的花的各个部分的基本构造。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80.马嵌板：培养手眼协作及独立性提高观察分析能力和专注力，了解动物的马的各个部分的基本构造。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81.树叶嵌板：培养手眼协作及独立性提高观察分析能力和专注力，了解 植物的叶的各个部分的基本构造。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82.鱼嵌板：培养手眼协作及独立性提高观察分析能力和专注力，了解动物的鱼的各个部分的基本构造。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83.乌龟嵌板：培养手眼协作及独立性提高观察分析能力和专注力，了解动物的乌龟的各个部分的基本构造。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84.二指抓：由1个插座板、9个小人组成。锻练两指抓物的能力，提高手眼协调能力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85.衣饰架及衣饰：棉布。由1个架、12个框、12件衣饰组成。学会各种绳带、纽扣的系法，锻练手指灵活性，培养适应日常生活的自理能力。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86.儿童地毯大号，儿童地毯小号，环保化工纤维。供铺垫操教具使用。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87.儿童地毯中号：环保化工纤维。供铺垫操教具使用。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一体机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显示屏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屏幕可视区域＞85英寸（对角线），采用UHD超高清液晶屏，显示比例16:9，分辨率3840(H)*2160(Z)，可视角度≥178°；最大屏幕亮度≥350cd/m²，符合国家GBZ40070H-2021CZ《儿童青少年学习用品近视防控卫生要求》。（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2.整机金属材质，屏幕表面防眩光钢化玻璃，厚度≤4mm，透过率＞88%，表面硬度＞8H 。屏幕灰阶≥256级，NTSC色域覆盖率不低于85%。钢化玻璃选用国标优等品，光学变形、点状缺陷、尺寸偏差、弯曲度、透射比等均符合GB11614H-2009YL平板玻璃标准（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整机显示屏幕贴合方式采用全贴合工艺，屏幕保护玻璃与显示液晶屏组件无任何间隙，中间无空气介质，减少显示面板与玻璃间的偏光、散射，画面显示更加清晰通透、可视角度更广。整机采用直流背光源，保证显示画面无频闪，有效避免视觉疲劳。硬件低蓝光背光技术，在源头减少有害蓝光波段能量，蓝光占比（有害蓝光415～455nm能量综合）/（整体蓝光400～500能量综合）＜50%，低蓝光保护显示不偏色、不泛黄。（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4.整机屏幕能够准确还原画面细节，画面细节及伽马值无损失，确保师生观看画面不会因显示损耗导致视觉偏差。视网膜蓝光危害（蓝光加权辐射亮度LB）满足IEC TR 62778:2014蓝光危害RG0级别。（（提供具有CMA认证标识的第三方检测机构权威检测报告及国家级相关机构出具的技术证明文件）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5.整机电磁干扰ITE达到国标GB/T9254HZ-2008 Class B等级，满足教学环境多电子设备共用，无需采取任何电磁辐射防护措施。（提供产品CCC认证证书复印件并加盖厂商公章，CCC证书内不得体现ClassA警示标识）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6.整机具备自动光感功能，能感应并自动调节屏幕亮度来达到在不同光照环境下的最佳显示效果，此功能可设置开启或关闭。（提供具有CMA认证标识的第三方检测机构权威检测报告）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7.采用红外触控技术，支持Windows系统中进行不低于20点触控，支持在Android系统中进行10点或以上触控。（提供具有CMA认证标识的第三方检测机构权威检测报告）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整机支持多种智能护眼功能，可通过两侧触控按键及前置物理按键进行护眼模式切换，护眼模式下，整机显示画面更加柔和，有效保护视力；在书写或触控屏幕时，亮度自动降低，保护教师眼睛，触控或书写完成后亮度增加，适合观看。（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整机内置非独立的高清摄像头，摄像头与整机采用一体化设计，无外露连线。摄像头对角角度≥135度，拍摄像素数≥1300W，可用于远程巡课、二维码扫描等功能。且摄像头具备工作指示灯，摄像头运行时，有指示灯提示。支持一键开启录课功能，可将屏幕中显示的课件、音视频内容与老师人声同时录制。（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支持一键开启录课功能，可将屏幕中显示的课件、音视频内容与老师人声同时录制。（提供具有CMA认证标识的第三方检测机构权威检测报告）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10.整机内置不低于8阵列麦克风，麦克风采用非独立扩展形式，不占用整机设备端口，可用于对教室环境音频进行采集，麦克风拾音距离≥12米。（提供具有CMA认证标识的第三方检测机构权威检测报告）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11.为满足课堂视听需求，整机具备不少于2 个中高音单元和1个中低音单元，整机扩声系统总功率不低于50W。（提供具有CMA认证标识的第三方检测机构权威检测报告）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整机具备不少于6个独立物理按键，包括三合一电源按键，设置、音量加减及不少于2个可自定义功能按键，自定义功能包含半屏模式、一键录课、护眼模式等功能，满足不同用户的使用需求。（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整机具备前置Type-C接口，可实现音视频输入，外接电脑设备经双头Type-C线连接至整机，即可把外接电脑设备画面投到整机上，同时在整机上操作画面，可实现触摸电脑的操作，无需再连接触控USB线。前置Type-C接口支持4K 60Hz显示输入；支持快速充电协议，可以给教学平板、教学笔记本、手机等进行快速充电。（提供具有CMA认证标识的第三方检测机构权威检测报告）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14.内置无线网卡，实现WiFi 2.4G/5G无线上网、AP热点发射及BT蓝牙连接。Wi-Fi和AP热点工作距离≥12m。有线网线可实现Android、Windows双系统有线网络连通。支持802.1x EAP身份认证网络连接，能够登陆需要进行身份认证的校园网。（提供具有CMA认证标识的第三方检测机构权威检测报告）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无线传屏功能：内置无线投屏接收系统，无需外置接收器，无线投屏发射器与整机匹配后即可实现传屏功能，将外部电脑的屏幕画面及声音通过无线方式传输到整机上。（提供具有CMA认证标识的第三方检测机构权威检测报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设备具备全通道悬浮菜单，悬浮菜单具有信号源切换、白板软件、锁屏、降半屏等功能。具备全通道双侧边虚拟按键，通过侧边栏可实现返回、主页、信源、页面切换、白板、批注、进入二级菜单等功能；二级菜单包括但不仅限于：无线网络、蓝牙、护眼、半屏、截图、锁屏、设置、计时器、计算器、音量加减、亮度调节等功能。（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任意通道下，可通过五指长按屏幕，实现息屏和唤醒屏幕的功能；可识别五指上、下、左、右方向手势滑动调用相应功能，支持将各手势滑动方向自定义设置为无操作、息屏、批注、主页、半屏模式等。（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18.整机内置嵌入式安卓系统，版本≥11.0，运行内存≥2GB ，内置存储空间＞8GB。提供快捷桌面，用户可以快捷进入白板、文件管理、电脑桌面及更多应用。安卓系统下可实现windows系统中常用的教学应用功能，如白板书写、WPS软件使用和网页浏览。能对USB接口所读取到的文件进行自动归类，可分类查找文档、图片、多媒体，检索后可直接在界面中打开。白板书写内容可导出PDF、IWB、JPG等格式。（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19.嵌入式Android操作系统下，内置通过权威眼科医院临床试验验证的电子视力表软件，支持通过触摸方式进行视力检测，助力校园近视防控工作开展。（提供具有CMA及CNAS认证标识的第三方检测机构权威检测报告）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电子视力表软件由设备生产厂商与与权威三甲医院眼科共同开发，符合GB11533-2011标准对数视力表相关要求，保证测试数据的准确性和权威性。（提供国家权威眼科医院出具的临床试验报告复印件并加盖厂家公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21.内置权威三甲医院眼科制作的护眼百科内容，包含专家视频、护眼动画等资源；不少于50个权威护眼视频。（提供具有CMA及CNAS认证标识的第三方检测机构权威检测报告）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22.整机内置信息发布系统，信息发布系统后台管理系统采用“B/S”架构、SaaS服务方式，可以选择web端推送内容。（提供功能截图）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23.信息发布系统功能特点：定时开关机、远程发布、监控管理、自动循环播放、分组式管理。（提供功能截图）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24.整机进入还原界面时，可点击屏幕选择安卓系统还原、OPS还原以及正常启动选项。（提供具有CMA认证标识的第三方检测机构权威检测报告）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25.整机支持智能U盘锁功能，可设置触摸及按键锁定，锁定后无法随意自由操作，需要使用时插入USB key解锁。（提供具有CMA认证标识的第三方检测机构权威检测报告）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26.硬件自检功能：整机具备内置硬件自检工具，可以一键进行硬件系统自动检测，对系统内存空间、存储空间、软件版本、wifi模块、OPS状态、本机温度、光感、红外触摸框连接状态等提供直观的状态提示。（提供具有CMA认证标识的第三方检测机构权威检测报告）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27.移动可推拉支架，万向轮带锁止功能，国标钢架结构可承重150GK，安全稳定。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28.电脑模块可抽拉式插入整机，支持不断电情况下热插拔，接口采用Intel通用标准80PIN，即插即用，易于维护。处理器Intel Core i5， DDR4内存≥8GB ，SSD固态硬盘≥256GB。具有独立非外扩展的电脑USB接口：≥3路USB3.0，≥1路USB2.0，且支持Android/windows双系统调用；具有一键还原和系统保护功能。(提供具有CMA认证标识的第三方检测机构权威检测报告)；为保障与整机的兼容性，电脑模块与整机为同一制造商。（提供电脑模块与整机CCC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29.PPT教学助手：无需打开任何其他软件，支持课件上下翻页、页面预览及快速跳转；支持自动启动批注功能；支持书写、擦除功能，支持手势擦除，支持一键清除笔迹；支持小黑板辅助教学功能、可调用放大镜、聚光灯等小工具进行授课；支持一键开启录屏功能，将课件、音视频内容与老师人声同时录制，录制完成后保存到桌面，供老师后续作为教学素材使用；支持课件及板书内容直接生成分享二维码，扫码后支持在手机端进行查看及二次分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教学白板软件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1.采用备授课一体化设计，教师可根据教学场景自由切换类PPT界面的备课模式与触控交互教学模式，适用于教室、办公室等不同备授课环境，便于教师教学使用；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支持老师自主注册个人账号登陆使用，根据教师账号信息将教师云空间匹配至对应学校、学科校本资源库，支持老师通过数字账号、微信二维码等方式登录个人账号；为教师提供永久免费使用的5G个人云存储空间，同时根据每名教师使用时长与教学资料制作频率提供可扩展升级空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支持课件云同步，课件内容的编辑修改可自动同步至云端，无需单独保存上传，保障多端调用的同个课件均为最新版本，有效避免教学资源的损坏、遗失；编辑多份互动课件时，教师可一键将所有处于编辑状态的课件同步到互动课件云空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4.支持课件云存储，无需使用U盘等存储设备，联网登陆账号即可获取云课件；</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5.支持分组管理云课件，用户可自定义分组名称，对课件进行分类管理；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6.互动教学课件支持开放式云分享，分享者可将互动课件、课件组以web链接和二维码形式分享给一个或多个用户，分享链接可设置访问有效期，接收用户可在云空间下载、打开、编辑或再次分享课件；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8.支持设置课件中元素出现、动作、消失动画，提供至少40种动画类型；提供至少10种形式的触发动画设置，提供至少5种课件页面翻页动画设置；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9.内置不少于40种符合教学需要的课件背景供教师直接使用，且教师可自定义课件背景。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10.教学软件兼容传统课件制作工具的组合快捷按键，支持如加粗（Ctrl+B）、文字居中（Ctrl+E）等教师熟悉的组合按键，鼠标悬停至功能按键时自动提示组合快捷键，内置组合快捷键数量不少于50个；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11.数学公式：支持中英文、数学公式的编辑输入，可快速输入方程组，提供不少于70个数学符号及模板；预置不少于40个常用数学公式，无需编辑一键插入；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12.支持录课助手功能，可进行桌面录制、桌面及摄像头录制、教室全场景录制等多种录制方式，录制的视频可保存到本地，供老师自行使用；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古诗词：提供覆盖幼儿、小学、初中、高中的古诗词、古文教学资源：包含原文、翻译、背景介绍、作者介绍，全部古诗词资源按照年级学段、朝代、诗人进行精细分类，教师仅需点击分类关键词即可快速跳转至对应资源，无需输入诗词名称即可快速检索，支持教师直接搜索诗词、古文名称或作者名称进行查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移动授课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1)软件提供移动授课功能模块，不需借助任何外接设备，只需手机与交互智能平板能访问互联网，即可进行移动授课；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2)可实现与Android、iOS、Windows系统的手机、平板、笔记本电脑等终端进行无线连接；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3)具备客户端生成热点功能，在没有路由器的情况下，可通过客户端生成局域网热点供外部终端进行无线连接，并支持二维码扫描连接，无需手动设置；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4)支持Office、WPS及白板软件课件远程同步，可通过移动端对智能平板上的课件实现页面预览、远程翻页、激光笔等功能；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5)可实现交互智能平板与手持终端屏幕同步显示，支持多种手持终端的手势识别；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6)具备移动展台功能，可对试卷、课本等实物进行拍摄并将照片一键上传至大屏，上传前可对照片进行裁剪旋转等操作，对上传的照片可进行批注、擦除、保存等操作；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7)具备多图对比展示功能，可将多位学生的作业、试卷或实验结果拍摄上传至交互智能平板进行对比展示，双向批注；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8)具备本地文件智能管理功能，可对移动终端上的图片、视频、压缩包进行自动分类，方便快速找到相应文件，并支持一键上传到交互智能平板中并打开；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9)支持手机投屏，可通过该软件将手机屏幕画面实时投影到大屏上；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10)提供直播功能，移动端拍摄画面实时同步至授课显示端，直播竖屏、全屏显示方式根据移动端拍摄自动适配。</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区角玩具成品柜（实木）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规格：120*120*135 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材质：高密度板，工艺：经过精细雕刻与喷绘而成，每个细节做到完美。精工细作、烤漆工艺、永不褪色，功能齐全,质量可靠。医院，商店，餐厅，娃娃家各3个，包括区角玩具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区角玩具框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30*12cm环保材料无毒无味，耐老化、抗紫外线、防静电、颜料采用耐光性八级，在户外长期使用不褪色，大型正反转流水线注塑一次性成型。韧性好、高强度、两面都光滑、不会破裂、造型美、抗老化、抗静电、表面光滑亮光、色彩鲜艳、不褪色、经久耐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小非洲鼓</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7寸，雕花，桃花芯木整木掏空鼓腔，老山羊皮鼓面，采用天然山羊皮，不经漂白处理音质纯正使用寿命长，登山绳固定锁音。 鼓身高40cm左右 鼓面尺寸 16--18cm左右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大非洲鼓</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12寸，雕花，桃花芯木整木掏空鼓腔，老山羊皮鼓面，采用天然山羊皮，不经漂白处理音质纯正使用寿命长，登山绳固定锁音。 鼓身高60cm左右   鼓面尺寸 28-30cm左右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儿童升旗手套装（5女5男，白色）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含帽子衣服裤子手套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桌面玩具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180件，进口PP环保塑料，工艺：前沿注塑（光泽细腻 不退色不划手)</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阿图什市第十一幼儿园</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Style w:val="69"/>
                <w:sz w:val="18"/>
                <w:szCs w:val="18"/>
                <w:highlight w:val="none"/>
                <w:lang w:val="en-US" w:eastAsia="zh-CN" w:bidi="ar"/>
              </w:rPr>
              <w:t>电钢琴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1、演奏性能:白键下沉偏差≤1.0㎜;相邻两白键偏差≤0.5㎜;相邻两白键高度误差≤0.5㎜; 全键盘白键表面高度误差≤2.0㎜；琴键耐久性≥100万次。2、声学品质: 全音域音准误差≤±2音分; 相邻两键音准误差之差≤3音分;全键盘同一音名的音高变化≤2音分。3、有害物质限量:甲醛≤0.08mg/m³;甲苯≤0.20mg/m³;二甲苯≤0.20mg/m³;苯≤0.11mg/m³;总挥发有机化合物≤0.60mg/m³。4、琴键规格:标准钢琴键。5、键盘逐级配重:有。6、键盘传感器≥3个。7、键盘盖:滑动式。8、双钢琴功能:有。9、钢琴音色明亮度调节范围≥±3。10、力度感应≥3级,可关闭。11、复音数≥192。12、音色数量≥22种。13、数字效果器:有。14、模拟音效:制音共鸣、音槌响应。15、节拍器速度调节范围≥20-255拍/分钟。16、节拍器音量调节功能:有。17、混响≥4种。18、合唱≥4种。19、音乐厅效果≥4种。20、乐曲库≥60首,音量可调。21、用户乐曲数量≥10首,每首乐曲文件容量≥90KB,音量可调。22、演奏会乐曲数量≥10首。23、 乐曲学习功能:有,左手声部/右手声部分可开练习,音量可调。24、音律≥17种。25、轨道录音功能:有,轨道数量≥2轨,每首乐曲音符容量≥5,000个。26、三角钢琴音色快捷按钮数量≥2个。27、移调范围≥±12个半音。28、调音功能:有,A4=415.5Hz-465.9Hz。29、八度升降范围≥±2。30、踏板类型:标准钢琴三踏板。31、MIDI接收频道≥16。32、MIDI设备接口类型:B型USB。33、耳机接口数量≥2个。34、电源接通指示灯:有。35、谱架:有。36、扬声器输出功率≥16W。37、扬声器直径≥12㎝。38、供电方式:交流供电。39、自动关机功能:有。40、面板锁定功能:有。有害物质含量（单位：mg/m³）：甲醛≤0.08%；甲苯≤0.20%；二甲苯≤0.20%；苯≤0.11%；总挥发有机化合物≤0.60%。含配套钢琴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室外卡通垃圾箱</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65*28*70cm，食品级工程塑料，滚塑一次成型，抗静电能力强，安全环保，耐候性好，强度高。</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户外玩具收纳柜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140cm*70cm*158cm（两层隔板）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颜色：灰色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材质：金属蜂窝板材质。框架采用全铝合金材质，内置隔板采用16mm金属蜂窝板，顶板、外围横板和竖板采用10mm金属蜂窝板，配件采用304不锈钢。三角顶，需组装，草坪可选，带轮子。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表面油漆：静电喷涂户外涂鸦漆。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制作工艺：板材整体除锈、除油、酸洗、磷化工艺后，采用热转印技术不褪色，耐磨度高。柜子整体组装便捷易于操作，内置两个隔板上下轨道式调节。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特点：零甲醛，无异味，门可涂鸦，稳定性高，防水，带隔板上下调节可拆卸，方便牢固，完美收纳。可用普通粉笔、水性粉笔、水彩笔。（水性产品就可以）     适合炭烧积木、游戏材料等小型玩具收纳。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班级家园联系栏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1.5*1.2m滚塑</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区角玩具柜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规格：120*30*80cm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1.采用优质橡胶木齿接板制作而成，不开裂、不易变形，面料无死节、开裂、虫眼，所有板边倒圆角、圆边，光滑，无毛刺；2.板材厚度 1.6cm；3.表面采用优质环保漆喷涂而成，安全、无毒无味，凸显木材纹理，手感光滑；4.整体产品结构稳固，使用长久。5.外表面和内表面以及儿童手指可触及的隐蔽处，均不得有锐利的棱角、毛刺以及小五金部件露出的锐利尖锐。</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图书柜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1.2*0.3*0.8m，橡木，外表面和内表面以及儿童手指可触及的隐蔽处，均不得有锐利的棱角、毛刺以及小五金部件露出的锐利尖锐。</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桌面玩具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260件，进口PP环保塑料，工艺：前沿注塑（光泽细腻 不退色不划手)</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碳化积木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常规，规格：866件/套，原材料采用松木，进行氧气加温深度碳化，碳化后防腐、不变形、防水，符合GB6675-2014《国家玩具安全技术规范》，产品表面光滑无毛刺，圆角设计防止磕碰。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卡通坐垫</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加厚透气春夏秋冬四季座垫儿童可爱坐垫 粉色卡30*35CM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马跳箱儿童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体能跳高训练器材 小三档【75*40*20*50CM】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室内积木收纳筐</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30*21cm环保材料无毒无味，耐老化、抗紫外线、防静电、颜料采用耐光性八级，在户外长期使用不褪色，大型正反转流水线注塑一次性成型。韧性好、高强度、两面都光滑、不会破裂、造型美、抗老化、抗静电、表面光滑亮光、色彩鲜艳、不褪色、经久耐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室内玩具收纳筐</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30*12cm环保材料无毒无味，耐老化、抗紫外线、防静电、颜料采用耐光性八级，在户外长期使用不褪色，大型正反转流水线注塑一次性成型。韧性好、高强度、两面都光滑、不会破裂、造型美、抗老化、抗静电、表面光滑亮光、色彩鲜艳、不褪色、经久耐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沙包投掷靶盘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常规，方形100cm，10个粘粘球，环保材质。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变形拼图木质俄罗斯方块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26.5*17.5CM，木质，底盘+40块积木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儿童投掷套圈圈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常规，规格：26*13*41cm，4个象加16个圈。聚乙烯工程塑料，注塑机一次成型，要求密度大、强度高、耐折弯、热胀冷缩应力小。成形后期经修边、锐角毛刺打磨处理。生产原材料为原生料，不添加回收料。色母添加剂为标准色母，耐紫外线、不褪色，色彩符合儿童视觉习惯。</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磁力数学华容道</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磁力益智玩具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儿童过家家仿真食物厨房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常规，　36件。塑料。食品级工程塑料。优质塑料，色彩鲜艳，安全适用。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蒙台梭利数学教具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1.插座圆柱体：由4组圆柱体组成。培养儿童辨别大小、高低、粗细、深浅的触觉、视觉能力，依圆柱体顺序对应培养逻辑思考敏锐观察能力；把握圆柄可作握笔练习和写字前准备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2.棕色梯：由10块长方体组成。透过触觉、视觉的辨别在知觉上对等次的差异有充分的认识，发展眼、手、肌肉的动作协调；了解递进、递减的关系；学习长方体的概念；培养逻辑思考（顺序性和专注观察能力。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3.粉红塔： 由10块立方体组成。透过视觉正确获得对三维空间差别变化的知觉；了解递进、递减的关系；培养立方体的概念、手眼协调 和肌肉运动的控制力；积高时敏锐的观察力；数学教育（理解十进制法）的间接准备；逻辑思考（顺序性）的能力。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4.音桶：两个木箱中各有6个木制圆筒组成，圆筒内装有石子、沙子、壳类、米粒、米糠等不同材料，摇动时发出强弱不同的声音。培养辨别声音强弱的听觉能力，发展腕部的肌肉运动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5.温量板： 由金属、石材、木质、地毯片各2块组成，培养对温度的感觉，辨别温度的差异。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6.构成三角形：由5盒不同的三角形块组成。透过视觉认识三角形，通过对多边形的组合与分解了解三角形与多边形的几何关系和相等概念。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7.重量板：进口实木6组12个。培养辨别轻重的感觉和判断力。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8.几何图形嵌板：由几何嵌板操作1个屉、6层几何嵌板橱1个、几何嵌板35块、几何图形卡片99张组成。通过肌肉和触觉的联合，帮助视觉认识平面几何图形；发展手眼协调、注意力和观察力；平面几何学的预备。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9.三项式：木制立方体和长方体共27块组成。培养视觉对三次元的辨别能力，数学的思考能力，可作为三项式（a+b+c）³的代数教具使用。 (a+b+c)³=a³+3a²b+3a²c+b³+3ab²+3b²c+c³+3ac²+3bc²+6abc</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10.手眼调节掷圈：由5个可组装的锣口木柱和5个麻绳套圈组成，锻炼手眼协调能力。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11.几何体支柱：由1个插板盒、3个圆柱、3个三棱柱、3个四方柱组成。培养儿童对实体的感觉，认识几何体特征，可作颜色分类，高-&gt;低比较，排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12.立体四子棋：由16组64颗棋子组成，分成两组，锻炼观察与逻辑分析能力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13.彩色圆柱：由4盒、每盒10个圆柱组成。培养视觉上识别大小、对应概念，发展手眼动作的协调，手臂肌肉控制力，培养敏锐的观察和注意力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14.长棒：由10根方长棒组成。透过触觉、视觉的辨别，在知觉上对长度的差别有正确的了解，发展手、眼与肌肉的协调性；数学教育（量，基本运算、十进制元、分制系统）的直接准备教具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15.嗅觉筒：通过嗅觉筒的配对操作，训练嗅觉器官辨别各种气味的能力，利用嗅觉器官感知事物的经验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16.味觉瓶：，玻璃。由8个滴瓶组成。品尝各式味道，培养辨别基本味觉的能力。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铁制几何嵌板：金属几何嵌板是书写能力的直接预备，练习金属嵌板不仅强化三指抓的能力，加强腕肌的协调力，而且透过描绘的练习，更可增强笔触力道的熟练度，重迭描绘不同的几何图形板使图形变化无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几何立体组：包括长方体、正方体、球体、椭球体、卵形体、三角柱、圆柱、圆椎、三角椎、四角椎，另有11枚与上述几何体的一个侧面相等的投影板组成。培养儿童对实体的感觉，认识各种几何体，了解其特征；进入几何学的准备，刺激肌肉的感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19.触觉板：由13块表面粗糙和光滑程度不同的木板组成。培养粗糙与光滑的触觉感和分析、比较的思维能力。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20.二项式：木制立方体和长方体共8块组成。培养视觉对立体空间的认识和数学思考能力，可作为计算体积(a+b)³ 的代数教具。(a+b)³=a³+3a²b+3ab²+b³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21.色板：由大、中、小3盒各种颜色的小色板组成。培养分辨颜色的对色彩的美感，颜色的对比及组合的预备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22.圆圆板：由100个彩色圆组成。可做颜色的排序、对应。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23.圆柱体阶梯：由1个插板，25个高低、颜色不同的圆柱组成。可作颜色分类，高-&gt;低比较，排序。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24.1-100连续数板：儿童将活动数字卡片排列在一定的方格板上，认识1-100的排列并认识数的连续性。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25.数棒（3岁以下）： 由从短到长10根红、蓝相同的木棒和从1到10的10块数字片组成。数棒是代表连续“量”的教具。认识、了解数的及数词，记忆1到10，十进制法的预备，导入数的概念。</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26.二倍数： 由7个木块组成。培养2倍的概念，认识简单的倍数关系，导入平方概念。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27.乘除法板： 进行得数最大为100的乘法题目，熟练后可导入乘法心算。练习被除数最大为81以内除法题目，从感官上认识平均分配的概念，熟练后可导入除法心算。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28.十进位法及银行游戏：由10颗单珠、10根珠棒、10个100珠板、2个1000珠阵、4套数字卡片组成。了解十进制法的排列与形成，学习交换的规则，可做大数目四则运算。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30.三倍数：用立方体或长方体等实物来显示三倍数之间的关系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31.黑白串珠棒： 加深了解十以内的数量的概念，体会等量交换的概念，可用于进行加减法运算练习。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32.平方珠链：由10串珠链（55个珠棒）组成。加强以1为单位的数的连续概念；学习平方的概念；乘算的预备。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33.塞根板：由4块板、18块数字片组成。对于11到19的数能正确的做名称练习；能把握连续数的排列，体会连续数的顺序关系；了解10位与个位数的关系；学习量与代表数量的符号（数字）的一致性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34.加、减法板：加数最大为9的加法练习，熟练后可导入加法心算；用于呈现被减数最到为18的减法运算练习，熟练后可导入减法心算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35.邮票游戏：幼儿通过银行游戏认识十进制元法以后，即可进入邮票游戏的操作，熟悉数字的转换关系，并进行大数量的四则运算，培养数学思考能力。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36.分数小人： 由1个木座、小人4组10块组成。知道1个整体（=1）如何分成若干部分，作为进入分数的预备。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37.立方体：由1000颗边长为1厘米的立方块组成，学习立方的概念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38.数字与筹码：由55个圆片，10张1到10数字卡片组成。了解数与量的关系，认识奇数与偶数。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39.体积组：认识整体与部分的关系，建立不同几何立体的体积可以换算的概念，发展儿童对空间的概念。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40.灰色串珠棒：熟悉十以内数量、数位与名称，为学习减法运算做准备。、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41.彩色串珠棒：学习0-10的概念、10以内的加减法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42.立方珠链及框架： 由1个框架、55串珠链（385根珠棒）组成。学习立方的概念和学乘法的预备。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43.接龙减龙游戏：练习加减混合运算，增加儿童对数学的兴趣，培养孩子的逻辑思考能力。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44.砂数学板：由0到9数字长板1块，0到9数字单板10块组成。培养认识0到9的数字，练习书写数字，是写前的预备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45.纺棰棒箱：由2个整理箱、45根纺棰棒，10块数字片组成。指导0的概念，加强数与量集合的概念。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46.加减乘除巨阵盘：由10檔彩色算珠组成，每檔10个算珠，学习加减乘除。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47.数数棒组：学习0-10的概念、10以内的加减法。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48.彩色小数棒：熟悉十以内数量、数字与名称，为学习平方、立方做间接准备。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49.算术尺：由标有1公分刻度的尺子组成，可进行加减法的运算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50.算术天平组：由天平、称盘与彩色木珠组成，学习数量与平衡的关系。、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51.圆形分数板：由彩色23片圆形分数板、1个双面钉板组成。认识分数，了解部分与整体的关系，增进组合概念。利用钉板背面，配二长短、颜色不同的橡皮筋，可发挥幼儿的想象力与创造力。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52.四方拼盘：由三角形、正方形、平行四边形木块组成，学习几何图形与关系。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53.分解几何盘：由1个木座、9组多种几何图形组成。是进入分数的预备。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54.1000串珠链：由100根（每根10颗珠）珠棒串成一条组成。加强对数的认识；熟悉连续数及其顺序；与100串珠板、1000的立方体珠块比较，培养差别的印象，加强十进制法的知识，培养专注力与独立性。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55.黄色串珠棒：认识数与量等量交换的概念，为进行银行游戏做准备。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56.数学拼板：熟悉数字，理解数与量的关系，培养数学学习兴趣。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57.不规则拼盘：由不规则几何图形嵌板组成，认识几何图形与锻炼观察能力。</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58.1公分方块组：刻度为1公分的连接尺组成，学习加减运算方法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59.几何图形板：认识几何图形，为学习几何知识打基础。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60.称盘组：由天平、木棍与彩色串珠组成，学习数量、加减与平衡的关系。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61.十进位组：由1公分方块与10块连接条，以及10平方连接块组成，学习十进制制的关系。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62.几何体阶梯：进口实木5组，可作颜色分类，三种几何图形，感官学习，高→低比较、排序。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63.组合几何体盘：由正5边形、正方形、正三角形、长方形与圆形的面积分解组合，学习分数、面积的关系。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64.数数看： 由1-5彩色算珠架组成。可进行分类、集合、分解、量的学习。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65.双字母砂字板：熟悉汉语拼音的组成及发音，练习书写。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66.砂纸字母板：由大小写砂纸字母板各26块组成。通过触摸认识英文字母，为书写做预备。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67.活动字母箱：熟悉字母，练习单词的拼写。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68.拼音结构练习：练习汉语拼音的正确组合，掌握拼音拼读规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69.印刷字母箱：由大小写印刷字母各5套、布袋2个组成（照片仅供参考）。认识英文字母大小写的印刷体。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70.亚洲地图嵌板： 由1套嵌板组成。了解中国的位置，认识各省、直辖市、自治区和省会城市的位置；培养空间思维。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71.活动时钟：直观认识时钟的构成，了解时间概念，为看生活中的表打基础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72.中国地图嵌板：    认识亚洲各个国家的位置、名称及风土人情，初步认识地理的空间概念。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73.世界洲际地图嵌板：由1套嵌板组成。建立地图概念，从地图上认识世界上7大洲和4大洋的位置，培养空思维。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74.太阳系九大行星嵌板：由1套嵌板组成，认识太阳系，了解九大行星位置，培养空间思维。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75.动植物卡片柜，植物卡片，动物卡片 ：由14块树叶嵌板,5层木橱1个组成。学习识别各种树叶、植物。纸质。学习识别各种动物。纸质。学习识别各种动物植物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76.鸟嵌板：培养手眼协作及独立性提高观察分析能力和专注力，了解动物—鸟的各个部分的基本构造。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77.青蛙嵌板：培养手眼协作及独立性提高观察分析能力和专注力，了解动物—青蛙的各个部分的基本构造。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78.树嵌板：培养手眼协作及独立性提高观察分析能力和专注力，了解植物的树的各个部分的基本构造。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79.花嵌板：培养手眼协作及独立性提高观察分析能力和专注力，了解植物的花的各个部分的基本构造。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80.马嵌板：培养手眼协作及独立性提高观察分析能力和专注力，了解动物的马的各个部分的基本构造。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81.树叶嵌板：培养手眼协作及独立性提高观察分析能力和专注力，了解 植物的叶的各个部分的基本构造。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82.鱼嵌板：培养手眼协作及独立性提高观察分析能力和专注力，了解动物的鱼的各个部分的基本构造。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83.乌龟嵌板：培养手眼协作及独立性提高观察分析能力和专注力，了解动物的乌龟的各个部分的基本构造。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84.二指抓：由1个插座板、9个小人组成。锻练两指抓物的能力，提高手眼协调能力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85.衣饰架及衣饰：棉布。由1个架、12个框、12件衣饰组成。学会各种绳带、纽扣的系法，锻练手指灵活性，培养适应日常生活的自理能力。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86.儿童地毯大号，儿童地毯小号，环保化工纤维。供铺垫操教具使用。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87.儿童地毯中号：环保化工纤维。供铺垫操教具使用。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幼儿园户外半球攀爬儿童攀岩加厚太空仓攀登架爬山坡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260*130cm，进口工程塑料，大型滚塑机一次性成型。韧性好、高强度、不会破裂、造型美、抗老化、抗静电、表面光滑亮光、色彩鲜艳、不退色、经久耐用、安全环保。</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玩具大象套圈地摊投掷套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常规，规格：26*13*41cm，4个象加16个圈。聚乙烯工程塑料，注塑机一次成型，要求密度大、强度高、耐折弯、热胀冷缩应力小。成形后期经修边、锐角毛刺打磨处理。生产原材料为原生料，不添加回收料。色母添加剂为标准色母，耐紫外线、不褪色，色彩符合儿童视觉习惯。</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户外玩具滚筒塑料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78*40cm，滚塑一次成型，成形后期经修边、锐角毛刺打磨处理，无安全隐患。生产原材料为原生料，不添加回收料。符合食品级工程塑料，抗静电能力强，安全环保，耐候性好，强度高，产品耐紫外线、不褪色，色彩符合儿童视觉。</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阿基米德积木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1、采用优质松木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2、工艺：原木无油漆，磨圆角、光滑无毛刺。单片尺寸：10.5*2.1*0.7CM。3、可迁移元素（mg/kg）: 可溶性锑 ≤ 60;可溶性砷 ≤ 25;可溶性钡 ≤1000;可溶性镉 ≤75;可溶性铬 ≤60;可溶性铅 ≤90 ;可溶性汞 ≤60;可溶性硒 ≤500。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儿童室内兵兵球训练器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儿童款底座+塑料拍+4球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双人对战桌上足球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56.5*27.5*11.5cm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速叠杯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环保材质，约6.5*8cm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阿图什市第八幼儿园</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几何图形状颜色对应积木套盒装（桌面玩具）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12件/套,木制，环保油漆，</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3D立体梅花雪片拼插拼装积木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300片梅花积木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第三代水管积木（桌面玩具）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管道积木81件套：图纸+收纳盒</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室内感统训练器材套餐全套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1.室内区角滑梯1套，183*165*165㎝，桦木+榉木。2.绿色空间椅子6张，桦木。3.彩色滚筒1套木架+海棉+普通皮。3.数字圆凳1套，木架+海绵+普通皮。4.A字架圆筒套装1套，A字架高192，长210cm圆筒吊缆高80*柱子直径24cm,底盘直径60cm，吊缆长86cm,直径30cm，铁架+软体。5.爬钻洞组合1套，400*60*60   11件/套，全海绵+普通皮。6.过河石1套，35*35*16     5个/套，木架+海绵+普通皮。7.小船滑梯组，全海绵+普通皮。8.平衡陀螺1套，100*30，全海绵+普通皮。9.彩虹桥1套，180*80*70，木架+海绵+普通皮。</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儿童过家厨房做饭玩具套装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常规，　40件。塑料。食品级工程塑料。优质塑料，色彩鲜艳，安全适用。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桌面游戏足球队站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69*37*24，不锈钢+密度纤维板</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45合1多功能游戏棋</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45合1游戏棋飞行五子跳棋男女孩益智玩具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多功能训练标志桶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户外玩具收纳柜双门开（附带圆顶草坪）可移动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140cm*70cm*158cm（两层隔板）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颜色：灰色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材质：金属蜂窝板材质。框架采用全铝合金材质，内置隔板采用16mm金属蜂窝板，顶板、外围横板和竖板采用10mm金属蜂窝板，配件采用304不锈钢。三角顶，需组装，草坪可选，带轮子。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表面油漆：静电喷涂户外涂鸦漆。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制作工艺：板材整体除锈、除油、酸洗、磷化工艺后，采用热转印技术不褪色，耐磨度高。柜子整体组装便捷易于操作，内置两个隔板上下轨道式调节。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特点：零甲醛，无异味，门可涂鸦，稳定性高，防水，带隔板上下调节可拆卸，方便牢固，完美收纳。可用普通粉笔、水性粉笔、水彩笔。（水性产品就可以）     适合炭烧积木、游戏材料等小型玩具收纳。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4"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蒙氏教具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1.插座圆柱体：由4组圆柱体组成。培养儿童辨别大小、高低、粗细、深浅的触觉、视觉能力，依圆柱体顺序对应培养逻辑思考敏锐观察能力；把握圆柄可作握笔练习和写字前准备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2.棕色梯：由10块长方体组成。透过触觉、视觉的辨别在知觉上对等次的差异有充分的认识，发展眼、手、肌肉的动作协调；了解递进、递减的关系；学习长方体的概念；培养逻辑思考（顺序性和专注观察能力。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3.粉红塔： 由10块立方体组成。透过视觉正确获得对三维空间差别变化的知觉；了解递进、递减的关系；培养立方体的概念、手眼协调 和肌肉运动的控制力；积高时敏锐的观察力；数学教育（理解十进制法）的间接准备；逻辑思考（顺序性）的能力。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4.音桶：两个木箱中各有6个木制圆筒组成，圆筒内装有石子、沙子、壳类、米粒、米糠等不同材料，摇动时发出强弱不同的声音。培养辨别声音强弱的听觉能力，发展腕部的肌肉运动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5.温量板： 由金属、石材、木质、地毯片各2块组成，培养对温度的感觉，辨别温度的差异。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6.构成三角形：由5盒不同的三角形块组成。透过视觉认识三角形，通过对多边形的组合与分解了解三角形与多边形的几何关系和相等概念。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7.重量板：进口实木6组12个。培养辨别轻重的感觉和判断力。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8.几何图形嵌板：由几何嵌板操作1个屉、6层几何嵌板橱1个、几何嵌板35块、几何图形卡片99张组成。通过肌肉和触觉的联合，帮助视觉认识平面几何图形；发展手眼协调、注意力和观察力；平面几何学的预备。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9.三项式：木制立方体和长方体共27块组成。培养视觉对三次元的辨别能力，数学的思考能力，可作为三项式（a+b+c）³的代数教具使用。 (a+b+c)³=a³+3a²b+3a²c+b³+3ab²+3b²c+c³+3ac²+3bc²+6abc</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10.手眼调节掷圈：由5个可组装的锣口木柱和5个麻绳套圈组成，锻炼手眼协调能力。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11.几何体支柱：由1个插板盒、3个圆柱、3个三棱柱、3个四方柱组成。培养儿童对实体的感觉，认识几何体特征，可作颜色分类，高-&gt;低比较，排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12.立体四子棋：由16组64颗棋子组成，分成两组，锻炼观察与逻辑分析能力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13.彩色圆柱：由4盒、每盒10个圆柱组成。培养视觉上识别大小、对应概念，发展手眼动作的协调，手臂肌肉控制力，培养敏锐的观察和注意力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14.长棒：由10根方长棒组成。透过触觉、视觉的辨别，在知觉上对长度的差别有正确的了解，发展手、眼与肌肉的协调性；数学教育（量，基本运算、十进制元、分制系统）的直接准备教具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15.嗅觉筒：通过嗅觉筒的配对操作，训练嗅觉器官辨别各种气味的能力，利用嗅觉器官感知事物的经验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16.味觉瓶：，玻璃。由8个滴瓶组成。品尝各式味道，培养辨别基本味觉的能力。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铁制几何嵌板：金属几何嵌板是书写能力的直接预备，练习金属嵌板不仅强化三指抓的能力，加强腕肌的协调力，而且透过描绘的练习，更可增强笔触力道的熟练度，重迭描绘不同的几何图形板使图形变化无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几何立体组：包括长方体、正方体、球体、椭球体、卵形体、三角柱、圆柱、圆椎、三角椎、四角椎，另有11枚与上述几何体的一个侧面相等的投影板组成。培养儿童对实体的感觉，认识各种几何体，了解其特征；进入几何学的准备，刺激肌肉的感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19.触觉板：由13块表面粗糙和光滑程度不同的木板组成。培养粗糙与光滑的触觉感和分析、比较的思维能力。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20.二项式：木制立方体和长方体共8块组成。培养视觉对立体空间的认识和数学思考能力，可作为计算体积(a+b)³ 的代数教具。(a+b)³=a³+3a²b+3ab²+b³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21.色板：由大、中、小3盒各种颜色的小色板组成。培养分辨颜色的对色彩的美感，颜色的对比及组合的预备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22.圆圆板：由100个彩色圆组成。可做颜色的排序、对应。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23.圆柱体阶梯：由1个插板，25个高低、颜色不同的圆柱组成。可作颜色分类，高-&gt;低比较，排序。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24.1-100连续数板：儿童将活动数字卡片排列在一定的方格板上，认识1-100的排列并认识数的连续性。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25.数棒（3岁以下）： 由从短到长10根红、蓝相同的木棒和从1到10的10块数字片组成。数棒是代表连续“量”的教具。认识、了解数的及数词，记忆1到10，十进制法的预备，导入数的概念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26.二倍数： 由7个木块组成。培养2倍的概念，认识简单的倍数关系，导入平方概念。</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27.乘除法板： 进行得数最大为100的乘法题目，熟练后可导入乘法心算。练习被除数最大为81以内除法题目，从感官上认识平均分配的概念，熟练后可导入除法心算。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28.十进位法及银行游戏：由10颗单珠、10根珠棒、10个100珠板、2个1000珠阵、4套数字卡片组成。了解十进制法的排列与形成，学习交换的规则，可做大数目四则运算。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30.三倍数：用立方体或长方体等实物来显示三倍数之间的关系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31.黑白串珠棒： 加深了解十以内的数量的概念，体会等量交换的概念，可用于进行加减法运算练习。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32.平方珠链：由10串珠链（55个珠棒）组成。加强以1为单位的数的连续概念；学习平方的概念；乘算的预备。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33.塞根板：由4块板、18块数字片组成。对于11到19的数能正确的做名称练习；能把握连续数的排列，体会连续数的顺序关系；了解10位与个位数的关系；学习量与代表数量的符号（数字）的一致性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34.加、减法板：加数最大为9的加法练习，熟练后可导入加法心算；用于呈现被减数最到为18的减法运算练习，熟练后可导入减法心算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35.邮票游戏：幼儿通过银行游戏认识十进制元法以后，即可进入邮票游戏的操作，熟悉数字的转换关系，并进行大数量的四则运算，培养数学思考能力。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36.分数小人： 由1个木座、小人4组10块组成。知道1个整体（=1）如何分成若干部分，作为进入分数的预备。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37.立方体：由1000颗边长为1厘米的立方块组成，学习立方的概念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38.数字与筹码：由55个圆片，10张1到10数字卡片组成。了解数与量的关系，认识奇数与偶数。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39.体积组：认识整体与部分的关系，建立不同几何立体的体积可以换算的概念，发展儿童对空间的概念。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40.灰色串珠棒：熟悉十以内数量、数位与名称，为学习减法运算做准备。、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41.彩色串珠棒：学习0-10的概念、10以内的加减法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42.立方珠链及框架： 由1个框架、55串珠链（385根珠棒）组成。学习立方的概念和学乘法的预备。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43.接龙减龙游戏：练习加减混合运算，增加儿童对数学的兴趣，培养孩子的逻辑思考能力。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44.砂数学板：由0到9数字长板1块，0到9数字单板10块组成。培养认识0到9的数字，练习书写数字，是写前的预备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45.纺棰棒箱：由2个整理箱、45根纺棰棒，10块数字片组成。指导0的概念，加强数与量集合的概念。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46.加减乘除巨阵盘：由10檔彩色算珠组成，每檔10个算珠，学习加减乘除。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47.数数棒组：学习0-10的概念、10以内的加减法。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48.彩色小数棒：熟悉十以内数量、数字与名称，为学习平方、立方做间接准备。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49.算术尺：由标有1公分刻度的尺子组成，可进行加减法的运算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50.算术天平组：由天平、称盘与彩色木珠组成，学习数量与平衡的关系。、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51.圆形分数板：由彩色23片圆形分数板、1个双面钉板组成。认识分数，了解部分与整体的关系，增进组合概念。利用钉板背面，配二长短、颜色不同的橡皮筋，可发挥幼儿的想象力与创造力。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52.四方拼盘：由三角形、正方形、平行四边形木块组成，学习几何图形与关系。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53.分解几何盘：由1个木座、9组多种几何图形组成。是进入分数的预备。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54.1000串珠链：由100根（每根10颗珠）珠棒串成一条组成。加强对数的认识；熟悉连续数及其顺序；与100串珠板、1000的立方体珠块比较，培养差别的印象，加强十进制法的知识，培养专注力与独立性。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55.黄色串珠棒：认识数与量等量交换的概念，为进行银行游戏做准备。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56.数学拼板：熟悉数字，理解数与量的关系，培养数学学习兴趣。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57.不规则拼盘：由不规则几何图形嵌板组成，认识几何图形与锻炼观察能力。</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58.1公分方块组：刻度为1公分的连接尺组成，学习加减运算方法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59.几何图形板：认识几何图形，为学习几何知识打基础。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60.称盘组：由天平、木棍与彩色串珠组成，学习数量、加减与平衡的关系。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61.十进位组：由1公分方块与10块连接条，以及10平方连接块组成，学习十进制制的关系。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62.几何体阶梯：进口实木5组，可作颜色分类，三种几何图形，感官学习，高→低比较、排序。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63.组合几何体盘：由正5边形、正方形、正三角形、长方形与圆形的面积分解组合，学习分数、面积的关系。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64.数数看： 由1-5彩色算珠架组成。可进行分类、集合、分解、量的学习。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65.双字母砂字板：熟悉汉语拼音的组成及发音，练习书写。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66.砂纸字母板：由大小写砂纸字母板各26块组成。通过触摸认识英文字母，为书写做预备。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67.活动字母箱：熟悉字母，练习单词的拼写。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68.拼音结构练习：练习汉语拼音的正确组合，掌握拼音拼读规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69.印刷字母箱：由大小写印刷字母各5套、布袋2个组成（照片仅供参考）。认识英文字母大小写的印刷体。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70.亚洲地图嵌板： 由1套嵌板组成。了解中国的位置，认识各省、直辖市、自治区和省会城市的位置；培养空间思维。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71.活动时钟：直观认识时钟的构成，了解时间概念，为看生活中的表打基础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72.中国地图嵌板：    认识亚洲各个国家的位置、名称及风土人情，初步认识地理的空间概念。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73.世界洲际地图嵌板：由1套嵌板组成。建立地图概念，从地图上认识世界上7大洲和4大洋的位置，培养空思维。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74.太阳系九大行星嵌板：由1套嵌板组成，认识太阳系，了解九大行星位置，培养空间思维。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75.动植物卡片柜，植物卡片，动物卡片 ：由14块树叶嵌板,5层木橱1个组成。学习识别各种树叶、植物。纸质。学习识别各种动物。纸质。学习识别各种动物植物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76.鸟嵌板：培养手眼协作及独立性提高观察分析能力和专注力，了解动物—鸟的各个部分的基本构造。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77.青蛙嵌板：培养手眼协作及独立性提高观察分析能力和专注力，了解动物—青蛙的各个部分的基本构造。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78.树嵌板：培养手眼协作及独立性提高观察分析能力和专注力，了解植物的树的各个部分的基本构造。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79.花嵌板：培养手眼协作及独立性提高观察分析能力和专注力，了解植物的花的各个部分的基本构造。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80.马嵌板：培养手眼协作及独立性提高观察分析能力和专注力，了解动物的马的各个部分的基本构造。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81.树叶嵌板：培养手眼协作及独立性提高观察分析能力和专注力，了解 植物的叶的各个部分的基本构造。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82.鱼嵌板：培养手眼协作及独立性提高观察分析能力和专注力，了解动物的鱼的各个部分的基本构造。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83.乌龟嵌板：培养手眼协作及独立性提高观察分析能力和专注力，了解动物的乌龟的各个部分的基本构造。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84.二指抓：由1个插座板、9个小人组成。锻练两指抓物的能力，提高手眼协调能力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85.衣饰架及衣饰：棉布。由1个架、12个框、12件衣饰组成。学会各种绳带、纽扣的系法，锻练手指灵活性，培养适应日常生活的自理能力。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86.儿童地毯大号，儿童地毯小号，环保化工纤维。供铺垫操教具使用。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87.儿童地毯中号：环保化工纤维。供铺垫操教具使用。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儿童投掷套圈（亲子套盒）</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26*13*41cm，4个象加16个圈。聚乙烯工程塑料，注塑机一次成型，要求密度大、强度高、耐折弯、热胀冷缩应力小。成形后期经修边、锐角毛刺打磨处理。生产原材料为原生料，不添加回收料。色母添加剂为标准色母，耐紫外线、不褪色，色彩符合儿童视觉习惯。</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阿图什市第四幼儿园</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室外微型消防站（带柜子）</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120*40*160cm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悬浮地板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1323</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规格 cm 40*40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高度 cm 1.6</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克重（块） g ≥500g</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外观质量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地板颜色均匀一致，无明显色差；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表面无龟裂、气泡、塑化不良、地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板表面无毛刺。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球反弹率 % 97</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高温试验《70℃，24h&gt; 试验后无融化、无明显色差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 低温试验《-40℃，24h) 试验后无龟裂、无明显色差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外观要求：色泽均匀，无色差，无裂痕。产品要求符合国家环保质量检测要求。</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防火板书架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40*90cm，材质：三聚氰胺板，板厚度16mm，带背板，健康、环保、安全。全圆角设计，无毛刺，不伤手。各类辅材为不低于国家标准的绿色环保粘剂和涂料，无色、无味。设计科学，安全性能高，结实耐用。表面和内表面以及儿童手指可触及的隐蔽处，均不得有锐利的棱角、毛刺。符合幼儿家具的要求</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组合书架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橡木，2*1*0.6m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蒙台梭利数学教具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1.插座圆柱体：由4组圆柱体组成。培养儿童辨别大小、高低、粗细、深浅的触觉、视觉能力，依圆柱体顺序对应培养逻辑思考敏锐观察能力；把握圆柄可作握笔练习和写字前准备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2.棕色梯：由10块长方体组成。透过触觉、视觉的辨别在知觉上对等次的差异有充分的认识，发展眼、手、肌肉的动作协调；了解递进、递减的关系；学习长方体的概念；培养逻辑思考（顺序性和专注观察能力。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3.粉红塔： 由10块立方体组成。透过视觉正确获得对三维空间差别变化的知觉；了解递进、递减的关系；培养立方体的概念、手眼协调 和肌肉运动的控制力；积高时敏锐的观察力；数学教育（理解十进制法）的间接准备；逻辑思考（顺序性）的能力。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4.音桶：两个木箱中各有6个木制圆筒组成，圆筒内装有石子、沙子、壳类、米粒、米糠等不同材料，摇动时发出强弱不同的声音。培养辨别声音强弱的听觉能力，发展腕部的肌肉运动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5.温量板： 由金属、石材、木质、地毯片各2块组成，培养对温度的感觉，辨别温度的差异。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6.构成三角形：由5盒不同的三角形块组成。透过视觉认识三角形，通过对多边形的组合与分解了解三角形与多边形的几何关系和相等概念。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7.重量板：进口实木6组12个。培养辨别轻重的感觉和判断力。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8.几何图形嵌板：由几何嵌板操作1个屉、6层几何嵌板橱1个、几何嵌板35块、几何图形卡片99张组成。通过肌肉和触觉的联合，帮助视觉认识平面几何图形；发展手眼协调、注意力和观察力；平面几何学的预备。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9.三项式：木制立方体和长方体共27块组成。培养视觉对三次元的辨别能力，数学的思考能力，可作为三项式（a+b+c）³的代数教具使用。 (a+b+c)³=a³+3a²b+3a²c+b³+3ab²+3b²c+c³+3ac²+3bc²+6abc</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10.手眼调节掷圈：由5个可组装的锣口木柱和5个麻绳套圈组成，锻炼手眼协调能力。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11.几何体支柱：由1个插板盒、3个圆柱、3个三棱柱、3个四方柱组成。培养儿童对实体的感觉，认识几何体特征，可作颜色分类，高-&gt;低比较，排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12.立体四子棋：由16组64颗棋子组成，分成两组，锻炼观察与逻辑分析能力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13.彩色圆柱：由4盒、每盒10个圆柱组成。培养视觉上识别大小、对应概念，发展手眼动作的协调，手臂肌肉控制力，培养敏锐的观察和注意力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14.长棒：由10根方长棒组成。透过触觉、视觉的辨别，在知觉上对长度的差别有正确的了解，发展手、眼与肌肉的协调性；数学教育（量，基本运算、十进制元、分制系统）的直接准备教具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15.嗅觉筒：通过嗅觉筒的配对操作，训练嗅觉器官辨别各种气味的能力，利用嗅觉器官感知事物的经验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16.味觉瓶：，玻璃。由8个滴瓶组成。品尝各式味道，培养辨别基本味觉的能力。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铁制几何嵌板：金属几何嵌板是书写能力的直接预备，练习金属嵌板不仅强化三指抓的能力，加强腕肌的协调力，而且透过描绘的练习，更可增强笔触力道的熟练度，重迭描绘不同的几何图形板使图形变化无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几何立体组：包括长方体、正方体、球体、椭球体、卵形体、三角柱、圆柱、圆椎、三角椎、四角椎，另有11枚与上述几何体的一个侧面相等的投影板组成。培养儿童对实体的感觉，认识各种几何体，了解其特征；进入几何学的准备，刺激肌肉的感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19.触觉板：由13块表面粗糙和光滑程度不同的木板组成。培养粗糙与光滑的触觉感和分析、比较的思维能力。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20.二项式：木制立方体和长方体共8块组成。培养视觉对立体空间的认识和数学思考能力，可作为计算体积(a+b)³ 的代数教具。(a+b)³=a³+3a²b+3ab²+b³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21.色板：由大、中、小3盒各种颜色的小色板组成。培养分辨颜色的对色彩的美感，颜色的对比及组合的预备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22.圆圆板：由100个彩色圆组成。可做颜色的排序、对应。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23.圆柱体阶梯：由1个插板，25个高低、颜色不同的圆柱组成。可作颜色分类，高-&gt;低比较，排序。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24.1-100连续数板：儿童将活动数字卡片排列在一定的方格板上，认识1-100的排列并认识数的连续性。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25.数棒（3岁以下）： 由从短到长10根红、蓝相同的木棒和从1到10的10块数字片组成。数棒是代表连续“量”的教具。认识、了解数的及数词，记忆1到10，十进制法的预备，导入数的概念。</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26.二倍数： 由7个木块组成。培养2倍的概念，认识简单的倍数关系，导入平方概念。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27.乘除法板： 进行得数最大为100的乘法题目，熟练后可导入乘法心算。练习被除数最大为81以内除法题目，从感官上认识平均分配的概念，熟练后可导入除法心算。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28.十进位法及银行游戏：由10颗单珠、10根珠棒、10个100珠板、2个1000珠阵、4套数字卡片组成。了解十进制法的排列与形成，学习交换的规则，可做大数目四则运算。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30.三倍数：用立方体或长方体等实物来显示三倍数之间的关系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31.黑白串珠棒： 加深了解十以内的数量的概念，体会等量交换的概念，可用于进行加减法运算练习。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32.平方珠链：由10串珠链（55个珠棒）组成。加强以1为单位的数的连续概念；学习平方的概念；乘算的预备。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33.塞根板：由4块板、18块数字片组成。对于11到19的数能正确的做名称练习；能把握连续数的排列，体会连续数的顺序关系；了解10位与个位数的关系；学习量与代表数量的符号（数字）的一致性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34.加、减法板：加数最大为9的加法练习，熟练后可导入加法心算；用于呈现被减数最到为18的减法运算练习，熟练后可导入减法心算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35.邮票游戏：幼儿通过银行游戏认识十进制元法以后，即可进入邮票游戏的操作，熟悉数字的转换关系，并进行大数量的四则运算，培养数学思考能力。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36.分数小人： 由1个木座、小人4组10块组成。知道1个整体（=1）如何分成若干部分，作为进入分数的预备。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37.立方体：由1000颗边长为1厘米的立方块组成，学习立方的概念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38.数字与筹码：由55个圆片，10张1到10数字卡片组成。了解数与量的关系，认识奇数与偶数。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39.体积组：认识整体与部分的关系，建立不同几何立体的体积可以换算的概念，发展儿童对空间的概念。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40.灰色串珠棒：熟悉十以内数量、数位与名称，为学习减法运算做准备。、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41.彩色串珠棒：学习0-10的概念、10以内的加减法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42.立方珠链及框架： 由1个框架、55串珠链（385根珠棒）组成。学习立方的概念和学乘法的预备。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43.接龙减龙游戏：练习加减混合运算，增加儿童对数学的兴趣，培养孩子的逻辑思考能力。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44.砂数学板：由0到9数字长板1块，0到9数字单板10块组成。培养认识0到9的数字，练习书写数字，是写前的预备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45.纺棰棒箱：由2个整理箱、45根纺棰棒，10块数字片组成。指导0的概念，加强数与量集合的概念。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46.加减乘除巨阵盘：由10檔彩色算珠组成，每檔10个算珠，学习加减乘除。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47.数数棒组：学习0-10的概念、10以内的加减法。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48.彩色小数棒：熟悉十以内数量、数字与名称，为学习平方、立方做间接准备。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49.算术尺：由标有1公分刻度的尺子组成，可进行加减法的运算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50.算术天平组：由天平、称盘与彩色木珠组成，学习数量与平衡的关系。、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51.圆形分数板：由彩色23片圆形分数板、1个双面钉板组成。认识分数，了解部分与整体的关系，增进组合概念。利用钉板背面，配二长短、颜色不同的橡皮筋，可发挥幼儿的想象力与创造力。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52.四方拼盘：由三角形、正方形、平行四边形木块组成，学习几何图形与关系。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53.分解几何盘：由1个木座、9组多种几何图形组成。是进入分数的预备。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54.1000串珠链：由100根（每根10颗珠）珠棒串成一条组成。加强对数的认识；熟悉连续数及其顺序；与100串珠板、1000的立方体珠块比较，培养差别的印象，加强十进制法的知识，培养专注力与独立性。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55.黄色串珠棒：认识数与量等量交换的概念，为进行银行游戏做准备。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56.数学拼板：熟悉数字，理解数与量的关系，培养数学学习兴趣。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57.不规则拼盘：由不规则几何图形嵌板组成，认识几何图形与锻炼观察能力。</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58.1公分方块组：刻度为1公分的连接尺组成，学习加减运算方法59.几何图形板：认识几何图形，为学习几何知识打基础。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60.称盘组：由天平、木棍与彩色串珠组成，学习数量、加减与平衡的关系。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61.十进位组：由1公分方块与10块连接条，以及10平方连接块组成，学习十进制制的关系。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62.几何体阶梯：进口实木5组，可作颜色分类，三种几何图形，感官学习，高→低比较、排序。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63.组合几何体盘：由正5边形、正方形、正三角形、长方形与圆形的面积分解组合，学习分数、面积的关系。</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64.数数看： 由1-5彩色算珠架组成。可进行分类、集合、分解、量的学习。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65.双字母砂字板：熟悉汉语拼音的组成及发音，练习书写。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66.砂纸字母板：由大小写砂纸字母板各26块组成。通过触摸认识英文字母，为书写做预备。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67.活动字母箱：熟悉字母，练习单词的拼写。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68.拼音结构练习：练习汉语拼音的正确组合，掌握拼音拼读规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69.印刷字母箱：由大小写印刷字母各5套、布袋2个组成（照片仅供参考）。认识英文字母大小写的印刷体。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70.亚洲地图嵌板： 由1套嵌板组成。了解中国的位置，认识各省、直辖市、自治区和省会城市的位置；培养空间思维。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71.活动时钟：直观认识时钟的构成，了解时间概念，为看生活中的表打基础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72.中国地图嵌板：    认识亚洲各个国家的位置、名称及风土人情，初步认识地理的空间概念。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73.世界洲际地图嵌板：由1套嵌板组成。建立地图概念，从地图上认识世界上7大洲和4大洋的位置，培养空思维。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74.太阳系九大行星嵌板：由1套嵌板组成，认识太阳系，了解九大行星位置，培养空间思维。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75.动植物卡片柜，植物卡片，动物卡片 ：由14块树叶嵌板,5层木橱1个组成。学习识别各种树叶、植物。纸质。学习识别各种动物。纸质。学习识别各种动物植物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76.鸟嵌板：培养手眼协作及独立性提高观察分析能力和专注力，了解动物—鸟的各个部分的基本构造。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77.青蛙嵌板：培养手眼协作及独立性提高观察分析能力和专注力，了解动物—青蛙的各个部分的基本构造。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78.树嵌板：培养手眼协作及独立性提高观察分析能力和专注力，了解植物的树的各个部分的基本构造。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79.花嵌板：培养手眼协作及独立性提高观察分析能力和专注力，了解植物的花的各个部分的基本构造。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80.马嵌板：培养手眼协作及独立性提高观察分析能力和专注力，了解动物的马的各个部分的基本构造。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81.树叶嵌板：培养手眼协作及独立性提高观察分析能力和专注力，了解 植物的叶的各个部分的基本构造。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82.鱼嵌板：培养手眼协作及独立性提高观察分析能力和专注力，了解动物的鱼的各个部分的基本构造。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83.乌龟嵌板：培养手眼协作及独立性提高观察分析能力和专注力，了解动物的乌龟的各个部分的基本构造。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84.二指抓：由1个插座板、9个小人组成。锻练两指抓物的能力，提高手眼协调能力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85.衣饰架及衣饰：棉布。由1个架、12个框、12件衣饰组成。学会各种绳带、纽扣的系法，锻练手指灵活性，培养适应日常生活的自理能力。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86.儿童地毯大号，儿童地毯小号，环保化工纤维。供铺垫操教具使用。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87.儿童地毯中号：环保化工纤维。供铺垫操教具使用。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足球训练器材</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材质：塑料材料，生产原材料为原生料，不添加回收料。色母添加剂为标准色母，耐紫外线、不褪色，色彩符合儿童视觉习惯。规格：122*46*76cm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小织布机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38.5*26*32cm，环保水性漆。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木制花箱</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40*50cm，优质户外防腐柳桉木，木材拥有自然条纹，无死节、开裂、虫眼、腐眼等，耐磨性好，纹理清晰自然，原木色，色泽一致，棱角倒圆弧，外表和内表以及儿童手指可触及的隐藏处均没有锐利的棱角、毛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木制户外玩具柜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0.6*1.2米，材质：优质防腐柳桉木材料。木材拥有自然条纹，无死节、开裂、虫眼、腐眼等，耐磨性好，纹理清晰自然，原木色，色泽一致，棱角倒圆弧，外表和内表以及儿童手指可触及的隐藏处均没有锐利的棱角、毛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户外玩具架（遮阳防雨）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305*55*155cm，PVC管，管径大于等于3.5cm。表面光滑，耐腐蚀，抗老化，耐冷热冲，有固定、绝缘作用。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桌面塑料收纳盒</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34.5*30*12cm环保材料无毒无味，耐老化、抗紫外线、防静电、颜料采用耐光性八级，在户外长期使用不褪色，大型正反转流水线注塑一次性成型。韧性好、高强度、两面都光滑、不会破裂、造型美、抗老化、抗静电、表面光滑亮光、色彩鲜艳、不褪色、经久耐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乐器收纳筐</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订制，PVC管，管径大于等于3.5cm。表面光滑，耐腐蚀，抗老化，耐冷热冲，有固定、绝缘作用。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毛绒卡通动物游戏面具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20个/套，超柔短毛，内衬涤纶。</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毛绒立体手偶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50件/箱，超柔短毛，内衬涤纶。</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6人不锈钢打井台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50*50*75cm  优质不锈钢。</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农耕二件套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风谷机、打谷桶2个为一套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农耕三件套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磨、石磨、踏礁3个为一套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卡通坐垫</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加厚透气春夏秋冬四季座垫儿童可爱坐垫 粉色卡30*35CM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感统训练器材自制过河梅花墩</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25.5*11.5cm环保塑料材质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安吉游戏轮胎小车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轮胎2对 尺寸总长度：80cm；轮胎：48*48cm，   厚度4cm；碳化短平衡板 160×20×2.8cm4块，碳化单梯 180*35*7cm  1个，碳化架子80*57*52cm  2个，碳化支撑杆 长度120cm 4根。可迁移元素（mg/kg）: 可溶性锑 ≤ 60;可溶性砷 ≤ 25;可溶性钡 ≤1000;可溶性镉 ≤75;可溶性铬 ≤60;可溶性铅 ≤90 ;可溶性汞 ≤60;可溶性硒 ≤500。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安吉户外体能训练组合爬梯（自由组装）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1.规格：16件/套 优质严寒地带大自然樟子松木，经过氧气碳化防腐工序处理, 配置6敦4梯6个桥，敦子规格：80×53×100cm（3个），80×42×70cm（3个），梯子规格：180×35cm（4个），桥板规格：180×18cm（6个），无棱角、无毛刺，手感细腻。可以调节不同高度，用梯子拼塔后，进行平衡运动，可随便移动调整。圆角设计，外表一层清水漆，防蛀虫、酸雨，材质坚硬,强度和韧性较高,抗震性能很好,抗腐蚀性。可迁移元素（mg/kg）: 可溶性锑 ≤ 60;可溶性砷 ≤ 25;可溶性钡 ≤1000;可溶性镉 ≤75;可溶性铬 ≤60;可溶性铅 ≤90 ;可溶性汞 ≤60;可溶性硒 ≤500。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娃娃家系列区角柜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规格：120*120*135 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材质：高密度板，工艺：经过精细雕刻与喷绘而成，每个细节做到完美。精工细作、烤漆工艺、永不褪色，功能齐全,质量可靠。</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户外跑酷器材</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酷坦克墩（≥60*50*40cm）4个，梯形架（≥100*70*95cm)，可调节三角箱（≥100*100*100cm)，梯形跳箱（≥90*70*60cm)，猫挂箱（≥150*70*80cm)，跑酷大木箱（≥175*75*175cm) 翻越墙架（≥120*80*150*25cm）。内芯木质，外部金属钢架，外层PVC环保材质，橡胶防滑。金属把手。</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烘 焙 食 育 功 能 教 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Style w:val="85"/>
                <w:sz w:val="18"/>
                <w:szCs w:val="18"/>
                <w:highlight w:val="none"/>
                <w:lang w:val="en-US" w:eastAsia="zh-CN" w:bidi="ar"/>
              </w:rPr>
              <w:t>含</w:t>
            </w:r>
            <w:r>
              <w:rPr>
                <w:rStyle w:val="86"/>
                <w:sz w:val="18"/>
                <w:szCs w:val="18"/>
                <w:highlight w:val="none"/>
                <w:lang w:val="en-US" w:eastAsia="zh-CN" w:bidi="ar"/>
              </w:rPr>
              <w:t>第一部分硬件设备</w:t>
            </w:r>
            <w:r>
              <w:rPr>
                <w:rStyle w:val="85"/>
                <w:sz w:val="18"/>
                <w:szCs w:val="18"/>
                <w:highlight w:val="none"/>
                <w:lang w:val="en-US" w:eastAsia="zh-CN" w:bidi="ar"/>
              </w:rPr>
              <w:t>1.幼儿专用爆米花车1台【1、外形尺寸：27*31CM，2、功率：500w，3、电压：220v，4、材质：金属+无毒PP】2.幼儿专用棉花糖机1台【1、外形尺寸265*160*260CM，手指无法插入，防止伤害幼儿2、功率：400w，3、采用石英管，防爆防腐蚀，安心制作，4、一键启动，新一代圆形发热管，优质PP材质，出丝效率高，纯铜电机】3.幼儿专用榨汁机1台【1、功率：1600W，2、容量：1750ml ，3、8叶不锈钢刀头，4、人性化手柄凹位设计，精钢轴承，均匀破壁。NSKLTD精工制作确保机器高速运转时使钢刀旋转平衡稳定。另加儿童防漏电装置。】4.幼儿专用全自动多功能烘焙 箱1台【1、容量：38L，2、功率：1800w，电压：220v，3、产品重量：7KG，4、尺寸：535x395x355mm】5.智能压饼机1台【1、毛重：1.5kg，2、功率：600w，电压：220v，3、智能触控设计，4、尺寸：175x145x280mm】6.全自动智能压面机1台【1、毛重：1.5kg，2、功率：150w，电压：220w，3、尺寸：445x280x331mm，4、摒弃任何图层工艺采用食品级材质直接与食物接触，环保卫生，清洗方便。电动设计，操作简单。用于各种面条的制作】7.自动智能厨师机1台【1、毛重：3.5kg，2、功率：600w，电压：220v，3、尺寸：290x155x285mm，4、全金属机身，食品级全不锈钢配件，全粉末冶金钢齿轮组，密封降噪，风道降温另加儿童防漏电装置。用于和面】8.电蒸锅1台【1、规格：34.5*34.1*36.5cm，2、蒸笼面积：10L，3、额定功率：1500W电压：220V，4、材质：不锈钢】9.蛋卷机1台【1、双面加热、悬浮设计，2、电压：220V、功率：750w，3、烤盘直径：19cm，4、尺寸：24x23.3x11.3cm</w:t>
            </w:r>
            <w:r>
              <w:rPr>
                <w:rStyle w:val="86"/>
                <w:sz w:val="18"/>
                <w:szCs w:val="18"/>
                <w:highlight w:val="none"/>
                <w:lang w:val="en-US" w:eastAsia="zh-CN" w:bidi="ar"/>
              </w:rPr>
              <w:t>第二部分教室空间装饰部分</w:t>
            </w:r>
            <w:r>
              <w:rPr>
                <w:rStyle w:val="85"/>
                <w:sz w:val="18"/>
                <w:szCs w:val="18"/>
                <w:highlight w:val="none"/>
                <w:lang w:val="en-US" w:eastAsia="zh-CN" w:bidi="ar"/>
              </w:rPr>
              <w:t>10.教室主体墙装饰材料1组【1、“快乐厨房” 单字尺寸约：φ35cm，3、"SHANGSHUYUANEDUCATION" 尺寸约：10x105cm】11.“珍惜粮食 爱护餐具”教室照片墙装饰材料1组【1、 “珍惜粮食 爱护餐具” 尺寸约：200*82cm，2、彩色软性拼图 尺寸约：2平方，可随意组合】12.食育金字塔1套【1、分别为营养金字塔、珍惜粮食、营养均衡、中国传统面食、外国饮食文化、乐于分享、细嚼慢咽。，2、尺寸为173x130cm】13.趣玩角防污地毯1张【1、尺寸：180x120cm，2、主题带甜甜圈装饰图案】14.趣玩区角配套食物抱枕套组1套【1、内含肉类、蔬菜、甜甜圈等题材，2、材质：pp棉、面料可水洗】15.食育香料展示套组1套【1、尺寸75.2*119.3*13cm，2、材质：樟子松陈列架、40种香辛料实物、干燥剂、牛皮纸、麻绳、食品级PET+铝合金】16.快乐厨房置物架2个【材质，樟子松。规格：100*30*75cm】17.分区角柜2个【1、尺寸：120x25x35cm，2、进口樟子松，3、原生态进口樟子松，铆钉结构原木切面，木材加工性能好，切面光滑。力学强度大，富有弹性。有天然的纹理，非常美观】18.快乐厨房操作档口1组【1、操作档口（含布艺），2、规格：120*40*140cm，3、材质：双面防火色板、环保漆、可拆装式，纯手工打造，环保等级达到E1，变形小，强度大。，用于儿童烘焙操作用】19.桌布4件【1、规格：160*100 ，2、材料：棉麻】20.快乐厨房专用桌4张【1、主桌：60x120x60cm、樟子松及复合板、双层设计便于食育工具收纳】21.陈列架2个【规格：120*30*80cm橡木】22.幼儿食育专用椅子15把【樟子松，凳面：亚麻凳套。规格：高17*25cm】23.教师工具移动柜1组【1、尺寸约为：30x38x81cm，2、四层收纳、一层置物设计，带4个轮子，3、卡通主题设计】24.食育益智拼图10套【1、一组5件、尺寸为14x14cm，2、分别为：饭前洗手、不喝生水、不贪吃、不挑食、细嚼慢咽】25.桌面工具盒2个【1、桌面工具收纳材料盒，2、尺寸约为：20x21x8cm，3、用于盛放制作面食所用工具】26.环创蒸笼（中国农作文化）2套【尺寸：直径14cm、16cm、18cm】27.环创大丰收摆设（中国农作文化）1个【尺寸：高度21cm，直径19cm】28.仿真稻穗（中国农作文化）1组【尺寸：仿真稻穗、整体高度60cm】29.环创装饰挂件1套【仿真辣椒，玉米，黄瓜，花生】30.装饰瓷盘1套【规格尺寸：6寸盘子架】31.围裙架1套【1、尺寸规格：50*10*30cm，2、旧色复古色系，双层设计】32.幼儿快乐厨房专用罩衣15件【1、材质：防水布，2、规格尺寸：ML码】33.教师围裙2件【1、材质：防水布，米黄色，2、规格尺寸：81x63cm ，防水效果好，教师食育课必备品】34.防喷沫口罩8套。35.食育一次性手套8套。36.可降解分类垃圾袋1套。36.环创画胶套装1套【超粘结构胶2支、胶枪1把】37.KT胶3包。</w:t>
            </w:r>
            <w:r>
              <w:rPr>
                <w:rStyle w:val="86"/>
                <w:sz w:val="18"/>
                <w:szCs w:val="18"/>
                <w:highlight w:val="none"/>
                <w:lang w:val="en-US" w:eastAsia="zh-CN" w:bidi="ar"/>
              </w:rPr>
              <w:t>第三部分课程材料操作部分</w:t>
            </w:r>
            <w:r>
              <w:rPr>
                <w:rStyle w:val="85"/>
                <w:sz w:val="18"/>
                <w:szCs w:val="18"/>
                <w:highlight w:val="none"/>
                <w:lang w:val="en-US" w:eastAsia="zh-CN" w:bidi="ar"/>
              </w:rPr>
              <w:t>38.砧板10张【1、产品材质；PP级食品料+小麦秸秆，2、产品包装；opp包装 ，3、产品重量；530g】39.食品筐20个。40.搅拌铲5把。41.手动面粉筛4个。42.面食框2个。43.塑料水饺托盘2个。44.圆形蛋糕盘2个。45.烤盘2个。46.披萨盘2个。47.蛋糕盘2个。48.6连蛋糕模具2个。49.蛋挞模具套。50.打蛋盘2个。51.披萨铲2个。52.棉手套1个。53.油刷2把。54.披萨轮刀2个。55.锡纸2卷。56.食品保鲜膜1卷。57.油纸垫1包。58.脱模刀1把。59.裱花台转盘2个。60.奶油抹刀2把。61.不锈钢裱花嘴套装2套。62.刮板2块。63.蛋清分离器2个。64.油纸2卷。65.幼儿刀具套装10套。66.面包夹子2个。67.分料碗2套。68.手动打蛋器2个。69.电子称2台。70.铂金硅胶揉面垫10个。71.擀面杖10个。72.手柄量杯5个。73.不粘钩6个。74.果蔬工具八件套2套。75.手压卡通糕点冰皮压花模具1套。76.幼儿摇摇乐8件。77.天鹅汤勺子1件。78.点心盘子2件。79.环保儿童餐具套装2套。</w:t>
            </w:r>
            <w:r>
              <w:rPr>
                <w:rStyle w:val="86"/>
                <w:sz w:val="18"/>
                <w:szCs w:val="18"/>
                <w:highlight w:val="none"/>
                <w:lang w:val="en-US" w:eastAsia="zh-CN" w:bidi="ar"/>
              </w:rPr>
              <w:t>第四部分服务</w:t>
            </w:r>
            <w:r>
              <w:rPr>
                <w:rStyle w:val="85"/>
                <w:sz w:val="18"/>
                <w:szCs w:val="18"/>
                <w:highlight w:val="none"/>
                <w:lang w:val="en-US" w:eastAsia="zh-CN" w:bidi="ar"/>
              </w:rPr>
              <w:t>80.落地入园培训1次。81.烘焙教案1套。82.烘焙课件U盘。</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5"/>
                <w:sz w:val="18"/>
                <w:szCs w:val="18"/>
                <w:highlight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5"/>
                <w:sz w:val="18"/>
                <w:szCs w:val="18"/>
                <w:highlight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5"/>
                <w:sz w:val="18"/>
                <w:szCs w:val="18"/>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足球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 17cm，天然橡胶材质，无气味，弹性好。</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篮球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 17cm，天然橡胶材质，无气味，弹性好。</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书柜文件柜实木收纳家用靠墙落地组合多功能柜3m*2m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Style w:val="87"/>
                <w:sz w:val="18"/>
                <w:szCs w:val="18"/>
                <w:highlight w:val="none"/>
                <w:lang w:val="en-US" w:eastAsia="zh-CN" w:bidi="ar"/>
              </w:rPr>
              <w:t>1、饰面：IP饰面纸，通过GB/T 15102-2006技术标准浸渍胶膜纸饰面；具有色泽鲜明，防潮、耐磨、抗酸碱、抗弯能力强、抗污染特性；</w:t>
            </w:r>
            <w:r>
              <w:rPr>
                <w:rStyle w:val="87"/>
                <w:sz w:val="18"/>
                <w:szCs w:val="18"/>
                <w:highlight w:val="none"/>
                <w:lang w:val="en-US" w:eastAsia="zh-CN" w:bidi="ar"/>
              </w:rPr>
              <w:br w:type="textWrapping"/>
            </w:r>
            <w:r>
              <w:rPr>
                <w:rStyle w:val="87"/>
                <w:sz w:val="18"/>
                <w:szCs w:val="18"/>
                <w:highlight w:val="none"/>
                <w:lang w:val="en-US" w:eastAsia="zh-CN" w:bidi="ar"/>
              </w:rPr>
              <w:t xml:space="preserve">2、基材：采用优质E1级板,优质绿色环保产品,甲醛含量≤1.0mg/L,密度≥760kg/m3,静曲张度≥51.2Mpa,吸水膨胀率≤8.1%. （GB18580-2001），板内密度偏差、含水率、静曲强度、弹性模量、内胶合强度、表面胶合强度、2h吸水厚度膨胀率、握钉率均达到《环境标志产品认证技术要求  人造板及其制品》 （HBC 17－2003）的相关要求、GB/T 4897-2015国标标准。 </w:t>
            </w:r>
            <w:r>
              <w:rPr>
                <w:rStyle w:val="87"/>
                <w:sz w:val="18"/>
                <w:szCs w:val="18"/>
                <w:highlight w:val="none"/>
                <w:lang w:val="en-US" w:eastAsia="zh-CN" w:bidi="ar"/>
              </w:rPr>
              <w:br w:type="textWrapping"/>
            </w:r>
            <w:r>
              <w:rPr>
                <w:rStyle w:val="87"/>
                <w:sz w:val="18"/>
                <w:szCs w:val="18"/>
                <w:highlight w:val="none"/>
                <w:lang w:val="en-US" w:eastAsia="zh-CN" w:bidi="ar"/>
              </w:rPr>
              <w:t>3、粘合剂：</w:t>
            </w:r>
            <w:r>
              <w:rPr>
                <w:rStyle w:val="85"/>
                <w:sz w:val="18"/>
                <w:szCs w:val="18"/>
                <w:highlight w:val="none"/>
                <w:lang w:val="en-US" w:eastAsia="zh-CN" w:bidi="ar"/>
              </w:rPr>
              <w:t>知名品牌</w:t>
            </w:r>
            <w:r>
              <w:rPr>
                <w:rStyle w:val="87"/>
                <w:sz w:val="18"/>
                <w:szCs w:val="18"/>
                <w:highlight w:val="none"/>
                <w:lang w:val="en-US" w:eastAsia="zh-CN" w:bidi="ar"/>
              </w:rPr>
              <w:t xml:space="preserve">乳胶；                                                                             </w:t>
            </w:r>
            <w:r>
              <w:rPr>
                <w:rStyle w:val="87"/>
                <w:sz w:val="18"/>
                <w:szCs w:val="18"/>
                <w:highlight w:val="none"/>
                <w:lang w:val="en-US" w:eastAsia="zh-CN" w:bidi="ar"/>
              </w:rPr>
              <w:br w:type="textWrapping"/>
            </w:r>
            <w:r>
              <w:rPr>
                <w:rStyle w:val="87"/>
                <w:sz w:val="18"/>
                <w:szCs w:val="18"/>
                <w:highlight w:val="none"/>
                <w:lang w:val="en-US" w:eastAsia="zh-CN" w:bidi="ar"/>
              </w:rPr>
              <w:t>4 五金配件：优质国标五金配件，优质锌合金液压阻尼铰链，国标锁芯锁具，纯铜镀铬拉手，符合金属家具通用技术条件GB/T 3325-2017。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7"/>
                <w:sz w:val="18"/>
                <w:szCs w:val="18"/>
                <w:highlight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7"/>
                <w:sz w:val="18"/>
                <w:szCs w:val="18"/>
                <w:highlight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87"/>
                <w:sz w:val="18"/>
                <w:szCs w:val="18"/>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成人办公用小型现代创意简约桌椅（一桌一椅）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尺寸1400*700*760 简约时尚 采用E1级实木颗粒板耐磨防腐抗划痕</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美工材料包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36支水彩笔、24支彩铅，2瓶胶水、12个粉饼、24支油画棒、1把直尺、24支蜡笔、1个卷笔刀、1块橡皮、1支笔刷、1支笔刷，1包回形针，1把剪刀，1个订书机                      木盒子尺寸38*29.5*4.5厘米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电动门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长12米高1.7米，铝合金材质</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阿图什市第五幼儿园</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幼儿园AI机器人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使用时间：60~80分钟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产品型号：K10 遥控电池：2节“AAA”电池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产品颜色：红色、白色 适用年龄：3+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电池规格：3.7V400mAh 产品尺寸：17×14×25.5cm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充电时间：55~70分钟 彩盒尺寸：21.5×15×32cm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产品功能：前进/后退、左转右转、语音对话、APP操作、理财小故事、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投币存钱、录音变音、三种魔音变化、送物演示、眼睛RGB灯、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耳朵七彩灯、触摸模式、唱歌跳舞、科普数学、智能编程</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腰鼓</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鼓面直径120mm,高度260mm。2、鼓身采用精选杨木，卷曲成圆柱形，表面无疤痕、裂缝，不变形，并喷环保红漆。2、鼓皮为优质牛皮，加粗鼓环，精美铆钉。3、、堂鼓的鼓身上下口径相同，中部略大，漆面光洁。4、演奏时，发出“咚、咚”声，不得有杂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小非洲鼓</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7寸，雕花，桃花芯木整木掏空鼓腔，老山羊皮鼓面，采用天然山羊皮，不经漂白处理音质纯正使用寿命长，登山绳固定锁音。 鼓身高40cm左右 鼓面尺寸 16--18cm左右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大鼓</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63cm×25cm（25in×10in）</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鼓腔：木质鼓腔 鼓圈：静电喷涂；鼓耳:6个；配有专业木制鼓棒及背带；音质：鼓中心发音低沉，外圈发音稍短、稍薄、演奏时无杂音。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茶艺教室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1.含高端博古柜组合1套（榆木材质  198*25*196CM）2.茶艺桌椅套装12套（材质木质骨架竹片贴合，进口藤条。120长50宽50cm高凳子直径30高25cm宽一桌两凳为一套）3.教师桌椅套装1套（材质榆木桌子140长 60宽70cm高，太师椅凳面45乘40cm）4.复古置物架1组（楠竹材质长80宽25高169cm1组俩个）5.墙面博古架1个（鸡翅木材质73长12宽55cm高）6.陶罐4个（高20直径10cm）7.转轴青花瓶剪纸4幅（30*90cm，手工剪纸丝绸卷轴）8.茶字画1幅（环保木纹画框 40*80CM）9.茶艺书籍5本（正版书籍 22*36CM）10.茶经1套（一套6本 正版书籍 22*37CM）11.茶艺教学套装13套（青瓷套包含茶杯3，茶垫3，盖碗，茶壶，公杯，茶盂，茶罐，盖置，茶盘。公道组，茶巾，茶漏，茶荷，茶席）12.全自动茶炉套装1套（胡桃木，高硼硅玻璃 壶尺寸14*12CM 茶炉19*19*40CM）13.茶席13套（亚麻材质 150*30）14.茶具博古架13架（桐木材质 75*12*41CM）15.茶艺剪刀2把（优质合金材质 11*4.5CM）16.茶台小花器5个（陶瓷材质 8*8.5CM 口径2CM）17.茶置13个（陶瓷材质 10.3*3.8CM）18.六君子1套（陶瓷，铜制木柄 240ML）19.花瓶1组（陶瓷材质 复古烧4个一组 高度13.8CM）20.茶刀2把（浮雕花梨木材质 长度16.5CM）21.茶宠4个（紫砂材质 宽9.5CM 高8CM）22.茶叶罐2套（陶瓷材质 一套两个 长12CM 高11CM）23.十大名茶6套（尺寸43*22*9CM  一盒10款茶，每款30g，每盒300g）24.环创 六君子1套（PVC材质 尺寸40*47CM）25.环创喝茶的好处1套（PVC材质 尺寸40*47CM）27.环创茶叶的来历1套（PVC材质 尺寸40*57CM）28.环创茶叶的分类1套（PVC材质 尺寸40*72CM）29.环创十大名茶1套（PVC材质 尺寸40*86CM）30.环创泡茶的步骤1套（PVC材质 尺寸40*90CM）31.茶文化装饰1套（亚克力材质 90.2*120CM）32.茶道珠帘1套（竹布材质 60*80CM）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中号收纳箱</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34.5*30*22cm，环保材料无毒无味，耐老化、抗紫外线、防静电、颜料采用耐光性八级，在户外长期使用不褪色，大型正反转流水线注塑一次性成型。韧性好、高强度、两面都光滑、不会破裂、造型美、抗老化、抗静电、表面光滑亮光、色彩鲜艳、不褪色、经久耐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智力早教磁力棒</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100件磁力棒</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美工材料包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36支水彩笔、24支彩铅，2瓶胶水、12个粉饼、24支油画棒、1把直尺、24支蜡笔、1个卷笔刀、1块橡皮、1支笔刷、1支笔刷，1包回形针，1把剪刀，1个订书机                      木盒子尺寸38*29.5*4.5厘米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幼儿剪刀</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1、规格：220*220*5mm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笔筒</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1、材质：金属            2、尺寸：84*100mm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收纳框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1、38*26*13cm，重340g</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2、金属框架，丙丝带编织布料，两侧设计有提手。</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排笔套装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1、10支装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2、用于幼儿油画课程的绘画工具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各色丙烯颜料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60毫升环保流彩丙烯颜料</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各色卡纸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1、规格：35*52cm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2、颜色：10色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3、用于幼儿创意美术课程的绘画材料</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白色卡纸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1、尺寸约：8k</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2、材质：纸</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黑色卡纸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1、尺寸约：8k</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2、材质：纸</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皱纹纸混合颜色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1、规格：30*0.2cm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2、材质：纸</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布织布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1、规格：40*45cm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2、材质：纸</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瓦楞纸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1.尺寸：210*297mm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2、材质：纸</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素描纸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1、尺寸约：4k</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3、规格：20张/包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素描纸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1、尺寸约：8k</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3、规格：20张/包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1、规格：36色/桶     2、颜色：彩色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马克笔</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1、规格：56色/盒     2、颜色：彩色</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蜡笔</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1、36色一套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2、用于绘画课程的材料</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钻石画卡通</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副</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1、彩盒包装         2、 木质支架18*24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彩色活动眼睛</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1、环保素材，适合幼儿园手工制作</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卡通小木甲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造型：卡通         规格：10个/包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手工纸盘大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材质:纸浆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手工纸盘中</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材质:纸浆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手工纸盘小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材质:纸浆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DIY毛根彩色扭扭棒各色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1、马卡龙混色       2、密封包装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手工泡沫球大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1、规格：直径6cm    2、材质:EPS</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手工泡沫球中</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1、规格：直径4cm    2、材质:EPS</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手工泡沫球小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1、规格：直径2cm    2、材质:EPS</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彩色粉笔</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1、颜色：多色搭配   2、材质：高分子聚合物</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雪糕棒大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规格：150*18*1.6mm，松木材质，用于搭建作品</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雪糕棒中</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规格：114*10*2mm，松木材质，用于搭建作品</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雪糕棒小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规格：4-6cm，松木材质，用于搭建作品</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彩色纽扣大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1材质：塑料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尺寸：2cm100个</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彩色纽扣中</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1材质：塑料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尺寸：1.8cm100个</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彩色纽扣小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1材质：塑料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尺寸：1.5cm100个</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泡沐棒大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1、材质：epe        2、长度：75cm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泡沐棒中</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1、材质：epe        2、长度：60cm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泡沐棒小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1、材质：epe        2、长度：50cm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针线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4件套针线盒</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粗的彩色吸管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1、材质：塑料     2、尺寸：口径11mm长度19cm     3、规格：500跟/包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一次性筷子</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1、材质：竹制     2、规格：100双/包             3、尺寸：4.5*19.5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水彩颜料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12毫升环保水彩颜料</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白色棉布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尺寸：≥宽1500mm长1000mm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用途：用于刺绣、织染的布料等</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刮画纸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1、规格：A4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2、含量：10张/包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刮画纸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1、规格：A3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2、含量：10张/包</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各种木块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1.规格：12个造型小木块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2.材质：木头</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白色纸伞</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1、规格：直径30      2、面料：纸          3、材质：木质 </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白色扇子</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1、规格：21cm       2、扇骨为竹镂空扇面为纸扇面</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粗麻绳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1、规格：4mm*200米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细麻绳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1、规格：3mm*200米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白色布（晕染布）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材质：棉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尺寸：≥宽1500mm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用途：用于刺绣、织染的布料等</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固体胶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1、材质：塑料       2、尺寸：108*80*100mm       3、规格：36g/个</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胶棒</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透明棒7*200mm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胶枪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1材质：塑料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尺寸：140*100mm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调色盘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1、材质：塑料       2、尺寸：直径19厘米8格梅花状</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贝壳装饰品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1、材质：贝壳、海螺</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6"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安吉游戏玩教具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1、材质：多层板，免漆板。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2、工艺：静电喷水性环保油漆、磨圆角、光滑无毛刺 。可迁移元素（mg/kg）: 可溶性锑 ≤ 60;可溶性砷 ≤ 25;可溶性钡 ≤1000;可溶性镉 ≤75;可溶性铬 ≤60;可溶性铅 ≤90 ;可溶性汞 ≤60;可溶性硒 ≤500。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彩虹尺寸：形状：1号半圆，数量：1个，尺寸（CM）：117*58.5*35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含有9根圆棒，颜色：原木，红，橙，黄，绿，蓝，紫，红，橙，黄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形状：2号半圆，数量：1个，尺寸（CM）：102*51*35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含有7根圆棒，颜色：原木，红，橙，黄，绿，蓝，紫，红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形状：3号半圆，数量：1个，尺寸（CM）：86.7*43*35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含有5根圆棒，颜色：原木，红，橙，黄，绿，蓝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形状：4号半圆，数量：1个，尺寸（CM）：71.5*36*35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含有1根圆棒,4根平板，颜色：原木，红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形状：原色梯子，数量：1个，尺寸（CM）：60*35*4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含有2根圆棒，颜色：原木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形状：三角梯，数量：1个，尺寸（CM）：72*70*42.5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含有5根圆棒，颜色：红，橙，黄，绿，蓝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形状：多层板平衡板，数量：2个，尺寸（CM）：120×23×2.5，颜色：原木色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形状：多层板平衡板，数量：2个，尺寸（CM）：140×23×2.5，颜色：原木色侧板 2 块 优质木材+两底一面环保水清漆120*30*1.8CM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连接板 6 块 优质木材+两底一面环保水清漆58.4*14.5*1.5CM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连接圆杆 2 根 优质木材+两底一面环保水清漆58.4*φ3.7CM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螺丝 28 颗 内六角M7*3.8CM</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3"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科学实验室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一、多样植物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1儿童塑封机 1套：1.尺寸：230*113*62mm2.材质：塑料+金属3.功能：过塑平整、低噪音，使用方便，可用于幼儿对树叶等标本的塑封。4.技术要求：过胶宽度NBB-5001（mm），过胶厚度≤0.4（mm），过胶速度300mm/min，最大塑封宽度210（mm）。2 透明塑封膜1台： 1.尺寸：110*160mm2.材质：PET薄膜3.功能：适用于幼儿树叶标本塑封，制作树叶标本书签，可以于长期保存，再此过程中锻炼幼儿的动手能力，一套包含薄膜100张。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种子的传播 4套：1.尺寸：约120*120*20mm2.材质：亚克力外框+铜版纸3.功能：用于幼儿了解种子的传播方式，种子因自身结构特点具有多种传播方式，包含风传播、弹射传播、水传播、动物传播等。4 树叶标本夹套装 4套：1.尺寸：220*280mm,2.材质：塑料+尼龙绳+瓦楞纸3.功能：凹槽设计操作方便，包含有瓦楞纸板及捆绳，操作简便、实用性强，用于树叶的压平风干。4.配件内容：标本夹2个、瓦楞纸板4张、尼龙绳1条。5 植物种植盒4套： 1.尺寸：185*145*110mm2.材料：PET材质3.功能：12孔设计，具有保温保湿功能。在植物的种植过程中，透明的保温盖一方面有保温保湿的功能，一方面方便幼儿的观察，幼儿可清晰观察到植物的成长过程，方便幼儿记录。6 树木年轮切片 4个：1.尺寸：直径120-140mm，厚度10mm2.材质：实木横切面3.功能：可清晰观察树木年轮形态，通过探索课程使幼儿对树木的年轮有清晰的认识，也可用于图画。"7 仿真蔬菜模型 4套：1.尺寸：1:1真实比例2.材质：宝丽龙、PU泡沫、树脂3.功能：展示各种蔬菜，用于幼儿了解不同种类的蔬菜，了解我们吃的蔬菜是植物的不同部位。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二、精准测量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 幼儿卡通体重秤 1台：1.尺寸：260*250mm2.材质：塑料+金属。3.功能：具有USB充电功能，LCD夜视显示屏，上称自动称量，无需开关，最高承重180kg。9 测量台秤 4台：1.尺寸:170*170*150mm。2.材质：PP塑料材质3.功能：最大测量重量1kg，可用以幼儿测量常见物品的重量，了解重量的测量原理。秤盘可以与秤体分离，具有归零调节钮。10 风力风向计4套： 1.尺寸：124*40*165mm2.材质：PS、PP、HIPS3.功能：根据风向标的指向帮助判别风吹来的方向，包含底座、指南针、风向指针、风杯等配件。"11 测量小皮尺 16个：1.尺寸：直径约50mm2.材质：塑料材质3.功能：卡通款式，双面尺寸，测量长度150cm，操作简便安全，适用于幼儿对尺子的应用和理解。12 温度湿度计4个： 1.尺寸：直径190mm，厚30mm2.材质：ABS+亚克力面板+金属3.功能：箭型温度指针，定位更加准确，宽刻度间隔，大数字刻度表盘，便于幼儿读数。4.技术要求：温度范围：-20-40℃，湿度范围10-90%；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三、实用工具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13儿童工具套装4套： 1.产品尺寸：多种尺寸2.材质：ABS环保材质3.功能：包含多种仿真工具，锻炼幼儿的动手能力及认知能力，帮助幼儿了解常用工具的使用和辨别，包含扳手、锤子、螺丝、螺母等配件不少于20个。14 放大镜 6个：1.产品尺寸：直径100mm2.材质：全树脂材质。3.功能：一次成型，透光清晰，光学指标准确。15 垃圾分类 4套：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1.产品尺寸：50*150mm，2.材质：安全塑料材质。3.功能：每套包含儿童教学垃圾箱4个（厨余垃圾箱、可回收垃圾箱、有害物质垃圾箱、其他垃圾）。16 儿童灭火器模型 4个：1.尺寸：290*80mm2.材质：塑料3.功能：灭火器造型，加深幼儿对灭火工具的认识，通过课程介绍，使幼儿不玩火，了解基本的逃离火灾方法。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四、自然之光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17双目望远镜 4个：1.尺寸：150*130mm。2.材质：环保ABS、光学镜片。3.功能：8倍变焦，卡通造型，拆卸方便，重量轻，方便携带。18 儿童DIY潜望镜4个 ：1.尺寸：120*120*110mm,2.材质：PVC、亚克力，3.功能：可用于幼儿手工制作潜望镜，锻炼幼儿的动手能力，并了解光的折射现象。19 儿童启蒙显微镜4个： 1.尺寸:185*130*230mm。2.材质：安全塑料，3.功能：双目观察，可调焦距，放大10倍。适合3岁以上幼儿使用，培养儿童对科学知识的探索兴趣，锻炼动手动脑能力。20 三棱镜 4个。1.尺寸：100*180mm2.材质：塑料底座、K9光学玻璃3.功能：可用于演示光的色散现象，做工精细，倒边均匀美观，表面抛光透亮，透明度好，没有瑕疵。支架做工精细、美观，三角处圆滑，不割手，支架表面细腻光滑，手感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五、人体的奥秘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21内脏围裙1套： 1.尺寸：650*450mm2.材质：斜纹布、聚酯纤维等3.功能：帮助幼儿了解人体百科知识，加强幼儿自我认知，学会保护自我以及认知自己的身体结构。22 儿童听诊器4个： 1.尺寸：界面直径46mm。2.材质：PVC+金属。3.功能：葫芦式耳塞，贴合入耳，用于幼儿对声音的了解。23 人体魔方 4个：1.尺寸：200*80mm2.材质：塑料3.功能：用于幼儿了解人体器官及骨骼，锻炼动手能力。24 牙齿模型 4个：1.尺寸：60*80mm2.材质：PVC 3.功能：适用于儿童人体课程教学，可认知自己的牙齿，知道刷牙的正确方法。"25 人类进化史4套： 1.尺寸：50-100mm2.材质：环保塑料材质3.功能：用于幼儿了解人类进化过程，每套包含人类进化模型5个，南方古猿、能人、直立人、穴居人、晚期智人。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26指纹鉴定4套： 1.尺寸：多种尺寸2.材质：ABS 3.功能：身份卡1张，印台1块，毛刷1把，黑色塑胶片1张，眼镜1副，小放大镜1个，透明胶带1卷。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六、地球宇宙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27八大行星 4套：1.尺寸：直径120mm，高140mm 2.材质：塑料材质3.功能：球体分别是太阳、水星、金星、地球、火星、木星、土星、天王星、海王星，用于演示八大行星的运动轨迹28 月相仪 4个：1.尺寸：230*230*100mm2.材质：ABS环保材料3.功能：可观察到月球在1个月之内的月相变化，操作简便，实用性强，用于《神秘的月球》、《月相变化》等课程。"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七、神秘的电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29  神奇浮动球 4套：1.尺寸：底座尺寸135*135*70mm2.材质：ABS+金属3.功能：包含电池盒、开关、导线、底座、电动机、扇叶，底座可安装电开关、电池，组装小型喷泉。30 辉光球1套： 1.尺寸：350×350×250mm2.材质：树脂、合金  3.功能：它能形象地表示雷电闪光的现象，既直观又形象，而且安全、方便、容易操作。"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 自发电手电筒 4个：1.尺寸：107*50*35mm2.材质：塑料、电子元件等3.功能：按压发点，可用于幼儿课程观察光的传播方式。32 马卡龙泡沫球 4个：1.尺寸：多种尺寸2.材质:优质EPP材质3.功能：质量轻、弹性好、无异味、用于幼儿对静电的了解。33 静电胶棒 4根：1.尺寸：140mm2.材质：塑料3.功能：用于幼儿静电的探索，培养幼儿动手动脑的兴趣。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八、透明空气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34阻力伞1个 ：1.尺寸:直径1米2.材质：涤纶布3.功能：阻力伞，伞体轻便，有外袋配置，携带方便，可用于幼儿体验并感知神奇的空气阻力。"35 空气试验套装 4套：1.尺寸：100mm2.材质：PE 3.功能：可用于幼儿捕捉空气，了解空气是真实存在的。"36 动力气球车4套 ：1.尺寸：220*110mm2.材质：ABS、金属3.功能：通过下压给气球打气，松开开关小车在空气的推力下向前滑动，用于演示空气力量大。"37 旋涡演示器 4个：1.尺寸：702cm*220mm,2.材质：ABS3.功能：含透明瓶子2个连接器1个，用于探究空气的流动性相关实验。38 飞机模型 4个：1.产品尺寸：31*3*7cm。2.材质：塑料。3.功能：演示飞机飞行状态，了解空气对飞机飞行的影响。"39 趣味降落伞 4个：1.产品尺寸：48*43cm,2.材质：涤纶布、ABS，3.功能：手抛降落伞，可用于幼儿理解空气的阻力。"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九、多样动物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40 认知卡4套 1.产品尺寸：110*160mm2.材质：PET薄膜3.功能：适用于幼儿动物的认知，包含啄木鸟、猫头鹰、鸡、企鹅等图片。"41 超级大象1个： 1.产品尺寸：420*260*370mm。2.材质：空心硬塑料。3.功能：可用于幼儿认知大象，并了解大象的相关知识。"42 恐龙探索 4个：1.产品尺寸：180*75*130mm。2.材质：塑料。3.功能：恐龙可以拆装，在了解恐龙相关知识的过程中锻炼幼儿的动手能力。"43 小蝌蚪变青蛙4套： 1.产品尺寸：3-5cm。2.材质：树脂。3.功能：青蛙成长的不同阶段体态特征，形象生动。44 动物沙盘套装 4套：1.产品尺寸：50*130mm2.材质：环保PVC材质。3.功能：包含多种动物，用于幼儿对动物的认知，锻炼幼儿的语言表达能力。"45 动物饲养盒4个： 1.产品尺寸：175*175*130mm2.材质：ABS、PC3.功能:圆形透明，有透气孔，具有放大镜，幼儿可清洗观察到昆虫的活动细节。"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十、奇妙化学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46化学实验材料包 4套：1.产品尺寸：5-15mm2.材质：塑料等多种材质3.功能：包含小苏打、明矾、漏斗、小勺等多种实验器材。可做不少于100个科学小实验"47 试管套装4套： 1.产品尺寸：180*40*50mm，试管容量50ml。2.材质：环保塑料。3.功能：教具用于儿童化学小试验，每套包含一个试管架及4支试管。48 色素材料 4包：1.产品尺寸：15*45mm。2.材质：塑料+颜料。3.功能：可溶于水，无毒无害，用于儿童化学小试验，每套包含5瓶色素。49 儿童护目镜4个： 1.产品尺寸：12.5*15*5cm，2.材质：环保塑料3.含有PC镜片，用于实验过程中对幼儿眼睛的保护。50 烧杯 4个：1.产品尺寸：50*60妈妈，100ml容量2.材质：环保塑料。3.功能：用于幼儿化学实验，产品透明度高，无异味。"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十一、力与平衡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51 链条齿轮套装4套 1.外观尺寸：31*38*6cm，2.材质：塑料，3.功能：包含多种齿轮，颜色艳丽，方便拼搭，可用于幼儿齿轮课程教学。52 平衡插珠4套： 1.尺寸：28*16cm，2.材质：安全环保塑胶3.功能：4种同等粗细不同长度的杆，4种颜色24粒积木球，球体有很多洞眼，可自由拼插组装，锻炼幼儿手眼协调能力。53 斜坡板 4套：1.产品尺寸：100*50mm。2.材质：复合板材。3.功能：用于幼儿园了解不同几何形状在斜坡板上的滚动情况。"54 弹跳青蛙 8个：1.尺寸：5*6*2cm，2.材质：ABS环保塑料，3.功能：青蛙早教幼儿园益智游戏，儿童桌面弹跳教具。55 青蛙积分纸4套：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1.尺寸：40*40cm，2.材质：纸质，3.功能：围绕中心形成均等的圆形，制作成为一个靶标，用于弹跳蛙靶标计数和弹跳蛙步数统计。"56 拼装4层趣味轨道车1套 "产品尺寸：8*10*25cm,净重：0.75kg,材质;榉木。功能：具有多种游戏方式，滑轨可以拼接延长，制作滑动小车，也可以衔接在轨道柱上，制作重力小车。邻苯二甲酸酯：邻苯二甲酸二（2-乙基己基）酯(DEHP)≤0.003%；邻苯二甲酸二丁酯（DBP）≤0.003%；邻苯二甲酸丁苄酯(BBP)≤0.003%；邻苯二甲酸二异壬酯（DINP)≤0.005%；邻苯二甲酸二辛酯（DNOP）≤0.003%；邻苯二甲酸二异癸酯（DIDP）≤0.005%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十二、生命之水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57 沉浮块 4盒：1.产品尺寸：194*72*12mm。2.材质：塑胶+金属+木材。3.功能：用于幼儿水主题实验，了解影响水沉浮的因素。"58 实验水槽 4个：1.产品尺寸：270*200*100mm，2.材质：PP环保塑料，3.功能：用于幼儿水活动实验。"59 水温计 4个：1.产品尺寸：160*57mm。2.材质：ABS环保塑料、树脂，3.功能：温度测量范围：0℃～50℃,温度测量误差：±1℃,分辨率：0.1℃。60 水净化套装4套： 1.尺寸：总高200mm，底座直径60mm。2.材质：ABS、PC。3.功能：用于演示水净化过程。 61 浮力帆船4个 1.尺寸：125*73*40mm，2.材质：ABS3.功能：用于幼儿对浮力的理解，操作简便，效果明显。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十三、生物世界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62 手持显微镜 4个：1.尺寸：140*50mm2.材质：ABS3.功能：100倍放大倍数，用于观察植物的叶子或衣物等轻薄物体,带灯"63 蝗虫模型 4个：1.尺寸：82*52*22mm2.材质：硬质环保pvc塑胶3.功能：适用于儿童动物认知，造型逼真：64 蝎子模型 4个：1.尺寸：82*52*22mm2.材质：硬质环保pvc塑胶3.功能：适用于儿童动物认知，造型逼真：65 蜜蜂模型 4个：1.尺寸：90*60*52mm2.材质：硬质环保pvc塑胶3.功能：适用于儿童动物认知，造型逼真。66 螳螂 4个：1.尺寸：45*45*27mm2.材质：硬质环保pvc塑胶3.功能：适用于儿童动物认知，造型逼真：67 蜘蛛 4个：1.尺寸55*65*17mm2.材质：硬质环保pvc塑胶3.功能：适用于儿童动物认知，造型逼真：68 瓢虫 4个：1.尺寸：55*65*17mm2.材质：硬质环保pvc塑胶3.功能：适用于儿童动物认知，造型逼真。69 蟑螂模型4个 ：1.尺寸：55*65*17mm2.材质：硬质环保pvc塑胶3.功能：适用于儿童动物认知，造型逼真。70 生物成长过程标本1个： 黄高鳍刺尾鱼造型外框，外型尺寸：165x115x17mm，内部包埋标本尺寸：75x75x9mm,内部包含斑蝶生长史4个阶段。邻苯二甲酸酯：邻苯二甲酸二（2-乙基己基）酯(DEHP)≤0.003%；邻苯二甲酸二丁酯（DBP）≤0.003%；邻苯二甲酸丁苄酯(BBP)≤0.003%；邻苯二甲酸二异壬酯（DINP)≤0.005%；邻苯二甲酸二辛酯（DNOP）≤0.003%；邻苯二甲酸二异癸酯（DIDP）≤0.003%71昆虫认知卡-蜣螂 4套：1.尺寸：110*160mm2.材质：高级PET薄膜3.功能：适用于幼儿都事物的认知包含蜣螂认知卡。72 昆虫认知卡-竹节虫 4个：1.尺寸：110*160mm2.材质：高级PET薄膜。3.功能：适用于幼儿都事物的认知包含竹节虫认知卡、叶修虫认知卡。73 昆虫捕捉器4个： 1.尺寸：40*140*60mm，2.材质：环保塑料材质3.功能：可用户幼儿户外探索对昆虫的捕捉，方便、安全。74 昆虫套装 1套：1.尺寸：75*75*20mm，2.材质：树脂，3.功能:用于幼儿了解蝴蝶、飞蛾、豆娘、蜻蜓的外观，根据指南要求锻炼幼儿对比分类能力，细节清晰、形象生动、透明度优良,符合质量检测标准。75 农田里的害虫 1套：1.尺寸：225*185*50mm，2.材质：纸质包装、树脂，3.功能：形包含多种自然界的害虫，细节清晰，体态完整，产品符合相关检测标准。76 蚕宝宝生长记 1套：1.尺寸：225*185*50mm，2.材质：纸质包装、树脂，3.功能：形体完整，符合蚕自然成长过程，产品符合相关检测标准。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十四、淘气的磁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77 马蹄磁铁 8个：1.尺寸：18*21*2.7cm，2.材质：磁铁、pvc,3.功能：用于幼儿对磁铁的了解。"78 指南针4个： 1.尺寸：直径60mm2.材质：不锈钢3.功能：中文指北针。"79 磁悬浮套装4套： 1.尺寸：24*60*21cm2.材质：环保塑料、磁铁等材质3.功能：可制作磁悬浮，培养幼儿兴趣，加深幼儿对磁铁的认识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十五、美妙声音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80 传声筒套装 1套：1.材质：硅胶管 PP，2.产品包含：硅胶管1米*6条 Y型连接头*2个 +型连接头1个  喊话头*6个。81 多彩敲击琴4个： 1.尺寸：270*100mm2.材质：木质+金属3.功能：敲击棒敲击琴面，可发出不同清脆的音符，让幼儿感知音乐的魅力。82 五星手摇铃4个： 1.产品尺寸：150*90mm。材质：塑料+金属。功能：用于幼儿了解声音的相关课程。83 三角铁 4个：1.尺寸：边长100mm2.材质：环保塑料+金属3.功能：金属锤敲击铁三角，发出清脆的声音，用于幼儿了解声音相关内容。84 眼罩4个： 1.尺寸：150mm2.材质：安全布料3.功能：用于幼儿视觉的锻炼课程。"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十六、趣味数学 85 数字天平1个： 1.尺寸：250*700mm。2.材质：ABS环保塑料。3.功能：通过简单的天平游戏让幼儿了解到数学的奇妙，锻炼幼儿的逻辑思维能力。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86 猴子天平4套 ：1.尺寸：18*22cm。2.材质：环保塑料。3.功能：含小猴天平支架、多个数字串，利用数字及重量调节两边的平衡。87 几何套装4套： 1.产品尺寸：3-8.4cm,2.材质：松木，3.功能：包含长方体、球体、锥体等不同类型的几何体，用于幼儿认知几何体。"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十七、地球宇宙 88 单目望远镜 1架：1.尺寸：100*120*110cm2.材质：合金、塑料3.功能：儿童科教天文望远镜，高倍高清，用于儿童兴趣培养。包含三脚架、托盘、镜筒、寻星镜等，镜口直径60mm。89 运载火箭 1个：1.尺寸：23.5*42cm，2.材质：abs环保塑料，3.功能：具有声光功能，可用于幼儿的天文认知教学，激发幼儿对太空的探索。90 AR地球仪 1个：1.尺寸：直径32cm，2.材料：PVC，3.功能：中英文双语版，可用于幼儿地球科学课程讲解。91 立体月球仪1个： "树脂月球模型，直径 17.3cm，包括月球表面的地形，含有环形山、月海，标记清晰，位置准确。邻苯二甲酸酯：邻苯二甲酸二（2-乙基己基）酯(DEHP)≤0.003%；邻苯二甲酸二丁酯（DBP）≤0.003%；邻苯二甲酸丁苄酯(BBP)≤0.003%；邻苯二甲酸二异壬酯（DINP)≤0.005%；邻苯二甲酸二辛酯（DNOP）≤0.003%；邻苯二甲酸二异癸酯（DIDP）≤0.003%。92  太阳构造模型 1个：1.尺寸：高约40cm、直径32cm2.材质：玻璃钢材质，3.功能：包含底座，可转动，用于儿童认识太阳教学。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妙趣触控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93弹簧下楼梯 1套：1.尺寸：400×150×405mm,弹簧直径约80mm，2.材质：ABS/金属3.功能：探究弹簧重心变化运动状态的影响典型能够产生弹性形变的物体。将弹簧弯曲成拱形状，放在调节好的折叠架的顶端，然后松手，弹簧会翻转着运动到折叠架的底端，即出现“弹簧下楼梯”的现象。94 动物投球1个： 1.尺寸：46*35cm。2.材质：PET塑料+木质+金属3.功能：配有2个磁球，可以吸取小球，有鹿、猴子、老虎等多种卡通动物。 94纺织机 1台：1.尺寸：46*35cm。2.材质：PET塑料+木质+金属3.功能：配有2个磁球，可以吸取小球，有鹿、猴子、老虎等多种卡通动物。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现代科技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95风力发电模型1套： 1.尺寸：950*850*300mm,2.材质：塑料、五金、线材、马达。3.功能：通过齿轮带动线圈做切割磁感线运动，产生电流，使幼儿观察到风能转变为电能的自然现象。"96 风力发电模型1台。97 机器人1个。 1.尺寸：230*100*290mm2.产品材质：塑料3.产品功能：具有智力开发、动手动脑、手眼协调、亲自交流等功能。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妙趣共振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98智能语音共振鼓 1套：1、产品尺寸：20*30*55cm。材质：塑料+金属+木材。功能：此展项由两套开放的完全相同的鼓膜装置构成。其中一个鼓膜装置配有一个鼓槌，另一个鼓膜前方悬吊有一只乒乓球，观众用鼓槌敲击鼓膜，鼓膜振动，另一只鼓前方的乒乓球会跳动起来，这是因为这个鼓膜产生了共振现象。从而，通过这一演示，让观众了解了共振现象。本产品具有语音介绍功能。邻苯二甲酸酯：邻苯二甲酸二（2-乙基己基）酯(DEHP)≤0.003%；邻苯二甲酸二丁酯（DBP）≤0.003%；邻苯二甲酸丁苄酯(BBP)≤0.003%；邻苯二甲酸二异壬酯（DINP)≤0.005%；邻苯二甲酸二辛酯（DNOP）≤0.003%；邻苯二甲酸二异癸酯（DIDP）≤0.005%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妙趣造纸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99造纸机 1个：1.尺寸：38*11.5*32cm,2.材质：ABS塑料。3.功能：本产品可将废纸磨成纸浆，进行纸的再利用，可用于幼儿了解纸的制作过程。"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妙趣表演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100 头饰 30个：1.尺寸：200*200mm2.材质：EVA3.功能：包含太阳、狗、兔子、大象，opp透明袋独立包装，可用于自然课堂游戏活动。包括青蛙、鲤鱼、乌龟等活动头饰各一个，蜻蜓、蚂蚁等活动头饰各2个"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收纳箱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101 教具器材箱 74个：1.尺寸：外径270*183*140mm，内径240*160*130mm2.材质：进口加厚PP材质3.功能：无毒无味、安全环保，功能：用于功能教室内幼儿教学器材收纳。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文化环创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102 科学教室标题字 1套：1.尺寸：18*18cm，2.材质：亚克力，3.功能：粘贴于墙上，色彩鲜艳，突出教室主题。"103 科学环创1（8块）：1.尺寸：38cm,2.材质：PVC、户外相纸，3.功能：齿轮造型，含有多种科学内容。"104 科学环创2 （6块）：1.尺寸：38cm,2.材质：PVC、户外相纸，3.功能：包括爱因斯坦、杨振宁、钟南山等知名科学家人物介绍。"105 科学环创3 （6块）：1.尺寸：38cm,2.材质：PVC、户外相纸，3.功能：包括探索宇宙，STEAM对儿童的重要性等。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教学资料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106教师用书3本： 1.尺寸：18.1*25.6cm2.材质：铜版纸、胶版纸，3.功能：每册包含32节自然科学探索课程的详细教学过程及教学建议，辅助教室了解课程的开展形式及方法，内容丰富。107 幼儿手册（一阶段）30本： 1.尺寸：18.1*25.6cm，2.材质：铜版纸+胶版。3.功能：图文形式，形象生动。 108 幼儿手册（二阶段）30本： 1.尺寸：18.1*25.7cm，2.材质：铜版纸+胶版。3.功能：图文形式，形象生动。109 幼儿手册（三阶段）30本： 1.尺寸：18.1*25.7cm，2.材质：铜版纸+胶版。3.功能：图文形式，形象生动。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家具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110木质M柜 8套：1.尺寸：1000*290*950mm。2.功能：即装即用，采用优质五金 ,表面耐磨、耐污、耐划伤，易清洁。111 火箭柜2套： 1.尺寸：470*290*1015mm。2.功能：即装即用，采用优质五金 ,表面耐磨、耐污、耐划伤，易清洁。112 凹凸柜 1套：1.尺寸：1170*290*914mm。2.功能：即装即用，采用优质五金 ,表面耐磨、耐污、耐划伤，易清洁。"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113 长条桌 4张：1.尺寸：1200*600*480mm。2.功能：即装即用，采用优质五金 ,表面耐磨、耐污、耐划伤，易清洁。114 方桌 4张：1.尺寸：55*55*48cm，2.功能：桌面平整、光滑，适用于幼儿园科学教学活动。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少儿6人舞龙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儿童烫金的，5米，配龙球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班级木地板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1286</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强化复合木质地板，每片规格：812*150*12MM 金刚耐磨表层，不怕刀划，耐磨指数≧5800转。仿照天然实木纹理，真实还原木材纹理。免胶安装，更环保，更牢固。包安装，包踢脚线</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舞台灯光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大约200平方米左右，满足学校表演、摄像、摄影等灯光保障功能</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3"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一体机（党建室）</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显示屏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屏幕可视区域＞85英寸（对角线），采用UHD超高清液晶屏，显示比例16:9，分辨率3840(H)*2160(Z)，可视角度≥178°；最大屏幕亮度≥350cd/m²，符合国家GBZ40070H-2021CZ《儿童青少年学习用品近视防控卫生要求》。（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2.整机金属材质，屏幕表面防眩光钢化玻璃，厚度≤4mm，透过率＞88%，表面硬度＞8H 。屏幕灰阶≥256级，NTSC色域覆盖率不低于85%。钢化玻璃选用国标优等品，光学变形、点状缺陷、尺寸偏差、弯曲度、透射比等均符合GB11614H-2009YL平板玻璃标准（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整机显示屏幕贴合方式采用全贴合工艺，屏幕保护玻璃与显示液晶屏组件无任何间隙，中间无空气介质，减少显示面板与玻璃间的偏光、散射，画面显示更加清晰通透、可视角度更广。整机采用直流背光源，保证显示画面无频闪，有效避免视觉疲劳。硬件低蓝光背光技术，在源头减少有害蓝光波段能量，蓝光占比（有害蓝光415～455nm能量综合）/（整体蓝光400～500能量综合）＜50%，低蓝光保护显示不偏色、不泛黄。（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4.整机屏幕能够准确还原画面细节，画面细节及伽马值无损失，确保师生观看画面不会因显示损耗导致视觉偏差。视网膜蓝光危害（蓝光加权辐射亮度LB）满足IEC TR 62778:2014蓝光危害RG0级别。（（提供具有CMA认证标识的第三方检测机构权威检测报告及国家级相关机构出具的技术证明文件）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5.整机电磁干扰ITE达到国标GB/T9254HZ-2008 Class B等级，满足教学环境多电子设备共用，无需采取任何电磁辐射防护措施。（提供产品CCC认证证书复印件并加盖厂商公章，CCC证书内不得体现ClassA警示标识）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6.整机具备自动光感功能，能感应并自动调节屏幕亮度来达到在不同光照环境下的最佳显示效果，此功能可设置开启或关闭。（提供具有CMA认证标识的第三方检测机构权威检测报告）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7.采用红外触控技术，支持Windows系统中进行不低于20点触控，支持在Android系统中进行10点或以上触控。（提供具有CMA认证标识的第三方检测机构权威检测报告）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整机支持多种智能护眼功能，可通过两侧触控按键及前置物理按键进行护眼模式切换，护眼模式下，整机显示画面更加柔和，有效保护视力；在书写或触控屏幕时，亮度自动降低，保护教师眼睛，触控或书写完成后亮度增加，适合观看。（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整机内置非独立的高清摄像头，摄像头与整机采用一体化设计，无外露连线。摄像头对角角度≥135度，拍摄像素数≥1300W，可用于远程巡课、二维码扫描等功能。且摄像头具备工作指示灯，摄像头运行时，有指示灯提示。支持一键开启录课功能，可将屏幕中显示的课件、音视频内容与老师人声同时录制。（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支持一键开启录课功能，可将屏幕中显示的课件、音视频内容与老师人声同时录制。（提供具有CMA认证标识的第三方检测机构权威检测报告）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10.整机内置不低于8阵列麦克风，麦克风采用非独立扩展形式，不占用整机设备端口，可用于对教室环境音频进行采集，麦克风拾音距离≥12米。（提供具有CMA认证标识的第三方检测机构权威检测报告）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11.为满足课堂视听需求，整机具备不少于2 个中高音单元和1个中低音单元，整机扩声系统总功率不低于50W。（提供具有CMA认证标识的第三方检测机构权威检测报告）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整机具备不少于6个独立物理按键，包括三合一电源按键，设置、音量加减及不少于2个可自定义功能按键，自定义功能包含半屏模式、一键录课、护眼模式等功能，满足不同用户的使用需求。（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整机具备前置Type-C接口，可实现音视频输入，外接电脑设备经双头Type-C线连接至整机，即可把外接电脑设备画面投到整机上，同时在整机上操作画面，可实现触摸电脑的操作，无需再连接触控USB线。前置Type-C接口支持4K 60Hz显示输入；支持快速充电协议，可以给教学平板、教学笔记本、手机等进行快速充电。（提供具有CMA认证标识的第三方检测机构权威检测报告）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14.内置无线网卡，实现WiFi 2.4G/5G无线上网、AP热点发射及BT蓝牙连接。Wi-Fi和AP热点工作距离≥12m。有线网线可实现Android、Windows双系统有线网络连通。支持802.1x EAP身份认证网络连接，能够登陆需要进行身份认证的校园网。（提供具有CMA认证标识的第三方检测机构权威检测报告）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15.无线传屏功能：内置无线投屏接收系统，无需外置接收器，无线投屏发射器与整机匹配后即可实现传屏功能，将外部电脑的屏幕画面及声音通过无线方式传输到整机上。（提供具有CMA认证标识的第三方检测机构权威检测报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设备具备全通道悬浮菜单，悬浮菜单具有信号源切换、白板软件、锁屏、降半屏等功能。具备全通道双侧边虚拟按键，通过侧边栏可实现返回、主页、信源、页面切换、白板、批注、进入二级菜单等功能；二级菜单包括但不仅限于：无线网络、蓝牙、护眼、半屏、截图、锁屏、设置、计时器、计算器、音量加减、亮度调节等功能。（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17.任意通道下，可通过五指长按屏幕，实现息屏和唤醒屏幕的功能；可识别五指上、下、左、右方向手势滑动调用相应功能，支持将各手势滑动方向自定义设置为无操作、息屏、批注、主页、半屏模式等。（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18.整机内置嵌入式安卓系统，版本≥11.0，运行内存≥2GB ，内置存储空间＞8GB。提供快捷桌面，用户可以快捷进入白板、文件管理、电脑桌面及更多应用。安卓系统下可实现windows系统中常用的教学应用功能，如白板书写、WPS软件使用和网页浏览。能对USB接口所读取到的文件进行自动归类，可分类查找文档、图片、多媒体，检索后可直接在界面中打开。白板书写内容可导出PDF、IWB、JPG等格式。（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19.嵌入式Android操作系统下，内置通过权威眼科医院临床试验验证的电子视力表软件，支持通过触摸方式进行视力检测，助力校园近视防控工作开展。（提供具有CMA及CNAS认证标识的第三方检测机构权威检测报告）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20.电子视力表软件由设备生产厂商与与权威三甲医院眼科共同开发，符合GB11533-2011标准对数视力表相关要求，保证测试数据的准确性和权威性。（提供国家权威眼科医院出具的临床试验报告复印件并加盖厂家公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21.内置权威三甲医院眼科制作的护眼百科内容，包含专家视频、护眼动画等资源；不少于50个权威护眼视频。（提供具有CMA及CNAS认证标识的第三方检测机构权威检测报告）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22.整机内置信息发布系统，信息发布系统后台管理系统采用“B/S”架构、SaaS服务方式，可以选择web端推送内容。（提供功能截图）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23.信息发布系统功能特点：定时开关机、远程发布、监控管理、自动循环播放、分组式管理。（提供功能截图）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24.整机进入还原界面时，可点击屏幕选择安卓系统还原、OPS还原以及正常启动选项。（提供具有CMA认证标识的第三方检测机构权威检测报告）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25.整机支持智能U盘锁功能，可设置触摸及按键锁定，锁定后无法随意自由操作，需要使用时插入USB key解锁。（提供具有CMA认证标识的第三方检测机构权威检测报告）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26.硬件自检功能：整机具备内置硬件自检工具，可以一键进行硬件系统自动检测，对系统内存空间、存储空间、软件版本、wifi模块、OPS状态、本机温度、光感、红外触摸框连接状态等提供直观的状态提示。（提供具有CMA认证标识的第三方检测机构权威检测报告）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27.移动可推拉支架，万向轮带锁止功能，国标钢架结构可承重150GK，安全稳定。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28.电脑模块可抽拉式插入整机，支持不断电情况下热插拔，接口采用Intel通用标准80PIN，即插即用，易于维护。处理器Intel Core i5， DDR4内存≥8GB ，SSD固态硬盘≥256GB。具有独立非外扩展的电脑USB接口：≥3路USB3.0，≥1路USB2.0，且支持Android/windows双系统调用；具有一键还原和系统保护功能。(提供具有CMA认证标识的第三方检测机构权威检测报告)；为保障与整机的兼容性，电脑模块与整机为同一制造商。（提供电脑模块与整机CCC证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29.PPT教学助手：无需打开任何其他软件，支持课件上下翻页、页面预览及快速跳转；支持自动启动批注功能；支持书写、擦除功能，支持手势擦除，支持一键清除笔迹；支持小黑板辅助教学功能、可调用放大镜、聚光灯等小工具进行授课；支持一键开启录屏功能，将课件、音视频内容与老师人声同时录制，录制完成后保存到桌面，供老师后续作为教学素材使用；支持课件及板书内容直接生成分享二维码，扫码后支持在手机端进行查看及二次分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教学白板软件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1.采用备授课一体化设计，教师可根据教学场景自由切换类PPT界面的备课模式与触控交互教学模式，适用于教室、办公室等不同备授课环境，便于教师教学使用；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支持老师自主注册个人账号登陆使用，根据教师账号信息将教师云空间匹配至对应学校、学科校本资源库，支持老师通过数字账号、微信二维码等方式登录个人账号；为教师提供永久免费使用的5G个人云存储空间，同时根据每名教师使用时长与教学资料制作频率提供可扩展升级空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支持课件云同步，课件内容的编辑修改可自动同步至云端，无需单独保存上传，保障多端调用的同个课件均为最新版本，有效避免教学资源的损坏、遗失；编辑多份互动课件时，教师可一键将所有处于编辑状态的课件同步到互动课件云空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4.支持课件云存储，无需使用U盘等存储设备，联网登陆账号即可获取云课件；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5.支持分组管理云课件，用户可自定义分组名称，对课件进行分类管理；</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6.互动教学课件支持开放式云分享，分享者可将互动课件、课件组以web链接和二维码形式分享给一个或多个用户，分享链接可设置访问有效期，接收用户可在云空间下载、打开、编辑或再次分享课件；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8.支持设置课件中元素出现、动作、消失动画，提供至少40种动画类型；提供至少10种形式的触发动画设置，提供至少5种课件页面翻页动画设置；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9.内置不少于40种符合教学需要的课件背景供教师直接使用，且教师可自定义课件背景。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10.教学软件兼容传统课件制作工具的组合快捷按键，支持如加粗（Ctrl+B）、文字居中（Ctrl+E）等教师熟悉的组合按键，鼠标悬停至功能按键时自动提示组合快捷键，内置组合快捷键数量不少于50个；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11.数学公式：支持中英文、数学公式的编辑输入，可快速输入方程组，提供不少于70个数学符号及模板；预置不少于40个常用数学公式，无需编辑一键插入；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12.支持录课助手功能，可进行桌面录制、桌面及摄像头录制、教室全场景录制等多种录制方式，录制的视频可保存到本地，供老师自行使用；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13.古诗词：提供覆盖幼儿、小学、初中、高中的古诗词、古文教学资源：包含原文、翻译、背景介绍、作者介绍，全部古诗词资源按照年级学段、朝代、诗人进行精细分类，教师仅需点击分类关键词即可快速跳转至对应资源，无需输入诗词名称即可快速检索，支持教师直接搜索诗词、古文名称或作者名称进行查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移动授课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1)软件提供移动授课功能模块，不需借助任何外接设备，只需手机与交互智能平板能访问互联网，即可进行移动授课；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2)可实现与Android、iOS、Windows系统的手机、平板、笔记本电脑等终端进行无线连接；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3)具备客户端生成热点功能，在没有路由器的情况下，可通过客户端生成局域网热点供外部终端进行无线连接，并支持二维码扫描连接，无需手动设置；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4)支持Office、WPS及白板软件课件远程同步，可通过移动端对智能平板上的课件实现页面预览、远程翻页、激光笔等功能；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5)可实现交互智能平板与手持终端屏幕同步显示，支持多种手持终端的手势识别；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6)具备移动展台功能，可对试卷、课本等实物进行拍摄并将照片一键上传至大屏，上传前可对照片进行裁剪旋转等操作，对上传的照片可进行批注、擦除、保存等操作；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7)具备多图对比展示功能，可将多位学生的作业、试卷或实验结果拍摄上传至交互智能平板进行对比展示，双向批注；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8)具备本地文件智能管理功能，可对移动终端上的图片、视频、压缩包进行自动分类，方便快速找到相应文件，并支持一键上传到交互智能平板中并打开；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9)支持手机投屏，可通过该软件将手机屏幕画面实时投影到大屏上；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10)提供直播功能，移动端拍摄画面实时同步至授课显示端，直播竖屏、全屏显示方式根据移动端拍摄自动适配；</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阿图什市第十三幼儿园</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电钢琴</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8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1、演奏性能:白键下沉偏差≤1.0㎜;相邻两白键偏差≤0.5㎜;相邻两白键高度误差≤0.5㎜; 全键盘白键表面高度误差≤2.0㎜；琴键耐久性≥100万次。2、声学品质: 全音域音准误差≤±2音分; 相邻两键音准误差之差≤3音分;全键盘同一音名的音高变化≤2音分。3、有害物质限量:甲醛≤0.08mg/m³;甲苯≤0.20mg/m³;二甲苯≤0.20mg/m³;苯≤0.11mg/m³;总挥发有机化合物≤0.60mg/m³。4、琴键规格:标准钢琴键。5、键盘逐级配重:有。6、键盘传感器≥3个。7、键盘盖:滑动式。8、双钢琴功能:有。9、钢琴音色明亮度调节范围≥±3。10、力度感应≥3级,可关闭。11、复音数≥192。12、音色数量≥22种。13、数字效果器:有。14、模拟音效:制音共鸣、音槌响应。15、节拍器速度调节范围≥20-255拍/分钟。16、节拍器音量调节功能:有。17、混响≥4种。18、合唱≥4种。19、音乐厅效果≥4种。20、乐曲库≥60首,音量可调。21、用户乐曲数量≥10首,每首乐曲文件容量≥90KB,音量可调。22、演奏会乐曲数量≥10首。23、 乐曲学习功能:有,左手声部/右手声部分可开练习,音量可调。24、音律≥17种。25、轨道录音功能:有,轨道数量≥2轨,每首乐曲音符容量≥5,000个。26、三角钢琴音色快捷按钮数量≥2个。27、移调范围≥±12个半音。28、调音功能:有,A4=415.5Hz-465.9Hz。29、八度升降范围≥±2。30、踏板类型:标准钢琴三踏板。31、MIDI接收频道≥16。32、MIDI设备接口类型:B型USB。33、耳机接口数量≥2个。34、电源接通指示灯:有。35、谱架:有。36、扬声器输出功率≥16W。37、扬声器直径≥12㎝。38、供电方式:交流供电。39、自动关机功能:有。40、面板锁定功能:有。有害物质含量（单位：mg/m³）：甲醛≤0.08%；甲苯≤0.20%；二甲苯≤0.20%；苯≤0.11%；总挥发有机化合物≤0.60%。含配套钢琴凳。</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34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总合计（元）</w:t>
            </w:r>
          </w:p>
        </w:tc>
        <w:tc>
          <w:tcPr>
            <w:tcW w:w="105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bl>
    <w:p>
      <w:pPr>
        <w:pStyle w:val="2"/>
        <w:numPr>
          <w:ilvl w:val="1"/>
          <w:numId w:val="0"/>
        </w:numPr>
        <w:ind w:left="431" w:leftChars="0"/>
        <w:rPr>
          <w:rFonts w:hint="default"/>
          <w:highlight w:val="none"/>
          <w:lang w:val="en-US" w:eastAsia="zh-CN"/>
        </w:rPr>
      </w:pPr>
    </w:p>
    <w:p>
      <w:pPr>
        <w:spacing w:line="240" w:lineRule="auto"/>
        <w:rPr>
          <w:rFonts w:hint="eastAsia"/>
          <w:b/>
          <w:bCs/>
          <w:color w:val="auto"/>
          <w:sz w:val="24"/>
          <w:szCs w:val="32"/>
          <w:highlight w:val="none"/>
          <w:lang w:val="en-US" w:eastAsia="zh-CN"/>
        </w:rPr>
        <w:sectPr>
          <w:footerReference r:id="rId5" w:type="default"/>
          <w:pgSz w:w="16838" w:h="11905" w:orient="landscape"/>
          <w:pgMar w:top="1797" w:right="1440" w:bottom="1797" w:left="1440" w:header="850" w:footer="992" w:gutter="0"/>
          <w:pgNumType w:fmt="decimal"/>
          <w:cols w:space="0" w:num="1"/>
          <w:rtlGutter w:val="0"/>
          <w:docGrid w:type="linesAndChars" w:linePitch="332" w:charSpace="819"/>
        </w:sectPr>
      </w:pPr>
    </w:p>
    <w:p>
      <w:pPr>
        <w:spacing w:line="240" w:lineRule="auto"/>
        <w:rPr>
          <w:rFonts w:hint="eastAsia"/>
          <w:b/>
          <w:bCs/>
          <w:color w:val="auto"/>
          <w:sz w:val="24"/>
          <w:szCs w:val="32"/>
          <w:highlight w:val="none"/>
          <w:lang w:val="en-US" w:eastAsia="zh-CN"/>
        </w:rPr>
      </w:pPr>
      <w:r>
        <w:rPr>
          <w:rFonts w:hint="eastAsia"/>
          <w:b/>
          <w:bCs/>
          <w:color w:val="auto"/>
          <w:sz w:val="24"/>
          <w:szCs w:val="32"/>
          <w:highlight w:val="none"/>
          <w:lang w:val="en-US" w:eastAsia="zh-CN"/>
        </w:rPr>
        <w:t>二、</w:t>
      </w:r>
      <w:bookmarkStart w:id="57" w:name="_Toc267320049"/>
      <w:bookmarkStart w:id="58" w:name="_Toc340225290"/>
      <w:r>
        <w:rPr>
          <w:rFonts w:hint="eastAsia"/>
          <w:b/>
          <w:bCs/>
          <w:color w:val="auto"/>
          <w:sz w:val="22"/>
          <w:szCs w:val="28"/>
          <w:highlight w:val="none"/>
          <w:lang w:val="en-US" w:eastAsia="zh-CN"/>
        </w:rPr>
        <w:t>项目验收、质保、售后服务等要求</w:t>
      </w:r>
    </w:p>
    <w:bookmarkEnd w:id="57"/>
    <w:bookmarkEnd w:id="58"/>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s="宋体"/>
          <w:b/>
          <w:color w:val="auto"/>
          <w:szCs w:val="21"/>
          <w:highlight w:val="none"/>
          <w:lang w:val="en-US"/>
        </w:rPr>
      </w:pPr>
      <w:r>
        <w:rPr>
          <w:rFonts w:hint="eastAsia" w:ascii="宋体" w:hAnsi="宋体" w:cs="宋体"/>
          <w:b/>
          <w:color w:val="auto"/>
          <w:szCs w:val="21"/>
          <w:highlight w:val="none"/>
        </w:rPr>
        <w:t>（一）</w:t>
      </w:r>
      <w:r>
        <w:rPr>
          <w:rFonts w:hint="eastAsia" w:ascii="宋体" w:hAnsi="宋体" w:cs="宋体"/>
          <w:b/>
          <w:color w:val="auto"/>
          <w:szCs w:val="21"/>
          <w:highlight w:val="none"/>
          <w:lang w:val="en-US" w:eastAsia="zh-CN"/>
        </w:rPr>
        <w:t xml:space="preserve"> 入场时间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36" w:firstLineChars="200"/>
        <w:textAlignment w:val="auto"/>
        <w:rPr>
          <w:rFonts w:hint="eastAsia" w:ascii="宋体" w:hAnsi="宋体" w:cs="宋体"/>
          <w:b/>
          <w:color w:val="auto"/>
          <w:szCs w:val="21"/>
          <w:highlight w:val="none"/>
        </w:rPr>
      </w:pPr>
      <w:r>
        <w:rPr>
          <w:rFonts w:hint="eastAsia" w:cs="Times New Roman"/>
          <w:b/>
          <w:bCs w:val="0"/>
          <w:color w:val="auto"/>
          <w:kern w:val="2"/>
          <w:sz w:val="21"/>
          <w:szCs w:val="21"/>
          <w:highlight w:val="none"/>
          <w:lang w:val="en-US" w:eastAsia="zh-CN" w:bidi="ar-SA"/>
        </w:rPr>
        <w:t>中标</w:t>
      </w:r>
      <w:r>
        <w:rPr>
          <w:rFonts w:hint="eastAsia" w:ascii="Times New Roman" w:hAnsi="Times New Roman" w:eastAsia="宋体" w:cs="Times New Roman"/>
          <w:b/>
          <w:bCs w:val="0"/>
          <w:color w:val="auto"/>
          <w:kern w:val="2"/>
          <w:sz w:val="21"/>
          <w:szCs w:val="21"/>
          <w:highlight w:val="none"/>
          <w:lang w:val="en-US" w:eastAsia="zh-CN" w:bidi="ar-SA"/>
        </w:rPr>
        <w:t>人应在合同签定后，</w:t>
      </w:r>
      <w:r>
        <w:rPr>
          <w:rFonts w:hint="eastAsia" w:cs="Times New Roman"/>
          <w:b/>
          <w:bCs w:val="0"/>
          <w:color w:val="auto"/>
          <w:kern w:val="2"/>
          <w:sz w:val="21"/>
          <w:szCs w:val="21"/>
          <w:highlight w:val="none"/>
          <w:lang w:val="en-US" w:eastAsia="zh-CN" w:bidi="ar-SA"/>
        </w:rPr>
        <w:t>30</w:t>
      </w:r>
      <w:r>
        <w:rPr>
          <w:rFonts w:hint="eastAsia" w:ascii="Times New Roman" w:hAnsi="Times New Roman" w:eastAsia="宋体" w:cs="Times New Roman"/>
          <w:b/>
          <w:bCs w:val="0"/>
          <w:color w:val="auto"/>
          <w:kern w:val="2"/>
          <w:sz w:val="21"/>
          <w:szCs w:val="21"/>
          <w:highlight w:val="none"/>
          <w:lang w:val="en-US" w:eastAsia="zh-CN" w:bidi="ar-SA"/>
        </w:rPr>
        <w:t>日</w:t>
      </w:r>
      <w:r>
        <w:rPr>
          <w:rFonts w:hint="eastAsia" w:cs="Times New Roman"/>
          <w:b/>
          <w:bCs w:val="0"/>
          <w:color w:val="auto"/>
          <w:kern w:val="2"/>
          <w:sz w:val="21"/>
          <w:szCs w:val="21"/>
          <w:highlight w:val="none"/>
          <w:lang w:val="en-US" w:eastAsia="zh-CN" w:bidi="ar-SA"/>
        </w:rPr>
        <w:t>完成</w:t>
      </w:r>
      <w:r>
        <w:rPr>
          <w:rFonts w:hint="eastAsia" w:ascii="Times New Roman" w:hAnsi="Times New Roman" w:eastAsia="宋体" w:cs="Times New Roman"/>
          <w:b/>
          <w:bCs w:val="0"/>
          <w:color w:val="auto"/>
          <w:kern w:val="2"/>
          <w:sz w:val="21"/>
          <w:szCs w:val="21"/>
          <w:highlight w:val="none"/>
          <w:lang w:val="en-US" w:eastAsia="zh-CN" w:bidi="ar-SA"/>
        </w:rPr>
        <w:t>。</w:t>
      </w:r>
    </w:p>
    <w:p>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供货</w:t>
      </w:r>
      <w:r>
        <w:rPr>
          <w:rFonts w:hint="eastAsia" w:ascii="宋体" w:hAnsi="宋体" w:cs="宋体"/>
          <w:b/>
          <w:color w:val="auto"/>
          <w:szCs w:val="21"/>
          <w:highlight w:val="none"/>
        </w:rPr>
        <w:t>地点</w:t>
      </w:r>
    </w:p>
    <w:p>
      <w:pPr>
        <w:keepNext w:val="0"/>
        <w:keepLines w:val="0"/>
        <w:pageBreakBefore w:val="0"/>
        <w:kinsoku/>
        <w:wordWrap/>
        <w:overflowPunct/>
        <w:topLinePunct w:val="0"/>
        <w:autoSpaceDE/>
        <w:autoSpaceDN/>
        <w:bidi w:val="0"/>
        <w:adjustRightInd/>
        <w:snapToGrid/>
        <w:spacing w:line="360" w:lineRule="auto"/>
        <w:ind w:firstLine="436" w:firstLineChars="200"/>
        <w:textAlignment w:val="auto"/>
        <w:rPr>
          <w:rFonts w:hint="default" w:ascii="宋体" w:hAnsi="宋体" w:cs="宋体"/>
          <w:b/>
          <w:color w:val="auto"/>
          <w:szCs w:val="21"/>
          <w:highlight w:val="none"/>
          <w:lang w:val="en-US" w:eastAsia="zh-CN"/>
        </w:rPr>
      </w:pPr>
      <w:r>
        <w:rPr>
          <w:rFonts w:hint="eastAsia" w:ascii="宋体" w:hAnsi="宋体" w:cs="宋体"/>
          <w:b w:val="0"/>
          <w:bCs/>
          <w:color w:val="auto"/>
          <w:szCs w:val="21"/>
          <w:highlight w:val="none"/>
          <w:lang w:val="en-US" w:eastAsia="zh-CN"/>
        </w:rPr>
        <w:t>甲方指定地点。</w:t>
      </w:r>
      <w:r>
        <w:rPr>
          <w:rFonts w:hint="eastAsia" w:ascii="宋体" w:hAnsi="宋体" w:cs="宋体"/>
          <w:b/>
          <w:color w:val="auto"/>
          <w:szCs w:val="21"/>
          <w:highlight w:val="none"/>
          <w:lang w:val="en-US" w:eastAsia="zh-CN"/>
        </w:rPr>
        <w:t xml:space="preserve">  </w:t>
      </w:r>
    </w:p>
    <w:p>
      <w:pPr>
        <w:spacing w:line="360" w:lineRule="auto"/>
        <w:rPr>
          <w:rFonts w:hint="eastAsia" w:ascii="宋体" w:hAnsi="宋体" w:cs="宋体"/>
          <w:b/>
          <w:color w:val="auto"/>
          <w:szCs w:val="21"/>
          <w:highlight w:val="none"/>
        </w:rPr>
      </w:pPr>
      <w:bookmarkStart w:id="59" w:name="_Toc340225291"/>
      <w:bookmarkStart w:id="60" w:name="_Toc267320050"/>
      <w:r>
        <w:rPr>
          <w:rFonts w:hint="eastAsia" w:ascii="宋体" w:hAnsi="宋体" w:cs="宋体"/>
          <w:b/>
          <w:color w:val="auto"/>
          <w:szCs w:val="21"/>
          <w:highlight w:val="none"/>
        </w:rPr>
        <w:t>（三）报价要求</w:t>
      </w:r>
      <w:bookmarkEnd w:id="59"/>
    </w:p>
    <w:p>
      <w:pPr>
        <w:keepNext w:val="0"/>
        <w:keepLines w:val="0"/>
        <w:pageBreakBefore w:val="0"/>
        <w:widowControl w:val="0"/>
        <w:kinsoku/>
        <w:wordWrap/>
        <w:overflowPunct/>
        <w:topLinePunct w:val="0"/>
        <w:autoSpaceDE/>
        <w:autoSpaceDN/>
        <w:bidi w:val="0"/>
        <w:adjustRightInd/>
        <w:snapToGrid/>
        <w:spacing w:line="460" w:lineRule="exact"/>
        <w:ind w:firstLine="436" w:firstLineChars="200"/>
        <w:textAlignment w:val="auto"/>
        <w:rPr>
          <w:rFonts w:hint="eastAsia" w:ascii="宋体" w:hAnsi="宋体" w:cs="宋体"/>
          <w:b/>
          <w:bCs w:val="0"/>
          <w:color w:val="auto"/>
          <w:sz w:val="28"/>
          <w:szCs w:val="28"/>
          <w:highlight w:val="none"/>
          <w:lang w:val="en-US" w:eastAsia="zh-CN"/>
        </w:rPr>
      </w:pPr>
      <w:r>
        <w:rPr>
          <w:rFonts w:hint="eastAsia" w:ascii="宋体" w:hAnsi="宋体" w:eastAsia="宋体" w:cs="宋体"/>
          <w:bCs/>
          <w:color w:val="auto"/>
          <w:kern w:val="2"/>
          <w:sz w:val="21"/>
          <w:szCs w:val="21"/>
          <w:highlight w:val="none"/>
          <w:lang w:val="en-US" w:eastAsia="zh-CN" w:bidi="ar-SA"/>
        </w:rPr>
        <w:t>本次报价为人民币报价，</w:t>
      </w:r>
      <w:bookmarkEnd w:id="60"/>
      <w:r>
        <w:rPr>
          <w:rFonts w:hint="eastAsia" w:ascii="宋体" w:hAnsi="宋体" w:eastAsia="宋体" w:cs="宋体"/>
          <w:bCs/>
          <w:color w:val="auto"/>
          <w:kern w:val="2"/>
          <w:sz w:val="21"/>
          <w:szCs w:val="21"/>
          <w:highlight w:val="none"/>
          <w:lang w:val="en-US" w:eastAsia="zh-CN" w:bidi="ar-SA"/>
        </w:rPr>
        <w:t>投标报价应包括：</w:t>
      </w:r>
      <w:r>
        <w:rPr>
          <w:rFonts w:hint="eastAsia" w:ascii="宋体" w:hAnsi="宋体" w:cs="宋体"/>
          <w:bCs/>
          <w:color w:val="auto"/>
          <w:kern w:val="2"/>
          <w:sz w:val="21"/>
          <w:szCs w:val="21"/>
          <w:highlight w:val="none"/>
          <w:lang w:val="en-US" w:eastAsia="zh-CN" w:bidi="ar-SA"/>
        </w:rPr>
        <w:t>服务</w:t>
      </w:r>
      <w:r>
        <w:rPr>
          <w:rFonts w:hint="eastAsia" w:ascii="宋体" w:hAnsi="宋体" w:eastAsia="宋体" w:cs="宋体"/>
          <w:bCs/>
          <w:color w:val="auto"/>
          <w:kern w:val="2"/>
          <w:sz w:val="21"/>
          <w:szCs w:val="21"/>
          <w:highlight w:val="none"/>
          <w:lang w:val="en-US" w:eastAsia="zh-CN" w:bidi="ar-SA"/>
        </w:rPr>
        <w:t>本身价格、包装费、运输费用、二次搬运费、损耗、安装费、技术指导、税金费用、伴随服务过程中备件费、专用工具费、伴随产品资料费、技术服务费、技术考察费、自检费及验收合格前和质保期内发生的一切费用、应当提供的伴随服务/售后服务费用以及及招标文件要求的供应商需要支付的所有费用。因中标供应商自身原因造成漏报、少报皆由其自行承担责任，采购人不再补偿。</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val="en-US" w:eastAsia="zh-CN"/>
        </w:rPr>
        <w:t>质保要求</w:t>
      </w:r>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1、自验收合格之日起</w:t>
      </w:r>
      <w:r>
        <w:rPr>
          <w:rFonts w:hint="eastAsia" w:ascii="宋体" w:hAnsi="宋体" w:cs="宋体"/>
          <w:b/>
          <w:bCs w:val="0"/>
          <w:color w:val="auto"/>
          <w:szCs w:val="21"/>
          <w:highlight w:val="none"/>
          <w:lang w:val="en-US" w:eastAsia="zh-CN"/>
        </w:rPr>
        <w:t>质保2年</w:t>
      </w:r>
      <w:r>
        <w:rPr>
          <w:rFonts w:hint="eastAsia" w:ascii="宋体" w:hAnsi="宋体" w:eastAsia="宋体" w:cs="宋体"/>
          <w:b/>
          <w:bCs w:val="0"/>
          <w:color w:val="auto"/>
          <w:szCs w:val="21"/>
          <w:highlight w:val="none"/>
          <w:lang w:val="en-US" w:eastAsia="zh-CN"/>
        </w:rPr>
        <w:t>。</w:t>
      </w:r>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2、质量保证期过后，供应商和制造商应同样提供免费电话咨询服务，并应承诺提供产品维护服务。</w:t>
      </w:r>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3、质量保证期过后，采购人需要继续由原供应商和制造商提供售后服务的，该供应商和制造商应以优惠价格提供售后服务。</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）付款方式</w:t>
      </w:r>
    </w:p>
    <w:p>
      <w:pPr>
        <w:pStyle w:val="10"/>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按照实际服务内容，按季度付款。</w:t>
      </w:r>
    </w:p>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）知识产权</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）其他</w:t>
      </w:r>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1、投标人必须在投标文件中对以上条款和服务承诺明确列出，承诺内容必须达到本篇及招标文件其他条款的要求。</w:t>
      </w:r>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2、其他未尽事宜由供需双方在采购合同中详细约定。</w:t>
      </w:r>
      <w:bookmarkEnd w:id="56"/>
      <w:bookmarkStart w:id="61" w:name="_Toc469495740"/>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3、投标人在服务期必须遵守安全生产事项、如：发生安全事故由投标人承担一切责任。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464" w:firstLineChars="800"/>
        <w:jc w:val="both"/>
        <w:textAlignment w:val="auto"/>
        <w:outlineLvl w:val="1"/>
        <w:rPr>
          <w:rFonts w:hint="eastAsia" w:ascii="宋体"/>
          <w:b/>
          <w:color w:val="auto"/>
          <w:sz w:val="30"/>
          <w:szCs w:val="30"/>
          <w:highlight w:val="none"/>
        </w:rPr>
      </w:pPr>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 xml:space="preserve"> 合同条款及格式</w:t>
      </w:r>
      <w:bookmarkEnd w:id="61"/>
      <w:bookmarkStart w:id="62"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62"/>
    </w:p>
    <w:p>
      <w:pPr>
        <w:widowControl/>
        <w:numPr>
          <w:ilvl w:val="0"/>
          <w:numId w:val="11"/>
        </w:numPr>
        <w:shd w:val="clear" w:color="auto" w:fill="auto"/>
        <w:spacing w:line="600" w:lineRule="exact"/>
        <w:jc w:val="center"/>
        <w:textAlignment w:val="baseline"/>
        <w:outlineLvl w:val="1"/>
        <w:rPr>
          <w:rFonts w:hint="eastAsia" w:ascii="黑体" w:eastAsia="黑体"/>
          <w:b/>
          <w:color w:val="auto"/>
          <w:sz w:val="28"/>
          <w:szCs w:val="28"/>
          <w:highlight w:val="none"/>
        </w:rPr>
      </w:pPr>
      <w:r>
        <w:rPr>
          <w:rFonts w:hint="eastAsia" w:ascii="宋体"/>
          <w:b/>
          <w:color w:val="auto"/>
          <w:sz w:val="28"/>
          <w:szCs w:val="28"/>
          <w:highlight w:val="none"/>
        </w:rPr>
        <w:t xml:space="preserve"> </w:t>
      </w:r>
      <w:bookmarkStart w:id="63" w:name="_Toc469495741"/>
      <w:r>
        <w:rPr>
          <w:rFonts w:hint="eastAsia" w:ascii="宋体"/>
          <w:b/>
          <w:color w:val="auto"/>
          <w:sz w:val="28"/>
          <w:szCs w:val="28"/>
          <w:highlight w:val="none"/>
        </w:rPr>
        <w:t>合同协议书</w:t>
      </w:r>
      <w:bookmarkEnd w:id="63"/>
    </w:p>
    <w:p>
      <w:pPr>
        <w:shd w:val="clear" w:color="auto" w:fill="auto"/>
        <w:spacing w:line="360" w:lineRule="auto"/>
        <w:ind w:firstLine="496" w:firstLineChars="200"/>
        <w:jc w:val="both"/>
        <w:rPr>
          <w:rFonts w:hint="eastAsia"/>
          <w:color w:val="auto"/>
          <w:highlight w:val="none"/>
          <w:lang w:eastAsia="zh-CN"/>
        </w:rPr>
      </w:pPr>
      <w:r>
        <w:rPr>
          <w:rFonts w:hint="eastAsia" w:ascii="宋体"/>
          <w:color w:val="auto"/>
          <w:sz w:val="24"/>
          <w:highlight w:val="none"/>
          <w:lang w:val="en-US" w:eastAsia="zh-CN"/>
        </w:rPr>
        <w:t>合同名称 ：</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编号</w:t>
      </w:r>
      <w:r>
        <w:rPr>
          <w:rFonts w:hint="eastAsia" w:ascii="宋体"/>
          <w:color w:val="auto"/>
          <w:sz w:val="24"/>
          <w:highlight w:val="none"/>
          <w:lang w:eastAsia="zh-CN"/>
        </w:rPr>
        <w:t>：</w:t>
      </w:r>
    </w:p>
    <w:p>
      <w:pPr>
        <w:shd w:val="clear" w:color="auto" w:fill="auto"/>
        <w:spacing w:line="420" w:lineRule="exact"/>
        <w:ind w:firstLine="436" w:firstLineChars="200"/>
        <w:rPr>
          <w:rFonts w:hint="eastAsia" w:ascii="宋体" w:cs="宋体"/>
          <w:color w:val="auto"/>
          <w:szCs w:val="21"/>
          <w:highlight w:val="none"/>
        </w:rPr>
      </w:pPr>
      <w:bookmarkStart w:id="64" w:name="_Toc144974578"/>
      <w:bookmarkStart w:id="65" w:name="_Toc152045610"/>
      <w:bookmarkStart w:id="66" w:name="_Toc179632628"/>
      <w:bookmarkStart w:id="67" w:name="_Toc469495742"/>
      <w:bookmarkStart w:id="68" w:name="_Toc247085768"/>
      <w:bookmarkStart w:id="69" w:name="_Toc296602498"/>
      <w:bookmarkStart w:id="70" w:name="_Toc246996996"/>
      <w:bookmarkStart w:id="71" w:name="_Toc152042388"/>
      <w:bookmarkStart w:id="72" w:name="_Toc246996253"/>
      <w:r>
        <w:rPr>
          <w:rFonts w:hint="eastAsia" w:ascii="宋体" w:cs="宋体"/>
          <w:color w:val="auto"/>
          <w:szCs w:val="21"/>
          <w:highlight w:val="none"/>
        </w:rPr>
        <w:t>买    方：                                   卖    方：</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的规定，买卖双方同意按照下述的条款和条件，签署本合同。</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36"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36"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买  方：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卖  方：</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  称：（盖章）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名  称：（盖章）</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法定代表人（或委托代理人）： （签字） 法定代表人（或委托代理人）：（签字）                        </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地    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地    址：</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邮政编码：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邮政编码：</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电    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电    话：</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开户银行：</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帐    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帐    号：</w:t>
      </w:r>
    </w:p>
    <w:p>
      <w:pPr>
        <w:rPr>
          <w:rFonts w:hint="eastAsia"/>
          <w:color w:val="auto"/>
          <w:highlight w:val="none"/>
        </w:rPr>
      </w:pPr>
    </w:p>
    <w:p>
      <w:pPr>
        <w:pStyle w:val="12"/>
        <w:shd w:val="clear" w:color="auto" w:fill="auto"/>
        <w:spacing w:after="0" w:line="420" w:lineRule="exact"/>
        <w:ind w:left="0" w:leftChars="0" w:firstLine="576" w:firstLineChars="200"/>
        <w:jc w:val="center"/>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二  合同条款</w:t>
      </w:r>
      <w:bookmarkEnd w:id="64"/>
      <w:bookmarkEnd w:id="65"/>
      <w:bookmarkEnd w:id="66"/>
      <w:bookmarkEnd w:id="67"/>
      <w:bookmarkEnd w:id="68"/>
      <w:bookmarkEnd w:id="69"/>
      <w:bookmarkEnd w:id="70"/>
      <w:bookmarkEnd w:id="71"/>
      <w:bookmarkEnd w:id="72"/>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54"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6"/>
        <w:shd w:val="clear" w:color="auto" w:fill="auto"/>
        <w:tabs>
          <w:tab w:val="left" w:pos="900"/>
        </w:tabs>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6"/>
        <w:shd w:val="clear" w:color="auto" w:fill="auto"/>
        <w:tabs>
          <w:tab w:val="left" w:pos="900"/>
        </w:tabs>
        <w:spacing w:line="440" w:lineRule="exact"/>
        <w:ind w:firstLine="490"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pacing w:line="560" w:lineRule="exact"/>
        <w:ind w:firstLine="436" w:firstLineChars="200"/>
        <w:outlineLvl w:val="0"/>
        <w:rPr>
          <w:rFonts w:hint="eastAsia" w:ascii="宋体" w:hAnsi="宋体" w:eastAsia="宋体" w:cs="宋体"/>
          <w:b/>
          <w:color w:val="auto"/>
          <w:sz w:val="24"/>
          <w:highlight w:val="none"/>
        </w:rPr>
      </w:pPr>
      <w:r>
        <w:rPr>
          <w:rFonts w:hint="eastAsia" w:ascii="宋体" w:cs="宋体"/>
          <w:b/>
          <w:color w:val="auto"/>
          <w:szCs w:val="21"/>
          <w:highlight w:val="none"/>
        </w:rPr>
        <w:t xml:space="preserve">三. </w:t>
      </w:r>
      <w:r>
        <w:rPr>
          <w:rFonts w:hint="eastAsia" w:ascii="宋体" w:hAnsi="宋体" w:eastAsia="宋体" w:cs="宋体"/>
          <w:b/>
          <w:color w:val="auto"/>
          <w:sz w:val="24"/>
          <w:highlight w:val="none"/>
        </w:rPr>
        <w:t xml:space="preserve"> 检验和验收</w:t>
      </w:r>
    </w:p>
    <w:p>
      <w:pPr>
        <w:tabs>
          <w:tab w:val="left" w:pos="360"/>
          <w:tab w:val="left" w:pos="540"/>
          <w:tab w:val="left" w:pos="1080"/>
        </w:tabs>
        <w:spacing w:line="560" w:lineRule="exact"/>
        <w:ind w:firstLine="43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1服务交付前，乙方应对服务的质量、数量等方面进行详细、全面的检验，并向甲方出具证明服务符合合同约定的文件；服务交付时，乙方在合同专用条款约定时间内组织验收，并可依法邀请相关方参加，验收应出具验收书。</w:t>
      </w:r>
    </w:p>
    <w:p>
      <w:pPr>
        <w:tabs>
          <w:tab w:val="left" w:pos="360"/>
          <w:tab w:val="left" w:pos="540"/>
          <w:tab w:val="left" w:pos="1080"/>
        </w:tabs>
        <w:spacing w:line="560" w:lineRule="exact"/>
        <w:ind w:firstLine="43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3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3 检验和验收标准、程序等具体内容以及前述验收书的效力详见合同专用条款。</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 xml:space="preserve">、对标的物提出异议的时间和办法 </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ind w:firstLine="218"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合同价款和支付</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6"/>
        <w:shd w:val="clear" w:color="auto" w:fill="auto"/>
        <w:tabs>
          <w:tab w:val="left" w:pos="540"/>
        </w:tabs>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keepNext w:val="0"/>
        <w:keepLines w:val="0"/>
        <w:pageBreakBefore w:val="0"/>
        <w:kinsoku/>
        <w:wordWrap/>
        <w:overflowPunct/>
        <w:topLinePunct w:val="0"/>
        <w:bidi w:val="0"/>
        <w:spacing w:line="400" w:lineRule="exact"/>
        <w:ind w:firstLine="496" w:firstLineChars="20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val="en-US" w:eastAsia="zh-CN" w:bidi="ar"/>
        </w:rPr>
        <w:t>、违约责任：</w:t>
      </w:r>
    </w:p>
    <w:p>
      <w:pPr>
        <w:keepNext w:val="0"/>
        <w:keepLines w:val="0"/>
        <w:pageBreakBefore w:val="0"/>
        <w:kinsoku/>
        <w:wordWrap/>
        <w:overflowPunct/>
        <w:topLinePunct w:val="0"/>
        <w:bidi w:val="0"/>
        <w:spacing w:line="400" w:lineRule="exact"/>
        <w:ind w:firstLine="436" w:firstLineChars="20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cs="宋体"/>
          <w:color w:val="auto"/>
          <w:kern w:val="0"/>
          <w:sz w:val="21"/>
          <w:szCs w:val="21"/>
          <w:highlight w:val="none"/>
          <w:u w:val="none" w:color="000000"/>
          <w:lang w:val="en-US" w:eastAsia="zh-CN" w:bidi="ar-SA"/>
        </w:rPr>
        <w:t>供应商</w:t>
      </w:r>
      <w:r>
        <w:rPr>
          <w:rFonts w:hint="eastAsia" w:ascii="宋体" w:hAnsi="Times New Roman" w:eastAsia="宋体" w:cs="宋体"/>
          <w:color w:val="auto"/>
          <w:kern w:val="0"/>
          <w:sz w:val="21"/>
          <w:szCs w:val="21"/>
          <w:highlight w:val="none"/>
          <w:u w:val="none" w:color="000000"/>
          <w:lang w:val="en-US" w:eastAsia="zh-CN" w:bidi="ar-SA"/>
        </w:rPr>
        <w:t>在工作时有下列行为，采购人将采取终止合同、列入黑名单及拒绝支付审计费用等处理处罚措施，涉嫌犯罪的，移送司法机关依法追究责任：</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(1)将受托业务转包或分包给其他中介机构或个人；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(2)未按委托要求实施程序导致应发现问题而未发现，或故意隐瞒存在问题；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(3)全过程服务工作存在严重质量问题；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(4)拒绝接受委托方监督、检查、指导；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(5)索取、收受委托合同约定以外的酬金或者其他财物，或者利用执行业务之便，谋取其他不正当的利益；</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(6)泄露国家秘密、公安工作秘密和相关单位商业秘密；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cs="宋体"/>
          <w:b/>
          <w:color w:val="auto"/>
          <w:szCs w:val="21"/>
          <w:highlight w:val="none"/>
        </w:rPr>
      </w:pPr>
      <w:r>
        <w:rPr>
          <w:rFonts w:hint="eastAsia" w:ascii="宋体" w:hAnsi="Times New Roman" w:eastAsia="宋体" w:cs="宋体"/>
          <w:color w:val="auto"/>
          <w:kern w:val="0"/>
          <w:sz w:val="21"/>
          <w:szCs w:val="21"/>
          <w:highlight w:val="none"/>
          <w:u w:val="none" w:color="000000"/>
          <w:lang w:val="en-US" w:eastAsia="zh-CN" w:bidi="ar-SA"/>
        </w:rPr>
        <w:t>(7)其他违反执业规范和执业道德及违法违纪行为。</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、索赔</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、履约保证金</w:t>
      </w:r>
    </w:p>
    <w:p>
      <w:pPr>
        <w:spacing w:line="560" w:lineRule="exact"/>
        <w:ind w:firstLine="43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（1）采购文件要求乙方提交履约保证金的，乙方应按合同专用条款约定的方式，以电汇、转账、网银汇款</w:t>
      </w:r>
      <w:r>
        <w:rPr>
          <w:rFonts w:hint="eastAsia" w:ascii="宋体" w:cs="宋体"/>
          <w:color w:val="auto"/>
          <w:kern w:val="0"/>
          <w:sz w:val="21"/>
          <w:szCs w:val="21"/>
          <w:highlight w:val="none"/>
          <w:u w:val="none" w:color="000000"/>
          <w:lang w:val="en-US" w:eastAsia="zh-CN" w:bidi="ar-SA"/>
        </w:rPr>
        <w:t>、保函</w:t>
      </w:r>
      <w:r>
        <w:rPr>
          <w:rFonts w:hint="eastAsia" w:ascii="宋体" w:hAnsi="Times New Roman" w:eastAsia="宋体" w:cs="宋体"/>
          <w:color w:val="auto"/>
          <w:kern w:val="0"/>
          <w:sz w:val="21"/>
          <w:szCs w:val="21"/>
          <w:highlight w:val="none"/>
          <w:u w:val="none" w:color="000000"/>
          <w:lang w:val="en-US" w:eastAsia="zh-CN" w:bidi="ar-SA"/>
        </w:rPr>
        <w:t>等非现金形式，提交合同价10%的履约保证金；</w:t>
      </w:r>
    </w:p>
    <w:p>
      <w:pPr>
        <w:spacing w:line="560" w:lineRule="exact"/>
        <w:ind w:firstLine="43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（2）履约保证金在合同专用条款约定期间内或者服务质量保证期内不予退还或者应完全有效，前述约定期间届满或者服务质量保证期届满之日起 5 个工作日内，甲方应将履约保证金退还乙方；</w:t>
      </w:r>
    </w:p>
    <w:p>
      <w:pPr>
        <w:shd w:val="clear" w:color="auto" w:fill="auto"/>
        <w:spacing w:line="440" w:lineRule="exact"/>
        <w:rPr>
          <w:rFonts w:hint="eastAsia" w:ascii="宋体" w:cs="宋体"/>
          <w:b/>
          <w:color w:val="auto"/>
          <w:szCs w:val="21"/>
          <w:highlight w:val="none"/>
        </w:rPr>
      </w:pP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、合同的解除</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、合同的转让</w:t>
      </w:r>
    </w:p>
    <w:p>
      <w:pPr>
        <w:shd w:val="clear" w:color="auto" w:fill="auto"/>
        <w:spacing w:line="440" w:lineRule="exact"/>
        <w:rPr>
          <w:rFonts w:hint="eastAsia" w:ascii="宋体" w:cs="宋体"/>
          <w:b/>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、合同的生效</w:t>
      </w:r>
    </w:p>
    <w:p>
      <w:pPr>
        <w:shd w:val="clear" w:color="auto" w:fill="auto"/>
        <w:spacing w:line="440" w:lineRule="exact"/>
        <w:ind w:firstLine="603"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8"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、争议解决</w:t>
      </w:r>
    </w:p>
    <w:p>
      <w:pPr>
        <w:pStyle w:val="6"/>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6"/>
        <w:shd w:val="clear" w:color="auto" w:fill="auto"/>
        <w:tabs>
          <w:tab w:val="left" w:pos="900"/>
        </w:tabs>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8"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218" w:firstLineChars="100"/>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、未尽事宜</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》、《中华人民共和国产品质量法》之规定解释。</w:t>
      </w:r>
    </w:p>
    <w:p>
      <w:pPr>
        <w:pStyle w:val="12"/>
        <w:shd w:val="clear" w:color="auto" w:fill="auto"/>
        <w:spacing w:after="0" w:line="400" w:lineRule="exact"/>
        <w:ind w:left="0" w:leftChars="0" w:firstLine="496" w:firstLineChars="200"/>
        <w:rPr>
          <w:rFonts w:hint="eastAsia"/>
          <w:color w:val="auto"/>
          <w:kern w:val="0"/>
          <w:sz w:val="24"/>
          <w:szCs w:val="20"/>
          <w:highlight w:val="none"/>
          <w:u w:val="none" w:color="000000"/>
        </w:rPr>
      </w:pPr>
    </w:p>
    <w:p>
      <w:pPr>
        <w:pageBreakBefore/>
        <w:shd w:val="clear" w:color="auto" w:fill="auto"/>
        <w:jc w:val="center"/>
        <w:outlineLvl w:val="0"/>
        <w:rPr>
          <w:rFonts w:hint="eastAsia" w:ascii="宋体"/>
          <w:b/>
          <w:color w:val="auto"/>
          <w:sz w:val="30"/>
          <w:szCs w:val="30"/>
          <w:highlight w:val="none"/>
        </w:rPr>
      </w:pPr>
      <w:bookmarkStart w:id="73" w:name="_Toc469495743"/>
      <w:r>
        <w:rPr>
          <w:rFonts w:hint="eastAsia" w:ascii="宋体"/>
          <w:b/>
          <w:color w:val="auto"/>
          <w:sz w:val="30"/>
          <w:szCs w:val="30"/>
          <w:highlight w:val="none"/>
        </w:rPr>
        <w:t>第六章  投标文件格式</w:t>
      </w:r>
      <w:bookmarkEnd w:id="73"/>
    </w:p>
    <w:p>
      <w:pPr>
        <w:shd w:val="clear" w:color="auto" w:fill="auto"/>
        <w:spacing w:line="240" w:lineRule="atLeast"/>
        <w:ind w:left="763" w:leftChars="350" w:firstLine="124" w:firstLineChars="50"/>
        <w:rPr>
          <w:rFonts w:hint="eastAsia" w:ascii="仿宋" w:hAnsi="仿宋" w:eastAsia="仿宋" w:cs="仿宋"/>
          <w:color w:val="auto"/>
          <w:sz w:val="24"/>
          <w:highlight w:val="none"/>
        </w:rPr>
      </w:pPr>
    </w:p>
    <w:p>
      <w:pPr>
        <w:pStyle w:val="2"/>
        <w:numPr>
          <w:ilvl w:val="0"/>
          <w:numId w:val="0"/>
        </w:numPr>
        <w:shd w:val="clear" w:color="auto" w:fill="auto"/>
        <w:spacing w:before="0" w:line="240" w:lineRule="atLeast"/>
        <w:rPr>
          <w:rFonts w:hint="eastAsia" w:ascii="宋体" w:hAnsi="宋体" w:eastAsia="宋体" w:cs="宋体"/>
          <w:color w:val="auto"/>
          <w:sz w:val="24"/>
          <w:highlight w:val="none"/>
        </w:rPr>
      </w:pPr>
      <w:bookmarkStart w:id="74" w:name="_Toc8919"/>
      <w:bookmarkStart w:id="75" w:name="_Toc515647803"/>
      <w:bookmarkStart w:id="76" w:name="_Toc18694"/>
      <w:bookmarkStart w:id="77" w:name="_Toc18974"/>
      <w:r>
        <w:rPr>
          <w:rFonts w:hint="eastAsia" w:ascii="宋体" w:hAnsi="宋体" w:eastAsia="宋体" w:cs="宋体"/>
          <w:b/>
          <w:bCs/>
          <w:color w:val="auto"/>
          <w:sz w:val="24"/>
          <w:highlight w:val="none"/>
        </w:rPr>
        <w:t>第一部分 资格证明文件</w:t>
      </w:r>
      <w:bookmarkEnd w:id="74"/>
      <w:bookmarkEnd w:id="75"/>
      <w:bookmarkEnd w:id="76"/>
      <w:bookmarkEnd w:id="77"/>
    </w:p>
    <w:p>
      <w:pPr>
        <w:shd w:val="clear" w:color="auto" w:fill="auto"/>
        <w:spacing w:line="240" w:lineRule="atLeast"/>
        <w:ind w:left="708" w:hanging="731" w:hangingChars="295"/>
        <w:jc w:val="center"/>
        <w:rPr>
          <w:rFonts w:hint="eastAsia" w:ascii="宋体" w:hAnsi="宋体" w:eastAsia="宋体" w:cs="宋体"/>
          <w:color w:val="auto"/>
          <w:sz w:val="24"/>
          <w:highlight w:val="none"/>
        </w:rPr>
      </w:pP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r>
        <w:rPr>
          <w:rFonts w:hint="eastAsia" w:ascii="宋体" w:hAnsi="宋体" w:cs="Times New Roman"/>
          <w:color w:val="auto"/>
          <w:szCs w:val="21"/>
          <w:highlight w:val="none"/>
          <w:lang w:val="en-US" w:eastAsia="zh-CN"/>
        </w:rPr>
        <w:t>；</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r>
        <w:rPr>
          <w:rFonts w:hint="eastAsia" w:ascii="宋体" w:hAnsi="宋体" w:cs="Times New Roman"/>
          <w:color w:val="auto"/>
          <w:szCs w:val="21"/>
          <w:highlight w:val="none"/>
          <w:lang w:val="en-US" w:eastAsia="zh-CN"/>
        </w:rPr>
        <w:t>；</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4、投标保证金汇款凭证和保证金收据或保函等票据；</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5、投标企业须提供投标人（被授权在职人员）近3个月有效的社保证明；</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6、参加政府采购活动前3年内在经营活动中没有重大违法记录的书面声明;</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eastAsia" w:ascii="宋体" w:hAnsi="宋体" w:cs="Times New Roman"/>
          <w:color w:val="auto"/>
          <w:szCs w:val="21"/>
          <w:highlight w:val="none"/>
          <w:lang w:val="en-US" w:eastAsia="zh-CN"/>
        </w:rPr>
        <w:t>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、投标人须知资料表要求的其他资格证明文件;</w:t>
      </w: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rPr>
          <w:rFonts w:hint="eastAsia"/>
          <w:color w:val="auto"/>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pStyle w:val="2"/>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lang w:val="en-US" w:eastAsia="zh-CN"/>
        </w:rPr>
      </w:pPr>
      <w:bookmarkStart w:id="78" w:name="_Toc515647805"/>
      <w:bookmarkStart w:id="79" w:name="_Toc17577"/>
      <w:bookmarkStart w:id="80" w:name="_Toc29899"/>
      <w:bookmarkStart w:id="81" w:name="_Toc4844"/>
      <w:bookmarkStart w:id="82" w:name="_Ref467988698"/>
      <w:bookmarkStart w:id="83" w:name="_Toc480942349"/>
      <w:bookmarkStart w:id="84" w:name="_Toc216582813"/>
      <w:bookmarkStart w:id="85" w:name="_Toc520356217"/>
    </w:p>
    <w:p>
      <w:pPr>
        <w:rPr>
          <w:rFonts w:hint="eastAsia"/>
          <w:color w:val="auto"/>
          <w:highlight w:val="none"/>
          <w:lang w:val="en-US" w:eastAsia="zh-CN"/>
        </w:rPr>
      </w:pPr>
    </w:p>
    <w:p>
      <w:pPr>
        <w:pStyle w:val="4"/>
        <w:rPr>
          <w:rFonts w:hint="eastAsia"/>
          <w:color w:val="auto"/>
          <w:highlight w:val="none"/>
          <w:lang w:val="en-US" w:eastAsia="zh-CN"/>
        </w:rPr>
      </w:pPr>
    </w:p>
    <w:p>
      <w:pPr>
        <w:pStyle w:val="2"/>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 xml:space="preserve"> 法人或者非法人组织的营业执照等证明文件</w:t>
      </w:r>
      <w:bookmarkEnd w:id="78"/>
      <w:bookmarkStart w:id="86" w:name="_Toc515647806"/>
      <w:r>
        <w:rPr>
          <w:rFonts w:hint="eastAsia" w:ascii="宋体" w:hAnsi="宋体" w:eastAsia="宋体" w:cs="宋体"/>
          <w:b/>
          <w:bCs/>
          <w:color w:val="auto"/>
          <w:sz w:val="24"/>
          <w:highlight w:val="none"/>
        </w:rPr>
        <w:t>或自然人的身份证明</w:t>
      </w:r>
      <w:bookmarkEnd w:id="79"/>
      <w:bookmarkEnd w:id="80"/>
      <w:bookmarkEnd w:id="81"/>
      <w:bookmarkEnd w:id="86"/>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jc w:val="both"/>
        <w:rPr>
          <w:rFonts w:hint="eastAsia" w:ascii="宋体" w:hAnsi="宋体" w:eastAsia="宋体" w:cs="宋体"/>
          <w:b/>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b/>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b/>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说明：1.提供有效的营业执照等证明文件复印件，复印件上应加盖本单位章。</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投标人为自然人的，应提供身份证明的复印件。</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100" w:leftChars="257" w:hanging="540"/>
        <w:jc w:val="center"/>
        <w:rPr>
          <w:rFonts w:hint="eastAsia" w:ascii="宋体" w:hAnsi="宋体" w:eastAsia="宋体" w:cs="宋体"/>
          <w:color w:val="auto"/>
          <w:sz w:val="24"/>
          <w:highlight w:val="none"/>
        </w:rPr>
      </w:pPr>
      <w:bookmarkStart w:id="87" w:name="_Toc515647808"/>
      <w:bookmarkStart w:id="88" w:name="_Toc7039"/>
      <w:bookmarkStart w:id="89" w:name="_Toc32520"/>
    </w:p>
    <w:p>
      <w:pPr>
        <w:pStyle w:val="2"/>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90" w:name="_Toc23503"/>
      <w:bookmarkStart w:id="91" w:name="_Toc1083"/>
      <w:bookmarkStart w:id="92" w:name="_Toc22472"/>
      <w:bookmarkStart w:id="93" w:name="_Toc515647807"/>
    </w:p>
    <w:p>
      <w:pPr>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2"/>
        <w:numPr>
          <w:ilvl w:val="0"/>
          <w:numId w:val="0"/>
        </w:numPr>
        <w:shd w:val="clear" w:color="auto" w:fill="auto"/>
        <w:spacing w:before="0" w:line="240" w:lineRule="atLeast"/>
        <w:jc w:val="center"/>
        <w:rPr>
          <w:rFonts w:hint="eastAsia" w:ascii="宋体" w:hAnsi="宋体" w:eastAsia="宋体" w:cs="宋体"/>
          <w:b w:val="0"/>
          <w:color w:val="auto"/>
          <w:sz w:val="24"/>
          <w:highlight w:val="none"/>
          <w:u w:val="single"/>
        </w:rPr>
      </w:pPr>
      <w:bookmarkStart w:id="94" w:name="_Toc30244"/>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w:t>
      </w:r>
    </w:p>
    <w:p>
      <w:pPr>
        <w:adjustRightInd w:val="0"/>
        <w:snapToGrid w:val="0"/>
        <w:spacing w:before="240" w:beforeLines="100" w:after="240" w:afterLines="100"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                  单位：           （盖章）</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1、法定代表人为企业事业单位、国家机关、社会团体的主要行政负责人。</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2、内容必须填写真实、清楚、涂改无效，不得转让。</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3、将此证明书原件提交采购代理机构作为投标文件附件。</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wXx41gAAAAgBAAAPAAAAAAAAAAEAIAAAACIAAABkcnMvZG93bnJldi54bWxQSwECFAAUAAAA&#10;CACHTuJAcS+LcykCAABSBAAADgAAAAAAAAABACAAAAAl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1" name="流程图: 可选过程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Ae/ppikCAABS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oTxGHYAAAACQEAAA8AAAAAAAAAAQAgAAAAIgAAAGRycy9kb3ducmV2LnhtbFBLAQIUABQA&#10;AAAIAIdO4kAB7+mmKQIAAFIEAAAOAAAAAAAAAAEAIAAAACcBAABkcnMvZTJvRG9jLnhtbFBLBQYA&#10;AAAABgAGAFkBAAD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810" w:firstLineChars="327"/>
        <w:rPr>
          <w:rFonts w:hint="eastAsia" w:ascii="宋体" w:hAnsi="宋体" w:eastAsia="宋体" w:cs="宋体"/>
          <w:color w:val="auto"/>
          <w:kern w:val="0"/>
          <w:sz w:val="24"/>
          <w:szCs w:val="24"/>
          <w:highlight w:val="none"/>
        </w:rPr>
      </w:pPr>
    </w:p>
    <w:p>
      <w:pPr>
        <w:pStyle w:val="14"/>
        <w:shd w:val="clear" w:color="auto" w:fill="auto"/>
        <w:tabs>
          <w:tab w:val="left" w:pos="5580"/>
        </w:tabs>
        <w:spacing w:line="240" w:lineRule="atLeast"/>
        <w:ind w:firstLine="49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4"/>
        <w:shd w:val="clear" w:color="auto" w:fill="auto"/>
        <w:tabs>
          <w:tab w:val="left" w:pos="5580"/>
        </w:tabs>
        <w:spacing w:line="240" w:lineRule="atLeast"/>
        <w:ind w:firstLine="49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96"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50"/>
        <w:rPr>
          <w:rFonts w:hint="eastAsia" w:ascii="宋体" w:hAnsi="宋体" w:eastAsia="宋体" w:cs="宋体"/>
          <w:b/>
          <w:color w:val="auto"/>
          <w:sz w:val="28"/>
          <w:szCs w:val="28"/>
          <w:highlight w:val="none"/>
        </w:rPr>
      </w:pPr>
    </w:p>
    <w:p>
      <w:pPr>
        <w:pStyle w:val="50"/>
        <w:rPr>
          <w:rFonts w:hint="eastAsia" w:ascii="宋体" w:hAnsi="宋体" w:eastAsia="宋体" w:cs="宋体"/>
          <w:b/>
          <w:color w:val="auto"/>
          <w:sz w:val="28"/>
          <w:szCs w:val="28"/>
          <w:highlight w:val="none"/>
        </w:rPr>
      </w:pPr>
    </w:p>
    <w:p>
      <w:pPr>
        <w:pStyle w:val="50"/>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pStyle w:val="2"/>
        <w:numPr>
          <w:ilvl w:val="0"/>
          <w:numId w:val="0"/>
        </w:numPr>
        <w:shd w:val="clear" w:color="auto" w:fill="auto"/>
        <w:spacing w:before="0" w:line="240" w:lineRule="atLeast"/>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w:t>
      </w:r>
      <w:bookmarkEnd w:id="90"/>
      <w:bookmarkEnd w:id="91"/>
      <w:bookmarkEnd w:id="92"/>
      <w:bookmarkEnd w:id="93"/>
      <w:bookmarkEnd w:id="94"/>
    </w:p>
    <w:p>
      <w:pPr>
        <w:pStyle w:val="14"/>
        <w:shd w:val="clear" w:color="auto" w:fill="auto"/>
        <w:spacing w:line="240" w:lineRule="atLeast"/>
        <w:ind w:left="110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14"/>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2"/>
          <w:szCs w:val="18"/>
          <w:highlight w:val="none"/>
        </w:rPr>
        <w:t>本授权书声明</w:t>
      </w:r>
      <w:r>
        <w:rPr>
          <w:rFonts w:hint="eastAsia" w:ascii="宋体" w:hAnsi="宋体" w:eastAsia="宋体" w:cs="宋体"/>
          <w:i w:val="0"/>
          <w:iCs w:val="0"/>
          <w:color w:val="auto"/>
          <w:sz w:val="22"/>
          <w:szCs w:val="18"/>
          <w:highlight w:val="none"/>
        </w:rPr>
        <w:t>：注册于</w:t>
      </w:r>
      <w:r>
        <w:rPr>
          <w:rFonts w:hint="eastAsia" w:ascii="宋体" w:hAnsi="宋体" w:eastAsia="宋体" w:cs="宋体"/>
          <w:i w:val="0"/>
          <w:iCs w:val="0"/>
          <w:color w:val="auto"/>
          <w:sz w:val="22"/>
          <w:szCs w:val="18"/>
          <w:highlight w:val="none"/>
          <w:u w:val="single"/>
        </w:rPr>
        <w:t>（国家或地区的名称）</w:t>
      </w:r>
      <w:r>
        <w:rPr>
          <w:rFonts w:hint="eastAsia" w:ascii="宋体" w:hAnsi="宋体" w:eastAsia="宋体" w:cs="宋体"/>
          <w:i w:val="0"/>
          <w:iCs w:val="0"/>
          <w:color w:val="auto"/>
          <w:sz w:val="22"/>
          <w:szCs w:val="18"/>
          <w:highlight w:val="none"/>
        </w:rPr>
        <w:t>的（</w:t>
      </w:r>
      <w:r>
        <w:rPr>
          <w:rFonts w:hint="eastAsia" w:ascii="宋体" w:hAnsi="宋体" w:eastAsia="宋体" w:cs="宋体"/>
          <w:i w:val="0"/>
          <w:iCs w:val="0"/>
          <w:color w:val="auto"/>
          <w:sz w:val="22"/>
          <w:szCs w:val="18"/>
          <w:highlight w:val="none"/>
          <w:u w:val="single"/>
        </w:rPr>
        <w:t>投标人</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法人代表姓名、职务</w:t>
      </w:r>
      <w:r>
        <w:rPr>
          <w:rFonts w:hint="eastAsia" w:ascii="宋体" w:hAnsi="宋体" w:eastAsia="宋体" w:cs="宋体"/>
          <w:i w:val="0"/>
          <w:iCs w:val="0"/>
          <w:color w:val="auto"/>
          <w:sz w:val="22"/>
          <w:szCs w:val="18"/>
          <w:highlight w:val="none"/>
        </w:rPr>
        <w:t>）代表我单位授权（</w:t>
      </w:r>
      <w:r>
        <w:rPr>
          <w:rFonts w:hint="eastAsia" w:ascii="宋体" w:hAnsi="宋体" w:eastAsia="宋体" w:cs="宋体"/>
          <w:i w:val="0"/>
          <w:iCs w:val="0"/>
          <w:color w:val="auto"/>
          <w:sz w:val="22"/>
          <w:szCs w:val="18"/>
          <w:highlight w:val="none"/>
          <w:u w:val="single"/>
        </w:rPr>
        <w:t>单位名称</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被授权人的姓名、职务</w:t>
      </w:r>
      <w:r>
        <w:rPr>
          <w:rFonts w:hint="eastAsia" w:ascii="宋体" w:hAnsi="宋体" w:eastAsia="宋体" w:cs="宋体"/>
          <w:i w:val="0"/>
          <w:iCs w:val="0"/>
          <w:color w:val="auto"/>
          <w:sz w:val="22"/>
          <w:szCs w:val="18"/>
          <w:highlight w:val="none"/>
        </w:rPr>
        <w:t>）</w:t>
      </w:r>
      <w:r>
        <w:rPr>
          <w:rFonts w:hint="eastAsia" w:ascii="宋体" w:hAnsi="宋体" w:eastAsia="宋体" w:cs="宋体"/>
          <w:color w:val="auto"/>
          <w:sz w:val="22"/>
          <w:szCs w:val="18"/>
          <w:highlight w:val="none"/>
        </w:rPr>
        <w:t>为我单位的合法代理人，</w:t>
      </w:r>
      <w:r>
        <w:rPr>
          <w:rFonts w:hint="eastAsia" w:ascii="宋体" w:hAnsi="宋体" w:eastAsia="宋体" w:cs="宋体"/>
          <w:i w:val="0"/>
          <w:iCs w:val="0"/>
          <w:color w:val="auto"/>
          <w:sz w:val="22"/>
          <w:szCs w:val="18"/>
          <w:highlight w:val="none"/>
        </w:rPr>
        <w:t>就（</w:t>
      </w:r>
      <w:r>
        <w:rPr>
          <w:rFonts w:hint="eastAsia" w:ascii="宋体" w:hAnsi="宋体" w:eastAsia="宋体" w:cs="宋体"/>
          <w:i w:val="0"/>
          <w:iCs w:val="0"/>
          <w:color w:val="auto"/>
          <w:sz w:val="22"/>
          <w:szCs w:val="18"/>
          <w:highlight w:val="none"/>
          <w:u w:val="single"/>
        </w:rPr>
        <w:t>项目名称</w:t>
      </w:r>
      <w:r>
        <w:rPr>
          <w:rFonts w:hint="eastAsia" w:ascii="宋体" w:hAnsi="宋体" w:eastAsia="宋体" w:cs="宋体"/>
          <w:color w:val="auto"/>
          <w:sz w:val="22"/>
          <w:szCs w:val="18"/>
          <w:highlight w:val="none"/>
        </w:rPr>
        <w:t>）投标，以我单位名义处理一切与之有关的事务。</w:t>
      </w:r>
      <w:r>
        <w:rPr>
          <w:rFonts w:hint="eastAsia" w:ascii="宋体" w:hAnsi="宋体" w:eastAsia="宋体" w:cs="宋体"/>
          <w:color w:val="auto"/>
          <w:sz w:val="22"/>
          <w:szCs w:val="18"/>
          <w:highlight w:val="none"/>
        </w:rPr>
        <w:cr/>
      </w:r>
      <w:r>
        <w:rPr>
          <w:rFonts w:hint="eastAsia" w:ascii="宋体" w:hAnsi="宋体" w:eastAsia="宋体" w:cs="宋体"/>
          <w:color w:val="auto"/>
          <w:sz w:val="22"/>
          <w:szCs w:val="18"/>
          <w:highlight w:val="none"/>
        </w:rPr>
        <w:t>　　本授权书于</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年</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月</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日签字生效,特此声明。</w:t>
      </w:r>
      <w:r>
        <w:rPr>
          <w:rFonts w:hint="eastAsia" w:ascii="宋体" w:hAnsi="宋体" w:eastAsia="宋体" w:cs="宋体"/>
          <w:color w:val="auto"/>
          <w:sz w:val="24"/>
          <w:highlight w:val="none"/>
        </w:rPr>
        <w:cr/>
      </w:r>
    </w:p>
    <w:p>
      <w:pPr>
        <w:pStyle w:val="14"/>
        <w:shd w:val="clear" w:color="auto" w:fill="auto"/>
        <w:tabs>
          <w:tab w:val="left" w:pos="5580"/>
        </w:tabs>
        <w:spacing w:line="240" w:lineRule="atLeast"/>
        <w:ind w:left="-560" w:leftChars="-257" w:firstLine="930"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jc w:val="center"/>
                              <w:rPr>
                                <w:rFonts w:hint="eastAsia" w:hAnsi="宋体"/>
                              </w:rP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int="eastAsia" w:hAnsi="宋体"/>
                        </w:rPr>
                      </w:pPr>
                    </w:p>
                    <w:p>
                      <w:pPr>
                        <w:rPr>
                          <w:rFonts w:hint="eastAsia" w:hAnsi="宋体"/>
                        </w:rPr>
                      </w:pPr>
                    </w:p>
                    <w:p>
                      <w:pPr>
                        <w:jc w:val="center"/>
                        <w:rPr>
                          <w:rFonts w:hint="eastAsia" w:hAnsi="宋体"/>
                        </w:rP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pPr>
                              <w:jc w:val="center"/>
                              <w:rPr>
                                <w:rFonts w:hint="eastAsia"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pPr>
                        <w:jc w:val="center"/>
                        <w:rPr>
                          <w:rFonts w:hint="eastAsia" w:hAnsi="宋体"/>
                        </w:rPr>
                      </w:pPr>
                    </w:p>
                  </w:txbxContent>
                </v:textbox>
              </v:shape>
            </w:pict>
          </mc:Fallback>
        </mc:AlternateContent>
      </w: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授权委托人身份证复印件反面</w:t>
                            </w:r>
                          </w:p>
                          <w:p>
                            <w:pPr>
                              <w:jc w:val="center"/>
                            </w:pPr>
                          </w:p>
                          <w:p/>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授权委托人身份证复印件反面</w:t>
                      </w:r>
                    </w:p>
                    <w:p>
                      <w:pPr>
                        <w:jc w:val="center"/>
                      </w:pP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p>
                            <w:pPr>
                              <w:jc w:val="center"/>
                              <w:rPr>
                                <w:rFonts w:hint="eastAsia" w:hAnsi="宋体"/>
                              </w:rPr>
                            </w:pPr>
                          </w:p>
                          <w:p/>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p>
                      <w:pPr>
                        <w:jc w:val="center"/>
                        <w:rPr>
                          <w:rFonts w:hint="eastAsia" w:hAnsi="宋体"/>
                        </w:rPr>
                      </w:pPr>
                    </w:p>
                    <w:p/>
                  </w:txbxContent>
                </v:textbox>
              </v:roundrect>
            </w:pict>
          </mc:Fallback>
        </mc:AlternateContent>
      </w: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560" w:leftChars="-257" w:firstLine="930" w:firstLineChars="375"/>
        <w:rPr>
          <w:rFonts w:hint="eastAsia" w:ascii="宋体" w:hAnsi="宋体" w:eastAsia="宋体" w:cs="宋体"/>
          <w:color w:val="auto"/>
          <w:sz w:val="24"/>
          <w:highlight w:val="none"/>
        </w:rPr>
      </w:pPr>
    </w:p>
    <w:p>
      <w:pPr>
        <w:pStyle w:val="14"/>
        <w:shd w:val="clear" w:color="auto" w:fill="auto"/>
        <w:tabs>
          <w:tab w:val="left" w:pos="5580"/>
        </w:tabs>
        <w:spacing w:line="240" w:lineRule="atLeast"/>
        <w:ind w:left="-560" w:leftChars="-257" w:firstLine="930" w:firstLineChars="375"/>
        <w:rPr>
          <w:rFonts w:hint="eastAsia" w:ascii="宋体" w:hAnsi="宋体" w:eastAsia="宋体" w:cs="宋体"/>
          <w:color w:val="auto"/>
          <w:sz w:val="24"/>
          <w:highlight w:val="none"/>
        </w:rPr>
      </w:pPr>
    </w:p>
    <w:p>
      <w:pPr>
        <w:pStyle w:val="14"/>
        <w:shd w:val="clear" w:color="auto" w:fill="auto"/>
        <w:tabs>
          <w:tab w:val="left" w:pos="5580"/>
        </w:tabs>
        <w:spacing w:line="240" w:lineRule="atLeast"/>
        <w:ind w:firstLine="45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 xml:space="preserve">                           </w:t>
      </w:r>
    </w:p>
    <w:p>
      <w:pPr>
        <w:pStyle w:val="14"/>
        <w:shd w:val="clear" w:color="auto" w:fill="auto"/>
        <w:tabs>
          <w:tab w:val="left" w:pos="5580"/>
        </w:tabs>
        <w:spacing w:line="240" w:lineRule="atLeast"/>
        <w:ind w:firstLine="456" w:firstLineChars="20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法定代表人（签字或签章）：</w:t>
      </w:r>
      <w:r>
        <w:rPr>
          <w:rFonts w:hint="eastAsia" w:ascii="宋体" w:hAnsi="宋体" w:eastAsia="宋体" w:cs="宋体"/>
          <w:color w:val="auto"/>
          <w:sz w:val="22"/>
          <w:szCs w:val="18"/>
          <w:highlight w:val="none"/>
          <w:u w:val="single"/>
        </w:rPr>
        <w:t xml:space="preserve">                     </w:t>
      </w:r>
    </w:p>
    <w:p>
      <w:pPr>
        <w:pStyle w:val="14"/>
        <w:shd w:val="clear" w:color="auto" w:fill="auto"/>
        <w:tabs>
          <w:tab w:val="left" w:pos="5580"/>
        </w:tabs>
        <w:spacing w:line="240" w:lineRule="atLeast"/>
        <w:ind w:firstLine="45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委托代理人：</w:t>
      </w:r>
      <w:r>
        <w:rPr>
          <w:rFonts w:hint="eastAsia" w:ascii="宋体" w:hAnsi="宋体" w:eastAsia="宋体" w:cs="宋体"/>
          <w:color w:val="auto"/>
          <w:sz w:val="22"/>
          <w:szCs w:val="18"/>
          <w:highlight w:val="none"/>
          <w:u w:val="single"/>
        </w:rPr>
        <w:t xml:space="preserve">                                   </w:t>
      </w:r>
    </w:p>
    <w:p>
      <w:pPr>
        <w:shd w:val="clear" w:color="auto" w:fill="auto"/>
        <w:spacing w:line="360" w:lineRule="auto"/>
        <w:ind w:firstLine="456" w:firstLineChars="200"/>
        <w:jc w:val="left"/>
        <w:rPr>
          <w:rFonts w:hint="eastAsia" w:ascii="宋体" w:hAnsi="宋体" w:eastAsia="宋体" w:cs="宋体"/>
          <w:color w:val="auto"/>
          <w:kern w:val="2"/>
          <w:sz w:val="22"/>
          <w:szCs w:val="18"/>
          <w:highlight w:val="none"/>
          <w:u w:val="none" w:color="000000"/>
          <w:lang w:val="en-US" w:eastAsia="zh-CN" w:bidi="ar-SA"/>
        </w:rPr>
      </w:pPr>
      <w:r>
        <w:rPr>
          <w:rFonts w:hint="eastAsia" w:ascii="宋体" w:hAnsi="宋体" w:eastAsia="宋体" w:cs="宋体"/>
          <w:color w:val="auto"/>
          <w:kern w:val="2"/>
          <w:sz w:val="22"/>
          <w:szCs w:val="18"/>
          <w:highlight w:val="none"/>
          <w:u w:val="none" w:color="000000"/>
          <w:lang w:val="en-US" w:eastAsia="zh-CN" w:bidi="ar-SA"/>
        </w:rPr>
        <w:t xml:space="preserve">年   月   日 </w:t>
      </w:r>
    </w:p>
    <w:p>
      <w:pPr>
        <w:pStyle w:val="2"/>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95" w:name="_Toc26357"/>
    </w:p>
    <w:p>
      <w:pPr>
        <w:pStyle w:val="2"/>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bookmarkEnd w:id="87"/>
      <w:bookmarkEnd w:id="88"/>
      <w:bookmarkEnd w:id="89"/>
      <w:bookmarkEnd w:id="95"/>
      <w:r>
        <w:rPr>
          <w:rFonts w:hint="eastAsia" w:ascii="宋体" w:hAnsi="宋体" w:eastAsia="宋体" w:cs="宋体"/>
          <w:b/>
          <w:bCs/>
          <w:color w:val="auto"/>
          <w:sz w:val="24"/>
          <w:highlight w:val="none"/>
          <w:lang w:val="en-US" w:eastAsia="zh-CN"/>
        </w:rPr>
        <w:t>投标保证金汇款凭证和保证金收据或保函等票据</w:t>
      </w:r>
    </w:p>
    <w:p>
      <w:pPr>
        <w:shd w:val="clear" w:color="auto" w:fill="auto"/>
        <w:ind w:firstLine="436" w:firstLineChars="200"/>
        <w:rPr>
          <w:rFonts w:hint="eastAsia" w:ascii="宋体" w:hAnsi="宋体" w:eastAsia="宋体" w:cs="宋体"/>
          <w:color w:val="auto"/>
          <w:sz w:val="21"/>
          <w:szCs w:val="21"/>
          <w:highlight w:val="none"/>
        </w:rPr>
      </w:pPr>
      <w:bookmarkStart w:id="96" w:name="_Toc494296991"/>
      <w:bookmarkStart w:id="97" w:name="_Toc494296665"/>
    </w:p>
    <w:p>
      <w:pPr>
        <w:shd w:val="clear" w:color="auto" w:fill="auto"/>
        <w:spacing w:line="360" w:lineRule="auto"/>
        <w:ind w:firstLine="43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w:t>
      </w:r>
      <w:r>
        <w:rPr>
          <w:rFonts w:hint="eastAsia" w:ascii="宋体" w:hAnsi="宋体" w:eastAsia="宋体" w:cs="宋体"/>
          <w:color w:val="auto"/>
          <w:sz w:val="21"/>
          <w:szCs w:val="21"/>
          <w:highlight w:val="none"/>
          <w:lang w:val="en-US" w:eastAsia="zh-CN"/>
        </w:rPr>
        <w:t>下述</w:t>
      </w:r>
      <w:r>
        <w:rPr>
          <w:rFonts w:hint="eastAsia" w:ascii="宋体" w:hAnsi="宋体" w:eastAsia="宋体" w:cs="宋体"/>
          <w:color w:val="auto"/>
          <w:sz w:val="21"/>
          <w:szCs w:val="21"/>
          <w:highlight w:val="none"/>
        </w:rPr>
        <w:t>投标担保函</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rPr>
        <w:t xml:space="preserve"> ）,将原件装订在本部分正本中。</w:t>
      </w:r>
      <w:bookmarkEnd w:id="96"/>
      <w:bookmarkEnd w:id="97"/>
    </w:p>
    <w:p>
      <w:pPr>
        <w:pStyle w:val="6"/>
        <w:shd w:val="clear" w:color="auto" w:fill="auto"/>
        <w:spacing w:line="360" w:lineRule="auto"/>
        <w:rPr>
          <w:rFonts w:hint="eastAsia" w:ascii="宋体" w:hAnsi="宋体" w:eastAsia="宋体" w:cs="宋体"/>
          <w:color w:val="auto"/>
          <w:highlight w:val="none"/>
        </w:rPr>
      </w:pPr>
    </w:p>
    <w:tbl>
      <w:tblPr>
        <w:tblStyle w:val="2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jc w:val="both"/>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6"/>
        <w:shd w:val="clear" w:color="auto" w:fill="auto"/>
        <w:rPr>
          <w:rFonts w:hint="eastAsia" w:ascii="宋体" w:hAnsi="宋体" w:eastAsia="宋体" w:cs="宋体"/>
          <w:color w:val="auto"/>
          <w:highlight w:val="none"/>
        </w:rPr>
      </w:pPr>
    </w:p>
    <w:p>
      <w:pPr>
        <w:shd w:val="clear" w:color="auto" w:fill="auto"/>
        <w:spacing w:line="240" w:lineRule="atLeast"/>
        <w:ind w:left="1100" w:leftChars="257" w:hanging="540"/>
        <w:jc w:val="center"/>
        <w:rPr>
          <w:rFonts w:hint="eastAsia" w:ascii="宋体" w:hAnsi="宋体" w:eastAsia="宋体" w:cs="宋体"/>
          <w:color w:val="auto"/>
          <w:sz w:val="24"/>
          <w:highlight w:val="none"/>
        </w:rPr>
      </w:pPr>
    </w:p>
    <w:tbl>
      <w:tblPr>
        <w:tblStyle w:val="28"/>
        <w:tblpPr w:leftFromText="180" w:rightFromText="180" w:vertAnchor="text" w:horzAnchor="page" w:tblpX="2032" w:tblpY="4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打款凭证</w:t>
            </w: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tc>
      </w:tr>
    </w:tbl>
    <w:p>
      <w:pPr>
        <w:shd w:val="clear" w:color="auto" w:fill="auto"/>
        <w:rPr>
          <w:rFonts w:hint="eastAsia" w:ascii="宋体" w:hAnsi="宋体" w:eastAsia="宋体" w:cs="宋体"/>
          <w:color w:val="auto"/>
          <w:sz w:val="28"/>
          <w:szCs w:val="28"/>
          <w:highlight w:val="none"/>
        </w:rPr>
      </w:pPr>
    </w:p>
    <w:p>
      <w:pPr>
        <w:shd w:val="clear" w:color="auto" w:fill="auto"/>
        <w:jc w:val="both"/>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政府采购投标担保函 （项目用）</w:t>
      </w:r>
    </w:p>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
          <w:bCs/>
          <w:color w:val="auto"/>
          <w:kern w:val="0"/>
          <w:sz w:val="24"/>
          <w:szCs w:val="20"/>
          <w:highlight w:val="none"/>
          <w:lang w:val="en-US" w:eastAsia="zh-CN" w:bidi="ar-SA"/>
        </w:rPr>
      </w:pPr>
    </w:p>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
          <w:bCs/>
          <w:color w:val="auto"/>
          <w:kern w:val="0"/>
          <w:sz w:val="24"/>
          <w:szCs w:val="20"/>
          <w:highlight w:val="none"/>
          <w:lang w:val="en-US" w:eastAsia="zh-CN" w:bidi="ar-SA"/>
        </w:rPr>
      </w:pPr>
    </w:p>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4"/>
          <w:szCs w:val="20"/>
          <w:highlight w:val="none"/>
          <w:lang w:val="en-US" w:eastAsia="zh-CN" w:bidi="ar-SA"/>
        </w:rPr>
        <w:t>5、投标企业须提供投标人（被授权在职人员）近3个月有效的社保证明；</w:t>
      </w:r>
    </w:p>
    <w:p>
      <w:pPr>
        <w:shd w:val="clear" w:color="auto" w:fill="auto"/>
        <w:spacing w:line="360" w:lineRule="auto"/>
        <w:jc w:val="both"/>
        <w:rPr>
          <w:rFonts w:hint="eastAsia" w:ascii="宋体" w:hAnsi="宋体" w:eastAsia="宋体" w:cs="宋体"/>
          <w:b/>
          <w:bCs/>
          <w:color w:val="auto"/>
          <w:kern w:val="0"/>
          <w:sz w:val="24"/>
          <w:szCs w:val="20"/>
          <w:highlight w:val="none"/>
          <w:lang w:val="en-US" w:eastAsia="zh-CN" w:bidi="ar-SA"/>
        </w:rPr>
      </w:pPr>
    </w:p>
    <w:p>
      <w:pPr>
        <w:pStyle w:val="2"/>
        <w:numPr>
          <w:ilvl w:val="0"/>
          <w:numId w:val="0"/>
        </w:numPr>
        <w:shd w:val="clear" w:color="auto" w:fill="auto"/>
        <w:spacing w:before="0" w:line="360" w:lineRule="auto"/>
        <w:jc w:val="both"/>
        <w:rPr>
          <w:rFonts w:hint="eastAsia" w:ascii="宋体" w:hAnsi="宋体" w:eastAsia="宋体" w:cs="宋体"/>
          <w:b/>
          <w:bCs/>
          <w:color w:val="auto"/>
          <w:kern w:val="0"/>
          <w:sz w:val="24"/>
          <w:szCs w:val="20"/>
          <w:highlight w:val="none"/>
          <w:lang w:val="en-US" w:eastAsia="zh-CN" w:bidi="ar-SA"/>
        </w:rPr>
      </w:pPr>
      <w:bookmarkStart w:id="98" w:name="_Toc27021"/>
      <w:bookmarkStart w:id="99" w:name="_Toc515647810"/>
      <w:bookmarkStart w:id="100" w:name="_Toc18754"/>
      <w:bookmarkStart w:id="101" w:name="_Toc5710"/>
    </w:p>
    <w:p>
      <w:pPr>
        <w:pStyle w:val="2"/>
        <w:numPr>
          <w:ilvl w:val="0"/>
          <w:numId w:val="0"/>
        </w:numPr>
        <w:shd w:val="clear" w:color="auto" w:fill="auto"/>
        <w:spacing w:before="0" w:line="360" w:lineRule="auto"/>
        <w:jc w:val="both"/>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6、</w:t>
      </w:r>
      <w:bookmarkEnd w:id="98"/>
      <w:bookmarkEnd w:id="99"/>
      <w:bookmarkEnd w:id="100"/>
      <w:bookmarkEnd w:id="101"/>
      <w:r>
        <w:rPr>
          <w:rFonts w:hint="eastAsia" w:ascii="宋体" w:hAnsi="宋体" w:eastAsia="宋体" w:cs="宋体"/>
          <w:b/>
          <w:bCs/>
          <w:color w:val="auto"/>
          <w:kern w:val="0"/>
          <w:sz w:val="24"/>
          <w:szCs w:val="20"/>
          <w:highlight w:val="none"/>
          <w:lang w:val="en-US" w:eastAsia="zh-CN" w:bidi="ar-SA"/>
        </w:rPr>
        <w:t>参加政府采购活动前3年内在经营活动中没有重大违法记录的书面声明</w:t>
      </w:r>
    </w:p>
    <w:p>
      <w:pPr>
        <w:pStyle w:val="14"/>
        <w:shd w:val="clear" w:color="auto" w:fill="auto"/>
        <w:tabs>
          <w:tab w:val="left" w:pos="5580"/>
        </w:tabs>
        <w:spacing w:line="360" w:lineRule="auto"/>
        <w:ind w:left="1100" w:leftChars="257" w:hanging="540"/>
        <w:jc w:val="center"/>
        <w:rPr>
          <w:rFonts w:hint="eastAsia" w:ascii="宋体" w:hAnsi="宋体" w:eastAsia="宋体" w:cs="宋体"/>
          <w:b/>
          <w:color w:val="auto"/>
          <w:sz w:val="24"/>
          <w:highlight w:val="none"/>
        </w:rPr>
      </w:pPr>
    </w:p>
    <w:p>
      <w:pPr>
        <w:pStyle w:val="14"/>
        <w:shd w:val="clear" w:color="auto" w:fill="auto"/>
        <w:tabs>
          <w:tab w:val="left" w:pos="5580"/>
        </w:tabs>
        <w:spacing w:line="360" w:lineRule="auto"/>
        <w:ind w:left="1100" w:leftChars="257" w:hanging="540"/>
        <w:rPr>
          <w:rFonts w:hint="eastAsia" w:ascii="宋体" w:hAnsi="宋体" w:eastAsia="宋体" w:cs="宋体"/>
          <w:color w:val="auto"/>
          <w:sz w:val="24"/>
          <w:highlight w:val="none"/>
        </w:rPr>
      </w:pP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7、</w:t>
      </w:r>
      <w:r>
        <w:rPr>
          <w:rFonts w:hint="eastAsia" w:ascii="宋体" w:hAnsi="宋体" w:cs="宋体"/>
          <w:b/>
          <w:bCs/>
          <w:color w:val="auto"/>
          <w:highlight w:val="none"/>
          <w:lang w:val="en-US" w:eastAsia="zh-CN"/>
        </w:rPr>
        <w:t>未被“信用中国”（www.creditchina.gov.cn）、中国政府采购网（www.ccgp.gov.cn）列入失信被执行人、重大税收违法案件当事人名单、政府采购严重违法失信行为记录名单；</w:t>
      </w: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p>
    <w:p>
      <w:pPr>
        <w:pStyle w:val="2"/>
        <w:numPr>
          <w:ilvl w:val="0"/>
          <w:numId w:val="0"/>
        </w:numPr>
        <w:shd w:val="clear" w:color="auto" w:fill="auto"/>
        <w:spacing w:before="0" w:line="240" w:lineRule="atLeast"/>
        <w:rPr>
          <w:rFonts w:hint="eastAsia" w:ascii="宋体" w:hAnsi="宋体" w:eastAsia="宋体" w:cs="宋体"/>
          <w:color w:val="auto"/>
          <w:sz w:val="24"/>
          <w:highlight w:val="none"/>
        </w:rPr>
      </w:pPr>
    </w:p>
    <w:p>
      <w:pPr>
        <w:pStyle w:val="2"/>
        <w:numPr>
          <w:ilvl w:val="0"/>
          <w:numId w:val="0"/>
        </w:numPr>
        <w:shd w:val="clear" w:color="auto" w:fill="auto"/>
        <w:spacing w:before="0" w:line="240" w:lineRule="atLeast"/>
        <w:rPr>
          <w:rFonts w:hint="eastAsia" w:ascii="宋体" w:hAnsi="宋体" w:eastAsia="宋体" w:cs="宋体"/>
          <w:b/>
          <w:bCs/>
          <w:color w:val="auto"/>
          <w:kern w:val="2"/>
          <w:sz w:val="21"/>
          <w:szCs w:val="24"/>
          <w:highlight w:val="none"/>
          <w:lang w:val="en-US" w:eastAsia="zh-CN" w:bidi="ar-SA"/>
        </w:rPr>
      </w:pPr>
    </w:p>
    <w:p>
      <w:pPr>
        <w:pStyle w:val="2"/>
        <w:numPr>
          <w:ilvl w:val="0"/>
          <w:numId w:val="0"/>
        </w:numPr>
        <w:shd w:val="clear" w:color="auto" w:fill="auto"/>
        <w:spacing w:before="0" w:line="240" w:lineRule="atLeast"/>
        <w:rPr>
          <w:rFonts w:hint="eastAsia" w:ascii="宋体" w:hAnsi="宋体" w:eastAsia="宋体" w:cs="宋体"/>
          <w:color w:val="auto"/>
          <w:sz w:val="24"/>
          <w:highlight w:val="none"/>
        </w:rPr>
      </w:pPr>
    </w:p>
    <w:p>
      <w:pPr>
        <w:pStyle w:val="2"/>
        <w:numPr>
          <w:ilvl w:val="0"/>
          <w:numId w:val="0"/>
        </w:numPr>
        <w:shd w:val="clear" w:color="auto" w:fill="auto"/>
        <w:spacing w:before="0" w:line="240" w:lineRule="atLeast"/>
        <w:rPr>
          <w:rFonts w:hint="eastAsia" w:ascii="宋体" w:hAnsi="宋体" w:eastAsia="宋体" w:cs="宋体"/>
          <w:color w:val="auto"/>
          <w:sz w:val="24"/>
          <w:highlight w:val="none"/>
        </w:rPr>
      </w:pPr>
    </w:p>
    <w:p>
      <w:pPr>
        <w:shd w:val="clear" w:color="auto" w:fill="auto"/>
        <w:spacing w:line="440" w:lineRule="exact"/>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8</w:t>
      </w:r>
      <w:r>
        <w:rPr>
          <w:rFonts w:hint="eastAsia" w:ascii="宋体" w:hAnsi="宋体" w:eastAsia="宋体" w:cs="宋体"/>
          <w:b/>
          <w:bCs/>
          <w:color w:val="auto"/>
          <w:kern w:val="2"/>
          <w:sz w:val="21"/>
          <w:szCs w:val="24"/>
          <w:highlight w:val="none"/>
          <w:lang w:val="en-US" w:eastAsia="zh-CN" w:bidi="ar-SA"/>
        </w:rPr>
        <w:t>、投标人须知资料表要求的其他资格证明文件;</w:t>
      </w:r>
    </w:p>
    <w:p>
      <w:pPr>
        <w:pStyle w:val="2"/>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bookmarkStart w:id="102" w:name="_Toc24428"/>
      <w:bookmarkStart w:id="103" w:name="_Toc515647811"/>
      <w:bookmarkStart w:id="104" w:name="_Toc32670"/>
      <w:bookmarkStart w:id="105" w:name="_Toc4937"/>
    </w:p>
    <w:p>
      <w:pPr>
        <w:rPr>
          <w:rFonts w:hint="eastAsia" w:ascii="宋体" w:hAnsi="宋体" w:eastAsia="宋体" w:cs="宋体"/>
          <w:color w:val="auto"/>
          <w:sz w:val="24"/>
          <w:highlight w:val="none"/>
          <w:lang w:val="en-US" w:eastAsia="zh-CN"/>
        </w:rPr>
      </w:pPr>
    </w:p>
    <w:p>
      <w:pPr>
        <w:pStyle w:val="10"/>
        <w:rPr>
          <w:rFonts w:hint="eastAsia" w:ascii="宋体" w:hAnsi="宋体" w:eastAsia="宋体" w:cs="宋体"/>
          <w:color w:val="auto"/>
          <w:sz w:val="24"/>
          <w:highlight w:val="none"/>
          <w:lang w:val="en-US" w:eastAsia="zh-CN"/>
        </w:rPr>
      </w:pPr>
    </w:p>
    <w:p>
      <w:pPr>
        <w:rPr>
          <w:rFonts w:hint="eastAsia" w:ascii="宋体" w:hAnsi="宋体" w:eastAsia="宋体" w:cs="宋体"/>
          <w:color w:val="auto"/>
          <w:sz w:val="24"/>
          <w:highlight w:val="none"/>
          <w:lang w:val="en-US" w:eastAsia="zh-CN"/>
        </w:rPr>
      </w:pPr>
    </w:p>
    <w:p>
      <w:pPr>
        <w:pStyle w:val="10"/>
        <w:rPr>
          <w:rFonts w:hint="eastAsia"/>
          <w:color w:val="auto"/>
          <w:highlight w:val="none"/>
          <w:lang w:val="en-US" w:eastAsia="zh-CN"/>
        </w:rPr>
      </w:pPr>
    </w:p>
    <w:bookmarkEnd w:id="102"/>
    <w:bookmarkEnd w:id="103"/>
    <w:bookmarkEnd w:id="104"/>
    <w:bookmarkEnd w:id="105"/>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both"/>
        <w:textAlignment w:val="auto"/>
        <w:rPr>
          <w:rFonts w:hint="eastAsia"/>
          <w:color w:val="auto"/>
          <w:sz w:val="32"/>
          <w:szCs w:val="32"/>
          <w:highlight w:val="none"/>
        </w:rPr>
      </w:pPr>
      <w:bookmarkStart w:id="106" w:name="_Toc22967"/>
      <w:bookmarkStart w:id="107" w:name="_Toc5695"/>
      <w:bookmarkStart w:id="108" w:name="_Toc11180"/>
      <w:bookmarkStart w:id="109" w:name="_Toc515647816"/>
    </w:p>
    <w:p>
      <w:pPr>
        <w:rPr>
          <w:rFonts w:hint="eastAsia"/>
          <w:color w:val="auto"/>
          <w:sz w:val="32"/>
          <w:szCs w:val="32"/>
          <w:highlight w:val="none"/>
        </w:rPr>
      </w:pPr>
    </w:p>
    <w:p>
      <w:pPr>
        <w:pStyle w:val="10"/>
        <w:rPr>
          <w:rFonts w:hint="eastAsia"/>
          <w:color w:val="auto"/>
          <w:sz w:val="32"/>
          <w:szCs w:val="32"/>
          <w:highlight w:val="none"/>
        </w:rPr>
      </w:pPr>
    </w:p>
    <w:p>
      <w:pPr>
        <w:rPr>
          <w:rFonts w:hint="eastAsia"/>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r>
        <w:rPr>
          <w:rFonts w:hint="eastAsia"/>
          <w:color w:val="auto"/>
          <w:sz w:val="32"/>
          <w:szCs w:val="32"/>
          <w:highlight w:val="none"/>
        </w:rPr>
        <w:t>第二部分  商务及技术文件</w:t>
      </w:r>
      <w:bookmarkEnd w:id="106"/>
      <w:bookmarkEnd w:id="107"/>
      <w:bookmarkEnd w:id="108"/>
      <w:bookmarkEnd w:id="109"/>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3、投标分项报价表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、技术规格偏离表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、商务条款偏离表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、投标人基本情况表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、近三年类似项目业绩表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、中小企业声明函(货物)</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、投标人关联单位的说明</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评分标准和细则中技术部分证明材料</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11</w:t>
      </w:r>
      <w:r>
        <w:rPr>
          <w:rFonts w:hint="eastAsia" w:ascii="宋体" w:hAnsi="宋体" w:eastAsia="宋体" w:cs="Times New Roman"/>
          <w:color w:val="auto"/>
          <w:szCs w:val="21"/>
          <w:highlight w:val="none"/>
          <w:lang w:val="en-US" w:eastAsia="zh-CN"/>
        </w:rPr>
        <w:t>、评分标准和细则中</w:t>
      </w:r>
      <w:r>
        <w:rPr>
          <w:rFonts w:hint="eastAsia" w:ascii="宋体" w:hAnsi="宋体" w:cs="Times New Roman"/>
          <w:color w:val="auto"/>
          <w:szCs w:val="21"/>
          <w:highlight w:val="none"/>
          <w:lang w:val="en-US" w:eastAsia="zh-CN"/>
        </w:rPr>
        <w:t>商务</w:t>
      </w:r>
      <w:r>
        <w:rPr>
          <w:rFonts w:hint="eastAsia" w:ascii="宋体" w:hAnsi="宋体" w:eastAsia="宋体" w:cs="Times New Roman"/>
          <w:color w:val="auto"/>
          <w:szCs w:val="21"/>
          <w:highlight w:val="none"/>
          <w:lang w:val="en-US" w:eastAsia="zh-CN"/>
        </w:rPr>
        <w:t>部分证明材料（格式自拟）</w:t>
      </w:r>
    </w:p>
    <w:p>
      <w:pPr>
        <w:shd w:val="clear" w:color="auto" w:fill="auto"/>
        <w:spacing w:line="360" w:lineRule="auto"/>
        <w:ind w:firstLine="293" w:firstLineChars="135"/>
        <w:rPr>
          <w:rFonts w:hint="eastAsia" w:ascii="宋体" w:hAnsi="宋体" w:eastAsia="宋体" w:cs="宋体"/>
          <w:color w:val="auto"/>
          <w:sz w:val="24"/>
          <w:highlight w:val="none"/>
        </w:rPr>
      </w:pP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lang w:val="en-US" w:eastAsia="zh-CN"/>
        </w:rPr>
        <w:t>、投标人认为有必要提供的其他证明材料（格式自拟）</w:t>
      </w:r>
    </w:p>
    <w:bookmarkEnd w:id="82"/>
    <w:bookmarkEnd w:id="83"/>
    <w:bookmarkEnd w:id="84"/>
    <w:bookmarkEnd w:id="85"/>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bookmarkStart w:id="110" w:name="_Toc10107"/>
      <w:bookmarkStart w:id="111" w:name="_Toc1266"/>
      <w:bookmarkStart w:id="112" w:name="_Toc23473"/>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、投标函</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为响应你方组织的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项目的招标项目编号为：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，我方愿参与投标。</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我方确认收到贵方提供的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招标</w:t>
      </w:r>
      <w:r>
        <w:rPr>
          <w:rFonts w:hint="eastAsia" w:ascii="宋体" w:hAnsi="宋体" w:eastAsia="宋体" w:cs="宋体"/>
          <w:color w:val="auto"/>
          <w:kern w:val="0"/>
          <w:sz w:val="21"/>
          <w:szCs w:val="21"/>
          <w:highlight w:val="none"/>
        </w:rPr>
        <w:t>文件的全部内容。</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(投标人名称)      </w:t>
      </w:r>
      <w:r>
        <w:rPr>
          <w:rFonts w:hint="eastAsia" w:ascii="宋体" w:hAnsi="宋体" w:eastAsia="宋体" w:cs="宋体"/>
          <w:color w:val="auto"/>
          <w:kern w:val="0"/>
          <w:sz w:val="21"/>
          <w:szCs w:val="21"/>
          <w:highlight w:val="none"/>
        </w:rPr>
        <w:t>作为投标人正式授权</w:t>
      </w:r>
      <w:r>
        <w:rPr>
          <w:rFonts w:hint="eastAsia" w:ascii="宋体" w:hAnsi="宋体" w:eastAsia="宋体" w:cs="宋体"/>
          <w:color w:val="auto"/>
          <w:kern w:val="0"/>
          <w:sz w:val="21"/>
          <w:szCs w:val="21"/>
          <w:highlight w:val="none"/>
          <w:u w:val="single"/>
        </w:rPr>
        <w:t xml:space="preserve">  (授权代表全名, 职务)  </w:t>
      </w:r>
      <w:r>
        <w:rPr>
          <w:rFonts w:hint="eastAsia" w:ascii="宋体" w:hAnsi="宋体" w:eastAsia="宋体" w:cs="宋体"/>
          <w:color w:val="auto"/>
          <w:kern w:val="0"/>
          <w:sz w:val="21"/>
          <w:szCs w:val="21"/>
          <w:highlight w:val="none"/>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我方已完全明白招标文件的所有条款要求，并申明如下：</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（一）按招标文件提供的全部货物与相关服务的投标</w:t>
      </w:r>
      <w:r>
        <w:rPr>
          <w:rFonts w:hint="eastAsia" w:ascii="宋体" w:hAnsi="宋体" w:cs="宋体"/>
          <w:color w:val="auto"/>
          <w:kern w:val="0"/>
          <w:sz w:val="21"/>
          <w:szCs w:val="21"/>
          <w:highlight w:val="none"/>
          <w:lang w:val="en-US" w:eastAsia="zh-CN"/>
        </w:rPr>
        <w:t>单价</w:t>
      </w:r>
      <w:r>
        <w:rPr>
          <w:rFonts w:hint="eastAsia" w:ascii="宋体" w:hAnsi="宋体" w:eastAsia="宋体" w:cs="宋体"/>
          <w:color w:val="auto"/>
          <w:kern w:val="0"/>
          <w:sz w:val="21"/>
          <w:szCs w:val="21"/>
          <w:highlight w:val="none"/>
        </w:rPr>
        <w:t>详见《报价一览表》。</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（二）本投标文件的有效期为投标截止时间起</w:t>
      </w:r>
      <w:r>
        <w:rPr>
          <w:rFonts w:hint="eastAsia" w:ascii="宋体" w:hAnsi="宋体" w:eastAsia="宋体" w:cs="宋体"/>
          <w:color w:val="auto"/>
          <w:kern w:val="0"/>
          <w:sz w:val="21"/>
          <w:szCs w:val="21"/>
          <w:highlight w:val="none"/>
          <w:u w:val="single"/>
          <w:lang w:val="en-US" w:eastAsia="zh-CN"/>
        </w:rPr>
        <w:t>60</w:t>
      </w:r>
      <w:r>
        <w:rPr>
          <w:rFonts w:hint="eastAsia" w:ascii="宋体" w:hAnsi="宋体" w:eastAsia="宋体" w:cs="宋体"/>
          <w:color w:val="auto"/>
          <w:kern w:val="0"/>
          <w:sz w:val="21"/>
          <w:szCs w:val="21"/>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（三）我方同意按照贵方可能提出的要求而提供与投标有关的任何其它数据、信息或资料。</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四</w:t>
      </w:r>
      <w:r>
        <w:rPr>
          <w:rFonts w:hint="eastAsia" w:ascii="宋体" w:hAnsi="宋体" w:eastAsia="宋体" w:cs="宋体"/>
          <w:color w:val="auto"/>
          <w:kern w:val="0"/>
          <w:sz w:val="21"/>
          <w:szCs w:val="21"/>
          <w:highlight w:val="none"/>
        </w:rPr>
        <w:t>）我方理解贵方不一定接受最低投标价或任何贵方可能收到的投标。</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五</w:t>
      </w:r>
      <w:r>
        <w:rPr>
          <w:rFonts w:hint="eastAsia" w:ascii="宋体" w:hAnsi="宋体" w:eastAsia="宋体" w:cs="宋体"/>
          <w:color w:val="auto"/>
          <w:kern w:val="0"/>
          <w:sz w:val="21"/>
          <w:szCs w:val="21"/>
          <w:highlight w:val="none"/>
        </w:rPr>
        <w:t>）我方如果中标，将保证履行招标文件及其澄清、修改文件（如果有）中的全部责任和义务，按质、按量、按期完成《招标内容》及《合同书》中的全部任务。</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六</w:t>
      </w:r>
      <w:r>
        <w:rPr>
          <w:rFonts w:hint="eastAsia" w:ascii="宋体" w:hAnsi="宋体" w:eastAsia="宋体" w:cs="宋体"/>
          <w:color w:val="auto"/>
          <w:kern w:val="0"/>
          <w:sz w:val="21"/>
          <w:szCs w:val="21"/>
          <w:highlight w:val="none"/>
        </w:rPr>
        <w:t>）如我方被授予合同，我方承诺支付就本次招标应支付或将支付的中标服务费（详见按招标文件要求格式填写的《中标服务费支付承诺书》）。</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七</w:t>
      </w:r>
      <w:r>
        <w:rPr>
          <w:rFonts w:hint="eastAsia" w:ascii="宋体" w:hAnsi="宋体" w:eastAsia="宋体" w:cs="宋体"/>
          <w:color w:val="auto"/>
          <w:kern w:val="0"/>
          <w:sz w:val="21"/>
          <w:szCs w:val="21"/>
          <w:highlight w:val="none"/>
        </w:rPr>
        <w:t>）我方作为在法律、财务和运作上独立于采购人、招标代理机构的投标人，在此保证所提交的所有文件和全部说明是真实的和正确的。</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八</w:t>
      </w:r>
      <w:r>
        <w:rPr>
          <w:rFonts w:hint="eastAsia" w:ascii="宋体" w:hAnsi="宋体" w:eastAsia="宋体" w:cs="宋体"/>
          <w:color w:val="auto"/>
          <w:kern w:val="0"/>
          <w:sz w:val="21"/>
          <w:szCs w:val="21"/>
          <w:highlight w:val="none"/>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九</w:t>
      </w:r>
      <w:r>
        <w:rPr>
          <w:rFonts w:hint="eastAsia" w:ascii="宋体" w:hAnsi="宋体" w:eastAsia="宋体" w:cs="宋体"/>
          <w:color w:val="auto"/>
          <w:kern w:val="0"/>
          <w:sz w:val="21"/>
          <w:szCs w:val="21"/>
          <w:highlight w:val="none"/>
        </w:rPr>
        <w:t>）我方与其他投标人不存在单位负责人为同一人或者存在直接控股、管理关系。</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（十）我方承诺未为本项目提供整体设计、规范编制或者项目管理、监理、检测等服务。</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w:t>
      </w:r>
      <w:r>
        <w:rPr>
          <w:rFonts w:hint="eastAsia" w:ascii="宋体" w:hAnsi="宋体" w:eastAsia="宋体" w:cs="宋体"/>
          <w:color w:val="auto"/>
          <w:kern w:val="0"/>
          <w:sz w:val="21"/>
          <w:szCs w:val="21"/>
          <w:highlight w:val="none"/>
          <w:lang w:eastAsia="zh-CN"/>
        </w:rPr>
        <w:t>一</w:t>
      </w:r>
      <w:r>
        <w:rPr>
          <w:rFonts w:hint="eastAsia" w:ascii="宋体" w:hAnsi="宋体" w:eastAsia="宋体" w:cs="宋体"/>
          <w:color w:val="auto"/>
          <w:kern w:val="0"/>
          <w:sz w:val="21"/>
          <w:szCs w:val="21"/>
          <w:highlight w:val="none"/>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代表姓名：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pPr>
        <w:keepNext w:val="0"/>
        <w:keepLines w:val="0"/>
        <w:pageBreakBefore w:val="0"/>
        <w:widowControl w:val="0"/>
        <w:wordWrap w:val="0"/>
        <w:topLinePunct w:val="0"/>
        <w:autoSpaceDE/>
        <w:autoSpaceDN/>
        <w:bidi w:val="0"/>
        <w:adjustRightInd/>
        <w:snapToGrid/>
        <w:spacing w:line="440" w:lineRule="exact"/>
        <w:ind w:firstLine="436"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法定代表人或委托人：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签字或盖章</w:t>
      </w:r>
      <w:r>
        <w:rPr>
          <w:rFonts w:hint="eastAsia" w:ascii="宋体" w:hAnsi="宋体" w:eastAsia="宋体" w:cs="宋体"/>
          <w:color w:val="auto"/>
          <w:kern w:val="0"/>
          <w:sz w:val="21"/>
          <w:szCs w:val="21"/>
          <w:highlight w:val="none"/>
        </w:rPr>
        <w:t xml:space="preserve">）  </w:t>
      </w:r>
    </w:p>
    <w:p>
      <w:pPr>
        <w:keepNext w:val="0"/>
        <w:keepLines w:val="0"/>
        <w:pageBreakBefore w:val="0"/>
        <w:widowControl w:val="0"/>
        <w:wordWrap w:val="0"/>
        <w:topLinePunct w:val="0"/>
        <w:autoSpaceDE/>
        <w:autoSpaceDN/>
        <w:bidi w:val="0"/>
        <w:adjustRightInd/>
        <w:snapToGrid/>
        <w:spacing w:line="440" w:lineRule="exact"/>
        <w:ind w:firstLine="436"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pPr>
        <w:pStyle w:val="2"/>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p>
    <w:p>
      <w:pPr>
        <w:pStyle w:val="4"/>
        <w:rPr>
          <w:rFonts w:hint="eastAsia"/>
          <w:color w:val="auto"/>
          <w:highlight w:val="none"/>
        </w:rPr>
      </w:pPr>
    </w:p>
    <w:p>
      <w:pPr>
        <w:pStyle w:val="6"/>
        <w:shd w:val="clear" w:color="auto" w:fill="auto"/>
        <w:tabs>
          <w:tab w:val="left" w:pos="5580"/>
        </w:tabs>
        <w:spacing w:line="240" w:lineRule="atLeast"/>
        <w:ind w:firstLine="3411" w:firstLineChars="927"/>
        <w:jc w:val="both"/>
        <w:rPr>
          <w:rFonts w:hint="eastAsia" w:ascii="宋体" w:hAnsi="宋体" w:eastAsia="宋体" w:cs="宋体"/>
          <w:b/>
          <w:color w:val="auto"/>
          <w:sz w:val="36"/>
          <w:szCs w:val="24"/>
          <w:highlight w:val="none"/>
        </w:rPr>
      </w:pPr>
      <w:bookmarkStart w:id="113" w:name="_Toc494296984"/>
    </w:p>
    <w:p>
      <w:pPr>
        <w:pStyle w:val="6"/>
        <w:shd w:val="clear" w:color="auto" w:fill="auto"/>
        <w:tabs>
          <w:tab w:val="left" w:pos="5580"/>
        </w:tabs>
        <w:spacing w:line="240" w:lineRule="atLeast"/>
        <w:ind w:left="0" w:leftChars="0" w:firstLine="0" w:firstLineChars="0"/>
        <w:jc w:val="both"/>
        <w:rPr>
          <w:rFonts w:hint="eastAsia" w:ascii="宋体" w:hAnsi="宋体" w:eastAsia="宋体" w:cs="宋体"/>
          <w:b/>
          <w:color w:val="auto"/>
          <w:sz w:val="36"/>
          <w:szCs w:val="24"/>
          <w:highlight w:val="none"/>
        </w:rPr>
      </w:pPr>
    </w:p>
    <w:p>
      <w:pPr>
        <w:rPr>
          <w:rFonts w:hint="eastAsia"/>
        </w:rPr>
      </w:pPr>
    </w:p>
    <w:p>
      <w:pPr>
        <w:rPr>
          <w:rFonts w:hint="eastAsia"/>
          <w:highlight w:val="none"/>
        </w:rPr>
      </w:pPr>
    </w:p>
    <w:p>
      <w:pPr>
        <w:pStyle w:val="6"/>
        <w:numPr>
          <w:ilvl w:val="0"/>
          <w:numId w:val="0"/>
        </w:numPr>
        <w:shd w:val="clear" w:color="auto" w:fill="auto"/>
        <w:tabs>
          <w:tab w:val="left" w:pos="5580"/>
        </w:tabs>
        <w:spacing w:line="240" w:lineRule="atLeast"/>
        <w:ind w:leftChars="0"/>
        <w:jc w:val="center"/>
        <w:rPr>
          <w:rFonts w:hint="eastAsia" w:ascii="宋体" w:hAnsi="宋体" w:eastAsia="宋体" w:cs="宋体"/>
          <w:b/>
          <w:color w:val="auto"/>
          <w:sz w:val="28"/>
          <w:szCs w:val="21"/>
          <w:highlight w:val="none"/>
        </w:rPr>
      </w:pPr>
      <w:r>
        <w:rPr>
          <w:rFonts w:hint="eastAsia" w:ascii="宋体" w:hAnsi="宋体" w:cs="宋体"/>
          <w:b/>
          <w:color w:val="auto"/>
          <w:sz w:val="28"/>
          <w:szCs w:val="21"/>
          <w:highlight w:val="none"/>
          <w:lang w:val="en-US" w:eastAsia="zh-CN"/>
        </w:rPr>
        <w:t>2、</w:t>
      </w:r>
      <w:r>
        <w:rPr>
          <w:rFonts w:hint="eastAsia" w:ascii="宋体" w:hAnsi="宋体" w:eastAsia="宋体" w:cs="宋体"/>
          <w:b/>
          <w:color w:val="auto"/>
          <w:sz w:val="28"/>
          <w:szCs w:val="21"/>
          <w:highlight w:val="none"/>
        </w:rPr>
        <w:t>开标一览表</w:t>
      </w:r>
      <w:bookmarkEnd w:id="113"/>
    </w:p>
    <w:p>
      <w:pPr>
        <w:pStyle w:val="6"/>
        <w:numPr>
          <w:ilvl w:val="0"/>
          <w:numId w:val="0"/>
        </w:numPr>
        <w:shd w:val="clear" w:color="auto" w:fill="auto"/>
        <w:tabs>
          <w:tab w:val="left" w:pos="5580"/>
        </w:tabs>
        <w:spacing w:line="240" w:lineRule="atLeast"/>
        <w:ind w:leftChars="0"/>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招标项目名称</w:t>
      </w:r>
      <w:r>
        <w:rPr>
          <w:rFonts w:hint="eastAsia" w:ascii="宋体" w:hAnsi="宋体" w:eastAsia="宋体" w:cs="宋体"/>
          <w:color w:val="auto"/>
          <w:szCs w:val="21"/>
          <w:highlight w:val="none"/>
        </w:rPr>
        <w:t>：</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招标项目编号：                                                </w:t>
      </w:r>
    </w:p>
    <w:p>
      <w:pPr>
        <w:shd w:val="clear" w:color="auto" w:fill="auto"/>
        <w:spacing w:line="5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2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供货时间</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供货地点</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lang w:eastAsia="zh-CN"/>
              </w:rPr>
              <w:t>合计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spacing w:line="500" w:lineRule="exact"/>
        <w:ind w:firstLine="426" w:firstLineChars="196"/>
        <w:rPr>
          <w:rFonts w:hint="eastAsia" w:ascii="宋体" w:hAnsi="宋体" w:eastAsia="宋体" w:cs="宋体"/>
          <w:color w:val="auto"/>
          <w:szCs w:val="21"/>
          <w:highlight w:val="none"/>
        </w:rPr>
      </w:pPr>
      <w:bookmarkStart w:id="114" w:name="_Toc23717"/>
      <w:r>
        <w:rPr>
          <w:rFonts w:hint="eastAsia" w:ascii="宋体" w:hAnsi="宋体" w:eastAsia="宋体" w:cs="宋体"/>
          <w:color w:val="auto"/>
          <w:szCs w:val="21"/>
          <w:highlight w:val="none"/>
        </w:rPr>
        <w:t>填写说明：</w:t>
      </w:r>
    </w:p>
    <w:p>
      <w:pPr>
        <w:shd w:val="clear" w:color="auto" w:fill="auto"/>
        <w:spacing w:line="500" w:lineRule="exact"/>
        <w:ind w:firstLine="42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bookmarkEnd w:id="110"/>
    <w:bookmarkEnd w:id="111"/>
    <w:bookmarkEnd w:id="112"/>
    <w:bookmarkEnd w:id="114"/>
    <w:p>
      <w:pPr>
        <w:pStyle w:val="2"/>
        <w:numPr>
          <w:ilvl w:val="0"/>
          <w:numId w:val="12"/>
        </w:numPr>
        <w:shd w:val="clear" w:color="auto" w:fill="auto"/>
        <w:spacing w:before="0" w:line="240" w:lineRule="atLeast"/>
        <w:ind w:left="425" w:leftChars="0" w:hanging="425" w:firstLineChars="0"/>
        <w:jc w:val="center"/>
        <w:rPr>
          <w:rFonts w:hint="eastAsia" w:ascii="宋体" w:hAnsi="宋体" w:eastAsia="宋体" w:cs="宋体"/>
          <w:b/>
          <w:bCs/>
          <w:color w:val="auto"/>
          <w:sz w:val="24"/>
          <w:highlight w:val="none"/>
        </w:rPr>
      </w:pPr>
      <w:bookmarkStart w:id="115" w:name="_Toc20897"/>
      <w:bookmarkStart w:id="116" w:name="_Toc10313"/>
      <w:bookmarkStart w:id="117" w:name="_Toc216582815"/>
      <w:bookmarkStart w:id="118" w:name="_Toc1881"/>
      <w:bookmarkStart w:id="119" w:name="_Toc515647818"/>
      <w:bookmarkStart w:id="120" w:name="_Toc22563"/>
      <w:bookmarkStart w:id="121" w:name="_Toc28959"/>
      <w:bookmarkStart w:id="122" w:name="_Toc216582817"/>
      <w:bookmarkStart w:id="123" w:name="_Toc515647820"/>
      <w:r>
        <w:rPr>
          <w:rFonts w:hint="eastAsia" w:ascii="宋体" w:hAnsi="宋体" w:eastAsia="宋体" w:cs="宋体"/>
          <w:b/>
          <w:bCs/>
          <w:color w:val="auto"/>
          <w:sz w:val="24"/>
          <w:highlight w:val="none"/>
        </w:rPr>
        <w:t>投标分项报价表</w:t>
      </w:r>
      <w:bookmarkEnd w:id="115"/>
      <w:bookmarkEnd w:id="116"/>
      <w:bookmarkEnd w:id="117"/>
      <w:bookmarkEnd w:id="118"/>
      <w:bookmarkEnd w:id="119"/>
    </w:p>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bookmarkStart w:id="124" w:name="_Toc12170"/>
      <w:r>
        <w:rPr>
          <w:rFonts w:hint="eastAsia" w:ascii="宋体" w:hAnsi="宋体" w:eastAsia="宋体" w:cs="宋体"/>
          <w:color w:val="auto"/>
          <w:sz w:val="21"/>
          <w:szCs w:val="21"/>
          <w:highlight w:val="none"/>
        </w:rPr>
        <w:t xml:space="preserve">项目名称:                      招标编号:                  包号: 　 </w:t>
      </w:r>
    </w:p>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r>
        <w:rPr>
          <w:rFonts w:hint="eastAsia" w:ascii="仿宋" w:hAnsi="仿宋" w:eastAsia="仿宋" w:cs="仿宋"/>
          <w:color w:val="auto"/>
          <w:sz w:val="21"/>
          <w:szCs w:val="21"/>
          <w:highlight w:val="none"/>
          <w:lang w:val="en-US" w:eastAsia="zh-CN"/>
        </w:rPr>
        <w:t xml:space="preserve"> </w:t>
      </w:r>
      <w:r>
        <w:rPr>
          <w:rFonts w:hint="eastAsia" w:ascii="宋体" w:hAnsi="宋体" w:eastAsia="宋体" w:cs="宋体"/>
          <w:color w:val="auto"/>
          <w:sz w:val="21"/>
          <w:szCs w:val="21"/>
          <w:highlight w:val="none"/>
        </w:rPr>
        <w:t>单位：元（人民币）</w:t>
      </w:r>
    </w:p>
    <w:tbl>
      <w:tblPr>
        <w:tblStyle w:val="28"/>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9"/>
        <w:gridCol w:w="1743"/>
        <w:gridCol w:w="1171"/>
        <w:gridCol w:w="1171"/>
        <w:gridCol w:w="1171"/>
        <w:gridCol w:w="847"/>
        <w:gridCol w:w="847"/>
        <w:gridCol w:w="9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812" w:type="dxa"/>
            <w:gridSpan w:val="2"/>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货物名称</w:t>
            </w:r>
          </w:p>
        </w:tc>
        <w:tc>
          <w:tcPr>
            <w:tcW w:w="1171" w:type="dxa"/>
            <w:noWrap w:val="0"/>
            <w:vAlign w:val="center"/>
          </w:tcPr>
          <w:p>
            <w:pPr>
              <w:pStyle w:val="14"/>
              <w:shd w:val="clear" w:color="auto" w:fill="auto"/>
              <w:spacing w:line="240" w:lineRule="atLeast"/>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品牌</w:t>
            </w:r>
          </w:p>
          <w:p>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型号</w:t>
            </w:r>
          </w:p>
        </w:tc>
        <w:tc>
          <w:tcPr>
            <w:tcW w:w="1171" w:type="dxa"/>
            <w:noWrap w:val="0"/>
            <w:vAlign w:val="center"/>
          </w:tcPr>
          <w:p>
            <w:pPr>
              <w:pStyle w:val="14"/>
              <w:shd w:val="clear" w:color="auto" w:fill="auto"/>
              <w:spacing w:line="240" w:lineRule="atLeast"/>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技术</w:t>
            </w:r>
          </w:p>
          <w:p>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参数</w:t>
            </w:r>
          </w:p>
        </w:tc>
        <w:tc>
          <w:tcPr>
            <w:tcW w:w="1171" w:type="dxa"/>
            <w:noWrap w:val="0"/>
            <w:vAlign w:val="center"/>
          </w:tcPr>
          <w:p>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w:t>
            </w:r>
            <w:r>
              <w:rPr>
                <w:rFonts w:hint="eastAsia" w:hAnsi="宋体" w:eastAsia="宋体" w:cs="宋体"/>
                <w:color w:val="auto"/>
                <w:sz w:val="21"/>
                <w:szCs w:val="21"/>
                <w:highlight w:val="none"/>
                <w:lang w:val="en-US" w:eastAsia="zh-CN"/>
              </w:rPr>
              <w:t>量</w:t>
            </w:r>
          </w:p>
        </w:tc>
        <w:tc>
          <w:tcPr>
            <w:tcW w:w="847"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单位</w:t>
            </w:r>
          </w:p>
        </w:tc>
        <w:tc>
          <w:tcPr>
            <w:tcW w:w="847"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tc>
        <w:tc>
          <w:tcPr>
            <w:tcW w:w="960" w:type="dxa"/>
            <w:noWrap w:val="0"/>
            <w:vAlign w:val="center"/>
          </w:tcPr>
          <w:p>
            <w:pPr>
              <w:pStyle w:val="14"/>
              <w:shd w:val="clear" w:color="auto" w:fill="auto"/>
              <w:spacing w:line="240" w:lineRule="atLeast"/>
              <w:ind w:firstLine="218" w:firstLineChars="100"/>
              <w:jc w:val="both"/>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总价</w:t>
            </w:r>
          </w:p>
        </w:tc>
        <w:tc>
          <w:tcPr>
            <w:tcW w:w="720"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12" w:type="dxa"/>
            <w:gridSpan w:val="2"/>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960"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720"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12" w:type="dxa"/>
            <w:gridSpan w:val="2"/>
            <w:noWrap w:val="0"/>
            <w:vAlign w:val="center"/>
          </w:tcPr>
          <w:p>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12" w:type="dxa"/>
            <w:gridSpan w:val="2"/>
            <w:noWrap w:val="0"/>
            <w:vAlign w:val="center"/>
          </w:tcPr>
          <w:p>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12" w:type="dxa"/>
            <w:gridSpan w:val="2"/>
            <w:noWrap w:val="0"/>
            <w:vAlign w:val="center"/>
          </w:tcPr>
          <w:p>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812" w:type="dxa"/>
            <w:gridSpan w:val="2"/>
            <w:noWrap w:val="0"/>
            <w:vAlign w:val="center"/>
          </w:tcPr>
          <w:p>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7" w:type="dxa"/>
            <w:gridSpan w:val="2"/>
            <w:noWrap w:val="0"/>
            <w:vAlign w:val="center"/>
          </w:tcPr>
          <w:p>
            <w:pPr>
              <w:pStyle w:val="14"/>
              <w:shd w:val="clear" w:color="auto" w:fill="auto"/>
              <w:spacing w:line="240" w:lineRule="atLeast"/>
              <w:ind w:left="1100" w:leftChars="257" w:hanging="540"/>
              <w:jc w:val="both"/>
              <w:rPr>
                <w:rFonts w:hint="eastAsia" w:hAnsi="宋体" w:eastAsia="宋体" w:cs="宋体"/>
                <w:color w:val="auto"/>
                <w:sz w:val="21"/>
                <w:szCs w:val="21"/>
                <w:highlight w:val="none"/>
                <w:lang w:val="en-US" w:eastAsia="zh-CN"/>
              </w:rPr>
            </w:pPr>
          </w:p>
        </w:tc>
        <w:tc>
          <w:tcPr>
            <w:tcW w:w="8630" w:type="dxa"/>
            <w:gridSpan w:val="8"/>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总计（元）：</w:t>
            </w:r>
          </w:p>
        </w:tc>
      </w:tr>
    </w:tbl>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4"/>
        <w:shd w:val="clear" w:color="auto" w:fill="auto"/>
        <w:tabs>
          <w:tab w:val="left" w:pos="5370"/>
        </w:tabs>
        <w:spacing w:line="240" w:lineRule="atLeast"/>
        <w:ind w:left="1100"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.如果按单价计算的结果与总价不一致,以单价为准修正总价。</w:t>
      </w: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.如果不提供详细分项报价将视为没有实质性响应</w:t>
      </w:r>
      <w:r>
        <w:rPr>
          <w:rFonts w:hint="eastAsia" w:hAnsi="宋体" w:cs="宋体"/>
          <w:color w:val="auto"/>
          <w:sz w:val="21"/>
          <w:szCs w:val="21"/>
          <w:highlight w:val="none"/>
          <w:lang w:val="en-US" w:eastAsia="zh-CN"/>
        </w:rPr>
        <w:t>招标</w:t>
      </w:r>
      <w:r>
        <w:rPr>
          <w:rFonts w:hint="eastAsia"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.如果开标一览表（报价表）内容与投标文件中明细表内容不一致的，以开标一览表（报价表）内容为准。</w:t>
      </w:r>
    </w:p>
    <w:p>
      <w:pPr>
        <w:pStyle w:val="14"/>
        <w:shd w:val="clear" w:color="auto" w:fill="auto"/>
        <w:spacing w:line="240" w:lineRule="atLeast"/>
        <w:ind w:left="1114" w:leftChars="455" w:hanging="123" w:hangingChars="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投标人必须按此表格式中的对应栏目内容填写，若需增加栏目，请在栏目</w:t>
      </w:r>
      <w:r>
        <w:rPr>
          <w:rFonts w:hint="eastAsia" w:ascii="宋体" w:hAnsi="宋体" w:eastAsia="宋体" w:cs="宋体"/>
          <w:color w:val="auto"/>
          <w:sz w:val="21"/>
          <w:szCs w:val="21"/>
          <w:highlight w:val="none"/>
          <w:lang w:val="zh-CN" w:eastAsia="zh-CN"/>
        </w:rPr>
        <w:t>“其</w:t>
      </w:r>
      <w:r>
        <w:rPr>
          <w:rFonts w:hint="eastAsia" w:ascii="宋体" w:hAnsi="宋体" w:eastAsia="宋体" w:cs="宋体"/>
          <w:color w:val="auto"/>
          <w:sz w:val="21"/>
          <w:szCs w:val="21"/>
          <w:highlight w:val="none"/>
        </w:rPr>
        <w:t>它”中填写，并作详细说明。</w:t>
      </w:r>
    </w:p>
    <w:p>
      <w:pPr>
        <w:pStyle w:val="14"/>
        <w:shd w:val="clear" w:color="auto" w:fill="auto"/>
        <w:spacing w:line="240" w:lineRule="atLeast"/>
        <w:ind w:left="110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2"/>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技术规格偏离表</w:t>
      </w:r>
      <w:bookmarkEnd w:id="120"/>
      <w:bookmarkEnd w:id="121"/>
      <w:bookmarkEnd w:id="122"/>
      <w:bookmarkEnd w:id="123"/>
      <w:bookmarkEnd w:id="124"/>
    </w:p>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pPr>
        <w:pStyle w:val="14"/>
        <w:shd w:val="clear" w:color="auto" w:fill="auto"/>
        <w:spacing w:line="240" w:lineRule="atLeast"/>
        <w:ind w:left="1100" w:leftChars="257" w:hanging="540"/>
        <w:rPr>
          <w:rFonts w:hint="eastAsia" w:ascii="宋体" w:hAnsi="宋体" w:eastAsia="宋体" w:cs="宋体"/>
          <w:color w:val="auto"/>
          <w:sz w:val="24"/>
          <w:highlight w:val="none"/>
        </w:rPr>
      </w:pPr>
    </w:p>
    <w:tbl>
      <w:tblPr>
        <w:tblStyle w:val="28"/>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521"/>
        <w:gridCol w:w="1454"/>
        <w:gridCol w:w="1338"/>
        <w:gridCol w:w="2448"/>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6"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521"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产品</w:t>
            </w:r>
            <w:r>
              <w:rPr>
                <w:rFonts w:hint="eastAsia" w:ascii="宋体" w:hAnsi="宋体" w:eastAsia="宋体" w:cs="宋体"/>
                <w:color w:val="auto"/>
                <w:sz w:val="24"/>
                <w:highlight w:val="none"/>
                <w:lang w:val="en-US" w:eastAsia="zh-CN"/>
              </w:rPr>
              <w:t>名称</w:t>
            </w:r>
          </w:p>
        </w:tc>
        <w:tc>
          <w:tcPr>
            <w:tcW w:w="1454"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338"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448"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50"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1"/>
                <w:szCs w:val="16"/>
                <w:highlight w:val="none"/>
                <w:lang w:val="en-US" w:eastAsia="zh-CN"/>
              </w:rPr>
            </w:pPr>
          </w:p>
        </w:tc>
        <w:tc>
          <w:tcPr>
            <w:tcW w:w="2448" w:type="dxa"/>
            <w:noWrap w:val="0"/>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1"/>
                <w:szCs w:val="16"/>
                <w:highlight w:val="none"/>
                <w:lang w:val="en-US" w:eastAsia="zh-CN"/>
              </w:rPr>
            </w:pPr>
            <w:r>
              <w:rPr>
                <w:rFonts w:hint="eastAsia" w:hAnsi="宋体" w:eastAsia="宋体" w:cs="宋体"/>
                <w:b/>
                <w:bCs/>
                <w:color w:val="auto"/>
                <w:sz w:val="21"/>
                <w:szCs w:val="16"/>
                <w:highlight w:val="none"/>
                <w:u w:val="single" w:color="auto"/>
                <w:lang w:val="en-US" w:eastAsia="zh-CN"/>
              </w:rPr>
              <w:t>如有正偏离需提供证明材料，证明材料附后(并注明页码)</w:t>
            </w: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bl>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4"/>
          <w:highlight w:val="none"/>
          <w:lang w:eastAsia="zh-CN"/>
        </w:rPr>
      </w:pPr>
    </w:p>
    <w:p>
      <w:pPr>
        <w:pStyle w:val="14"/>
        <w:shd w:val="clear" w:color="auto" w:fill="auto"/>
        <w:spacing w:line="240" w:lineRule="atLeast"/>
        <w:ind w:left="110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4"/>
        <w:shd w:val="clear" w:color="auto" w:fill="auto"/>
        <w:tabs>
          <w:tab w:val="left" w:pos="5370"/>
        </w:tabs>
        <w:spacing w:line="240" w:lineRule="atLeast"/>
        <w:ind w:left="110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4"/>
        <w:shd w:val="clear" w:color="auto" w:fill="auto"/>
        <w:tabs>
          <w:tab w:val="left" w:pos="5580"/>
        </w:tabs>
        <w:spacing w:line="240" w:lineRule="atLeast"/>
        <w:ind w:left="110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日期：          年    月      日</w:t>
      </w:r>
      <w:r>
        <w:rPr>
          <w:rFonts w:hint="eastAsia" w:ascii="宋体" w:hAnsi="宋体" w:eastAsia="宋体" w:cs="宋体"/>
          <w:color w:val="auto"/>
          <w:sz w:val="24"/>
          <w:highlight w:val="none"/>
          <w:u w:val="single"/>
        </w:rPr>
        <w:br w:type="page"/>
      </w:r>
    </w:p>
    <w:p>
      <w:pPr>
        <w:pStyle w:val="2"/>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125" w:name="_Toc216582818"/>
      <w:bookmarkStart w:id="126" w:name="_Toc515647821"/>
      <w:bookmarkStart w:id="127" w:name="_Toc1980"/>
      <w:bookmarkStart w:id="128" w:name="_Toc21391"/>
      <w:bookmarkStart w:id="129" w:name="_Toc23"/>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125"/>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126"/>
      <w:bookmarkEnd w:id="127"/>
      <w:bookmarkEnd w:id="128"/>
      <w:bookmarkEnd w:id="129"/>
    </w:p>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 xml:space="preserve">项目名称:                      招标编号:    </w:t>
      </w:r>
      <w:r>
        <w:rPr>
          <w:rFonts w:hint="eastAsia" w:hAnsi="宋体" w:eastAsia="宋体" w:cs="宋体"/>
          <w:color w:val="auto"/>
          <w:sz w:val="22"/>
          <w:szCs w:val="18"/>
          <w:highlight w:val="none"/>
          <w:lang w:val="en-US" w:eastAsia="zh-CN"/>
        </w:rPr>
        <w:t xml:space="preserve">       </w:t>
      </w:r>
      <w:r>
        <w:rPr>
          <w:rFonts w:hint="eastAsia" w:ascii="宋体" w:hAnsi="宋体" w:eastAsia="宋体" w:cs="宋体"/>
          <w:color w:val="auto"/>
          <w:sz w:val="22"/>
          <w:szCs w:val="18"/>
          <w:highlight w:val="none"/>
        </w:rPr>
        <w:t xml:space="preserve">      包号:</w:t>
      </w:r>
    </w:p>
    <w:p>
      <w:pPr>
        <w:pStyle w:val="14"/>
        <w:shd w:val="clear" w:color="auto" w:fill="auto"/>
        <w:spacing w:line="240" w:lineRule="atLeast"/>
        <w:ind w:left="1100" w:leftChars="257" w:hanging="540"/>
        <w:rPr>
          <w:rFonts w:hint="eastAsia" w:ascii="宋体" w:hAnsi="宋体" w:eastAsia="宋体" w:cs="宋体"/>
          <w:color w:val="auto"/>
          <w:sz w:val="22"/>
          <w:szCs w:val="18"/>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882"/>
        <w:gridCol w:w="2882"/>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序号</w:t>
            </w:r>
          </w:p>
        </w:tc>
        <w:tc>
          <w:tcPr>
            <w:tcW w:w="2882"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hAnsi="宋体" w:cs="宋体"/>
                <w:color w:val="auto"/>
                <w:sz w:val="22"/>
                <w:szCs w:val="18"/>
                <w:highlight w:val="none"/>
                <w:lang w:val="en-US" w:eastAsia="zh-CN"/>
              </w:rPr>
              <w:t>招标</w:t>
            </w:r>
            <w:r>
              <w:rPr>
                <w:rFonts w:hint="eastAsia" w:hAnsi="宋体" w:eastAsia="宋体" w:cs="宋体"/>
                <w:color w:val="auto"/>
                <w:sz w:val="22"/>
                <w:szCs w:val="18"/>
                <w:highlight w:val="none"/>
                <w:lang w:val="en-US" w:eastAsia="zh-CN"/>
              </w:rPr>
              <w:t>文件</w:t>
            </w:r>
            <w:r>
              <w:rPr>
                <w:rFonts w:hint="eastAsia" w:ascii="宋体" w:hAnsi="宋体" w:eastAsia="宋体" w:cs="宋体"/>
                <w:color w:val="auto"/>
                <w:sz w:val="22"/>
                <w:szCs w:val="18"/>
                <w:highlight w:val="none"/>
                <w:lang w:val="en-US" w:eastAsia="zh-CN"/>
              </w:rPr>
              <w:t>的商务条款</w:t>
            </w:r>
          </w:p>
        </w:tc>
        <w:tc>
          <w:tcPr>
            <w:tcW w:w="2882"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投标文件的商务条款</w:t>
            </w:r>
          </w:p>
        </w:tc>
        <w:tc>
          <w:tcPr>
            <w:tcW w:w="1029"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jc w:val="center"/>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jc w:val="center"/>
              <w:rPr>
                <w:rFonts w:hint="eastAsia" w:ascii="宋体" w:hAnsi="宋体" w:eastAsia="宋体" w:cs="宋体"/>
                <w:color w:val="auto"/>
                <w:sz w:val="22"/>
                <w:szCs w:val="18"/>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bl>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法定代表人或其委托代理人签字:</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u w:val="single"/>
        </w:rPr>
        <w:tab/>
      </w:r>
      <w:r>
        <w:rPr>
          <w:rFonts w:hint="eastAsia" w:ascii="宋体" w:hAnsi="宋体" w:eastAsia="宋体" w:cs="宋体"/>
          <w:color w:val="auto"/>
          <w:sz w:val="22"/>
          <w:szCs w:val="18"/>
          <w:highlight w:val="none"/>
          <w:u w:val="single"/>
        </w:rPr>
        <w:t xml:space="preserve">                 </w:t>
      </w:r>
    </w:p>
    <w:p>
      <w:pPr>
        <w:pStyle w:val="14"/>
        <w:shd w:val="clear" w:color="auto" w:fill="auto"/>
        <w:tabs>
          <w:tab w:val="left" w:pos="5370"/>
        </w:tabs>
        <w:spacing w:line="240" w:lineRule="atLeast"/>
        <w:ind w:left="1100" w:leftChars="257" w:hanging="54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ab/>
      </w:r>
    </w:p>
    <w:p>
      <w:pPr>
        <w:pStyle w:val="80"/>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30" w:name="_Toc10725"/>
      <w:bookmarkStart w:id="131" w:name="_Toc2963"/>
      <w:bookmarkStart w:id="132" w:name="_Toc21312"/>
      <w:bookmarkStart w:id="133" w:name="_Toc515647823"/>
      <w:bookmarkStart w:id="134" w:name="_Toc28099"/>
      <w:bookmarkStart w:id="135" w:name="_Toc30795"/>
      <w:bookmarkStart w:id="136" w:name="_Toc515647827"/>
    </w:p>
    <w:p>
      <w:pPr>
        <w:pStyle w:val="80"/>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6、投标人基本情况表</w:t>
      </w:r>
    </w:p>
    <w:p>
      <w:pPr>
        <w:pStyle w:val="10"/>
        <w:numPr>
          <w:ilvl w:val="0"/>
          <w:numId w:val="0"/>
        </w:numPr>
        <w:kinsoku w:val="0"/>
        <w:overflowPunct w:val="0"/>
        <w:spacing w:before="5"/>
        <w:ind w:leftChars="0" w:right="0" w:rightChars="0"/>
        <w:rPr>
          <w:rFonts w:hint="eastAsia" w:ascii="仿宋" w:hAnsi="仿宋" w:eastAsia="仿宋" w:cs="仿宋"/>
          <w:b/>
          <w:bCs/>
          <w:color w:val="auto"/>
          <w:sz w:val="6"/>
          <w:szCs w:val="6"/>
          <w:highlight w:val="none"/>
        </w:rPr>
      </w:pPr>
    </w:p>
    <w:tbl>
      <w:tblPr>
        <w:tblStyle w:val="28"/>
        <w:tblW w:w="8639" w:type="dxa"/>
        <w:jc w:val="center"/>
        <w:tblLayout w:type="fixed"/>
        <w:tblCellMar>
          <w:top w:w="0" w:type="dxa"/>
          <w:left w:w="0" w:type="dxa"/>
          <w:bottom w:w="0" w:type="dxa"/>
          <w:right w:w="0" w:type="dxa"/>
        </w:tblCellMar>
      </w:tblPr>
      <w:tblGrid>
        <w:gridCol w:w="1231"/>
        <w:gridCol w:w="1432"/>
        <w:gridCol w:w="842"/>
        <w:gridCol w:w="488"/>
        <w:gridCol w:w="1331"/>
        <w:gridCol w:w="455"/>
        <w:gridCol w:w="910"/>
        <w:gridCol w:w="1950"/>
      </w:tblGrid>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主管部门</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27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c>
          <w:tcPr>
            <w:tcW w:w="2274" w:type="dxa"/>
            <w:gridSpan w:val="3"/>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8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注册资金（万元）</w:t>
            </w:r>
          </w:p>
        </w:tc>
        <w:tc>
          <w:tcPr>
            <w:tcW w:w="286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6"/>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1150"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1" w:line="312" w:lineRule="exact"/>
              <w:ind w:left="257" w:right="133" w:hanging="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投标期间 联系人</w:t>
            </w:r>
          </w:p>
        </w:tc>
        <w:tc>
          <w:tcPr>
            <w:tcW w:w="143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c>
          <w:tcPr>
            <w:tcW w:w="1330"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4"/>
              <w:rPr>
                <w:rFonts w:hint="eastAsia" w:ascii="宋体" w:hAnsi="宋体" w:eastAsia="宋体" w:cs="宋体"/>
                <w:b/>
                <w:bCs/>
                <w:color w:val="auto"/>
                <w:sz w:val="21"/>
                <w:szCs w:val="21"/>
                <w:highlight w:val="none"/>
              </w:rPr>
            </w:pPr>
          </w:p>
          <w:p>
            <w:pPr>
              <w:pStyle w:val="55"/>
              <w:kinsoku w:val="0"/>
              <w:overflowPunct w:val="0"/>
              <w:ind w:left="3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c>
          <w:tcPr>
            <w:tcW w:w="13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4"/>
              <w:rPr>
                <w:rFonts w:hint="eastAsia" w:ascii="宋体" w:hAnsi="宋体" w:eastAsia="宋体" w:cs="宋体"/>
                <w:b/>
                <w:bCs/>
                <w:color w:val="auto"/>
                <w:sz w:val="21"/>
                <w:szCs w:val="21"/>
                <w:highlight w:val="none"/>
              </w:rPr>
            </w:pPr>
          </w:p>
          <w:p>
            <w:pPr>
              <w:pStyle w:val="55"/>
              <w:kinsoku w:val="0"/>
              <w:overflowPunct w:val="0"/>
              <w:ind w:left="3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1150"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1" w:line="312" w:lineRule="exact"/>
              <w:ind w:left="257" w:right="133" w:hanging="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职工总数</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4"/>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2009"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line="237" w:lineRule="auto"/>
              <w:ind w:left="497" w:right="49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位 概 况</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bl>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highlight w:val="none"/>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highlight w:val="none"/>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highlight w:val="none"/>
        </w:rPr>
      </w:pPr>
    </w:p>
    <w:p>
      <w:pPr>
        <w:pStyle w:val="10"/>
        <w:numPr>
          <w:ilvl w:val="0"/>
          <w:numId w:val="0"/>
        </w:numPr>
        <w:kinsoku w:val="0"/>
        <w:overflowPunct w:val="0"/>
        <w:spacing w:before="34" w:line="357" w:lineRule="auto"/>
        <w:ind w:left="480" w:leftChars="0" w:right="126" w:rightChars="0"/>
        <w:jc w:val="center"/>
        <w:rPr>
          <w:rFonts w:hint="eastAsia" w:ascii="宋体" w:hAnsi="宋体" w:eastAsia="宋体" w:cs="宋体"/>
          <w:b/>
          <w:bCs/>
          <w:color w:val="auto"/>
          <w:w w:val="90"/>
          <w:sz w:val="24"/>
          <w:szCs w:val="24"/>
          <w:highlight w:val="none"/>
          <w:lang w:eastAsia="zh-CN"/>
        </w:rPr>
      </w:pPr>
      <w:r>
        <w:rPr>
          <w:rFonts w:hint="eastAsia" w:ascii="宋体" w:hAnsi="宋体" w:eastAsia="宋体" w:cs="宋体"/>
          <w:b/>
          <w:bCs/>
          <w:color w:val="auto"/>
          <w:spacing w:val="0"/>
          <w:w w:val="100"/>
          <w:kern w:val="2"/>
          <w:position w:val="0"/>
          <w:sz w:val="24"/>
          <w:szCs w:val="24"/>
          <w:highlight w:val="none"/>
          <w:u w:val="none"/>
          <w:shd w:val="clear" w:color="auto" w:fill="auto"/>
          <w:lang w:val="en-US" w:eastAsia="zh-CN" w:bidi="zh-TW"/>
        </w:rPr>
        <w:t>7、近三年类似项目业</w:t>
      </w:r>
      <w:r>
        <w:rPr>
          <w:rFonts w:hint="eastAsia" w:ascii="宋体" w:hAnsi="宋体" w:eastAsia="宋体" w:cs="宋体"/>
          <w:b/>
          <w:bCs/>
          <w:color w:val="auto"/>
          <w:w w:val="90"/>
          <w:sz w:val="24"/>
          <w:szCs w:val="24"/>
          <w:highlight w:val="none"/>
        </w:rPr>
        <w:t>绩</w:t>
      </w:r>
      <w:r>
        <w:rPr>
          <w:rFonts w:hint="eastAsia" w:ascii="宋体" w:hAnsi="宋体" w:eastAsia="宋体" w:cs="宋体"/>
          <w:b/>
          <w:bCs/>
          <w:color w:val="auto"/>
          <w:w w:val="90"/>
          <w:sz w:val="24"/>
          <w:szCs w:val="24"/>
          <w:highlight w:val="none"/>
          <w:lang w:eastAsia="zh-CN"/>
        </w:rPr>
        <w:t>表</w:t>
      </w:r>
    </w:p>
    <w:p>
      <w:pPr>
        <w:pStyle w:val="10"/>
        <w:numPr>
          <w:ilvl w:val="0"/>
          <w:numId w:val="0"/>
        </w:numPr>
        <w:kinsoku w:val="0"/>
        <w:overflowPunct w:val="0"/>
        <w:ind w:leftChars="0" w:right="0" w:rightChars="0"/>
        <w:rPr>
          <w:rFonts w:hint="eastAsia" w:ascii="仿宋" w:hAnsi="仿宋" w:eastAsia="仿宋" w:cs="仿宋"/>
          <w:b/>
          <w:bCs/>
          <w:color w:val="auto"/>
          <w:sz w:val="20"/>
          <w:szCs w:val="20"/>
          <w:highlight w:val="none"/>
        </w:rPr>
      </w:pPr>
    </w:p>
    <w:tbl>
      <w:tblPr>
        <w:tblStyle w:val="28"/>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项目名称</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项目单位名称</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0" w:after="0" w:line="320"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项目单位联系姓名及联系方式</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合同金额</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0" w:after="0" w:line="306"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项目负责人姓名</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项目实施时间</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noWrap w:val="0"/>
            <w:vAlign w:val="center"/>
          </w:tcPr>
          <w:p>
            <w:pPr>
              <w:pStyle w:val="82"/>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项目内容说明</w:t>
            </w:r>
          </w:p>
        </w:tc>
        <w:tc>
          <w:tcPr>
            <w:tcW w:w="7196"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bl>
    <w:p>
      <w:pPr>
        <w:rPr>
          <w:rFonts w:hint="eastAsia" w:ascii="仿宋" w:hAnsi="仿宋" w:eastAsia="仿宋" w:cs="仿宋"/>
          <w:color w:val="auto"/>
          <w:spacing w:val="-1"/>
          <w:kern w:val="0"/>
          <w:sz w:val="24"/>
          <w:highlight w:val="none"/>
        </w:rPr>
      </w:pPr>
    </w:p>
    <w:p>
      <w:pP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注：每个</w:t>
      </w:r>
      <w:r>
        <w:rPr>
          <w:rFonts w:hint="eastAsia" w:ascii="宋体" w:hAnsi="宋体" w:eastAsia="宋体" w:cs="宋体"/>
          <w:color w:val="auto"/>
          <w:spacing w:val="-1"/>
          <w:kern w:val="0"/>
          <w:sz w:val="21"/>
          <w:szCs w:val="21"/>
          <w:highlight w:val="none"/>
          <w:lang w:eastAsia="zh-CN"/>
        </w:rPr>
        <w:t>业绩</w:t>
      </w:r>
      <w:r>
        <w:rPr>
          <w:rFonts w:hint="eastAsia" w:ascii="宋体" w:hAnsi="宋体" w:eastAsia="宋体" w:cs="宋体"/>
          <w:color w:val="auto"/>
          <w:spacing w:val="-1"/>
          <w:kern w:val="0"/>
          <w:sz w:val="21"/>
          <w:szCs w:val="21"/>
          <w:highlight w:val="none"/>
        </w:rPr>
        <w:t>须单独附表，并附上</w:t>
      </w:r>
      <w:r>
        <w:rPr>
          <w:rFonts w:hint="eastAsia" w:ascii="宋体" w:hAnsi="宋体" w:eastAsia="宋体" w:cs="宋体"/>
          <w:color w:val="auto"/>
          <w:spacing w:val="-1"/>
          <w:kern w:val="0"/>
          <w:sz w:val="21"/>
          <w:szCs w:val="21"/>
          <w:highlight w:val="none"/>
          <w:lang w:eastAsia="zh-CN"/>
        </w:rPr>
        <w:t>合同</w:t>
      </w:r>
      <w:r>
        <w:rPr>
          <w:rFonts w:hint="eastAsia" w:ascii="宋体" w:hAnsi="宋体" w:eastAsia="宋体" w:cs="宋体"/>
          <w:color w:val="auto"/>
          <w:spacing w:val="-1"/>
          <w:kern w:val="0"/>
          <w:sz w:val="21"/>
          <w:szCs w:val="21"/>
          <w:highlight w:val="none"/>
          <w:lang w:val="en-US" w:eastAsia="zh-CN"/>
        </w:rPr>
        <w:t>或</w:t>
      </w:r>
      <w:r>
        <w:rPr>
          <w:rFonts w:hint="eastAsia" w:ascii="宋体" w:hAnsi="宋体" w:eastAsia="宋体" w:cs="宋体"/>
          <w:color w:val="auto"/>
          <w:spacing w:val="-1"/>
          <w:kern w:val="0"/>
          <w:sz w:val="21"/>
          <w:szCs w:val="21"/>
          <w:highlight w:val="none"/>
          <w:lang w:eastAsia="zh-CN"/>
        </w:rPr>
        <w:t>中标通知书</w:t>
      </w:r>
      <w:r>
        <w:rPr>
          <w:rFonts w:hint="eastAsia" w:ascii="宋体" w:hAnsi="宋体" w:eastAsia="宋体" w:cs="宋体"/>
          <w:color w:val="auto"/>
          <w:spacing w:val="-1"/>
          <w:kern w:val="0"/>
          <w:sz w:val="21"/>
          <w:szCs w:val="21"/>
          <w:highlight w:val="none"/>
        </w:rPr>
        <w:t>相关证明材料，否则专家在评审时将不予采信。</w:t>
      </w:r>
    </w:p>
    <w:p>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（盖章）</w:t>
      </w:r>
    </w:p>
    <w:p>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SA"/>
        </w:rPr>
        <w:t>(签字或盖章）</w:t>
      </w:r>
    </w:p>
    <w:p>
      <w:pPr>
        <w:pStyle w:val="10"/>
        <w:numPr>
          <w:ilvl w:val="0"/>
          <w:numId w:val="0"/>
        </w:numPr>
        <w:tabs>
          <w:tab w:val="left" w:pos="5551"/>
          <w:tab w:val="left" w:pos="6511"/>
          <w:tab w:val="left" w:pos="7111"/>
          <w:tab w:val="left" w:pos="7711"/>
        </w:tabs>
        <w:kinsoku w:val="0"/>
        <w:overflowPunct w:val="0"/>
        <w:spacing w:before="46"/>
        <w:ind w:right="0" w:rightChars="0" w:firstLine="3924" w:firstLineChars="1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p>
    <w:p>
      <w:pPr>
        <w:pStyle w:val="80"/>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auto"/>
          <w:spacing w:val="0"/>
          <w:w w:val="100"/>
          <w:position w:val="0"/>
          <w:highlight w:val="none"/>
        </w:rPr>
      </w:pPr>
    </w:p>
    <w:p>
      <w:pPr>
        <w:pStyle w:val="2"/>
        <w:numPr>
          <w:ilvl w:val="0"/>
          <w:numId w:val="0"/>
        </w:numPr>
        <w:shd w:val="clear" w:color="auto" w:fill="auto"/>
        <w:spacing w:before="0" w:line="240" w:lineRule="atLeast"/>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0"/>
          <w:sz w:val="24"/>
          <w:szCs w:val="20"/>
          <w:highlight w:val="none"/>
          <w:u w:val="none"/>
          <w:lang w:val="en-US" w:eastAsia="zh-CN" w:bidi="ar-SA"/>
        </w:rPr>
        <w:t>8、中小企业声明函(货物)</w:t>
      </w:r>
    </w:p>
    <w:bookmarkEnd w:id="130"/>
    <w:bookmarkEnd w:id="131"/>
    <w:bookmarkEnd w:id="132"/>
    <w:bookmarkEnd w:id="133"/>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 </w:t>
      </w:r>
      <w:r>
        <w:rPr>
          <w:rFonts w:hint="eastAsia" w:ascii="宋体" w:hAnsi="宋体" w:cs="宋体"/>
          <w:color w:val="auto"/>
          <w:kern w:val="0"/>
          <w:sz w:val="21"/>
          <w:szCs w:val="21"/>
          <w:highlight w:val="none"/>
          <w:u w:val="single"/>
        </w:rPr>
        <w:t>（标的名称）</w:t>
      </w:r>
      <w:r>
        <w:rPr>
          <w:rFonts w:hint="eastAsia" w:ascii="宋体" w:hAnsi="宋体" w:cs="宋体"/>
          <w:color w:val="auto"/>
          <w:kern w:val="0"/>
          <w:sz w:val="21"/>
          <w:szCs w:val="21"/>
          <w:highlight w:val="none"/>
        </w:rPr>
        <w:t xml:space="preserve">，属于    </w:t>
      </w:r>
      <w:r>
        <w:rPr>
          <w:rFonts w:hint="eastAsia" w:ascii="宋体" w:hAnsi="宋体" w:cs="宋体"/>
          <w:color w:val="auto"/>
          <w:kern w:val="0"/>
          <w:sz w:val="21"/>
          <w:szCs w:val="21"/>
          <w:highlight w:val="none"/>
          <w:u w:val="single"/>
        </w:rPr>
        <w:t>（采购文件中明确的所属行业）</w:t>
      </w:r>
      <w:r>
        <w:rPr>
          <w:rFonts w:hint="eastAsia" w:ascii="宋体" w:hAnsi="宋体" w:cs="宋体"/>
          <w:color w:val="auto"/>
          <w:kern w:val="0"/>
          <w:sz w:val="21"/>
          <w:szCs w:val="21"/>
          <w:highlight w:val="none"/>
        </w:rPr>
        <w:t xml:space="preserve"> ；制造商为  </w:t>
      </w:r>
      <w:r>
        <w:rPr>
          <w:rFonts w:hint="eastAsia" w:ascii="宋体" w:hAnsi="宋体" w:cs="宋体"/>
          <w:color w:val="auto"/>
          <w:kern w:val="0"/>
          <w:sz w:val="21"/>
          <w:szCs w:val="21"/>
          <w:highlight w:val="none"/>
          <w:u w:val="single"/>
        </w:rPr>
        <w:t xml:space="preserve"> （企业名称）</w:t>
      </w:r>
      <w:r>
        <w:rPr>
          <w:rFonts w:hint="eastAsia" w:ascii="宋体" w:hAnsi="宋体" w:cs="宋体"/>
          <w:color w:val="auto"/>
          <w:kern w:val="0"/>
          <w:sz w:val="21"/>
          <w:szCs w:val="21"/>
          <w:highlight w:val="none"/>
        </w:rPr>
        <w:t>，从业人员</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人，营业收入为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万元，资产总额为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万元，属于</w:t>
      </w:r>
      <w:r>
        <w:rPr>
          <w:rFonts w:hint="eastAsia" w:ascii="宋体" w:hAnsi="宋体" w:cs="宋体"/>
          <w:color w:val="auto"/>
          <w:kern w:val="0"/>
          <w:sz w:val="21"/>
          <w:szCs w:val="21"/>
          <w:highlight w:val="none"/>
          <w:u w:val="single"/>
        </w:rPr>
        <w:t>（中型企业、小型企业、微型企业）</w:t>
      </w:r>
      <w:r>
        <w:rPr>
          <w:rFonts w:hint="eastAsia" w:ascii="宋体" w:hAnsi="宋体" w:cs="宋体"/>
          <w:color w:val="auto"/>
          <w:kern w:val="0"/>
          <w:sz w:val="21"/>
          <w:szCs w:val="21"/>
          <w:highlight w:val="none"/>
        </w:rPr>
        <w:t>；</w:t>
      </w:r>
    </w:p>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2.  </w:t>
      </w:r>
      <w:r>
        <w:rPr>
          <w:rFonts w:hint="eastAsia" w:ascii="宋体" w:hAnsi="宋体" w:cs="宋体"/>
          <w:color w:val="auto"/>
          <w:kern w:val="0"/>
          <w:sz w:val="21"/>
          <w:szCs w:val="21"/>
          <w:highlight w:val="none"/>
          <w:u w:val="single"/>
        </w:rPr>
        <w:t>（标的名称）</w:t>
      </w:r>
      <w:r>
        <w:rPr>
          <w:rFonts w:hint="eastAsia" w:ascii="宋体" w:hAnsi="宋体" w:cs="宋体"/>
          <w:color w:val="auto"/>
          <w:kern w:val="0"/>
          <w:sz w:val="21"/>
          <w:szCs w:val="21"/>
          <w:highlight w:val="none"/>
        </w:rPr>
        <w:t xml:space="preserve">，属于    </w:t>
      </w:r>
      <w:r>
        <w:rPr>
          <w:rFonts w:hint="eastAsia" w:ascii="宋体" w:hAnsi="宋体" w:cs="宋体"/>
          <w:color w:val="auto"/>
          <w:kern w:val="0"/>
          <w:sz w:val="21"/>
          <w:szCs w:val="21"/>
          <w:highlight w:val="none"/>
          <w:u w:val="single"/>
        </w:rPr>
        <w:t>（采购文件中明确的所属行业）</w:t>
      </w:r>
      <w:r>
        <w:rPr>
          <w:rFonts w:hint="eastAsia" w:ascii="宋体" w:hAnsi="宋体" w:cs="宋体"/>
          <w:color w:val="auto"/>
          <w:kern w:val="0"/>
          <w:sz w:val="21"/>
          <w:szCs w:val="21"/>
          <w:highlight w:val="none"/>
        </w:rPr>
        <w:t xml:space="preserve"> ；制造商为  </w:t>
      </w:r>
      <w:r>
        <w:rPr>
          <w:rFonts w:hint="eastAsia" w:ascii="宋体" w:hAnsi="宋体" w:cs="宋体"/>
          <w:color w:val="auto"/>
          <w:kern w:val="0"/>
          <w:sz w:val="21"/>
          <w:szCs w:val="21"/>
          <w:highlight w:val="none"/>
          <w:u w:val="single"/>
        </w:rPr>
        <w:t xml:space="preserve"> （企业名称）</w:t>
      </w:r>
      <w:r>
        <w:rPr>
          <w:rFonts w:hint="eastAsia" w:ascii="宋体" w:hAnsi="宋体" w:cs="宋体"/>
          <w:color w:val="auto"/>
          <w:kern w:val="0"/>
          <w:sz w:val="21"/>
          <w:szCs w:val="21"/>
          <w:highlight w:val="none"/>
        </w:rPr>
        <w:t>，从业人员</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人，营业收入为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万元，资产总额为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万元，属于</w:t>
      </w:r>
      <w:r>
        <w:rPr>
          <w:rFonts w:hint="eastAsia" w:ascii="宋体" w:hAnsi="宋体" w:cs="宋体"/>
          <w:color w:val="auto"/>
          <w:kern w:val="0"/>
          <w:sz w:val="21"/>
          <w:szCs w:val="21"/>
          <w:highlight w:val="none"/>
          <w:u w:val="single"/>
        </w:rPr>
        <w:t>（中型企业、小型企业、微型企业）</w:t>
      </w:r>
      <w:r>
        <w:rPr>
          <w:rFonts w:hint="eastAsia" w:ascii="宋体" w:hAnsi="宋体" w:cs="宋体"/>
          <w:color w:val="auto"/>
          <w:kern w:val="0"/>
          <w:sz w:val="21"/>
          <w:szCs w:val="21"/>
          <w:highlight w:val="none"/>
        </w:rPr>
        <w:t>；</w:t>
      </w:r>
    </w:p>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本企业对上述声明内容的真实性负责。如有虚假，将依法承担相应责任。                   </w:t>
      </w:r>
    </w:p>
    <w:p>
      <w:pPr>
        <w:pStyle w:val="7"/>
        <w:rPr>
          <w:rFonts w:hint="eastAsia"/>
          <w:sz w:val="21"/>
          <w:szCs w:val="21"/>
          <w:highlight w:val="none"/>
        </w:rPr>
      </w:pPr>
    </w:p>
    <w:p>
      <w:pPr>
        <w:widowControl/>
        <w:spacing w:before="100" w:beforeAutospacing="1" w:after="100" w:afterAutospacing="1" w:line="330" w:lineRule="atLeast"/>
        <w:ind w:firstLine="4687" w:firstLineChars="215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企业名称（盖章）：</w:t>
      </w:r>
    </w:p>
    <w:p>
      <w:pPr>
        <w:widowControl/>
        <w:spacing w:before="100" w:beforeAutospacing="1" w:after="100" w:afterAutospacing="1" w:line="330" w:lineRule="atLeast"/>
        <w:ind w:left="5576" w:leftChars="2508" w:hanging="109" w:hangingChars="5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rPr>
        <w:t xml:space="preserve">                                               日期</w:t>
      </w:r>
      <w:r>
        <w:rPr>
          <w:rFonts w:hint="eastAsia" w:ascii="宋体" w:hAnsi="宋体" w:cs="宋体"/>
          <w:color w:val="auto"/>
          <w:kern w:val="0"/>
          <w:sz w:val="21"/>
          <w:szCs w:val="21"/>
          <w:highlight w:val="none"/>
          <w:lang w:eastAsia="zh-CN"/>
        </w:rPr>
        <w:t>：</w:t>
      </w:r>
    </w:p>
    <w:p>
      <w:pPr>
        <w:pStyle w:val="2"/>
        <w:numPr>
          <w:ilvl w:val="1"/>
          <w:numId w:val="0"/>
        </w:numPr>
        <w:ind w:left="431" w:leftChars="0"/>
        <w:rPr>
          <w:rFonts w:hint="eastAsia"/>
          <w:lang w:eastAsia="zh-CN"/>
        </w:rPr>
      </w:pP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从业人员、营业收入、资产总额填报上一年度数据，无上一年度数据的新成立企业可不填报。</w:t>
      </w:r>
    </w:p>
    <w:p>
      <w:pPr>
        <w:pStyle w:val="2"/>
        <w:numPr>
          <w:ilvl w:val="1"/>
          <w:numId w:val="0"/>
        </w:numPr>
        <w:rPr>
          <w:rFonts w:hint="eastAsia"/>
          <w:lang w:eastAsia="zh-CN"/>
        </w:rPr>
      </w:pPr>
    </w:p>
    <w:p>
      <w:pPr>
        <w:widowControl/>
        <w:spacing w:before="100" w:beforeAutospacing="1" w:after="100" w:afterAutospacing="1" w:line="330" w:lineRule="atLeast"/>
        <w:ind w:firstLine="2834" w:firstLineChars="13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p>
    <w:p>
      <w:pPr>
        <w:widowControl/>
        <w:kinsoku/>
        <w:topLinePunct w:val="0"/>
        <w:bidi w:val="0"/>
        <w:spacing w:before="100" w:beforeAutospacing="1" w:after="100" w:afterAutospacing="1" w:line="380" w:lineRule="exact"/>
        <w:ind w:firstLine="3224"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pStyle w:val="50"/>
        <w:kinsoku/>
        <w:topLinePunct w:val="0"/>
        <w:bidi w:val="0"/>
        <w:spacing w:line="380" w:lineRule="exact"/>
        <w:rPr>
          <w:rFonts w:hint="eastAsia" w:ascii="宋体" w:hAnsi="宋体" w:eastAsia="宋体" w:cs="宋体"/>
          <w:color w:val="auto"/>
          <w:kern w:val="0"/>
          <w:sz w:val="24"/>
          <w:highlight w:val="none"/>
        </w:rPr>
      </w:pPr>
    </w:p>
    <w:p>
      <w:pPr>
        <w:pStyle w:val="50"/>
        <w:kinsoku/>
        <w:topLinePunct w:val="0"/>
        <w:bidi w:val="0"/>
        <w:spacing w:line="380" w:lineRule="exact"/>
        <w:rPr>
          <w:rFonts w:hint="eastAsia" w:ascii="宋体" w:hAnsi="宋体" w:eastAsia="宋体" w:cs="宋体"/>
          <w:color w:val="auto"/>
          <w:kern w:val="0"/>
          <w:sz w:val="24"/>
          <w:highlight w:val="none"/>
        </w:rPr>
      </w:pP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0"/>
          <w:sz w:val="24"/>
          <w:highlight w:val="none"/>
        </w:rPr>
      </w:pPr>
    </w:p>
    <w:p>
      <w:pPr>
        <w:bidi w:val="0"/>
        <w:rPr>
          <w:rFonts w:hint="eastAsia"/>
          <w:color w:val="auto"/>
          <w:highlight w:val="none"/>
          <w:lang w:val="en-US" w:eastAsia="zh-CN"/>
        </w:rPr>
      </w:pPr>
      <w:bookmarkStart w:id="137" w:name="_Toc6386"/>
    </w:p>
    <w:p>
      <w:pPr>
        <w:pStyle w:val="2"/>
        <w:numPr>
          <w:ilvl w:val="0"/>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pPr>
        <w:pStyle w:val="2"/>
        <w:numPr>
          <w:ilvl w:val="0"/>
          <w:numId w:val="0"/>
        </w:numPr>
        <w:shd w:val="clear" w:color="auto" w:fill="auto"/>
        <w:spacing w:before="0" w:line="240" w:lineRule="atLeast"/>
        <w:jc w:val="both"/>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bookmarkEnd w:id="134"/>
      <w:bookmarkEnd w:id="135"/>
      <w:bookmarkEnd w:id="136"/>
      <w:bookmarkEnd w:id="137"/>
    </w:p>
    <w:p>
      <w:pPr>
        <w:pStyle w:val="6"/>
        <w:shd w:val="clear" w:color="auto" w:fill="auto"/>
        <w:jc w:val="center"/>
        <w:rPr>
          <w:rFonts w:hint="eastAsia" w:ascii="宋体" w:hAnsi="宋体" w:eastAsia="宋体" w:cs="宋体"/>
          <w:color w:val="auto"/>
          <w:highlight w:val="none"/>
        </w:rPr>
      </w:pPr>
    </w:p>
    <w:p>
      <w:pPr>
        <w:pStyle w:val="6"/>
        <w:shd w:val="clear" w:color="auto" w:fill="auto"/>
        <w:ind w:firstLine="43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说明：投标人应当如实披露与本单位存在下列关联关系的单位名称：</w:t>
      </w:r>
    </w:p>
    <w:p>
      <w:pPr>
        <w:pStyle w:val="6"/>
        <w:shd w:val="clear" w:color="auto" w:fill="auto"/>
        <w:ind w:firstLine="436" w:firstLineChars="20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（1）与投标人单位负责人为同一人的其他单位；</w:t>
      </w:r>
    </w:p>
    <w:p>
      <w:pPr>
        <w:pStyle w:val="6"/>
        <w:shd w:val="clear" w:color="auto" w:fill="auto"/>
        <w:ind w:firstLine="43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（2）与投标人存在直接控股、管理关系的其他单位。</w:t>
      </w:r>
    </w:p>
    <w:p>
      <w:pPr>
        <w:pStyle w:val="6"/>
        <w:shd w:val="clear" w:color="auto" w:fill="auto"/>
        <w:ind w:firstLine="0"/>
        <w:rPr>
          <w:rFonts w:hint="eastAsia" w:ascii="宋体" w:hAnsi="宋体" w:eastAsia="宋体" w:cs="宋体"/>
          <w:color w:val="auto"/>
          <w:highlight w:val="none"/>
        </w:rPr>
      </w:pPr>
      <w:bookmarkStart w:id="138" w:name="_Toc7414"/>
      <w:bookmarkStart w:id="139" w:name="_Toc17333"/>
      <w:bookmarkStart w:id="140" w:name="_Toc515647828"/>
    </w:p>
    <w:p>
      <w:pPr>
        <w:pStyle w:val="50"/>
        <w:shd w:val="clear" w:color="auto" w:fill="auto"/>
        <w:ind w:left="0" w:leftChars="0" w:firstLine="0" w:firstLineChars="0"/>
        <w:rPr>
          <w:rFonts w:hint="eastAsia" w:ascii="宋体" w:hAnsi="宋体" w:eastAsia="宋体" w:cs="宋体"/>
          <w:color w:val="auto"/>
          <w:highlight w:val="none"/>
        </w:rPr>
      </w:pPr>
    </w:p>
    <w:p>
      <w:pPr>
        <w:pStyle w:val="50"/>
        <w:shd w:val="clear" w:color="auto" w:fill="auto"/>
        <w:ind w:left="0" w:leftChars="0" w:firstLine="0" w:firstLineChars="0"/>
        <w:rPr>
          <w:rFonts w:hint="eastAsia" w:ascii="宋体" w:hAnsi="宋体" w:eastAsia="宋体" w:cs="宋体"/>
          <w:color w:val="auto"/>
          <w:highlight w:val="none"/>
        </w:rPr>
      </w:pPr>
    </w:p>
    <w:p>
      <w:pPr>
        <w:pStyle w:val="50"/>
        <w:shd w:val="clear" w:color="auto" w:fill="auto"/>
        <w:rPr>
          <w:rFonts w:hint="eastAsia" w:ascii="宋体" w:hAnsi="宋体" w:eastAsia="宋体" w:cs="宋体"/>
          <w:color w:val="auto"/>
          <w:highlight w:val="none"/>
        </w:rPr>
      </w:pPr>
    </w:p>
    <w:bookmarkEnd w:id="138"/>
    <w:bookmarkEnd w:id="139"/>
    <w:bookmarkEnd w:id="140"/>
    <w:p>
      <w:pPr>
        <w:pStyle w:val="2"/>
        <w:numPr>
          <w:ilvl w:val="1"/>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pPr>
        <w:pStyle w:val="2"/>
        <w:numPr>
          <w:ilvl w:val="1"/>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pPr>
        <w:pStyle w:val="2"/>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评分标准和细则中技术部分证明材料（格式自拟）</w:t>
      </w:r>
    </w:p>
    <w:p>
      <w:pPr>
        <w:pStyle w:val="2"/>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2"/>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说明：1.应提供</w:t>
      </w:r>
      <w:r>
        <w:rPr>
          <w:rFonts w:hint="eastAsia" w:ascii="宋体" w:hAnsi="宋体" w:eastAsia="宋体" w:cs="宋体"/>
          <w:color w:val="auto"/>
          <w:sz w:val="21"/>
          <w:szCs w:val="16"/>
          <w:highlight w:val="none"/>
          <w:u w:val="single" w:color="auto"/>
          <w:lang w:eastAsia="zh-CN"/>
        </w:rPr>
        <w:t>评分标准和细则中技术部分</w:t>
      </w:r>
      <w:r>
        <w:rPr>
          <w:rFonts w:hint="eastAsia" w:ascii="宋体" w:hAnsi="宋体" w:eastAsia="宋体" w:cs="宋体"/>
          <w:color w:val="auto"/>
          <w:sz w:val="21"/>
          <w:szCs w:val="16"/>
          <w:highlight w:val="none"/>
        </w:rPr>
        <w:t>要求的其他资格证明文件</w:t>
      </w:r>
      <w:r>
        <w:rPr>
          <w:rFonts w:hint="eastAsia" w:hAnsi="宋体" w:eastAsia="宋体" w:cs="宋体"/>
          <w:color w:val="auto"/>
          <w:sz w:val="21"/>
          <w:szCs w:val="16"/>
          <w:highlight w:val="none"/>
          <w:lang w:eastAsia="zh-CN"/>
        </w:rPr>
        <w:t>。</w:t>
      </w:r>
    </w:p>
    <w:p>
      <w:pPr>
        <w:pStyle w:val="14"/>
        <w:shd w:val="clear" w:color="auto" w:fill="auto"/>
        <w:tabs>
          <w:tab w:val="left" w:pos="5580"/>
        </w:tabs>
        <w:spacing w:line="360" w:lineRule="auto"/>
        <w:ind w:firstLine="1090" w:firstLineChars="5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pPr>
        <w:pStyle w:val="14"/>
        <w:shd w:val="clear" w:color="auto" w:fill="auto"/>
        <w:tabs>
          <w:tab w:val="left" w:pos="5580"/>
        </w:tabs>
        <w:spacing w:line="240" w:lineRule="atLeast"/>
        <w:ind w:left="1287"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hd w:val="clear" w:color="auto" w:fill="auto"/>
        <w:rPr>
          <w:rFonts w:hint="eastAsia" w:ascii="宋体" w:hAnsi="宋体" w:eastAsia="宋体" w:cs="宋体"/>
          <w:color w:val="auto"/>
          <w:sz w:val="24"/>
          <w:highlight w:val="none"/>
          <w:lang w:val="en-US" w:eastAsia="zh-CN"/>
        </w:rPr>
      </w:pPr>
    </w:p>
    <w:p>
      <w:pPr>
        <w:pStyle w:val="2"/>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2"/>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11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评分标准和细则中商务部分证明材料（格式自拟）</w:t>
      </w:r>
    </w:p>
    <w:p>
      <w:pPr>
        <w:pStyle w:val="14"/>
        <w:shd w:val="clear" w:color="auto" w:fill="auto"/>
        <w:tabs>
          <w:tab w:val="left" w:pos="5580"/>
        </w:tabs>
        <w:spacing w:line="240" w:lineRule="atLeast"/>
        <w:ind w:left="110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100" w:leftChars="257" w:hanging="540"/>
        <w:rPr>
          <w:rFonts w:hint="eastAsia" w:ascii="宋体" w:hAnsi="宋体" w:eastAsia="宋体" w:cs="宋体"/>
          <w:color w:val="auto"/>
          <w:sz w:val="24"/>
          <w:highlight w:val="none"/>
        </w:rPr>
      </w:pPr>
    </w:p>
    <w:p>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w:t>
      </w:r>
      <w:r>
        <w:rPr>
          <w:rFonts w:hint="eastAsia" w:ascii="宋体" w:hAnsi="宋体" w:eastAsia="宋体" w:cs="宋体"/>
          <w:color w:val="auto"/>
          <w:sz w:val="21"/>
          <w:szCs w:val="16"/>
          <w:highlight w:val="none"/>
          <w:lang w:val="en-US" w:eastAsia="zh-CN"/>
        </w:rPr>
        <w:t>.</w:t>
      </w:r>
      <w:r>
        <w:rPr>
          <w:rFonts w:hint="eastAsia" w:ascii="宋体" w:hAnsi="宋体" w:eastAsia="宋体" w:cs="宋体"/>
          <w:color w:val="auto"/>
          <w:sz w:val="21"/>
          <w:szCs w:val="16"/>
          <w:highlight w:val="none"/>
        </w:rPr>
        <w:t>1.应提供</w:t>
      </w:r>
      <w:r>
        <w:rPr>
          <w:rFonts w:hint="eastAsia" w:ascii="宋体" w:hAnsi="宋体" w:eastAsia="宋体" w:cs="宋体"/>
          <w:color w:val="auto"/>
          <w:sz w:val="21"/>
          <w:szCs w:val="16"/>
          <w:highlight w:val="none"/>
          <w:lang w:eastAsia="zh-CN"/>
        </w:rPr>
        <w:t>评分标准和细则中商务部分</w:t>
      </w:r>
      <w:r>
        <w:rPr>
          <w:rFonts w:hint="eastAsia" w:ascii="宋体" w:hAnsi="宋体" w:eastAsia="宋体" w:cs="宋体"/>
          <w:color w:val="auto"/>
          <w:sz w:val="21"/>
          <w:szCs w:val="16"/>
          <w:highlight w:val="none"/>
        </w:rPr>
        <w:t>要求的其他资格证明文件。</w:t>
      </w:r>
    </w:p>
    <w:p>
      <w:pPr>
        <w:pStyle w:val="14"/>
        <w:shd w:val="clear" w:color="auto" w:fill="auto"/>
        <w:tabs>
          <w:tab w:val="left" w:pos="5580"/>
        </w:tabs>
        <w:spacing w:line="360" w:lineRule="auto"/>
        <w:ind w:left="1180" w:leftChars="485" w:hanging="123" w:hangingChars="57"/>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w:t>
      </w:r>
      <w:r>
        <w:rPr>
          <w:rFonts w:hint="eastAsia" w:ascii="宋体" w:hAnsi="宋体" w:eastAsia="宋体" w:cs="宋体"/>
          <w:color w:val="auto"/>
          <w:sz w:val="21"/>
          <w:szCs w:val="16"/>
          <w:highlight w:val="none"/>
          <w:lang w:val="en-US" w:eastAsia="zh-CN"/>
        </w:rPr>
        <w:t xml:space="preserve">   </w:t>
      </w:r>
      <w:r>
        <w:rPr>
          <w:rFonts w:hint="eastAsia" w:ascii="宋体" w:hAnsi="宋体" w:eastAsia="宋体" w:cs="宋体"/>
          <w:color w:val="auto"/>
          <w:sz w:val="21"/>
          <w:szCs w:val="16"/>
          <w:highlight w:val="none"/>
        </w:rPr>
        <w:t>3. （本项目不接受联合体）如果是联合体投标，联合体各方需提供的满足</w:t>
      </w:r>
      <w:r>
        <w:rPr>
          <w:rFonts w:hint="eastAsia" w:hAnsi="宋体" w:cs="宋体"/>
          <w:color w:val="auto"/>
          <w:sz w:val="21"/>
          <w:szCs w:val="16"/>
          <w:highlight w:val="none"/>
          <w:lang w:val="en-US" w:eastAsia="zh-CN"/>
        </w:rPr>
        <w:t>招标</w:t>
      </w:r>
      <w:r>
        <w:rPr>
          <w:rFonts w:hint="eastAsia" w:ascii="宋体" w:hAnsi="宋体" w:eastAsia="宋体" w:cs="宋体"/>
          <w:color w:val="auto"/>
          <w:sz w:val="21"/>
          <w:szCs w:val="16"/>
          <w:highlight w:val="none"/>
          <w:lang w:eastAsia="zh-CN"/>
        </w:rPr>
        <w:t>文件</w:t>
      </w:r>
      <w:r>
        <w:rPr>
          <w:rFonts w:hint="eastAsia" w:ascii="宋体" w:hAnsi="宋体" w:eastAsia="宋体" w:cs="宋体"/>
          <w:color w:val="auto"/>
          <w:sz w:val="21"/>
          <w:szCs w:val="16"/>
          <w:highlight w:val="none"/>
        </w:rPr>
        <w:t>要求的其他资格证明文件。</w:t>
      </w:r>
    </w:p>
    <w:p>
      <w:pPr>
        <w:pStyle w:val="2"/>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2"/>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pPr>
        <w:pStyle w:val="2"/>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12</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投标人认为有必要提供的其他证明材料（格式自拟）</w:t>
      </w:r>
    </w:p>
    <w:p>
      <w:pPr>
        <w:shd w:val="clear" w:color="auto" w:fill="auto"/>
        <w:rPr>
          <w:rFonts w:hint="eastAsia" w:ascii="宋体" w:hAnsi="宋体" w:eastAsia="宋体" w:cs="宋体"/>
          <w:color w:val="auto"/>
          <w:highlight w:val="none"/>
        </w:rPr>
      </w:pPr>
    </w:p>
    <w:p>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说明：1.复印件上应加盖本单位章（自然人投标的无需盖章，需要签字）。</w:t>
      </w:r>
    </w:p>
    <w:p>
      <w:pPr>
        <w:pStyle w:val="14"/>
        <w:shd w:val="clear" w:color="auto" w:fill="auto"/>
        <w:tabs>
          <w:tab w:val="left" w:pos="5580"/>
        </w:tabs>
        <w:spacing w:line="360" w:lineRule="auto"/>
        <w:ind w:left="1100" w:leftChars="257" w:hanging="540"/>
        <w:rPr>
          <w:rFonts w:hint="eastAsia"/>
          <w:color w:val="auto"/>
          <w:highlight w:val="none"/>
        </w:rPr>
      </w:pPr>
      <w:r>
        <w:rPr>
          <w:rFonts w:hint="eastAsia" w:ascii="宋体" w:hAnsi="宋体" w:eastAsia="宋体" w:cs="宋体"/>
          <w:color w:val="auto"/>
          <w:sz w:val="21"/>
          <w:szCs w:val="16"/>
          <w:highlight w:val="none"/>
          <w:lang w:val="en-US" w:eastAsia="zh-CN"/>
        </w:rPr>
        <w:t>2.（本项目不接受联合体）如果是联合体投标，联合体各方需提供的满足招标文件要求的其他资格证明文件。</w:t>
      </w:r>
    </w:p>
    <w:sectPr>
      <w:headerReference r:id="rId6" w:type="default"/>
      <w:footerReference r:id="rId7" w:type="default"/>
      <w:pgSz w:w="11905" w:h="16838"/>
      <w:pgMar w:top="1440" w:right="1797" w:bottom="1440" w:left="1797" w:header="850" w:footer="992" w:gutter="0"/>
      <w:pgNumType w:fmt="decimal"/>
      <w:cols w:space="0" w:num="1"/>
      <w:rtlGutter w:val="0"/>
      <w:docGrid w:type="linesAndChars" w:linePitch="332" w:charSpace="17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长城仿宋">
    <w:altName w:val="宋体"/>
    <w:panose1 w:val="02010609000101010101"/>
    <w:charset w:val="86"/>
    <w:family w:val="modern"/>
    <w:pitch w:val="default"/>
    <w:sig w:usb0="00000000" w:usb1="00000000" w:usb2="00000010" w:usb3="00000000" w:csb0="00040000" w:csb1="00000000"/>
  </w:font>
  <w:font w:name="华文仿宋">
    <w:altName w:val="仿宋"/>
    <w:panose1 w:val="02010600040101010101"/>
    <w:charset w:val="86"/>
    <w:family w:val="swiss"/>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pPr>
      <w:pStyle w:val="17"/>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pPr>
      <w:pStyle w:val="17"/>
      <w:tabs>
        <w:tab w:val="center" w:pos="4320"/>
        <w:tab w:val="right" w:pos="8640"/>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color w:val="800000"/>
        <w:sz w:val="16"/>
        <w:szCs w:val="20"/>
        <w:lang w:val="en-US" w:eastAsia="zh-CN"/>
      </w:rPr>
      <w:t xml:space="preserve">        </w:t>
    </w:r>
  </w:p>
  <w:p>
    <w:pPr>
      <w:pStyle w:val="17"/>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7"/>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2023年支持学前教育发展资金建设项目（设备采购）</w:t>
    </w:r>
    <w:r>
      <w:rPr>
        <w:rFonts w:hint="eastAsia"/>
        <w:lang w:val="en-US" w:eastAsia="zh-CN"/>
      </w:rPr>
      <w:t>二包</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ascii="宋体" w:hAnsi="宋体" w:eastAsia="宋体" w:cs="宋体"/>
        <w:b w:val="0"/>
        <w:bCs w:val="0"/>
        <w:sz w:val="21"/>
        <w:szCs w:val="21"/>
        <w:lang w:val="en-US" w:eastAsia="zh-CN"/>
      </w:rPr>
    </w:pPr>
    <w:r>
      <w:rPr>
        <w:rFonts w:hint="eastAsia"/>
      </w:rPr>
      <w:t>2023年支持学前教育发展资金建设项目（设备采购）</w:t>
    </w:r>
    <w:r>
      <w:rPr>
        <w:rFonts w:hint="eastAsia"/>
        <w:lang w:val="en-US" w:eastAsia="zh-CN"/>
      </w:rPr>
      <w:t>二包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C482C"/>
    <w:multiLevelType w:val="singleLevel"/>
    <w:tmpl w:val="B36C482C"/>
    <w:lvl w:ilvl="0" w:tentative="0">
      <w:start w:val="2"/>
      <w:numFmt w:val="chineseCounting"/>
      <w:suff w:val="space"/>
      <w:lvlText w:val="第%1章"/>
      <w:lvlJc w:val="left"/>
      <w:pPr>
        <w:ind w:left="-1816"/>
      </w:pPr>
      <w:rPr>
        <w:rFonts w:hint="eastAsia"/>
      </w:rPr>
    </w:lvl>
  </w:abstractNum>
  <w:abstractNum w:abstractNumId="1">
    <w:nsid w:val="B8A8889F"/>
    <w:multiLevelType w:val="singleLevel"/>
    <w:tmpl w:val="B8A8889F"/>
    <w:lvl w:ilvl="0" w:tentative="0">
      <w:start w:val="2"/>
      <w:numFmt w:val="chineseCounting"/>
      <w:suff w:val="space"/>
      <w:lvlText w:val="（%1）"/>
      <w:lvlJc w:val="left"/>
      <w:rPr>
        <w:rFonts w:hint="eastAsia"/>
      </w:rPr>
    </w:lvl>
  </w:abstractNum>
  <w:abstractNum w:abstractNumId="2">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1E9214C"/>
    <w:multiLevelType w:val="singleLevel"/>
    <w:tmpl w:val="01E9214C"/>
    <w:lvl w:ilvl="0" w:tentative="0">
      <w:start w:val="3"/>
      <w:numFmt w:val="decimal"/>
      <w:lvlText w:val="%1."/>
      <w:lvlJc w:val="left"/>
      <w:pPr>
        <w:tabs>
          <w:tab w:val="left" w:pos="420"/>
        </w:tabs>
        <w:ind w:left="425" w:leftChars="0" w:hanging="425" w:firstLineChars="0"/>
      </w:pPr>
      <w:rPr>
        <w:rFonts w:hint="default"/>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11A64EEE"/>
    <w:multiLevelType w:val="singleLevel"/>
    <w:tmpl w:val="11A64EEE"/>
    <w:lvl w:ilvl="0" w:tentative="0">
      <w:start w:val="1"/>
      <w:numFmt w:val="chineseCounting"/>
      <w:suff w:val="nothing"/>
      <w:lvlText w:val="%1、"/>
      <w:lvlJc w:val="left"/>
      <w:pPr>
        <w:ind w:left="0"/>
      </w:pPr>
      <w:rPr>
        <w:rFonts w:hint="eastAsia"/>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2"/>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EC8727B"/>
    <w:multiLevelType w:val="singleLevel"/>
    <w:tmpl w:val="6EC8727B"/>
    <w:lvl w:ilvl="0" w:tentative="0">
      <w:start w:val="1"/>
      <w:numFmt w:val="decimal"/>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1">
    <w:nsid w:val="7A0CFAC0"/>
    <w:multiLevelType w:val="singleLevel"/>
    <w:tmpl w:val="7A0CFAC0"/>
    <w:lvl w:ilvl="0" w:tentative="0">
      <w:start w:val="1"/>
      <w:numFmt w:val="decimal"/>
      <w:lvlText w:val="%1."/>
      <w:lvlJc w:val="left"/>
      <w:pPr>
        <w:tabs>
          <w:tab w:val="left" w:pos="312"/>
        </w:tabs>
      </w:pPr>
    </w:lvl>
  </w:abstractNum>
  <w:num w:numId="1">
    <w:abstractNumId w:val="6"/>
  </w:num>
  <w:num w:numId="2">
    <w:abstractNumId w:val="7"/>
  </w:num>
  <w:num w:numId="3">
    <w:abstractNumId w:val="0"/>
  </w:num>
  <w:num w:numId="4">
    <w:abstractNumId w:val="5"/>
  </w:num>
  <w:num w:numId="5">
    <w:abstractNumId w:val="9"/>
  </w:num>
  <w:num w:numId="6">
    <w:abstractNumId w:val="8"/>
  </w:num>
  <w:num w:numId="7">
    <w:abstractNumId w:val="4"/>
  </w:num>
  <w:num w:numId="8">
    <w:abstractNumId w:val="10"/>
  </w:num>
  <w:num w:numId="9">
    <w:abstractNumId w:val="11"/>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9"/>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YWZlNDUzNTczNmQ5NzgwM2U4ODhmMzg0YTdlZT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1800"/>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135"/>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0C0502"/>
    <w:rsid w:val="01437C9C"/>
    <w:rsid w:val="014743B3"/>
    <w:rsid w:val="014F04E5"/>
    <w:rsid w:val="016F283F"/>
    <w:rsid w:val="01920401"/>
    <w:rsid w:val="0195644C"/>
    <w:rsid w:val="019E4202"/>
    <w:rsid w:val="01B87B26"/>
    <w:rsid w:val="01BB2E56"/>
    <w:rsid w:val="01C072D1"/>
    <w:rsid w:val="01C62F65"/>
    <w:rsid w:val="0255198A"/>
    <w:rsid w:val="027423B3"/>
    <w:rsid w:val="028E7BDF"/>
    <w:rsid w:val="02B472A9"/>
    <w:rsid w:val="02C95469"/>
    <w:rsid w:val="02D34744"/>
    <w:rsid w:val="02D61B95"/>
    <w:rsid w:val="03101E00"/>
    <w:rsid w:val="033E4DA4"/>
    <w:rsid w:val="0360329F"/>
    <w:rsid w:val="03B44E81"/>
    <w:rsid w:val="03E11484"/>
    <w:rsid w:val="040636B7"/>
    <w:rsid w:val="04552530"/>
    <w:rsid w:val="0465519A"/>
    <w:rsid w:val="04B05277"/>
    <w:rsid w:val="04B14A54"/>
    <w:rsid w:val="04BD7D66"/>
    <w:rsid w:val="04E86924"/>
    <w:rsid w:val="05087233"/>
    <w:rsid w:val="050D4295"/>
    <w:rsid w:val="05371AF0"/>
    <w:rsid w:val="0548574A"/>
    <w:rsid w:val="05534E65"/>
    <w:rsid w:val="05544350"/>
    <w:rsid w:val="055A5E8C"/>
    <w:rsid w:val="05D02834"/>
    <w:rsid w:val="05E64C20"/>
    <w:rsid w:val="05ED6429"/>
    <w:rsid w:val="05F45A09"/>
    <w:rsid w:val="064A0705"/>
    <w:rsid w:val="06897EFF"/>
    <w:rsid w:val="06A04F45"/>
    <w:rsid w:val="06AF7AFE"/>
    <w:rsid w:val="06B04F83"/>
    <w:rsid w:val="06D500D3"/>
    <w:rsid w:val="074143D2"/>
    <w:rsid w:val="07443158"/>
    <w:rsid w:val="074E6108"/>
    <w:rsid w:val="07C66477"/>
    <w:rsid w:val="07D41F0B"/>
    <w:rsid w:val="07EF451C"/>
    <w:rsid w:val="08083F2A"/>
    <w:rsid w:val="080A62FE"/>
    <w:rsid w:val="08112364"/>
    <w:rsid w:val="082779D0"/>
    <w:rsid w:val="08305869"/>
    <w:rsid w:val="083640B7"/>
    <w:rsid w:val="088F1F3E"/>
    <w:rsid w:val="089E6217"/>
    <w:rsid w:val="08A3733C"/>
    <w:rsid w:val="08BE09DC"/>
    <w:rsid w:val="08C96CD9"/>
    <w:rsid w:val="08D82CBE"/>
    <w:rsid w:val="08DF2475"/>
    <w:rsid w:val="08E421C5"/>
    <w:rsid w:val="08F63846"/>
    <w:rsid w:val="08F830FA"/>
    <w:rsid w:val="091F4B4B"/>
    <w:rsid w:val="092A4459"/>
    <w:rsid w:val="09F101AC"/>
    <w:rsid w:val="09F547F1"/>
    <w:rsid w:val="0A1641A0"/>
    <w:rsid w:val="0A374116"/>
    <w:rsid w:val="0A3E54A5"/>
    <w:rsid w:val="0A425D09"/>
    <w:rsid w:val="0A560047"/>
    <w:rsid w:val="0A615213"/>
    <w:rsid w:val="0A995798"/>
    <w:rsid w:val="0ACA4847"/>
    <w:rsid w:val="0AD361DF"/>
    <w:rsid w:val="0AF139A7"/>
    <w:rsid w:val="0BAF7383"/>
    <w:rsid w:val="0BB97AC8"/>
    <w:rsid w:val="0BCA09F3"/>
    <w:rsid w:val="0BCE4606"/>
    <w:rsid w:val="0BCF5D24"/>
    <w:rsid w:val="0BED0F30"/>
    <w:rsid w:val="0C174BC2"/>
    <w:rsid w:val="0C1A784C"/>
    <w:rsid w:val="0C7D722D"/>
    <w:rsid w:val="0C881CA5"/>
    <w:rsid w:val="0CB97FA9"/>
    <w:rsid w:val="0CCB1770"/>
    <w:rsid w:val="0CCE5B94"/>
    <w:rsid w:val="0CEF39AD"/>
    <w:rsid w:val="0CFF1A4A"/>
    <w:rsid w:val="0D327C6B"/>
    <w:rsid w:val="0D3F1B32"/>
    <w:rsid w:val="0D5F286E"/>
    <w:rsid w:val="0D6945E7"/>
    <w:rsid w:val="0D9F4315"/>
    <w:rsid w:val="0DC161D1"/>
    <w:rsid w:val="0DEB14A0"/>
    <w:rsid w:val="0DEB54DD"/>
    <w:rsid w:val="0E096438"/>
    <w:rsid w:val="0E33119A"/>
    <w:rsid w:val="0E484B44"/>
    <w:rsid w:val="0EA93835"/>
    <w:rsid w:val="0EEF05BA"/>
    <w:rsid w:val="0F0F11BE"/>
    <w:rsid w:val="0F2203CF"/>
    <w:rsid w:val="0F272863"/>
    <w:rsid w:val="0F2C78B5"/>
    <w:rsid w:val="0F49256A"/>
    <w:rsid w:val="0F6256F4"/>
    <w:rsid w:val="0FAC2639"/>
    <w:rsid w:val="0FB2671F"/>
    <w:rsid w:val="0FBF4B97"/>
    <w:rsid w:val="10130368"/>
    <w:rsid w:val="102E514F"/>
    <w:rsid w:val="104C77C0"/>
    <w:rsid w:val="1061783B"/>
    <w:rsid w:val="10BF71E9"/>
    <w:rsid w:val="10D241D0"/>
    <w:rsid w:val="11105DEF"/>
    <w:rsid w:val="111123A7"/>
    <w:rsid w:val="1132247A"/>
    <w:rsid w:val="11511AAD"/>
    <w:rsid w:val="11660481"/>
    <w:rsid w:val="11714438"/>
    <w:rsid w:val="117C475F"/>
    <w:rsid w:val="11D10160"/>
    <w:rsid w:val="1204469C"/>
    <w:rsid w:val="12135469"/>
    <w:rsid w:val="121E04E8"/>
    <w:rsid w:val="12200177"/>
    <w:rsid w:val="12293BD0"/>
    <w:rsid w:val="126E04C4"/>
    <w:rsid w:val="12900868"/>
    <w:rsid w:val="12C10A21"/>
    <w:rsid w:val="13441AE5"/>
    <w:rsid w:val="134A0A16"/>
    <w:rsid w:val="134C6DD6"/>
    <w:rsid w:val="136D666B"/>
    <w:rsid w:val="139F799A"/>
    <w:rsid w:val="13B17C71"/>
    <w:rsid w:val="13CE17D5"/>
    <w:rsid w:val="1405689D"/>
    <w:rsid w:val="14236387"/>
    <w:rsid w:val="1425441D"/>
    <w:rsid w:val="14301B0C"/>
    <w:rsid w:val="14711FFC"/>
    <w:rsid w:val="147C18B9"/>
    <w:rsid w:val="147E2158"/>
    <w:rsid w:val="14970D4A"/>
    <w:rsid w:val="14AD4DB8"/>
    <w:rsid w:val="14C4258A"/>
    <w:rsid w:val="15C13494"/>
    <w:rsid w:val="15EC220C"/>
    <w:rsid w:val="15F555B1"/>
    <w:rsid w:val="161E3404"/>
    <w:rsid w:val="169C77DB"/>
    <w:rsid w:val="16CD208A"/>
    <w:rsid w:val="170A6E3A"/>
    <w:rsid w:val="17122A20"/>
    <w:rsid w:val="1720040C"/>
    <w:rsid w:val="174E3C66"/>
    <w:rsid w:val="175005C5"/>
    <w:rsid w:val="17881110"/>
    <w:rsid w:val="178E0747"/>
    <w:rsid w:val="17BA0860"/>
    <w:rsid w:val="17F45202"/>
    <w:rsid w:val="17FF1CA5"/>
    <w:rsid w:val="186576DB"/>
    <w:rsid w:val="1870581D"/>
    <w:rsid w:val="18852DC4"/>
    <w:rsid w:val="18B43EE8"/>
    <w:rsid w:val="19940024"/>
    <w:rsid w:val="19B73F44"/>
    <w:rsid w:val="19FB2026"/>
    <w:rsid w:val="1A1C0075"/>
    <w:rsid w:val="1A2235E4"/>
    <w:rsid w:val="1A304E0A"/>
    <w:rsid w:val="1A5F2FF9"/>
    <w:rsid w:val="1A943AF7"/>
    <w:rsid w:val="1ADC3C25"/>
    <w:rsid w:val="1ADE6EE4"/>
    <w:rsid w:val="1B2C68C9"/>
    <w:rsid w:val="1B8A22F8"/>
    <w:rsid w:val="1B9546A5"/>
    <w:rsid w:val="1B9B7430"/>
    <w:rsid w:val="1BA809D0"/>
    <w:rsid w:val="1BAD4A8B"/>
    <w:rsid w:val="1BC872C4"/>
    <w:rsid w:val="1BC8769B"/>
    <w:rsid w:val="1BCE1685"/>
    <w:rsid w:val="1C041A94"/>
    <w:rsid w:val="1C456AEB"/>
    <w:rsid w:val="1C817B9F"/>
    <w:rsid w:val="1C8C41A9"/>
    <w:rsid w:val="1C913B90"/>
    <w:rsid w:val="1C982E58"/>
    <w:rsid w:val="1CAA2094"/>
    <w:rsid w:val="1CB338B2"/>
    <w:rsid w:val="1CF52D14"/>
    <w:rsid w:val="1D076741"/>
    <w:rsid w:val="1D0F3860"/>
    <w:rsid w:val="1D2A5E93"/>
    <w:rsid w:val="1D5C49B8"/>
    <w:rsid w:val="1D6227F8"/>
    <w:rsid w:val="1D644556"/>
    <w:rsid w:val="1D992CC6"/>
    <w:rsid w:val="1DAB7C59"/>
    <w:rsid w:val="1DBD1371"/>
    <w:rsid w:val="1DC96A0D"/>
    <w:rsid w:val="1DE1661E"/>
    <w:rsid w:val="1DFE291F"/>
    <w:rsid w:val="1E141822"/>
    <w:rsid w:val="1E385966"/>
    <w:rsid w:val="1E7D1FC4"/>
    <w:rsid w:val="1E990AA4"/>
    <w:rsid w:val="1EC41FC5"/>
    <w:rsid w:val="1EE42889"/>
    <w:rsid w:val="1F4C5B16"/>
    <w:rsid w:val="1F852551"/>
    <w:rsid w:val="1FA73631"/>
    <w:rsid w:val="1FBB64FE"/>
    <w:rsid w:val="1FC009DE"/>
    <w:rsid w:val="1FC24C03"/>
    <w:rsid w:val="1FC35DD8"/>
    <w:rsid w:val="1FF90AD1"/>
    <w:rsid w:val="200E1CB4"/>
    <w:rsid w:val="201448F3"/>
    <w:rsid w:val="2056004D"/>
    <w:rsid w:val="205F5715"/>
    <w:rsid w:val="206B2007"/>
    <w:rsid w:val="206E0288"/>
    <w:rsid w:val="207B4905"/>
    <w:rsid w:val="20A04297"/>
    <w:rsid w:val="20B322F1"/>
    <w:rsid w:val="20C20C31"/>
    <w:rsid w:val="20C84D12"/>
    <w:rsid w:val="210F6386"/>
    <w:rsid w:val="21543824"/>
    <w:rsid w:val="2197751D"/>
    <w:rsid w:val="21A6126D"/>
    <w:rsid w:val="21BA77C5"/>
    <w:rsid w:val="21CD2F3E"/>
    <w:rsid w:val="21E40288"/>
    <w:rsid w:val="220F1E76"/>
    <w:rsid w:val="223E3706"/>
    <w:rsid w:val="225D0766"/>
    <w:rsid w:val="227F3C44"/>
    <w:rsid w:val="22813E3B"/>
    <w:rsid w:val="22A14C18"/>
    <w:rsid w:val="22D14F53"/>
    <w:rsid w:val="22F4274D"/>
    <w:rsid w:val="23411CCC"/>
    <w:rsid w:val="23447230"/>
    <w:rsid w:val="23DB0465"/>
    <w:rsid w:val="23DE59BA"/>
    <w:rsid w:val="240E27FB"/>
    <w:rsid w:val="24305A06"/>
    <w:rsid w:val="2460453E"/>
    <w:rsid w:val="24613453"/>
    <w:rsid w:val="24A43F77"/>
    <w:rsid w:val="24C82820"/>
    <w:rsid w:val="24D16C22"/>
    <w:rsid w:val="24D740D4"/>
    <w:rsid w:val="25011339"/>
    <w:rsid w:val="256E3D48"/>
    <w:rsid w:val="25733DFD"/>
    <w:rsid w:val="25ED1E01"/>
    <w:rsid w:val="25F50CB6"/>
    <w:rsid w:val="26163EB5"/>
    <w:rsid w:val="26251D06"/>
    <w:rsid w:val="26321F0A"/>
    <w:rsid w:val="26445799"/>
    <w:rsid w:val="26B4725E"/>
    <w:rsid w:val="26C568DA"/>
    <w:rsid w:val="26CD6696"/>
    <w:rsid w:val="26D905D7"/>
    <w:rsid w:val="26EA6665"/>
    <w:rsid w:val="26F93445"/>
    <w:rsid w:val="2746688A"/>
    <w:rsid w:val="276A7481"/>
    <w:rsid w:val="276B6060"/>
    <w:rsid w:val="27822A1D"/>
    <w:rsid w:val="278F23C0"/>
    <w:rsid w:val="27A243AF"/>
    <w:rsid w:val="27B2145C"/>
    <w:rsid w:val="27BB71B0"/>
    <w:rsid w:val="27FA6A57"/>
    <w:rsid w:val="27FA7131"/>
    <w:rsid w:val="281077CC"/>
    <w:rsid w:val="281A0EA7"/>
    <w:rsid w:val="282317CB"/>
    <w:rsid w:val="28435545"/>
    <w:rsid w:val="287C121A"/>
    <w:rsid w:val="28962D82"/>
    <w:rsid w:val="28C22024"/>
    <w:rsid w:val="28DA4193"/>
    <w:rsid w:val="28E76FDC"/>
    <w:rsid w:val="28FB2A87"/>
    <w:rsid w:val="290129D3"/>
    <w:rsid w:val="298D5275"/>
    <w:rsid w:val="29F56D48"/>
    <w:rsid w:val="29F85218"/>
    <w:rsid w:val="2A0D0CC4"/>
    <w:rsid w:val="2A1B2201"/>
    <w:rsid w:val="2A3140FD"/>
    <w:rsid w:val="2A613DAE"/>
    <w:rsid w:val="2AC8240E"/>
    <w:rsid w:val="2AE474F4"/>
    <w:rsid w:val="2AE91610"/>
    <w:rsid w:val="2AF23A16"/>
    <w:rsid w:val="2B2D0EF2"/>
    <w:rsid w:val="2B337822"/>
    <w:rsid w:val="2B69661F"/>
    <w:rsid w:val="2BA271EA"/>
    <w:rsid w:val="2BAE7D76"/>
    <w:rsid w:val="2BCD7395"/>
    <w:rsid w:val="2BCE4856"/>
    <w:rsid w:val="2BEC2B5B"/>
    <w:rsid w:val="2C0B1EB7"/>
    <w:rsid w:val="2C3708A1"/>
    <w:rsid w:val="2C740C6A"/>
    <w:rsid w:val="2C8F5842"/>
    <w:rsid w:val="2CBA5B43"/>
    <w:rsid w:val="2CE34296"/>
    <w:rsid w:val="2CFE750E"/>
    <w:rsid w:val="2D05394C"/>
    <w:rsid w:val="2D0F7889"/>
    <w:rsid w:val="2D142369"/>
    <w:rsid w:val="2D874C30"/>
    <w:rsid w:val="2DF42E5B"/>
    <w:rsid w:val="2E0D4939"/>
    <w:rsid w:val="2E230507"/>
    <w:rsid w:val="2E734E6D"/>
    <w:rsid w:val="2EA27501"/>
    <w:rsid w:val="2EE46E89"/>
    <w:rsid w:val="2F3C2100"/>
    <w:rsid w:val="2F3E7857"/>
    <w:rsid w:val="2F5E167A"/>
    <w:rsid w:val="2F624773"/>
    <w:rsid w:val="2F6824F8"/>
    <w:rsid w:val="2F9060E8"/>
    <w:rsid w:val="2F9706CB"/>
    <w:rsid w:val="2FCA4F61"/>
    <w:rsid w:val="2FE00F3D"/>
    <w:rsid w:val="2FEC4067"/>
    <w:rsid w:val="2FF02C24"/>
    <w:rsid w:val="2FF40230"/>
    <w:rsid w:val="30246A80"/>
    <w:rsid w:val="304C5976"/>
    <w:rsid w:val="305C0CAD"/>
    <w:rsid w:val="307325D9"/>
    <w:rsid w:val="30B11ABF"/>
    <w:rsid w:val="30C51EF2"/>
    <w:rsid w:val="315C42DF"/>
    <w:rsid w:val="318178A1"/>
    <w:rsid w:val="318750EF"/>
    <w:rsid w:val="318C73AC"/>
    <w:rsid w:val="31E71DFA"/>
    <w:rsid w:val="31F2015C"/>
    <w:rsid w:val="31F67EDC"/>
    <w:rsid w:val="325D5CAE"/>
    <w:rsid w:val="32E53E60"/>
    <w:rsid w:val="333E257D"/>
    <w:rsid w:val="333E3305"/>
    <w:rsid w:val="337C0898"/>
    <w:rsid w:val="339C6263"/>
    <w:rsid w:val="341774EA"/>
    <w:rsid w:val="343C6007"/>
    <w:rsid w:val="3474525E"/>
    <w:rsid w:val="348231C8"/>
    <w:rsid w:val="349756CD"/>
    <w:rsid w:val="34BB1D0D"/>
    <w:rsid w:val="34DB703E"/>
    <w:rsid w:val="352B6080"/>
    <w:rsid w:val="352E7A4E"/>
    <w:rsid w:val="355D1BDD"/>
    <w:rsid w:val="35C81F43"/>
    <w:rsid w:val="35CB6407"/>
    <w:rsid w:val="35F273D0"/>
    <w:rsid w:val="35FF1075"/>
    <w:rsid w:val="36312BA6"/>
    <w:rsid w:val="363E3E80"/>
    <w:rsid w:val="364147F8"/>
    <w:rsid w:val="36636652"/>
    <w:rsid w:val="36AB0D07"/>
    <w:rsid w:val="36B85B13"/>
    <w:rsid w:val="36CA51EA"/>
    <w:rsid w:val="36E7289C"/>
    <w:rsid w:val="36F44901"/>
    <w:rsid w:val="370C2303"/>
    <w:rsid w:val="371216F3"/>
    <w:rsid w:val="371562DB"/>
    <w:rsid w:val="37256F21"/>
    <w:rsid w:val="37321D6A"/>
    <w:rsid w:val="37555A58"/>
    <w:rsid w:val="37B26BC7"/>
    <w:rsid w:val="37BA272F"/>
    <w:rsid w:val="37DF7667"/>
    <w:rsid w:val="37FC17D0"/>
    <w:rsid w:val="3810197F"/>
    <w:rsid w:val="382F7F59"/>
    <w:rsid w:val="38457E09"/>
    <w:rsid w:val="3898459D"/>
    <w:rsid w:val="38B4677D"/>
    <w:rsid w:val="38D65532"/>
    <w:rsid w:val="38ED08FE"/>
    <w:rsid w:val="39184D62"/>
    <w:rsid w:val="39585248"/>
    <w:rsid w:val="39682C9F"/>
    <w:rsid w:val="39C0030D"/>
    <w:rsid w:val="39E15BEA"/>
    <w:rsid w:val="3A4E20D5"/>
    <w:rsid w:val="3AB535E1"/>
    <w:rsid w:val="3AF96F3C"/>
    <w:rsid w:val="3AFF6407"/>
    <w:rsid w:val="3B4E1274"/>
    <w:rsid w:val="3B6A75F8"/>
    <w:rsid w:val="3B8A2759"/>
    <w:rsid w:val="3BA20BFD"/>
    <w:rsid w:val="3BA42B0A"/>
    <w:rsid w:val="3BAD45DF"/>
    <w:rsid w:val="3BC40B50"/>
    <w:rsid w:val="3BD01B51"/>
    <w:rsid w:val="3C003D8D"/>
    <w:rsid w:val="3C26586A"/>
    <w:rsid w:val="3C3917A1"/>
    <w:rsid w:val="3C526997"/>
    <w:rsid w:val="3C5C2847"/>
    <w:rsid w:val="3C925059"/>
    <w:rsid w:val="3CB5559F"/>
    <w:rsid w:val="3CBC2B52"/>
    <w:rsid w:val="3CBE52C8"/>
    <w:rsid w:val="3CC870FB"/>
    <w:rsid w:val="3CE753A4"/>
    <w:rsid w:val="3D1F312E"/>
    <w:rsid w:val="3D6A7724"/>
    <w:rsid w:val="3DDC1163"/>
    <w:rsid w:val="3E3711E2"/>
    <w:rsid w:val="3E375EB7"/>
    <w:rsid w:val="3E421533"/>
    <w:rsid w:val="3E4E44C1"/>
    <w:rsid w:val="3E8D5E6B"/>
    <w:rsid w:val="3ED01430"/>
    <w:rsid w:val="3EDC25BB"/>
    <w:rsid w:val="3EE906FE"/>
    <w:rsid w:val="3F0B6C2D"/>
    <w:rsid w:val="3F66594E"/>
    <w:rsid w:val="3F796D91"/>
    <w:rsid w:val="3F9733C2"/>
    <w:rsid w:val="3FA30497"/>
    <w:rsid w:val="3FA763B0"/>
    <w:rsid w:val="3FAA7FC2"/>
    <w:rsid w:val="3FD247CD"/>
    <w:rsid w:val="3FD414E4"/>
    <w:rsid w:val="4024246B"/>
    <w:rsid w:val="40D45C40"/>
    <w:rsid w:val="40DB5220"/>
    <w:rsid w:val="40E81C84"/>
    <w:rsid w:val="40F94293"/>
    <w:rsid w:val="4157061F"/>
    <w:rsid w:val="41662610"/>
    <w:rsid w:val="41921B27"/>
    <w:rsid w:val="41D75722"/>
    <w:rsid w:val="421D3616"/>
    <w:rsid w:val="429E34F1"/>
    <w:rsid w:val="42AA6865"/>
    <w:rsid w:val="42B702DA"/>
    <w:rsid w:val="42C57F36"/>
    <w:rsid w:val="42D27F5D"/>
    <w:rsid w:val="42EA6221"/>
    <w:rsid w:val="42EF4755"/>
    <w:rsid w:val="431C182F"/>
    <w:rsid w:val="434A46EC"/>
    <w:rsid w:val="435C7A89"/>
    <w:rsid w:val="43941B2C"/>
    <w:rsid w:val="43CB2F74"/>
    <w:rsid w:val="444A568D"/>
    <w:rsid w:val="444C4C47"/>
    <w:rsid w:val="44531998"/>
    <w:rsid w:val="44590819"/>
    <w:rsid w:val="445B488C"/>
    <w:rsid w:val="446E48E9"/>
    <w:rsid w:val="44784B34"/>
    <w:rsid w:val="447B1C4D"/>
    <w:rsid w:val="44F87A23"/>
    <w:rsid w:val="450F3328"/>
    <w:rsid w:val="453252CE"/>
    <w:rsid w:val="453A4CCF"/>
    <w:rsid w:val="45597105"/>
    <w:rsid w:val="455E0086"/>
    <w:rsid w:val="45640302"/>
    <w:rsid w:val="456C63D5"/>
    <w:rsid w:val="45747A07"/>
    <w:rsid w:val="45763405"/>
    <w:rsid w:val="45E73FDA"/>
    <w:rsid w:val="46293689"/>
    <w:rsid w:val="464E7D0F"/>
    <w:rsid w:val="465A35BD"/>
    <w:rsid w:val="465D0485"/>
    <w:rsid w:val="465F0134"/>
    <w:rsid w:val="46D93AEF"/>
    <w:rsid w:val="47113641"/>
    <w:rsid w:val="4742292E"/>
    <w:rsid w:val="475E2568"/>
    <w:rsid w:val="47842674"/>
    <w:rsid w:val="47886BC2"/>
    <w:rsid w:val="4795427E"/>
    <w:rsid w:val="479F32A6"/>
    <w:rsid w:val="47A143A2"/>
    <w:rsid w:val="47AF4D11"/>
    <w:rsid w:val="47B9126E"/>
    <w:rsid w:val="47FF763C"/>
    <w:rsid w:val="48322A33"/>
    <w:rsid w:val="48492E5F"/>
    <w:rsid w:val="4866371A"/>
    <w:rsid w:val="48A95C04"/>
    <w:rsid w:val="48CE652C"/>
    <w:rsid w:val="48D91605"/>
    <w:rsid w:val="48F97216"/>
    <w:rsid w:val="48FF3A76"/>
    <w:rsid w:val="492275A4"/>
    <w:rsid w:val="493B797D"/>
    <w:rsid w:val="49446E29"/>
    <w:rsid w:val="495A158B"/>
    <w:rsid w:val="497955D6"/>
    <w:rsid w:val="49AC3041"/>
    <w:rsid w:val="49B16CC5"/>
    <w:rsid w:val="49C9699B"/>
    <w:rsid w:val="49DD50AA"/>
    <w:rsid w:val="4A061B4C"/>
    <w:rsid w:val="4A496086"/>
    <w:rsid w:val="4A6C513B"/>
    <w:rsid w:val="4A74295D"/>
    <w:rsid w:val="4A92483C"/>
    <w:rsid w:val="4AA523FB"/>
    <w:rsid w:val="4AC11C68"/>
    <w:rsid w:val="4ACD4CEF"/>
    <w:rsid w:val="4ACE1952"/>
    <w:rsid w:val="4AED7EB2"/>
    <w:rsid w:val="4AEF15D8"/>
    <w:rsid w:val="4B005883"/>
    <w:rsid w:val="4B036369"/>
    <w:rsid w:val="4B0B0B93"/>
    <w:rsid w:val="4B2C6EA1"/>
    <w:rsid w:val="4B61791F"/>
    <w:rsid w:val="4B7A0F54"/>
    <w:rsid w:val="4BA97CC9"/>
    <w:rsid w:val="4BE40D01"/>
    <w:rsid w:val="4C143394"/>
    <w:rsid w:val="4C4C09CF"/>
    <w:rsid w:val="4C4D6CFC"/>
    <w:rsid w:val="4C7E4CB1"/>
    <w:rsid w:val="4CA02851"/>
    <w:rsid w:val="4CA718F2"/>
    <w:rsid w:val="4D094EC3"/>
    <w:rsid w:val="4D141FE0"/>
    <w:rsid w:val="4D446E3D"/>
    <w:rsid w:val="4D646B23"/>
    <w:rsid w:val="4DAC05E6"/>
    <w:rsid w:val="4DC126F3"/>
    <w:rsid w:val="4DC236BE"/>
    <w:rsid w:val="4E0524B6"/>
    <w:rsid w:val="4E0E5897"/>
    <w:rsid w:val="4E4242CC"/>
    <w:rsid w:val="4E5403C0"/>
    <w:rsid w:val="4E5F5F0E"/>
    <w:rsid w:val="4E677615"/>
    <w:rsid w:val="4ED079B5"/>
    <w:rsid w:val="4ED127FF"/>
    <w:rsid w:val="4ED96A7E"/>
    <w:rsid w:val="4F540514"/>
    <w:rsid w:val="4F6666E3"/>
    <w:rsid w:val="4F742507"/>
    <w:rsid w:val="4F9C22EA"/>
    <w:rsid w:val="4FA72771"/>
    <w:rsid w:val="4FB22195"/>
    <w:rsid w:val="4FFE3062"/>
    <w:rsid w:val="500372D1"/>
    <w:rsid w:val="50276970"/>
    <w:rsid w:val="50772144"/>
    <w:rsid w:val="50854860"/>
    <w:rsid w:val="50C01628"/>
    <w:rsid w:val="50C65FDD"/>
    <w:rsid w:val="50C77758"/>
    <w:rsid w:val="50E028B4"/>
    <w:rsid w:val="50E344A6"/>
    <w:rsid w:val="5119769F"/>
    <w:rsid w:val="51271000"/>
    <w:rsid w:val="517D674F"/>
    <w:rsid w:val="51917235"/>
    <w:rsid w:val="51B11960"/>
    <w:rsid w:val="51EF0B3A"/>
    <w:rsid w:val="5200468D"/>
    <w:rsid w:val="520B596A"/>
    <w:rsid w:val="5226253D"/>
    <w:rsid w:val="522D7877"/>
    <w:rsid w:val="526D37FE"/>
    <w:rsid w:val="52C728C5"/>
    <w:rsid w:val="52E57E15"/>
    <w:rsid w:val="52EB0BC7"/>
    <w:rsid w:val="52FD43C9"/>
    <w:rsid w:val="531B187C"/>
    <w:rsid w:val="533C110A"/>
    <w:rsid w:val="536A3A27"/>
    <w:rsid w:val="53737AE7"/>
    <w:rsid w:val="53DE35D5"/>
    <w:rsid w:val="5403105C"/>
    <w:rsid w:val="543E122D"/>
    <w:rsid w:val="544544DB"/>
    <w:rsid w:val="54454A38"/>
    <w:rsid w:val="54603722"/>
    <w:rsid w:val="5460414F"/>
    <w:rsid w:val="54680721"/>
    <w:rsid w:val="546E385E"/>
    <w:rsid w:val="546E6143"/>
    <w:rsid w:val="54752E3E"/>
    <w:rsid w:val="54994D7E"/>
    <w:rsid w:val="54B76D9A"/>
    <w:rsid w:val="54C44B46"/>
    <w:rsid w:val="54D34337"/>
    <w:rsid w:val="54DA5D8D"/>
    <w:rsid w:val="54ED35AA"/>
    <w:rsid w:val="55115959"/>
    <w:rsid w:val="551D40DC"/>
    <w:rsid w:val="55A82D9F"/>
    <w:rsid w:val="55B41744"/>
    <w:rsid w:val="55B921AE"/>
    <w:rsid w:val="55C217A6"/>
    <w:rsid w:val="55F964C0"/>
    <w:rsid w:val="565A665B"/>
    <w:rsid w:val="566B44F9"/>
    <w:rsid w:val="568000FE"/>
    <w:rsid w:val="56CE1E48"/>
    <w:rsid w:val="57441971"/>
    <w:rsid w:val="574D0B96"/>
    <w:rsid w:val="5753390A"/>
    <w:rsid w:val="57790E97"/>
    <w:rsid w:val="577949F3"/>
    <w:rsid w:val="5781344E"/>
    <w:rsid w:val="578923D3"/>
    <w:rsid w:val="57A26B5A"/>
    <w:rsid w:val="57C837F3"/>
    <w:rsid w:val="57D27E9C"/>
    <w:rsid w:val="58002426"/>
    <w:rsid w:val="584E6149"/>
    <w:rsid w:val="585A65D3"/>
    <w:rsid w:val="587868EA"/>
    <w:rsid w:val="587873A1"/>
    <w:rsid w:val="587C29ED"/>
    <w:rsid w:val="587D598D"/>
    <w:rsid w:val="589F3852"/>
    <w:rsid w:val="58BB798B"/>
    <w:rsid w:val="58E77E9A"/>
    <w:rsid w:val="59154646"/>
    <w:rsid w:val="592E2712"/>
    <w:rsid w:val="5935428B"/>
    <w:rsid w:val="59537423"/>
    <w:rsid w:val="59637709"/>
    <w:rsid w:val="59695434"/>
    <w:rsid w:val="598B2F92"/>
    <w:rsid w:val="59CA7788"/>
    <w:rsid w:val="59D06384"/>
    <w:rsid w:val="59D46859"/>
    <w:rsid w:val="59EB363D"/>
    <w:rsid w:val="59F359C5"/>
    <w:rsid w:val="5A6E2A15"/>
    <w:rsid w:val="5AA705B3"/>
    <w:rsid w:val="5AF54CD9"/>
    <w:rsid w:val="5B105132"/>
    <w:rsid w:val="5B314FB8"/>
    <w:rsid w:val="5B395408"/>
    <w:rsid w:val="5B445318"/>
    <w:rsid w:val="5B5136E8"/>
    <w:rsid w:val="5B8542BD"/>
    <w:rsid w:val="5B931646"/>
    <w:rsid w:val="5B935A55"/>
    <w:rsid w:val="5BA929E0"/>
    <w:rsid w:val="5BB22788"/>
    <w:rsid w:val="5BEF0AD5"/>
    <w:rsid w:val="5C0E64BD"/>
    <w:rsid w:val="5C0F3B78"/>
    <w:rsid w:val="5C36729C"/>
    <w:rsid w:val="5C520E7C"/>
    <w:rsid w:val="5C5611D3"/>
    <w:rsid w:val="5C6E5A67"/>
    <w:rsid w:val="5CC055C4"/>
    <w:rsid w:val="5CC07DD9"/>
    <w:rsid w:val="5D0D35F8"/>
    <w:rsid w:val="5D123E93"/>
    <w:rsid w:val="5D1C654D"/>
    <w:rsid w:val="5D2017FC"/>
    <w:rsid w:val="5DB24AEC"/>
    <w:rsid w:val="5DB449D7"/>
    <w:rsid w:val="5DC23869"/>
    <w:rsid w:val="5DC62A8F"/>
    <w:rsid w:val="5DD274C8"/>
    <w:rsid w:val="5DDC7A8A"/>
    <w:rsid w:val="5E6D4E5F"/>
    <w:rsid w:val="5E8343A9"/>
    <w:rsid w:val="5E875C48"/>
    <w:rsid w:val="5EBF4451"/>
    <w:rsid w:val="5ECF7C24"/>
    <w:rsid w:val="5EFA2F5D"/>
    <w:rsid w:val="5F0E6877"/>
    <w:rsid w:val="5F1405A9"/>
    <w:rsid w:val="5F4E2C09"/>
    <w:rsid w:val="5F7C47FC"/>
    <w:rsid w:val="5F9251D4"/>
    <w:rsid w:val="5FB4164A"/>
    <w:rsid w:val="5FF41E65"/>
    <w:rsid w:val="60675D31"/>
    <w:rsid w:val="606E61E9"/>
    <w:rsid w:val="6099055F"/>
    <w:rsid w:val="60BE0A02"/>
    <w:rsid w:val="60D17C50"/>
    <w:rsid w:val="60FD4CB9"/>
    <w:rsid w:val="61152866"/>
    <w:rsid w:val="6162299C"/>
    <w:rsid w:val="616B35FF"/>
    <w:rsid w:val="61CE7FA1"/>
    <w:rsid w:val="620F60E1"/>
    <w:rsid w:val="622017F1"/>
    <w:rsid w:val="62203E5B"/>
    <w:rsid w:val="62CF7BBD"/>
    <w:rsid w:val="62DD1EB5"/>
    <w:rsid w:val="63154001"/>
    <w:rsid w:val="633914DA"/>
    <w:rsid w:val="633D39F4"/>
    <w:rsid w:val="634467FD"/>
    <w:rsid w:val="63702DD0"/>
    <w:rsid w:val="63744BF1"/>
    <w:rsid w:val="6375205B"/>
    <w:rsid w:val="63937429"/>
    <w:rsid w:val="63955212"/>
    <w:rsid w:val="63B079EF"/>
    <w:rsid w:val="63D0339F"/>
    <w:rsid w:val="6413263F"/>
    <w:rsid w:val="64175F22"/>
    <w:rsid w:val="646A3415"/>
    <w:rsid w:val="64874BF3"/>
    <w:rsid w:val="64944B56"/>
    <w:rsid w:val="64B27796"/>
    <w:rsid w:val="64CA1A25"/>
    <w:rsid w:val="64E83DE8"/>
    <w:rsid w:val="64EC3D37"/>
    <w:rsid w:val="64EE1A97"/>
    <w:rsid w:val="65306815"/>
    <w:rsid w:val="65810E59"/>
    <w:rsid w:val="65817895"/>
    <w:rsid w:val="658E039D"/>
    <w:rsid w:val="65924CA9"/>
    <w:rsid w:val="65B46B2F"/>
    <w:rsid w:val="65C26A8E"/>
    <w:rsid w:val="65D200F0"/>
    <w:rsid w:val="65E51C8D"/>
    <w:rsid w:val="65FF6E40"/>
    <w:rsid w:val="660D2ED6"/>
    <w:rsid w:val="660E0C4E"/>
    <w:rsid w:val="6612135A"/>
    <w:rsid w:val="6659207B"/>
    <w:rsid w:val="66AE7DC2"/>
    <w:rsid w:val="66D6776C"/>
    <w:rsid w:val="66D85CF0"/>
    <w:rsid w:val="672A3F5C"/>
    <w:rsid w:val="672C66EE"/>
    <w:rsid w:val="673849B2"/>
    <w:rsid w:val="674D4335"/>
    <w:rsid w:val="67726657"/>
    <w:rsid w:val="678A4ED6"/>
    <w:rsid w:val="67BB05DB"/>
    <w:rsid w:val="67BD26DA"/>
    <w:rsid w:val="68120612"/>
    <w:rsid w:val="68744C4B"/>
    <w:rsid w:val="688A35DC"/>
    <w:rsid w:val="6896352A"/>
    <w:rsid w:val="68D51FF8"/>
    <w:rsid w:val="68F41093"/>
    <w:rsid w:val="69232A11"/>
    <w:rsid w:val="69252C2D"/>
    <w:rsid w:val="69296276"/>
    <w:rsid w:val="69297938"/>
    <w:rsid w:val="694F6758"/>
    <w:rsid w:val="695E2B47"/>
    <w:rsid w:val="69721525"/>
    <w:rsid w:val="69874162"/>
    <w:rsid w:val="69886D18"/>
    <w:rsid w:val="699C0B46"/>
    <w:rsid w:val="699E6EDB"/>
    <w:rsid w:val="69C02CC6"/>
    <w:rsid w:val="6A0C5CC5"/>
    <w:rsid w:val="6A0D4726"/>
    <w:rsid w:val="6A1011E7"/>
    <w:rsid w:val="6A5C61DA"/>
    <w:rsid w:val="6A7D7D3F"/>
    <w:rsid w:val="6A9C5931"/>
    <w:rsid w:val="6AD14FD7"/>
    <w:rsid w:val="6B2E30B1"/>
    <w:rsid w:val="6B327947"/>
    <w:rsid w:val="6BC92D5B"/>
    <w:rsid w:val="6BD20370"/>
    <w:rsid w:val="6BDC2A11"/>
    <w:rsid w:val="6BE85984"/>
    <w:rsid w:val="6C4179F9"/>
    <w:rsid w:val="6C7964CA"/>
    <w:rsid w:val="6C7D68DC"/>
    <w:rsid w:val="6D2356D5"/>
    <w:rsid w:val="6D374CDD"/>
    <w:rsid w:val="6D4603CA"/>
    <w:rsid w:val="6D7A376E"/>
    <w:rsid w:val="6D924ED4"/>
    <w:rsid w:val="6DB1683D"/>
    <w:rsid w:val="6DDA7911"/>
    <w:rsid w:val="6DDD3AD6"/>
    <w:rsid w:val="6E1F559C"/>
    <w:rsid w:val="6E74415F"/>
    <w:rsid w:val="6E9A3775"/>
    <w:rsid w:val="6EC425A0"/>
    <w:rsid w:val="6F155591"/>
    <w:rsid w:val="6F564781"/>
    <w:rsid w:val="6F944336"/>
    <w:rsid w:val="6FA110A6"/>
    <w:rsid w:val="6FAD4F96"/>
    <w:rsid w:val="6FC64B3E"/>
    <w:rsid w:val="6FD5610C"/>
    <w:rsid w:val="700A0487"/>
    <w:rsid w:val="70393F60"/>
    <w:rsid w:val="706E6C67"/>
    <w:rsid w:val="70903082"/>
    <w:rsid w:val="70A408DB"/>
    <w:rsid w:val="70A52F39"/>
    <w:rsid w:val="70CF206B"/>
    <w:rsid w:val="70D34E08"/>
    <w:rsid w:val="70EF5AB4"/>
    <w:rsid w:val="71411CC9"/>
    <w:rsid w:val="714D6F6C"/>
    <w:rsid w:val="71502811"/>
    <w:rsid w:val="71C10F2E"/>
    <w:rsid w:val="71C87C41"/>
    <w:rsid w:val="71C93E5C"/>
    <w:rsid w:val="722453CB"/>
    <w:rsid w:val="72365B57"/>
    <w:rsid w:val="72611287"/>
    <w:rsid w:val="72BB5F8B"/>
    <w:rsid w:val="72BB6655"/>
    <w:rsid w:val="72C712E1"/>
    <w:rsid w:val="72FA1A10"/>
    <w:rsid w:val="73322ECF"/>
    <w:rsid w:val="73662167"/>
    <w:rsid w:val="73952CB3"/>
    <w:rsid w:val="73C55FFA"/>
    <w:rsid w:val="73C60B68"/>
    <w:rsid w:val="73CE3DC7"/>
    <w:rsid w:val="744A0A36"/>
    <w:rsid w:val="7501589A"/>
    <w:rsid w:val="75092F11"/>
    <w:rsid w:val="751C6001"/>
    <w:rsid w:val="752C54C6"/>
    <w:rsid w:val="754B01EC"/>
    <w:rsid w:val="75686957"/>
    <w:rsid w:val="761A4816"/>
    <w:rsid w:val="76772852"/>
    <w:rsid w:val="767C4B99"/>
    <w:rsid w:val="769D3F76"/>
    <w:rsid w:val="76D36956"/>
    <w:rsid w:val="77110A7B"/>
    <w:rsid w:val="771D3195"/>
    <w:rsid w:val="7758241F"/>
    <w:rsid w:val="77821B7A"/>
    <w:rsid w:val="77AB1CCE"/>
    <w:rsid w:val="77CE2B0A"/>
    <w:rsid w:val="77F838AE"/>
    <w:rsid w:val="780E7E28"/>
    <w:rsid w:val="781B0555"/>
    <w:rsid w:val="783571CB"/>
    <w:rsid w:val="784E07A8"/>
    <w:rsid w:val="78533409"/>
    <w:rsid w:val="78705799"/>
    <w:rsid w:val="78774B27"/>
    <w:rsid w:val="787765F1"/>
    <w:rsid w:val="78D26A7E"/>
    <w:rsid w:val="78F9553C"/>
    <w:rsid w:val="790C34C1"/>
    <w:rsid w:val="79940026"/>
    <w:rsid w:val="79EE2BC7"/>
    <w:rsid w:val="7A162C99"/>
    <w:rsid w:val="7A173ECC"/>
    <w:rsid w:val="7A1C5986"/>
    <w:rsid w:val="7A72753A"/>
    <w:rsid w:val="7A8377B3"/>
    <w:rsid w:val="7ADA1C60"/>
    <w:rsid w:val="7AF47429"/>
    <w:rsid w:val="7B0862D8"/>
    <w:rsid w:val="7B130B37"/>
    <w:rsid w:val="7B406A51"/>
    <w:rsid w:val="7B6B4CD9"/>
    <w:rsid w:val="7B9B00FB"/>
    <w:rsid w:val="7BF7374C"/>
    <w:rsid w:val="7C01654E"/>
    <w:rsid w:val="7C09018C"/>
    <w:rsid w:val="7C3A2988"/>
    <w:rsid w:val="7C420122"/>
    <w:rsid w:val="7C480CB4"/>
    <w:rsid w:val="7C541224"/>
    <w:rsid w:val="7C675C0A"/>
    <w:rsid w:val="7C727ADF"/>
    <w:rsid w:val="7C960395"/>
    <w:rsid w:val="7CDA4E8F"/>
    <w:rsid w:val="7CF02627"/>
    <w:rsid w:val="7D114D01"/>
    <w:rsid w:val="7D741635"/>
    <w:rsid w:val="7DDC6E34"/>
    <w:rsid w:val="7E205AED"/>
    <w:rsid w:val="7E23216E"/>
    <w:rsid w:val="7E261365"/>
    <w:rsid w:val="7E751182"/>
    <w:rsid w:val="7E8E57B1"/>
    <w:rsid w:val="7EA41695"/>
    <w:rsid w:val="7EAC1347"/>
    <w:rsid w:val="7ED96E19"/>
    <w:rsid w:val="7F1F491B"/>
    <w:rsid w:val="7F245858"/>
    <w:rsid w:val="7F60009A"/>
    <w:rsid w:val="7F674346"/>
    <w:rsid w:val="7F9A1827"/>
    <w:rsid w:val="7FA22F78"/>
    <w:rsid w:val="7FA27CF2"/>
    <w:rsid w:val="7FAF4BA7"/>
    <w:rsid w:val="7FB201B2"/>
    <w:rsid w:val="7FB3011B"/>
    <w:rsid w:val="7FBA3291"/>
    <w:rsid w:val="7FBF128D"/>
    <w:rsid w:val="7FF00A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qFormat/>
    <w:uiPriority w:val="1"/>
    <w:pPr>
      <w:ind w:left="652"/>
      <w:outlineLvl w:val="3"/>
    </w:pPr>
    <w:rPr>
      <w:b/>
      <w:bCs/>
      <w:sz w:val="30"/>
      <w:szCs w:val="30"/>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toa heading"/>
    <w:basedOn w:val="1"/>
    <w:next w:val="1"/>
    <w:unhideWhenUsed/>
    <w:qFormat/>
    <w:uiPriority w:val="99"/>
    <w:pPr>
      <w:spacing w:before="120"/>
    </w:pPr>
    <w:rPr>
      <w:rFonts w:ascii="Cambria" w:hAnsi="Cambria"/>
      <w:sz w:val="24"/>
    </w:rPr>
  </w:style>
  <w:style w:type="paragraph" w:styleId="8">
    <w:name w:val="annotation text"/>
    <w:basedOn w:val="1"/>
    <w:qFormat/>
    <w:uiPriority w:val="0"/>
    <w:pPr>
      <w:jc w:val="left"/>
    </w:pPr>
  </w:style>
  <w:style w:type="paragraph" w:styleId="9">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0">
    <w:name w:val="Body Text"/>
    <w:basedOn w:val="1"/>
    <w:next w:val="11"/>
    <w:link w:val="44"/>
    <w:qFormat/>
    <w:uiPriority w:val="0"/>
    <w:pPr>
      <w:spacing w:after="120"/>
    </w:pPr>
  </w:style>
  <w:style w:type="paragraph" w:customStyle="1" w:styleId="11">
    <w:name w:val="_Style 2"/>
    <w:basedOn w:val="1"/>
    <w:next w:val="1"/>
    <w:qFormat/>
    <w:uiPriority w:val="0"/>
    <w:pPr>
      <w:ind w:firstLine="200" w:firstLineChars="200"/>
    </w:pPr>
    <w:rPr>
      <w:rFonts w:ascii="Calibri" w:hAnsi="Calibri"/>
      <w:sz w:val="28"/>
      <w:szCs w:val="22"/>
    </w:rPr>
  </w:style>
  <w:style w:type="paragraph" w:styleId="12">
    <w:name w:val="Body Text Indent"/>
    <w:basedOn w:val="1"/>
    <w:next w:val="1"/>
    <w:qFormat/>
    <w:uiPriority w:val="0"/>
    <w:pPr>
      <w:spacing w:after="120"/>
      <w:ind w:left="200" w:leftChars="200"/>
    </w:pPr>
  </w:style>
  <w:style w:type="paragraph" w:styleId="13">
    <w:name w:val="toc 3"/>
    <w:basedOn w:val="1"/>
    <w:next w:val="1"/>
    <w:qFormat/>
    <w:uiPriority w:val="39"/>
    <w:pPr>
      <w:tabs>
        <w:tab w:val="right" w:leader="dot" w:pos="9288"/>
      </w:tabs>
      <w:ind w:left="400" w:leftChars="400"/>
    </w:pPr>
    <w:rPr>
      <w:rFonts w:ascii="宋体"/>
    </w:rPr>
  </w:style>
  <w:style w:type="paragraph" w:styleId="14">
    <w:name w:val="Plain Text"/>
    <w:basedOn w:val="1"/>
    <w:next w:val="15"/>
    <w:link w:val="45"/>
    <w:qFormat/>
    <w:uiPriority w:val="0"/>
    <w:rPr>
      <w:rFonts w:ascii="宋体"/>
      <w:color w:val="000000"/>
      <w:szCs w:val="20"/>
      <w:u w:val="none" w:color="00000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link w:val="46"/>
    <w:qFormat/>
    <w:uiPriority w:val="0"/>
    <w:rPr>
      <w:rFonts w:ascii="Arial" w:hAnsi="Arial" w:eastAsia="仿宋_GB2312"/>
      <w:color w:val="000000"/>
      <w:sz w:val="32"/>
      <w:szCs w:val="20"/>
      <w:u w:val="none" w:color="000000"/>
    </w:rPr>
  </w:style>
  <w:style w:type="paragraph" w:styleId="17">
    <w:name w:val="footer"/>
    <w:basedOn w:val="1"/>
    <w:link w:val="47"/>
    <w:qFormat/>
    <w:uiPriority w:val="0"/>
    <w:pPr>
      <w:tabs>
        <w:tab w:val="center" w:pos="4153"/>
        <w:tab w:val="right" w:pos="8306"/>
      </w:tabs>
      <w:snapToGrid w:val="0"/>
      <w:jc w:val="left"/>
    </w:pPr>
    <w:rPr>
      <w:sz w:val="18"/>
      <w:szCs w:val="18"/>
    </w:rPr>
  </w:style>
  <w:style w:type="paragraph" w:styleId="18">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1">
    <w:name w:val="footnote text"/>
    <w:basedOn w:val="1"/>
    <w:next w:val="10"/>
    <w:qFormat/>
    <w:uiPriority w:val="0"/>
    <w:pPr>
      <w:snapToGrid w:val="0"/>
      <w:jc w:val="left"/>
    </w:pPr>
    <w:rPr>
      <w:rFonts w:ascii="Times New Roman" w:hAnsi="Times New Roman" w:eastAsia="宋体" w:cs="Times New Roman"/>
      <w:sz w:val="18"/>
    </w:rPr>
  </w:style>
  <w:style w:type="paragraph" w:styleId="22">
    <w:name w:val="toc 2"/>
    <w:basedOn w:val="1"/>
    <w:next w:val="1"/>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link w:val="78"/>
    <w:qFormat/>
    <w:uiPriority w:val="0"/>
    <w:pPr>
      <w:spacing w:before="240" w:after="60"/>
      <w:ind w:left="425" w:hanging="425"/>
      <w:jc w:val="center"/>
      <w:outlineLvl w:val="0"/>
    </w:pPr>
    <w:rPr>
      <w:rFonts w:ascii="Arial" w:hAnsi="Arial" w:cs="Arial"/>
      <w:b/>
      <w:bCs/>
      <w:sz w:val="32"/>
      <w:szCs w:val="32"/>
    </w:rPr>
  </w:style>
  <w:style w:type="paragraph" w:styleId="26">
    <w:name w:val="Body Text First Indent"/>
    <w:basedOn w:val="10"/>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7">
    <w:name w:val="Body Text First Indent 2"/>
    <w:basedOn w:val="12"/>
    <w:unhideWhenUsed/>
    <w:qFormat/>
    <w:uiPriority w:val="99"/>
    <w:pPr>
      <w:spacing w:after="120" w:line="240" w:lineRule="auto"/>
      <w:ind w:left="420" w:leftChars="200" w:firstLine="420"/>
    </w:pPr>
    <w:rPr>
      <w:rFonts w:cs="宋体"/>
      <w:sz w:val="21"/>
      <w:szCs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qFormat/>
    <w:uiPriority w:val="0"/>
    <w:rPr>
      <w:color w:val="333333"/>
      <w:u w:val="none"/>
    </w:rPr>
  </w:style>
  <w:style w:type="character" w:styleId="34">
    <w:name w:val="Emphasis"/>
    <w:basedOn w:val="30"/>
    <w:qFormat/>
    <w:uiPriority w:val="0"/>
    <w:rPr>
      <w:i/>
    </w:rPr>
  </w:style>
  <w:style w:type="character" w:styleId="35">
    <w:name w:val="HTML Definition"/>
    <w:basedOn w:val="30"/>
    <w:qFormat/>
    <w:uiPriority w:val="0"/>
  </w:style>
  <w:style w:type="character" w:styleId="36">
    <w:name w:val="HTML Typewriter"/>
    <w:basedOn w:val="30"/>
    <w:qFormat/>
    <w:uiPriority w:val="0"/>
    <w:rPr>
      <w:rFonts w:ascii="monospace" w:hAnsi="monospace" w:eastAsia="monospace" w:cs="monospace"/>
      <w:sz w:val="20"/>
    </w:rPr>
  </w:style>
  <w:style w:type="character" w:styleId="37">
    <w:name w:val="HTML Acronym"/>
    <w:basedOn w:val="30"/>
    <w:qFormat/>
    <w:uiPriority w:val="0"/>
  </w:style>
  <w:style w:type="character" w:styleId="38">
    <w:name w:val="HTML Variable"/>
    <w:basedOn w:val="30"/>
    <w:qFormat/>
    <w:uiPriority w:val="0"/>
  </w:style>
  <w:style w:type="character" w:styleId="39">
    <w:name w:val="Hyperlink"/>
    <w:basedOn w:val="30"/>
    <w:qFormat/>
    <w:uiPriority w:val="99"/>
    <w:rPr>
      <w:color w:val="0000FF"/>
      <w:u w:val="single"/>
    </w:rPr>
  </w:style>
  <w:style w:type="character" w:styleId="40">
    <w:name w:val="HTML Code"/>
    <w:basedOn w:val="30"/>
    <w:qFormat/>
    <w:uiPriority w:val="0"/>
    <w:rPr>
      <w:rFonts w:hint="default" w:ascii="monospace" w:hAnsi="monospace" w:eastAsia="monospace" w:cs="monospace"/>
      <w:sz w:val="20"/>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hint="default" w:ascii="monospace" w:hAnsi="monospace" w:eastAsia="monospace" w:cs="monospace"/>
    </w:rPr>
  </w:style>
  <w:style w:type="character" w:customStyle="1" w:styleId="44">
    <w:name w:val="正文文本 Char"/>
    <w:link w:val="10"/>
    <w:semiHidden/>
    <w:qFormat/>
    <w:locked/>
    <w:uiPriority w:val="0"/>
    <w:rPr>
      <w:rFonts w:eastAsia="宋体"/>
      <w:kern w:val="2"/>
      <w:sz w:val="21"/>
      <w:szCs w:val="24"/>
      <w:lang w:val="en-US" w:eastAsia="zh-CN" w:bidi="ar-SA"/>
    </w:rPr>
  </w:style>
  <w:style w:type="character" w:customStyle="1" w:styleId="45">
    <w:name w:val="纯文本 Char"/>
    <w:link w:val="14"/>
    <w:qFormat/>
    <w:uiPriority w:val="0"/>
    <w:rPr>
      <w:rFonts w:ascii="宋体"/>
      <w:color w:val="000000"/>
      <w:kern w:val="2"/>
      <w:sz w:val="21"/>
      <w:u w:val="none" w:color="000000"/>
    </w:rPr>
  </w:style>
  <w:style w:type="character" w:customStyle="1" w:styleId="46">
    <w:name w:val="日期 Char"/>
    <w:link w:val="16"/>
    <w:qFormat/>
    <w:uiPriority w:val="0"/>
    <w:rPr>
      <w:rFonts w:ascii="Arial" w:hAnsi="Arial" w:eastAsia="仿宋_GB2312"/>
      <w:color w:val="000000"/>
      <w:kern w:val="2"/>
      <w:sz w:val="32"/>
      <w:u w:val="none" w:color="000000"/>
      <w:lang w:val="en-US" w:eastAsia="zh-CN" w:bidi="ar-SA"/>
    </w:rPr>
  </w:style>
  <w:style w:type="character" w:customStyle="1" w:styleId="47">
    <w:name w:val="页脚 Char"/>
    <w:link w:val="17"/>
    <w:qFormat/>
    <w:locked/>
    <w:uiPriority w:val="0"/>
    <w:rPr>
      <w:rFonts w:eastAsia="宋体"/>
      <w:kern w:val="2"/>
      <w:sz w:val="18"/>
      <w:szCs w:val="18"/>
      <w:lang w:val="en-US" w:eastAsia="zh-CN" w:bidi="ar-SA"/>
    </w:rPr>
  </w:style>
  <w:style w:type="character" w:customStyle="1" w:styleId="48">
    <w:name w:val="页眉 Char"/>
    <w:link w:val="18"/>
    <w:qFormat/>
    <w:locked/>
    <w:uiPriority w:val="0"/>
    <w:rPr>
      <w:rFonts w:eastAsia="宋体"/>
      <w:kern w:val="2"/>
      <w:sz w:val="18"/>
      <w:szCs w:val="18"/>
      <w:lang w:val="en-US" w:eastAsia="zh-CN" w:bidi="ar-SA"/>
    </w:rPr>
  </w:style>
  <w:style w:type="paragraph" w:customStyle="1" w:styleId="49">
    <w:name w:val="正文缩进1"/>
    <w:basedOn w:val="1"/>
    <w:qFormat/>
    <w:uiPriority w:val="0"/>
    <w:pPr>
      <w:ind w:firstLine="420" w:firstLineChars="200"/>
    </w:pPr>
  </w:style>
  <w:style w:type="paragraph" w:customStyle="1" w:styleId="5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51">
    <w:name w:val="font01"/>
    <w:basedOn w:val="30"/>
    <w:qFormat/>
    <w:uiPriority w:val="0"/>
    <w:rPr>
      <w:rFonts w:hint="eastAsia" w:ascii="宋体" w:hAnsi="宋体" w:eastAsia="宋体" w:cs="宋体"/>
      <w:color w:val="000000"/>
      <w:sz w:val="22"/>
      <w:szCs w:val="22"/>
      <w:u w:val="none"/>
    </w:rPr>
  </w:style>
  <w:style w:type="character" w:customStyle="1" w:styleId="52">
    <w:name w:val="font111"/>
    <w:basedOn w:val="30"/>
    <w:qFormat/>
    <w:uiPriority w:val="0"/>
    <w:rPr>
      <w:rFonts w:ascii="Arial" w:hAnsi="Arial" w:cs="Arial"/>
      <w:color w:val="000000"/>
      <w:sz w:val="18"/>
      <w:szCs w:val="18"/>
      <w:u w:val="none"/>
    </w:rPr>
  </w:style>
  <w:style w:type="character" w:customStyle="1" w:styleId="53">
    <w:name w:val="Body Text Char"/>
    <w:qFormat/>
    <w:locked/>
    <w:uiPriority w:val="0"/>
    <w:rPr>
      <w:rFonts w:ascii="宋体" w:hAnsi="Arial"/>
      <w:sz w:val="28"/>
    </w:rPr>
  </w:style>
  <w:style w:type="paragraph" w:customStyle="1" w:styleId="5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5">
    <w:name w:val="Table Paragraph"/>
    <w:basedOn w:val="1"/>
    <w:qFormat/>
    <w:uiPriority w:val="1"/>
  </w:style>
  <w:style w:type="paragraph" w:customStyle="1" w:styleId="56">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8">
    <w:name w:val="Char"/>
    <w:basedOn w:val="1"/>
    <w:next w:val="1"/>
    <w:qFormat/>
    <w:uiPriority w:val="0"/>
    <w:pPr>
      <w:widowControl/>
      <w:spacing w:line="360" w:lineRule="auto"/>
      <w:jc w:val="left"/>
    </w:pPr>
    <w:rPr>
      <w:kern w:val="0"/>
      <w:szCs w:val="20"/>
      <w:lang w:eastAsia="en-US"/>
    </w:rPr>
  </w:style>
  <w:style w:type="paragraph" w:customStyle="1" w:styleId="5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60">
    <w:name w:val="p0"/>
    <w:basedOn w:val="1"/>
    <w:qFormat/>
    <w:uiPriority w:val="0"/>
    <w:pPr>
      <w:widowControl/>
      <w:jc w:val="left"/>
    </w:pPr>
    <w:rPr>
      <w:rFonts w:ascii="宋体" w:hAnsi="宋体" w:cs="宋体"/>
      <w:kern w:val="0"/>
      <w:sz w:val="18"/>
      <w:szCs w:val="18"/>
    </w:rPr>
  </w:style>
  <w:style w:type="paragraph" w:customStyle="1" w:styleId="61">
    <w:name w:val="WPS Plain"/>
    <w:qFormat/>
    <w:uiPriority w:val="0"/>
    <w:rPr>
      <w:rFonts w:ascii="Times New Roman" w:hAnsi="Times New Roman" w:eastAsia="宋体" w:cs="Times New Roman"/>
      <w:lang w:val="en-US" w:eastAsia="zh-CN" w:bidi="ar-SA"/>
    </w:rPr>
  </w:style>
  <w:style w:type="paragraph" w:customStyle="1" w:styleId="62">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63">
    <w:name w:val="List Paragraph"/>
    <w:basedOn w:val="1"/>
    <w:qFormat/>
    <w:uiPriority w:val="0"/>
    <w:pPr>
      <w:spacing w:line="360" w:lineRule="auto"/>
      <w:ind w:firstLine="420" w:firstLineChars="200"/>
    </w:pPr>
    <w:rPr>
      <w:rFonts w:ascii="宋体" w:hAnsi="宋体" w:cs="宋体"/>
      <w:sz w:val="24"/>
    </w:rPr>
  </w:style>
  <w:style w:type="paragraph" w:customStyle="1" w:styleId="64">
    <w:name w:val="样式 左侧:  0 厘米 悬挂缩进: 2.5 字符"/>
    <w:basedOn w:val="1"/>
    <w:qFormat/>
    <w:uiPriority w:val="0"/>
    <w:pPr>
      <w:ind w:left="525" w:hanging="525" w:hangingChars="250"/>
    </w:pPr>
    <w:rPr>
      <w:szCs w:val="20"/>
    </w:rPr>
  </w:style>
  <w:style w:type="paragraph" w:customStyle="1" w:styleId="65">
    <w:name w:val="标题 5（有编号）（绿盟科技）"/>
    <w:basedOn w:val="1"/>
    <w:next w:val="5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图例"/>
    <w:basedOn w:val="1"/>
    <w:qFormat/>
    <w:uiPriority w:val="0"/>
    <w:pPr>
      <w:spacing w:before="120" w:beforeLines="0" w:after="120" w:afterLines="0" w:line="360" w:lineRule="auto"/>
      <w:jc w:val="center"/>
    </w:pPr>
    <w:rPr>
      <w:rFonts w:eastAsia="仿宋_GB2312"/>
      <w:b/>
      <w:sz w:val="24"/>
    </w:rPr>
  </w:style>
  <w:style w:type="character" w:customStyle="1" w:styleId="68">
    <w:name w:val="font71"/>
    <w:basedOn w:val="30"/>
    <w:qFormat/>
    <w:uiPriority w:val="0"/>
    <w:rPr>
      <w:rFonts w:hint="default" w:ascii="Calibri" w:hAnsi="Calibri" w:cs="Calibri"/>
      <w:b/>
      <w:bCs/>
      <w:color w:val="000000"/>
      <w:sz w:val="21"/>
      <w:szCs w:val="21"/>
      <w:u w:val="none"/>
    </w:rPr>
  </w:style>
  <w:style w:type="character" w:customStyle="1" w:styleId="69">
    <w:name w:val="font61"/>
    <w:basedOn w:val="30"/>
    <w:qFormat/>
    <w:uiPriority w:val="0"/>
    <w:rPr>
      <w:rFonts w:hint="eastAsia" w:ascii="华文仿宋" w:hAnsi="华文仿宋" w:eastAsia="华文仿宋" w:cs="华文仿宋"/>
      <w:color w:val="000000"/>
      <w:sz w:val="21"/>
      <w:szCs w:val="21"/>
      <w:u w:val="none"/>
    </w:rPr>
  </w:style>
  <w:style w:type="character" w:customStyle="1" w:styleId="70">
    <w:name w:val="font91"/>
    <w:basedOn w:val="30"/>
    <w:qFormat/>
    <w:uiPriority w:val="0"/>
    <w:rPr>
      <w:rFonts w:hint="default" w:ascii="Calibri" w:hAnsi="Calibri" w:cs="Calibri"/>
      <w:b/>
      <w:bCs/>
      <w:color w:val="FF0000"/>
      <w:sz w:val="21"/>
      <w:szCs w:val="21"/>
      <w:u w:val="none"/>
    </w:rPr>
  </w:style>
  <w:style w:type="character" w:customStyle="1" w:styleId="71">
    <w:name w:val="font101"/>
    <w:basedOn w:val="30"/>
    <w:qFormat/>
    <w:uiPriority w:val="0"/>
    <w:rPr>
      <w:rFonts w:hint="eastAsia" w:ascii="宋体" w:hAnsi="宋体" w:eastAsia="宋体" w:cs="宋体"/>
      <w:color w:val="000000"/>
      <w:sz w:val="21"/>
      <w:szCs w:val="21"/>
      <w:u w:val="none"/>
    </w:rPr>
  </w:style>
  <w:style w:type="character" w:customStyle="1" w:styleId="72">
    <w:name w:val="font81"/>
    <w:basedOn w:val="30"/>
    <w:qFormat/>
    <w:uiPriority w:val="0"/>
    <w:rPr>
      <w:rFonts w:hint="default" w:ascii="Calibri" w:hAnsi="Calibri" w:cs="Calibri"/>
      <w:color w:val="000000"/>
      <w:sz w:val="21"/>
      <w:szCs w:val="21"/>
      <w:u w:val="none"/>
    </w:rPr>
  </w:style>
  <w:style w:type="character" w:customStyle="1" w:styleId="73">
    <w:name w:val="first-child"/>
    <w:basedOn w:val="30"/>
    <w:qFormat/>
    <w:uiPriority w:val="0"/>
  </w:style>
  <w:style w:type="character" w:customStyle="1" w:styleId="74">
    <w:name w:val="layui-layer-tabnow"/>
    <w:basedOn w:val="30"/>
    <w:qFormat/>
    <w:uiPriority w:val="0"/>
    <w:rPr>
      <w:bdr w:val="single" w:color="CCCCCC" w:sz="6" w:space="0"/>
      <w:shd w:val="clear" w:fill="FFFFFF"/>
    </w:rPr>
  </w:style>
  <w:style w:type="paragraph" w:customStyle="1" w:styleId="7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6">
    <w:name w:val="答复表头"/>
    <w:basedOn w:val="77"/>
    <w:next w:val="1"/>
    <w:qFormat/>
    <w:uiPriority w:val="0"/>
    <w:pPr>
      <w:tabs>
        <w:tab w:val="left" w:pos="480"/>
      </w:tabs>
    </w:pPr>
    <w:rPr>
      <w:b/>
    </w:rPr>
  </w:style>
  <w:style w:type="paragraph" w:customStyle="1" w:styleId="7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78">
    <w:name w:val="标题 字符"/>
    <w:link w:val="25"/>
    <w:qFormat/>
    <w:uiPriority w:val="0"/>
    <w:rPr>
      <w:rFonts w:ascii="Arial" w:hAnsi="Arial" w:cs="Arial"/>
      <w:b/>
      <w:bCs/>
      <w:sz w:val="32"/>
      <w:szCs w:val="32"/>
    </w:rPr>
  </w:style>
  <w:style w:type="character" w:customStyle="1" w:styleId="79">
    <w:name w:val="NormalCharacter"/>
    <w:semiHidden/>
    <w:qFormat/>
    <w:uiPriority w:val="0"/>
  </w:style>
  <w:style w:type="paragraph" w:customStyle="1" w:styleId="80">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81">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2">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table" w:customStyle="1" w:styleId="83">
    <w:name w:val="Table Normal"/>
    <w:semiHidden/>
    <w:unhideWhenUsed/>
    <w:qFormat/>
    <w:uiPriority w:val="0"/>
    <w:tblPr>
      <w:tblCellMar>
        <w:top w:w="0" w:type="dxa"/>
        <w:left w:w="0" w:type="dxa"/>
        <w:bottom w:w="0" w:type="dxa"/>
        <w:right w:w="0" w:type="dxa"/>
      </w:tblCellMar>
    </w:tblPr>
  </w:style>
  <w:style w:type="character" w:customStyle="1" w:styleId="84">
    <w:name w:val="font112"/>
    <w:basedOn w:val="30"/>
    <w:qFormat/>
    <w:uiPriority w:val="0"/>
    <w:rPr>
      <w:rFonts w:hint="eastAsia" w:ascii="宋体" w:hAnsi="宋体" w:eastAsia="宋体" w:cs="宋体"/>
      <w:color w:val="FF0000"/>
      <w:sz w:val="18"/>
      <w:szCs w:val="18"/>
      <w:u w:val="none"/>
    </w:rPr>
  </w:style>
  <w:style w:type="character" w:customStyle="1" w:styleId="85">
    <w:name w:val="font21"/>
    <w:basedOn w:val="30"/>
    <w:qFormat/>
    <w:uiPriority w:val="0"/>
    <w:rPr>
      <w:rFonts w:hint="eastAsia" w:ascii="宋体" w:hAnsi="宋体" w:eastAsia="宋体" w:cs="宋体"/>
      <w:color w:val="000000"/>
      <w:sz w:val="18"/>
      <w:szCs w:val="18"/>
      <w:u w:val="none"/>
    </w:rPr>
  </w:style>
  <w:style w:type="character" w:customStyle="1" w:styleId="86">
    <w:name w:val="font41"/>
    <w:basedOn w:val="30"/>
    <w:qFormat/>
    <w:uiPriority w:val="0"/>
    <w:rPr>
      <w:rFonts w:hint="eastAsia" w:ascii="宋体" w:hAnsi="宋体" w:eastAsia="宋体" w:cs="宋体"/>
      <w:b/>
      <w:bCs/>
      <w:color w:val="000000"/>
      <w:sz w:val="18"/>
      <w:szCs w:val="18"/>
      <w:u w:val="none"/>
    </w:rPr>
  </w:style>
  <w:style w:type="character" w:customStyle="1" w:styleId="87">
    <w:name w:val="font11"/>
    <w:basedOn w:val="3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185</Pages>
  <Words>116730</Words>
  <Characters>132441</Characters>
  <Lines>310</Lines>
  <Paragraphs>87</Paragraphs>
  <TotalTime>1</TotalTime>
  <ScaleCrop>false</ScaleCrop>
  <LinksUpToDate>false</LinksUpToDate>
  <CharactersWithSpaces>140423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dell</cp:lastModifiedBy>
  <cp:lastPrinted>2023-07-21T10:13:35Z</cp:lastPrinted>
  <dcterms:modified xsi:type="dcterms:W3CDTF">2023-07-21T10:48:06Z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D5D6CF4EB96242F3AA2E0145346D75C4</vt:lpwstr>
  </property>
</Properties>
</file>