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rPr>
          <w:rFonts w:hint="eastAsia"/>
          <w:color w:val="auto"/>
          <w:highlight w:val="none"/>
        </w:rPr>
      </w:pPr>
      <w:bookmarkStart w:id="0" w:name="_Toc217446030"/>
      <w:bookmarkStart w:id="1" w:name="_Toc183682338"/>
    </w:p>
    <w:p>
      <w:pPr>
        <w:pStyle w:val="13"/>
        <w:adjustRightInd w:val="0"/>
        <w:snapToGrid w:val="0"/>
        <w:spacing w:line="360" w:lineRule="auto"/>
        <w:jc w:val="center"/>
        <w:rPr>
          <w:rFonts w:hint="eastAsia" w:hAnsi="宋体"/>
          <w:b/>
          <w:color w:val="auto"/>
          <w:sz w:val="28"/>
          <w:szCs w:val="28"/>
          <w:highlight w:val="none"/>
          <w:lang w:eastAsia="zh-CN"/>
        </w:rPr>
      </w:pPr>
      <w:r>
        <w:rPr>
          <w:rFonts w:hint="eastAsia" w:hAnsi="宋体"/>
          <w:b/>
          <w:color w:val="auto"/>
          <w:sz w:val="28"/>
          <w:szCs w:val="28"/>
          <w:highlight w:val="none"/>
          <w:lang w:val="en-US" w:eastAsia="zh-CN"/>
        </w:rPr>
        <w:t xml:space="preserve">                                 </w:t>
      </w:r>
      <w:r>
        <w:rPr>
          <w:rFonts w:hint="eastAsia" w:hAnsi="宋体"/>
          <w:b/>
          <w:color w:val="auto"/>
          <w:sz w:val="28"/>
          <w:szCs w:val="28"/>
          <w:highlight w:val="none"/>
        </w:rPr>
        <w:t>项目编号：</w:t>
      </w:r>
      <w:r>
        <w:rPr>
          <w:rFonts w:hint="eastAsia" w:hAnsi="宋体"/>
          <w:b/>
          <w:color w:val="auto"/>
          <w:sz w:val="28"/>
          <w:szCs w:val="28"/>
          <w:highlight w:val="none"/>
          <w:lang w:eastAsia="zh-CN"/>
        </w:rPr>
        <w:t>HYYL-2023-050</w:t>
      </w:r>
    </w:p>
    <w:p>
      <w:pPr>
        <w:pStyle w:val="13"/>
        <w:adjustRightInd w:val="0"/>
        <w:snapToGrid w:val="0"/>
        <w:spacing w:line="360" w:lineRule="auto"/>
        <w:jc w:val="center"/>
        <w:rPr>
          <w:rFonts w:hint="eastAsia" w:hAnsi="宋体"/>
          <w:b/>
          <w:color w:val="auto"/>
          <w:sz w:val="28"/>
          <w:szCs w:val="28"/>
          <w:highlight w:val="none"/>
          <w:lang w:val="en-US" w:eastAsia="zh-CN"/>
        </w:rPr>
      </w:pPr>
    </w:p>
    <w:p>
      <w:pPr>
        <w:pStyle w:val="27"/>
        <w:rPr>
          <w:rFonts w:hint="eastAsia"/>
          <w:color w:val="auto"/>
          <w:highlight w:val="none"/>
        </w:rPr>
      </w:pPr>
    </w:p>
    <w:p>
      <w:pPr>
        <w:pStyle w:val="27"/>
        <w:rPr>
          <w:rFonts w:hint="eastAsia"/>
          <w:color w:val="auto"/>
          <w:highlight w:val="none"/>
        </w:rPr>
      </w:pPr>
    </w:p>
    <w:p>
      <w:pPr>
        <w:pStyle w:val="13"/>
        <w:adjustRightInd w:val="0"/>
        <w:snapToGrid w:val="0"/>
        <w:spacing w:line="360" w:lineRule="auto"/>
        <w:jc w:val="center"/>
        <w:rPr>
          <w:rFonts w:hint="eastAsia" w:hAnsi="宋体"/>
          <w:b/>
          <w:color w:val="auto"/>
          <w:sz w:val="28"/>
          <w:szCs w:val="28"/>
          <w:highlight w:val="none"/>
        </w:rPr>
      </w:pPr>
      <w:r>
        <w:rPr>
          <w:rFonts w:hint="eastAsia" w:ascii="华文中宋" w:hAnsi="华文中宋" w:eastAsia="华文中宋"/>
          <w:b/>
          <w:bCs w:val="0"/>
          <w:color w:val="auto"/>
          <w:sz w:val="56"/>
          <w:szCs w:val="56"/>
          <w:highlight w:val="none"/>
          <w:lang w:val="en-US" w:eastAsia="zh-CN"/>
        </w:rPr>
        <w:t>伊宁市人民医院云桌面采购项目</w:t>
      </w:r>
    </w:p>
    <w:p>
      <w:pPr>
        <w:pStyle w:val="13"/>
        <w:adjustRightInd w:val="0"/>
        <w:snapToGrid w:val="0"/>
        <w:spacing w:line="360" w:lineRule="auto"/>
        <w:jc w:val="both"/>
        <w:rPr>
          <w:rFonts w:hint="eastAsia" w:hAnsi="宋体"/>
          <w:b/>
          <w:color w:val="auto"/>
          <w:sz w:val="28"/>
          <w:szCs w:val="28"/>
          <w:highlight w:val="none"/>
        </w:rPr>
      </w:pPr>
    </w:p>
    <w:p>
      <w:pPr>
        <w:pStyle w:val="13"/>
        <w:adjustRightInd w:val="0"/>
        <w:snapToGrid w:val="0"/>
        <w:spacing w:line="360" w:lineRule="auto"/>
        <w:jc w:val="both"/>
        <w:rPr>
          <w:rFonts w:hint="eastAsia" w:hAnsi="宋体"/>
          <w:b/>
          <w:color w:val="auto"/>
          <w:sz w:val="28"/>
          <w:szCs w:val="28"/>
          <w:highlight w:val="none"/>
        </w:rPr>
      </w:pPr>
    </w:p>
    <w:p>
      <w:pPr>
        <w:pStyle w:val="13"/>
        <w:adjustRightInd w:val="0"/>
        <w:snapToGrid w:val="0"/>
        <w:spacing w:line="360" w:lineRule="auto"/>
        <w:jc w:val="both"/>
        <w:rPr>
          <w:rFonts w:hint="eastAsia" w:hAnsi="宋体"/>
          <w:b/>
          <w:color w:val="auto"/>
          <w:sz w:val="28"/>
          <w:szCs w:val="28"/>
          <w:highlight w:val="none"/>
        </w:rPr>
      </w:pPr>
    </w:p>
    <w:p>
      <w:pPr>
        <w:pStyle w:val="13"/>
        <w:adjustRightInd w:val="0"/>
        <w:snapToGrid w:val="0"/>
        <w:spacing w:line="360" w:lineRule="auto"/>
        <w:rPr>
          <w:rFonts w:hint="eastAsia" w:hAnsi="宋体"/>
          <w:b/>
          <w:color w:val="auto"/>
          <w:sz w:val="28"/>
          <w:szCs w:val="28"/>
          <w:highlight w:val="none"/>
        </w:rPr>
      </w:pPr>
    </w:p>
    <w:p>
      <w:pPr>
        <w:pStyle w:val="13"/>
        <w:adjustRightInd w:val="0"/>
        <w:snapToGrid w:val="0"/>
        <w:spacing w:line="360" w:lineRule="auto"/>
        <w:jc w:val="center"/>
        <w:rPr>
          <w:rFonts w:hint="eastAsia"/>
          <w:b/>
          <w:color w:val="auto"/>
          <w:sz w:val="32"/>
          <w:szCs w:val="32"/>
          <w:highlight w:val="none"/>
        </w:rPr>
      </w:pPr>
      <w:r>
        <w:rPr>
          <w:rFonts w:hint="eastAsia" w:ascii="微软雅黑" w:hAnsi="华文中宋" w:eastAsia="微软雅黑"/>
          <w:color w:val="auto"/>
          <w:sz w:val="84"/>
          <w:szCs w:val="84"/>
          <w:highlight w:val="none"/>
        </w:rPr>
        <w:t>招标文件</w:t>
      </w:r>
    </w:p>
    <w:p>
      <w:pPr>
        <w:pStyle w:val="13"/>
        <w:adjustRightInd w:val="0"/>
        <w:snapToGrid w:val="0"/>
        <w:spacing w:before="166" w:beforeLines="50" w:line="360" w:lineRule="auto"/>
        <w:rPr>
          <w:rFonts w:hint="eastAsia"/>
          <w:b/>
          <w:color w:val="auto"/>
          <w:sz w:val="32"/>
          <w:szCs w:val="32"/>
          <w:highlight w:val="none"/>
        </w:rPr>
      </w:pPr>
    </w:p>
    <w:p>
      <w:pPr>
        <w:pStyle w:val="13"/>
        <w:adjustRightInd w:val="0"/>
        <w:snapToGrid w:val="0"/>
        <w:spacing w:before="166" w:beforeLines="50" w:line="360" w:lineRule="auto"/>
        <w:rPr>
          <w:rFonts w:hint="eastAsia"/>
          <w:b/>
          <w:color w:val="auto"/>
          <w:sz w:val="32"/>
          <w:szCs w:val="32"/>
          <w:highlight w:val="none"/>
        </w:rPr>
      </w:pPr>
    </w:p>
    <w:p>
      <w:pPr>
        <w:pStyle w:val="13"/>
        <w:adjustRightInd w:val="0"/>
        <w:snapToGrid w:val="0"/>
        <w:spacing w:before="166" w:beforeLines="50" w:line="360" w:lineRule="auto"/>
        <w:rPr>
          <w:rFonts w:hint="eastAsia"/>
          <w:b/>
          <w:color w:val="auto"/>
          <w:sz w:val="32"/>
          <w:szCs w:val="32"/>
          <w:highlight w:val="none"/>
        </w:rPr>
      </w:pPr>
    </w:p>
    <w:p>
      <w:pPr>
        <w:pStyle w:val="13"/>
        <w:adjustRightInd w:val="0"/>
        <w:snapToGrid w:val="0"/>
        <w:spacing w:before="166" w:beforeLines="50" w:line="360" w:lineRule="auto"/>
        <w:rPr>
          <w:rFonts w:hint="eastAsia"/>
          <w:b/>
          <w:color w:val="auto"/>
          <w:sz w:val="32"/>
          <w:szCs w:val="32"/>
          <w:highlight w:val="none"/>
        </w:rPr>
      </w:pPr>
    </w:p>
    <w:p>
      <w:pPr>
        <w:pStyle w:val="13"/>
        <w:adjustRightInd w:val="0"/>
        <w:snapToGrid w:val="0"/>
        <w:spacing w:before="166" w:beforeLines="50" w:line="360" w:lineRule="auto"/>
        <w:rPr>
          <w:rFonts w:hint="eastAsia"/>
          <w:b/>
          <w:color w:val="auto"/>
          <w:sz w:val="32"/>
          <w:szCs w:val="32"/>
          <w:highlight w:val="none"/>
        </w:rPr>
      </w:pPr>
    </w:p>
    <w:p>
      <w:pPr>
        <w:pStyle w:val="13"/>
        <w:adjustRightInd w:val="0"/>
        <w:snapToGrid w:val="0"/>
        <w:spacing w:line="360" w:lineRule="auto"/>
        <w:ind w:firstLine="1033" w:firstLineChars="350"/>
        <w:outlineLvl w:val="0"/>
        <w:rPr>
          <w:rFonts w:hint="eastAsia" w:ascii="宋体" w:hAnsi="宋体"/>
          <w:b/>
          <w:color w:val="auto"/>
          <w:sz w:val="30"/>
          <w:szCs w:val="30"/>
          <w:highlight w:val="none"/>
        </w:rPr>
      </w:pPr>
      <w:r>
        <w:rPr>
          <w:rFonts w:hint="eastAsia"/>
          <w:b/>
          <w:bCs/>
          <w:color w:val="auto"/>
          <w:spacing w:val="-8"/>
          <w:sz w:val="31"/>
          <w:szCs w:val="31"/>
          <w:highlight w:val="none"/>
        </w:rPr>
        <w:t>采   购   人</w:t>
      </w:r>
      <w:r>
        <w:rPr>
          <w:rFonts w:hint="eastAsia"/>
          <w:b/>
          <w:bCs/>
          <w:color w:val="auto"/>
          <w:spacing w:val="-8"/>
          <w:sz w:val="31"/>
          <w:szCs w:val="31"/>
          <w:highlight w:val="none"/>
          <w:lang w:val="zh-CN"/>
        </w:rPr>
        <w:t>：</w:t>
      </w:r>
      <w:r>
        <w:rPr>
          <w:rFonts w:hint="eastAsia" w:hAnsi="宋体"/>
          <w:b/>
          <w:color w:val="auto"/>
          <w:sz w:val="30"/>
          <w:szCs w:val="30"/>
          <w:highlight w:val="none"/>
          <w:lang w:eastAsia="zh-CN"/>
        </w:rPr>
        <w:t>伊宁市人民医院</w:t>
      </w:r>
    </w:p>
    <w:p>
      <w:pPr>
        <w:autoSpaceDE w:val="0"/>
        <w:autoSpaceDN w:val="0"/>
        <w:spacing w:line="480" w:lineRule="auto"/>
        <w:jc w:val="center"/>
        <w:rPr>
          <w:rFonts w:hint="eastAsia" w:ascii="宋体" w:hAnsi="宋体"/>
          <w:color w:val="auto"/>
          <w:sz w:val="28"/>
          <w:szCs w:val="28"/>
          <w:highlight w:val="none"/>
        </w:rPr>
      </w:pPr>
      <w:r>
        <w:rPr>
          <w:rFonts w:hint="eastAsia"/>
          <w:b/>
          <w:bCs/>
          <w:color w:val="auto"/>
          <w:spacing w:val="-8"/>
          <w:sz w:val="31"/>
          <w:szCs w:val="31"/>
          <w:highlight w:val="none"/>
        </w:rPr>
        <w:t>采购</w:t>
      </w:r>
      <w:r>
        <w:rPr>
          <w:rFonts w:hint="eastAsia"/>
          <w:b/>
          <w:bCs/>
          <w:color w:val="auto"/>
          <w:spacing w:val="-8"/>
          <w:sz w:val="31"/>
          <w:szCs w:val="31"/>
          <w:highlight w:val="none"/>
          <w:lang w:val="zh-CN"/>
        </w:rPr>
        <w:t>代理机构：新疆华域建设工程项目管理咨询有限公司</w:t>
      </w:r>
    </w:p>
    <w:p>
      <w:pPr>
        <w:autoSpaceDE w:val="0"/>
        <w:autoSpaceDN w:val="0"/>
        <w:spacing w:line="480" w:lineRule="auto"/>
        <w:jc w:val="center"/>
        <w:rPr>
          <w:rFonts w:hint="eastAsia"/>
          <w:b/>
          <w:bCs/>
          <w:color w:val="auto"/>
          <w:spacing w:val="-8"/>
          <w:sz w:val="31"/>
          <w:szCs w:val="31"/>
          <w:highlight w:val="none"/>
          <w:lang w:val="zh-CN"/>
        </w:rPr>
      </w:pPr>
      <w:r>
        <w:rPr>
          <w:rFonts w:hint="eastAsia"/>
          <w:b/>
          <w:bCs/>
          <w:color w:val="auto"/>
          <w:spacing w:val="-8"/>
          <w:sz w:val="31"/>
          <w:szCs w:val="31"/>
          <w:highlight w:val="none"/>
          <w:lang w:val="zh-CN"/>
        </w:rPr>
        <w:t>20</w:t>
      </w:r>
      <w:r>
        <w:rPr>
          <w:rFonts w:hint="eastAsia"/>
          <w:b/>
          <w:bCs/>
          <w:color w:val="auto"/>
          <w:spacing w:val="-8"/>
          <w:sz w:val="31"/>
          <w:szCs w:val="31"/>
          <w:highlight w:val="none"/>
          <w:lang w:val="en-US" w:eastAsia="zh-CN"/>
        </w:rPr>
        <w:t>23</w:t>
      </w:r>
      <w:r>
        <w:rPr>
          <w:rFonts w:hint="eastAsia"/>
          <w:b/>
          <w:bCs/>
          <w:color w:val="auto"/>
          <w:spacing w:val="-8"/>
          <w:sz w:val="31"/>
          <w:szCs w:val="31"/>
          <w:highlight w:val="none"/>
          <w:lang w:val="zh-CN"/>
        </w:rPr>
        <w:t>年</w:t>
      </w:r>
      <w:r>
        <w:rPr>
          <w:rFonts w:hint="eastAsia"/>
          <w:b/>
          <w:bCs/>
          <w:color w:val="auto"/>
          <w:spacing w:val="-8"/>
          <w:sz w:val="31"/>
          <w:szCs w:val="31"/>
          <w:highlight w:val="none"/>
          <w:lang w:val="en-US" w:eastAsia="zh-CN"/>
        </w:rPr>
        <w:t>08</w:t>
      </w:r>
      <w:r>
        <w:rPr>
          <w:rFonts w:hint="eastAsia"/>
          <w:b/>
          <w:bCs/>
          <w:color w:val="auto"/>
          <w:spacing w:val="-8"/>
          <w:sz w:val="31"/>
          <w:szCs w:val="31"/>
          <w:highlight w:val="none"/>
          <w:lang w:val="zh-CN"/>
        </w:rPr>
        <w:t>月</w:t>
      </w:r>
    </w:p>
    <w:p>
      <w:pPr>
        <w:autoSpaceDE w:val="0"/>
        <w:autoSpaceDN w:val="0"/>
        <w:spacing w:line="480" w:lineRule="auto"/>
        <w:ind w:firstLine="590" w:firstLineChars="200"/>
        <w:jc w:val="center"/>
        <w:rPr>
          <w:rFonts w:hint="eastAsia"/>
          <w:b/>
          <w:bCs/>
          <w:color w:val="auto"/>
          <w:spacing w:val="-8"/>
          <w:sz w:val="31"/>
          <w:szCs w:val="31"/>
          <w:highlight w:val="none"/>
          <w:lang w:val="zh-C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33" w:charSpace="0"/>
        </w:sectPr>
      </w:pPr>
    </w:p>
    <w:p>
      <w:pPr>
        <w:spacing w:line="360" w:lineRule="auto"/>
        <w:ind w:firstLine="203" w:firstLineChars="46"/>
        <w:jc w:val="center"/>
        <w:rPr>
          <w:rFonts w:hint="eastAsia" w:ascii="宋体" w:hAnsi="宋体"/>
          <w:b/>
          <w:bCs/>
          <w:color w:val="auto"/>
          <w:sz w:val="44"/>
          <w:szCs w:val="44"/>
          <w:highlight w:val="none"/>
          <w:lang w:val="zh-CN"/>
        </w:rPr>
      </w:pPr>
      <w:r>
        <w:rPr>
          <w:rFonts w:hint="eastAsia" w:ascii="宋体" w:hAnsi="宋体"/>
          <w:b/>
          <w:bCs/>
          <w:color w:val="auto"/>
          <w:sz w:val="44"/>
          <w:szCs w:val="44"/>
          <w:highlight w:val="none"/>
          <w:lang w:val="en-US" w:eastAsia="zh-CN"/>
        </w:rPr>
        <w:t xml:space="preserve"> </w:t>
      </w:r>
      <w:r>
        <w:rPr>
          <w:rFonts w:hint="eastAsia" w:ascii="宋体" w:hAnsi="宋体"/>
          <w:b/>
          <w:bCs/>
          <w:color w:val="auto"/>
          <w:sz w:val="44"/>
          <w:szCs w:val="44"/>
          <w:highlight w:val="none"/>
          <w:lang w:val="zh-CN"/>
        </w:rPr>
        <w:br w:type="page"/>
      </w:r>
      <w:r>
        <w:rPr>
          <w:rFonts w:hint="eastAsia" w:ascii="宋体" w:hAnsi="宋体"/>
          <w:b/>
          <w:bCs/>
          <w:color w:val="auto"/>
          <w:sz w:val="44"/>
          <w:szCs w:val="44"/>
          <w:highlight w:val="none"/>
          <w:lang w:val="zh-CN"/>
        </w:rPr>
        <w:t>温馨提示</w:t>
      </w:r>
    </w:p>
    <w:p>
      <w:pPr>
        <w:spacing w:line="360" w:lineRule="auto"/>
        <w:ind w:firstLine="623" w:firstLineChars="194"/>
        <w:rPr>
          <w:rFonts w:hint="eastAsia" w:ascii="宋体" w:hAnsi="宋体"/>
          <w:b/>
          <w:bCs/>
          <w:color w:val="auto"/>
          <w:sz w:val="32"/>
          <w:szCs w:val="32"/>
          <w:highlight w:val="none"/>
          <w:lang w:val="zh-CN"/>
        </w:rPr>
      </w:pPr>
    </w:p>
    <w:p>
      <w:pPr>
        <w:spacing w:line="360" w:lineRule="auto"/>
        <w:ind w:firstLine="582" w:firstLineChars="194"/>
        <w:rPr>
          <w:rFonts w:hint="default" w:ascii="宋体" w:hAnsi="宋体" w:eastAsia="宋体"/>
          <w:bCs/>
          <w:color w:val="auto"/>
          <w:sz w:val="30"/>
          <w:szCs w:val="30"/>
          <w:highlight w:val="none"/>
          <w:lang w:val="en-US" w:eastAsia="zh-CN"/>
        </w:rPr>
      </w:pPr>
      <w:r>
        <w:rPr>
          <w:rFonts w:hint="eastAsia" w:ascii="宋体" w:hAnsi="宋体"/>
          <w:bCs/>
          <w:color w:val="auto"/>
          <w:sz w:val="30"/>
          <w:szCs w:val="30"/>
          <w:highlight w:val="none"/>
          <w:lang w:val="zh-CN"/>
        </w:rPr>
        <w:t>购买招标文件后，请仔细阅读，特别注意粗体部分，如有疑问，请来电咨询，电话：18699973005</w:t>
      </w:r>
      <w:r>
        <w:rPr>
          <w:rFonts w:hint="eastAsia" w:ascii="宋体" w:hAnsi="宋体"/>
          <w:bCs/>
          <w:color w:val="auto"/>
          <w:sz w:val="30"/>
          <w:szCs w:val="30"/>
          <w:highlight w:val="none"/>
          <w:lang w:val="en-US" w:eastAsia="zh-CN"/>
        </w:rPr>
        <w:t>。</w:t>
      </w:r>
    </w:p>
    <w:p>
      <w:pPr>
        <w:tabs>
          <w:tab w:val="left" w:pos="3214"/>
        </w:tabs>
        <w:spacing w:line="360" w:lineRule="auto"/>
        <w:ind w:firstLine="620" w:firstLineChars="194"/>
        <w:rPr>
          <w:rFonts w:hint="eastAsia" w:ascii="宋体" w:hAnsi="宋体"/>
          <w:bCs/>
          <w:color w:val="auto"/>
          <w:sz w:val="32"/>
          <w:szCs w:val="32"/>
          <w:highlight w:val="none"/>
          <w:lang w:val="zh-CN"/>
        </w:rPr>
      </w:pPr>
      <w:r>
        <w:rPr>
          <w:rFonts w:hint="eastAsia" w:ascii="宋体" w:hAnsi="宋体"/>
          <w:bCs/>
          <w:color w:val="auto"/>
          <w:sz w:val="32"/>
          <w:szCs w:val="32"/>
          <w:highlight w:val="none"/>
          <w:lang w:val="zh-CN"/>
        </w:rPr>
        <w:tab/>
      </w: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6"/>
        <w:spacing w:before="120" w:beforeLines="50"/>
        <w:ind w:firstLine="0"/>
        <w:rPr>
          <w:rFonts w:hint="eastAsia" w:ascii="宋体" w:hAnsi="宋体"/>
          <w:b/>
          <w:color w:val="auto"/>
          <w:kern w:val="44"/>
          <w:sz w:val="44"/>
          <w:szCs w:val="44"/>
          <w:highlight w:val="none"/>
        </w:rPr>
      </w:pPr>
    </w:p>
    <w:p>
      <w:pPr>
        <w:pStyle w:val="5"/>
        <w:spacing w:line="480" w:lineRule="exact"/>
        <w:jc w:val="center"/>
        <w:rPr>
          <w:rFonts w:hint="eastAsia" w:ascii="微软雅黑" w:hAnsi="宋体" w:eastAsia="微软雅黑"/>
          <w:bCs/>
          <w:color w:val="auto"/>
          <w:sz w:val="36"/>
          <w:highlight w:val="none"/>
        </w:rPr>
      </w:pPr>
      <w:r>
        <w:rPr>
          <w:rFonts w:hint="eastAsia" w:ascii="微软雅黑" w:hAnsi="宋体" w:eastAsia="微软雅黑"/>
          <w:bCs/>
          <w:color w:val="auto"/>
          <w:sz w:val="36"/>
          <w:highlight w:val="none"/>
        </w:rPr>
        <w:br w:type="page"/>
      </w:r>
      <w:r>
        <w:rPr>
          <w:rFonts w:hint="eastAsia" w:ascii="微软雅黑" w:hAnsi="宋体" w:eastAsia="微软雅黑"/>
          <w:bCs/>
          <w:color w:val="auto"/>
          <w:sz w:val="36"/>
          <w:highlight w:val="none"/>
        </w:rPr>
        <w:br w:type="page"/>
      </w:r>
      <w:r>
        <w:rPr>
          <w:rFonts w:hint="eastAsia" w:ascii="微软雅黑" w:hAnsi="宋体" w:eastAsia="微软雅黑"/>
          <w:bCs/>
          <w:color w:val="auto"/>
          <w:sz w:val="36"/>
          <w:highlight w:val="none"/>
        </w:rPr>
        <w:t>目    录</w:t>
      </w:r>
    </w:p>
    <w:p>
      <w:pPr>
        <w:pStyle w:val="5"/>
        <w:spacing w:line="360" w:lineRule="exact"/>
        <w:jc w:val="center"/>
        <w:rPr>
          <w:rFonts w:hint="eastAsia" w:ascii="宋体" w:hAnsi="宋体" w:eastAsia="宋体"/>
          <w:b w:val="0"/>
          <w:bCs/>
          <w:color w:val="auto"/>
          <w:sz w:val="21"/>
          <w:szCs w:val="21"/>
          <w:highlight w:val="none"/>
        </w:rPr>
      </w:pPr>
    </w:p>
    <w:p>
      <w:pPr>
        <w:pStyle w:val="5"/>
        <w:spacing w:before="0" w:after="0" w:line="360" w:lineRule="auto"/>
        <w:ind w:firstLine="1050" w:firstLineChars="500"/>
        <w:rPr>
          <w:rFonts w:hint="eastAsia" w:ascii="宋体" w:hAnsi="宋体" w:eastAsia="宋体"/>
          <w:bCs/>
          <w:color w:val="auto"/>
          <w:sz w:val="21"/>
          <w:szCs w:val="21"/>
          <w:highlight w:val="none"/>
          <w:lang w:eastAsia="zh-CN"/>
        </w:rPr>
      </w:pPr>
      <w:r>
        <w:rPr>
          <w:rFonts w:hint="eastAsia" w:ascii="宋体" w:hAnsi="宋体" w:eastAsia="宋体"/>
          <w:b w:val="0"/>
          <w:bCs/>
          <w:color w:val="auto"/>
          <w:sz w:val="21"/>
          <w:szCs w:val="21"/>
          <w:highlight w:val="none"/>
        </w:rPr>
        <w:t>第一章  招标公告 ……………………………</w:t>
      </w:r>
      <w:r>
        <w:rPr>
          <w:rFonts w:hint="eastAsia" w:ascii="宋体" w:hAnsi="宋体" w:eastAsia="宋体"/>
          <w:b/>
          <w:bCs/>
          <w:color w:val="auto"/>
          <w:sz w:val="21"/>
          <w:szCs w:val="21"/>
          <w:highlight w:val="none"/>
        </w:rPr>
        <w:t>…………………</w:t>
      </w:r>
      <w:r>
        <w:rPr>
          <w:rFonts w:hint="eastAsia" w:ascii="宋体" w:hAnsi="宋体" w:eastAsia="宋体"/>
          <w:b w:val="0"/>
          <w:bCs/>
          <w:color w:val="auto"/>
          <w:sz w:val="21"/>
          <w:szCs w:val="21"/>
          <w:highlight w:val="none"/>
        </w:rPr>
        <w:t>………………</w:t>
      </w:r>
      <w:r>
        <w:rPr>
          <w:rFonts w:hint="eastAsia" w:ascii="宋体" w:hAnsi="宋体" w:eastAsia="宋体"/>
          <w:b w:val="0"/>
          <w:bCs/>
          <w:color w:val="auto"/>
          <w:sz w:val="21"/>
          <w:szCs w:val="21"/>
          <w:highlight w:val="none"/>
          <w:lang w:val="en-US" w:eastAsia="zh-CN"/>
        </w:rPr>
        <w:t>1</w:t>
      </w:r>
    </w:p>
    <w:p>
      <w:pPr>
        <w:pStyle w:val="5"/>
        <w:spacing w:before="0" w:after="0" w:line="360" w:lineRule="auto"/>
        <w:ind w:firstLine="1050" w:firstLineChars="5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第二章  投标人须知 ……………………………………………………………</w:t>
      </w:r>
      <w:r>
        <w:rPr>
          <w:rFonts w:hint="eastAsia" w:ascii="宋体" w:hAnsi="宋体" w:eastAsia="宋体"/>
          <w:b w:val="0"/>
          <w:bCs/>
          <w:color w:val="auto"/>
          <w:sz w:val="21"/>
          <w:szCs w:val="21"/>
          <w:highlight w:val="none"/>
          <w:lang w:val="en-US" w:eastAsia="zh-CN"/>
        </w:rPr>
        <w:t>4</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投标人须知前附表 …………………………………………………………</w:t>
      </w:r>
      <w:r>
        <w:rPr>
          <w:rFonts w:hint="eastAsia" w:ascii="宋体" w:hAnsi="宋体" w:eastAsia="宋体"/>
          <w:b w:val="0"/>
          <w:bCs/>
          <w:color w:val="auto"/>
          <w:sz w:val="21"/>
          <w:szCs w:val="21"/>
          <w:highlight w:val="none"/>
          <w:lang w:val="en-US" w:eastAsia="zh-CN"/>
        </w:rPr>
        <w:t>4</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1.总    则 …………………………………………………………………1</w:t>
      </w:r>
      <w:r>
        <w:rPr>
          <w:rFonts w:hint="eastAsia" w:ascii="宋体" w:hAnsi="宋体" w:eastAsia="宋体"/>
          <w:b w:val="0"/>
          <w:bCs/>
          <w:color w:val="auto"/>
          <w:sz w:val="21"/>
          <w:szCs w:val="21"/>
          <w:highlight w:val="none"/>
          <w:lang w:val="en-US" w:eastAsia="zh-CN"/>
        </w:rPr>
        <w:t>0</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2.招标文件 …………………………………………………………………1</w:t>
      </w:r>
      <w:r>
        <w:rPr>
          <w:rFonts w:hint="eastAsia" w:ascii="宋体" w:hAnsi="宋体" w:eastAsia="宋体"/>
          <w:b w:val="0"/>
          <w:bCs/>
          <w:color w:val="auto"/>
          <w:sz w:val="21"/>
          <w:szCs w:val="21"/>
          <w:highlight w:val="none"/>
          <w:lang w:val="en-US" w:eastAsia="zh-CN"/>
        </w:rPr>
        <w:t>2</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3.投标人 ……………………………………………………………………1</w:t>
      </w:r>
      <w:r>
        <w:rPr>
          <w:rFonts w:hint="eastAsia" w:ascii="宋体" w:hAnsi="宋体" w:eastAsia="宋体"/>
          <w:b w:val="0"/>
          <w:bCs/>
          <w:color w:val="auto"/>
          <w:sz w:val="21"/>
          <w:szCs w:val="21"/>
          <w:highlight w:val="none"/>
          <w:lang w:val="en-US" w:eastAsia="zh-CN"/>
        </w:rPr>
        <w:t>3</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4.投标文件 …………………………………………………………………1</w:t>
      </w:r>
      <w:r>
        <w:rPr>
          <w:rFonts w:hint="eastAsia" w:ascii="宋体" w:hAnsi="宋体" w:eastAsia="宋体"/>
          <w:b w:val="0"/>
          <w:bCs/>
          <w:color w:val="auto"/>
          <w:sz w:val="21"/>
          <w:szCs w:val="21"/>
          <w:highlight w:val="none"/>
          <w:lang w:val="en-US" w:eastAsia="zh-CN"/>
        </w:rPr>
        <w:t>8</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5.投标 ………………………………………………………………………2</w:t>
      </w:r>
      <w:r>
        <w:rPr>
          <w:rFonts w:hint="eastAsia" w:ascii="宋体" w:hAnsi="宋体" w:eastAsia="宋体"/>
          <w:b w:val="0"/>
          <w:bCs/>
          <w:color w:val="auto"/>
          <w:sz w:val="21"/>
          <w:szCs w:val="21"/>
          <w:highlight w:val="none"/>
          <w:lang w:val="en-US" w:eastAsia="zh-CN"/>
        </w:rPr>
        <w:t>2</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6.开标 ………………………………………………………………………2</w:t>
      </w:r>
      <w:r>
        <w:rPr>
          <w:rFonts w:hint="eastAsia" w:ascii="宋体" w:hAnsi="宋体" w:eastAsia="宋体"/>
          <w:b w:val="0"/>
          <w:bCs/>
          <w:color w:val="auto"/>
          <w:sz w:val="21"/>
          <w:szCs w:val="21"/>
          <w:highlight w:val="none"/>
          <w:lang w:val="en-US" w:eastAsia="zh-CN"/>
        </w:rPr>
        <w:t>3</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7.投标人资格审查 …………………………………………………………2</w:t>
      </w:r>
      <w:r>
        <w:rPr>
          <w:rFonts w:hint="eastAsia" w:ascii="宋体" w:hAnsi="宋体" w:eastAsia="宋体"/>
          <w:b w:val="0"/>
          <w:bCs/>
          <w:color w:val="auto"/>
          <w:sz w:val="21"/>
          <w:szCs w:val="21"/>
          <w:highlight w:val="none"/>
          <w:lang w:val="en-US" w:eastAsia="zh-CN"/>
        </w:rPr>
        <w:t>4</w:t>
      </w:r>
    </w:p>
    <w:p>
      <w:pPr>
        <w:pStyle w:val="5"/>
        <w:spacing w:before="0" w:after="0" w:line="360" w:lineRule="auto"/>
        <w:ind w:firstLine="1470" w:firstLineChars="700"/>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8.评标 ………………………………………………………………………2</w:t>
      </w:r>
      <w:r>
        <w:rPr>
          <w:rFonts w:hint="eastAsia" w:ascii="宋体" w:hAnsi="宋体" w:eastAsia="宋体"/>
          <w:b w:val="0"/>
          <w:bCs/>
          <w:color w:val="auto"/>
          <w:sz w:val="21"/>
          <w:szCs w:val="21"/>
          <w:highlight w:val="none"/>
          <w:lang w:val="en-US" w:eastAsia="zh-CN"/>
        </w:rPr>
        <w:t>6</w:t>
      </w:r>
    </w:p>
    <w:p>
      <w:pPr>
        <w:pStyle w:val="5"/>
        <w:spacing w:before="0" w:after="0" w:line="360" w:lineRule="auto"/>
        <w:ind w:firstLine="1470" w:firstLineChars="7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9.定标 ………………………………………………………………………</w:t>
      </w:r>
      <w:r>
        <w:rPr>
          <w:rFonts w:hint="eastAsia" w:ascii="宋体" w:hAnsi="宋体" w:eastAsia="宋体"/>
          <w:b w:val="0"/>
          <w:bCs/>
          <w:color w:val="auto"/>
          <w:sz w:val="21"/>
          <w:szCs w:val="21"/>
          <w:highlight w:val="none"/>
          <w:lang w:val="en-US" w:eastAsia="zh-CN"/>
        </w:rPr>
        <w:t>29</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10.合同授予…………………………………………………………………3</w:t>
      </w:r>
      <w:r>
        <w:rPr>
          <w:rFonts w:hint="eastAsia" w:ascii="宋体" w:hAnsi="宋体" w:eastAsia="宋体"/>
          <w:b w:val="0"/>
          <w:bCs/>
          <w:color w:val="auto"/>
          <w:sz w:val="21"/>
          <w:szCs w:val="21"/>
          <w:highlight w:val="none"/>
          <w:lang w:val="en-US" w:eastAsia="zh-CN"/>
        </w:rPr>
        <w:t>0</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11.废标或变更采购方式……………………………………………………3</w:t>
      </w:r>
      <w:r>
        <w:rPr>
          <w:rFonts w:hint="eastAsia" w:ascii="宋体" w:hAnsi="宋体" w:eastAsia="宋体"/>
          <w:b w:val="0"/>
          <w:bCs/>
          <w:color w:val="auto"/>
          <w:sz w:val="21"/>
          <w:szCs w:val="21"/>
          <w:highlight w:val="none"/>
          <w:lang w:val="en-US" w:eastAsia="zh-CN"/>
        </w:rPr>
        <w:t>1</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12.招标代理服务费…………………………………………………………3</w:t>
      </w:r>
      <w:r>
        <w:rPr>
          <w:rFonts w:hint="eastAsia" w:ascii="宋体" w:hAnsi="宋体" w:eastAsia="宋体"/>
          <w:b w:val="0"/>
          <w:bCs/>
          <w:color w:val="auto"/>
          <w:sz w:val="21"/>
          <w:szCs w:val="21"/>
          <w:highlight w:val="none"/>
          <w:lang w:val="en-US" w:eastAsia="zh-CN"/>
        </w:rPr>
        <w:t>1</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13.质疑和投诉………………………………………………………………3</w:t>
      </w:r>
      <w:r>
        <w:rPr>
          <w:rFonts w:hint="eastAsia" w:ascii="宋体" w:hAnsi="宋体" w:eastAsia="宋体"/>
          <w:b w:val="0"/>
          <w:bCs/>
          <w:color w:val="auto"/>
          <w:sz w:val="21"/>
          <w:szCs w:val="21"/>
          <w:highlight w:val="none"/>
          <w:lang w:val="en-US" w:eastAsia="zh-CN"/>
        </w:rPr>
        <w:t>2</w:t>
      </w:r>
    </w:p>
    <w:p>
      <w:pPr>
        <w:pStyle w:val="5"/>
        <w:spacing w:before="0" w:after="0" w:line="360" w:lineRule="auto"/>
        <w:ind w:firstLine="1050" w:firstLineChars="500"/>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 xml:space="preserve">    14.其他………………………………………………………………………3</w:t>
      </w:r>
      <w:r>
        <w:rPr>
          <w:rFonts w:hint="eastAsia" w:ascii="宋体" w:hAnsi="宋体" w:eastAsia="宋体"/>
          <w:b w:val="0"/>
          <w:bCs/>
          <w:color w:val="auto"/>
          <w:sz w:val="21"/>
          <w:szCs w:val="21"/>
          <w:highlight w:val="none"/>
          <w:lang w:val="en-US" w:eastAsia="zh-CN"/>
        </w:rPr>
        <w:t>3</w:t>
      </w:r>
    </w:p>
    <w:p>
      <w:pPr>
        <w:pStyle w:val="5"/>
        <w:spacing w:before="0" w:after="0" w:line="360" w:lineRule="auto"/>
        <w:ind w:firstLine="1050" w:firstLineChars="5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第三章  评标办法 ………………………………………………………………3</w:t>
      </w:r>
      <w:r>
        <w:rPr>
          <w:rFonts w:hint="eastAsia" w:ascii="宋体" w:hAnsi="宋体" w:eastAsia="宋体"/>
          <w:b w:val="0"/>
          <w:bCs/>
          <w:color w:val="auto"/>
          <w:sz w:val="21"/>
          <w:szCs w:val="21"/>
          <w:highlight w:val="none"/>
          <w:lang w:val="en-US" w:eastAsia="zh-CN"/>
        </w:rPr>
        <w:t>5</w:t>
      </w:r>
    </w:p>
    <w:p>
      <w:pPr>
        <w:pStyle w:val="5"/>
        <w:spacing w:before="0" w:after="0" w:line="360" w:lineRule="auto"/>
        <w:ind w:firstLine="1470" w:firstLineChars="7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1.评标程序 …………………………………………………………………3</w:t>
      </w:r>
      <w:r>
        <w:rPr>
          <w:rFonts w:hint="eastAsia" w:ascii="宋体" w:hAnsi="宋体" w:eastAsia="宋体"/>
          <w:b w:val="0"/>
          <w:bCs/>
          <w:color w:val="auto"/>
          <w:sz w:val="21"/>
          <w:szCs w:val="21"/>
          <w:highlight w:val="none"/>
          <w:lang w:val="en-US" w:eastAsia="zh-CN"/>
        </w:rPr>
        <w:t>5</w:t>
      </w:r>
    </w:p>
    <w:p>
      <w:pPr>
        <w:pStyle w:val="6"/>
        <w:spacing w:line="360" w:lineRule="auto"/>
        <w:ind w:firstLine="1470" w:firstLineChars="700"/>
        <w:rPr>
          <w:rFonts w:hint="default" w:ascii="宋体" w:hAnsi="宋体" w:eastAsia="宋体"/>
          <w:bCs/>
          <w:color w:val="auto"/>
          <w:szCs w:val="21"/>
          <w:highlight w:val="none"/>
          <w:lang w:val="en-US" w:eastAsia="zh-CN"/>
        </w:rPr>
      </w:pPr>
      <w:r>
        <w:rPr>
          <w:rFonts w:hint="eastAsia" w:ascii="宋体" w:hAnsi="宋体"/>
          <w:color w:val="auto"/>
          <w:szCs w:val="21"/>
          <w:highlight w:val="none"/>
        </w:rPr>
        <w:t>2.</w:t>
      </w:r>
      <w:r>
        <w:rPr>
          <w:rFonts w:hint="eastAsia"/>
          <w:color w:val="auto"/>
          <w:szCs w:val="21"/>
          <w:highlight w:val="none"/>
        </w:rPr>
        <w:t xml:space="preserve">评标方法 </w:t>
      </w:r>
      <w:r>
        <w:rPr>
          <w:rFonts w:hint="eastAsia" w:ascii="宋体" w:hAnsi="宋体" w:eastAsia="宋体"/>
          <w:b/>
          <w:bCs/>
          <w:color w:val="auto"/>
          <w:sz w:val="21"/>
          <w:szCs w:val="21"/>
          <w:highlight w:val="none"/>
        </w:rPr>
        <w:t>…………………………………………………………………</w:t>
      </w:r>
      <w:r>
        <w:rPr>
          <w:rFonts w:hint="eastAsia" w:ascii="宋体" w:hAnsi="宋体"/>
          <w:bCs/>
          <w:color w:val="auto"/>
          <w:szCs w:val="21"/>
          <w:highlight w:val="none"/>
          <w:lang w:val="en-US" w:eastAsia="zh-CN"/>
        </w:rPr>
        <w:t>37</w:t>
      </w:r>
    </w:p>
    <w:p>
      <w:pPr>
        <w:pStyle w:val="5"/>
        <w:spacing w:before="0" w:after="0" w:line="360" w:lineRule="auto"/>
        <w:ind w:firstLine="1050" w:firstLineChars="5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第四章  采购内容及要求 ………………………………………………………4</w:t>
      </w:r>
      <w:r>
        <w:rPr>
          <w:rFonts w:hint="eastAsia" w:ascii="宋体" w:hAnsi="宋体" w:eastAsia="宋体"/>
          <w:b w:val="0"/>
          <w:bCs/>
          <w:color w:val="auto"/>
          <w:sz w:val="21"/>
          <w:szCs w:val="21"/>
          <w:highlight w:val="none"/>
          <w:lang w:val="en-US" w:eastAsia="zh-CN"/>
        </w:rPr>
        <w:t>3</w:t>
      </w:r>
    </w:p>
    <w:p>
      <w:pPr>
        <w:pStyle w:val="5"/>
        <w:spacing w:before="0" w:after="0" w:line="360" w:lineRule="auto"/>
        <w:ind w:firstLine="1470" w:firstLineChars="700"/>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val="en-US" w:eastAsia="zh-CN"/>
        </w:rPr>
        <w:t>1</w:t>
      </w:r>
      <w:r>
        <w:rPr>
          <w:rFonts w:hint="eastAsia" w:ascii="宋体" w:hAnsi="宋体" w:eastAsia="宋体"/>
          <w:b w:val="0"/>
          <w:bCs w:val="0"/>
          <w:color w:val="auto"/>
          <w:sz w:val="21"/>
          <w:szCs w:val="21"/>
          <w:highlight w:val="none"/>
        </w:rPr>
        <w:t>.</w:t>
      </w:r>
      <w:r>
        <w:rPr>
          <w:rFonts w:hint="eastAsia" w:ascii="宋体" w:hAnsi="宋体" w:eastAsia="宋体"/>
          <w:b w:val="0"/>
          <w:bCs/>
          <w:color w:val="auto"/>
          <w:sz w:val="21"/>
          <w:szCs w:val="21"/>
          <w:highlight w:val="none"/>
        </w:rPr>
        <w:t>采购货物清单及技术参数</w:t>
      </w:r>
      <w:r>
        <w:rPr>
          <w:rFonts w:hint="eastAsia" w:ascii="宋体" w:hAnsi="宋体" w:eastAsia="宋体"/>
          <w:b w:val="0"/>
          <w:bCs w:val="0"/>
          <w:color w:val="auto"/>
          <w:sz w:val="21"/>
          <w:szCs w:val="21"/>
          <w:highlight w:val="none"/>
        </w:rPr>
        <w:t>………………………………………………4</w:t>
      </w:r>
      <w:r>
        <w:rPr>
          <w:rFonts w:hint="eastAsia" w:ascii="宋体" w:hAnsi="宋体" w:eastAsia="宋体"/>
          <w:b w:val="0"/>
          <w:bCs w:val="0"/>
          <w:color w:val="auto"/>
          <w:sz w:val="21"/>
          <w:szCs w:val="21"/>
          <w:highlight w:val="none"/>
          <w:lang w:val="en-US" w:eastAsia="zh-CN"/>
        </w:rPr>
        <w:t>3</w:t>
      </w:r>
    </w:p>
    <w:p>
      <w:pPr>
        <w:pStyle w:val="5"/>
        <w:spacing w:before="0" w:after="0" w:line="360" w:lineRule="auto"/>
        <w:ind w:firstLine="1470" w:firstLineChars="700"/>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rPr>
        <w:t>.商务</w:t>
      </w:r>
      <w:r>
        <w:rPr>
          <w:rFonts w:hint="eastAsia" w:ascii="宋体" w:hAnsi="宋体" w:eastAsia="宋体"/>
          <w:b w:val="0"/>
          <w:bCs w:val="0"/>
          <w:color w:val="auto"/>
          <w:sz w:val="21"/>
          <w:szCs w:val="21"/>
          <w:highlight w:val="none"/>
          <w:lang w:val="en-US" w:eastAsia="zh-CN"/>
        </w:rPr>
        <w:t>条款</w:t>
      </w:r>
      <w:r>
        <w:rPr>
          <w:rFonts w:hint="eastAsia" w:ascii="宋体" w:hAnsi="宋体" w:eastAsia="宋体"/>
          <w:b w:val="0"/>
          <w:bCs w:val="0"/>
          <w:color w:val="auto"/>
          <w:sz w:val="21"/>
          <w:szCs w:val="21"/>
          <w:highlight w:val="none"/>
        </w:rPr>
        <w:t>…………………………………………………………………</w:t>
      </w:r>
      <w:r>
        <w:rPr>
          <w:rFonts w:hint="eastAsia" w:ascii="宋体" w:hAnsi="宋体" w:eastAsia="宋体"/>
          <w:b w:val="0"/>
          <w:bCs w:val="0"/>
          <w:color w:val="auto"/>
          <w:sz w:val="21"/>
          <w:szCs w:val="21"/>
          <w:highlight w:val="none"/>
          <w:lang w:val="en-US" w:eastAsia="zh-CN"/>
        </w:rPr>
        <w:t>49</w:t>
      </w:r>
    </w:p>
    <w:p>
      <w:pPr>
        <w:pStyle w:val="5"/>
        <w:spacing w:before="0" w:after="0" w:line="360" w:lineRule="auto"/>
        <w:ind w:firstLine="1050" w:firstLineChars="5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第五章  采购合同格式</w:t>
      </w:r>
      <w:r>
        <w:rPr>
          <w:rFonts w:hint="eastAsia" w:ascii="宋体" w:hAnsi="宋体" w:eastAsia="宋体"/>
          <w:b/>
          <w:bCs/>
          <w:color w:val="auto"/>
          <w:sz w:val="21"/>
          <w:szCs w:val="21"/>
          <w:highlight w:val="none"/>
        </w:rPr>
        <w:t>…………………………………………………………</w:t>
      </w:r>
      <w:r>
        <w:rPr>
          <w:rFonts w:hint="eastAsia" w:ascii="宋体" w:hAnsi="宋体" w:eastAsia="宋体"/>
          <w:b w:val="0"/>
          <w:bCs/>
          <w:color w:val="auto"/>
          <w:sz w:val="21"/>
          <w:szCs w:val="21"/>
          <w:highlight w:val="none"/>
          <w:lang w:val="en-US" w:eastAsia="zh-CN"/>
        </w:rPr>
        <w:t>52</w:t>
      </w:r>
    </w:p>
    <w:p>
      <w:pPr>
        <w:pStyle w:val="5"/>
        <w:spacing w:before="0" w:after="0" w:line="360" w:lineRule="auto"/>
        <w:ind w:firstLine="1050" w:firstLineChars="5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第六章  投标文件格式 …………………………………………………………</w:t>
      </w:r>
      <w:r>
        <w:rPr>
          <w:rFonts w:hint="eastAsia" w:ascii="宋体" w:hAnsi="宋体" w:eastAsia="宋体"/>
          <w:b w:val="0"/>
          <w:bCs/>
          <w:color w:val="auto"/>
          <w:sz w:val="21"/>
          <w:szCs w:val="21"/>
          <w:highlight w:val="none"/>
          <w:lang w:val="en-US" w:eastAsia="zh-CN"/>
        </w:rPr>
        <w:t>60</w:t>
      </w:r>
    </w:p>
    <w:p>
      <w:pPr>
        <w:pStyle w:val="5"/>
        <w:spacing w:before="0" w:after="0" w:line="360" w:lineRule="auto"/>
        <w:ind w:firstLine="1050" w:firstLineChars="500"/>
        <w:rPr>
          <w:rFonts w:hint="eastAsia" w:ascii="宋体" w:hAnsi="宋体" w:eastAsia="宋体"/>
          <w:b w:val="0"/>
          <w:bCs/>
          <w:color w:val="auto"/>
          <w:sz w:val="21"/>
          <w:szCs w:val="21"/>
          <w:highlight w:val="none"/>
        </w:rPr>
      </w:pPr>
    </w:p>
    <w:p>
      <w:pPr>
        <w:pStyle w:val="6"/>
        <w:rPr>
          <w:rFonts w:hint="eastAsia"/>
          <w:color w:val="auto"/>
          <w:szCs w:val="21"/>
          <w:highlight w:val="none"/>
        </w:rPr>
      </w:pPr>
    </w:p>
    <w:p>
      <w:pPr>
        <w:pStyle w:val="6"/>
        <w:rPr>
          <w:rFonts w:hint="eastAsia"/>
          <w:color w:val="auto"/>
          <w:szCs w:val="21"/>
          <w:highlight w:val="none"/>
        </w:rPr>
      </w:pPr>
    </w:p>
    <w:p>
      <w:pPr>
        <w:pStyle w:val="6"/>
        <w:rPr>
          <w:rFonts w:hint="eastAsia"/>
          <w:color w:val="auto"/>
          <w:szCs w:val="21"/>
          <w:highlight w:val="none"/>
        </w:rPr>
      </w:pPr>
    </w:p>
    <w:p>
      <w:pPr>
        <w:pStyle w:val="6"/>
        <w:rPr>
          <w:rFonts w:hint="eastAsia"/>
          <w:color w:val="auto"/>
          <w:szCs w:val="21"/>
          <w:highlight w:val="none"/>
        </w:rPr>
      </w:pPr>
    </w:p>
    <w:p>
      <w:pPr>
        <w:pStyle w:val="6"/>
        <w:rPr>
          <w:rFonts w:hint="eastAsia"/>
          <w:color w:val="auto"/>
          <w:szCs w:val="21"/>
          <w:highlight w:val="none"/>
        </w:rPr>
      </w:pPr>
    </w:p>
    <w:bookmarkEnd w:id="0"/>
    <w:bookmarkEnd w:id="1"/>
    <w:p>
      <w:pPr>
        <w:pStyle w:val="6"/>
        <w:spacing w:before="120" w:beforeLines="50" w:after="360" w:afterLines="150"/>
        <w:ind w:firstLine="0"/>
        <w:jc w:val="center"/>
        <w:rPr>
          <w:rFonts w:hint="eastAsia" w:ascii="黑体" w:hAnsi="宋体" w:eastAsia="黑体"/>
          <w:b/>
          <w:color w:val="auto"/>
          <w:kern w:val="44"/>
          <w:sz w:val="44"/>
          <w:szCs w:val="44"/>
          <w:highlight w:val="none"/>
        </w:rPr>
        <w:sectPr>
          <w:headerReference r:id="rId8" w:type="default"/>
          <w:footerReference r:id="rId9" w:type="default"/>
          <w:pgSz w:w="11910" w:h="16840"/>
          <w:pgMar w:top="1100" w:right="1000" w:bottom="1680" w:left="1080" w:header="873" w:footer="1485" w:gutter="0"/>
          <w:pgNumType w:fmt="decimal" w:start="50"/>
          <w:cols w:space="720" w:num="1"/>
        </w:sectPr>
      </w:pPr>
    </w:p>
    <w:p>
      <w:pPr>
        <w:pStyle w:val="6"/>
        <w:spacing w:before="120" w:beforeLines="50" w:after="360" w:afterLines="150"/>
        <w:ind w:firstLine="0"/>
        <w:jc w:val="center"/>
        <w:rPr>
          <w:rFonts w:hint="eastAsia" w:ascii="黑体" w:hAnsi="宋体" w:eastAsia="黑体"/>
          <w:b/>
          <w:color w:val="auto"/>
          <w:kern w:val="44"/>
          <w:sz w:val="44"/>
          <w:szCs w:val="4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440" w:right="1474" w:bottom="1440" w:left="1474" w:header="851" w:footer="992" w:gutter="0"/>
          <w:pgNumType w:fmt="decimal" w:start="1"/>
          <w:cols w:space="720" w:num="1"/>
        </w:sectPr>
      </w:pPr>
    </w:p>
    <w:p>
      <w:pPr>
        <w:pStyle w:val="6"/>
        <w:spacing w:before="120" w:beforeLines="50" w:after="360" w:afterLines="150"/>
        <w:ind w:firstLine="0"/>
        <w:jc w:val="center"/>
        <w:rPr>
          <w:rFonts w:hint="eastAsia" w:ascii="黑体" w:hAnsi="宋体" w:eastAsia="黑体"/>
          <w:color w:val="auto"/>
          <w:highlight w:val="none"/>
        </w:rPr>
      </w:pPr>
      <w:bookmarkStart w:id="2" w:name="_Toc213396945"/>
      <w:bookmarkStart w:id="3" w:name="_Toc217446031"/>
      <w:bookmarkStart w:id="4" w:name="_Toc213496267"/>
      <w:bookmarkStart w:id="5" w:name="_Toc213396759"/>
      <w:bookmarkStart w:id="6" w:name="_Toc213397009"/>
      <w:bookmarkStart w:id="7" w:name="_Toc183582202"/>
      <w:bookmarkStart w:id="8" w:name="_Toc183682339"/>
      <w:bookmarkStart w:id="9" w:name="_Toc77400776"/>
      <w:bookmarkStart w:id="10" w:name="_Toc89075871"/>
      <w:r>
        <w:rPr>
          <w:rFonts w:hint="eastAsia" w:ascii="黑体" w:hAnsi="宋体" w:eastAsia="黑体"/>
          <w:b/>
          <w:color w:val="auto"/>
          <w:kern w:val="44"/>
          <w:sz w:val="44"/>
          <w:szCs w:val="44"/>
          <w:highlight w:val="none"/>
        </w:rPr>
        <w:t>第一</w:t>
      </w:r>
      <w:r>
        <w:rPr>
          <w:rFonts w:hint="eastAsia" w:ascii="黑体" w:hAnsi="宋体" w:eastAsia="黑体"/>
          <w:b/>
          <w:color w:val="auto"/>
          <w:sz w:val="44"/>
          <w:szCs w:val="44"/>
          <w:highlight w:val="none"/>
        </w:rPr>
        <w:t>章  招标公告</w:t>
      </w:r>
    </w:p>
    <w:p>
      <w:pPr>
        <w:spacing w:line="360" w:lineRule="auto"/>
        <w:jc w:val="center"/>
        <w:rPr>
          <w:rFonts w:hint="eastAsia" w:ascii="Times New Roman" w:hAnsi="Times New Roman" w:eastAsia="宋体" w:cs="Times New Roman"/>
          <w:b/>
          <w:bCs/>
          <w:sz w:val="24"/>
          <w:szCs w:val="32"/>
          <w:highlight w:val="none"/>
        </w:rPr>
      </w:pPr>
      <w:r>
        <w:rPr>
          <w:rFonts w:hint="eastAsia" w:cs="Times New Roman"/>
          <w:b/>
          <w:bCs/>
          <w:sz w:val="24"/>
          <w:szCs w:val="32"/>
          <w:highlight w:val="none"/>
          <w:lang w:eastAsia="zh-CN"/>
        </w:rPr>
        <w:t>伊宁市人民医院云桌面采购项目</w:t>
      </w:r>
    </w:p>
    <w:p>
      <w:pPr>
        <w:spacing w:line="360" w:lineRule="auto"/>
        <w:jc w:val="center"/>
        <w:rPr>
          <w:rFonts w:hint="eastAsia" w:ascii="Times New Roman" w:hAnsi="Times New Roman" w:eastAsia="宋体" w:cs="Times New Roman"/>
          <w:b/>
          <w:bCs/>
          <w:sz w:val="24"/>
          <w:szCs w:val="32"/>
          <w:highlight w:val="none"/>
          <w:lang w:eastAsia="zh-CN"/>
        </w:rPr>
      </w:pPr>
      <w:r>
        <w:rPr>
          <w:rFonts w:ascii="Times New Roman" w:hAnsi="Times New Roman" w:eastAsia="宋体" w:cs="Times New Roman"/>
          <w:b/>
          <w:bCs/>
          <w:sz w:val="24"/>
          <w:szCs w:val="32"/>
          <w:highlight w:val="none"/>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259715</wp:posOffset>
                </wp:positionV>
                <wp:extent cx="5840095" cy="909955"/>
                <wp:effectExtent l="12700" t="12700" r="14605" b="29845"/>
                <wp:wrapNone/>
                <wp:docPr id="5" name="矩形 5"/>
                <wp:cNvGraphicFramePr/>
                <a:graphic xmlns:a="http://schemas.openxmlformats.org/drawingml/2006/main">
                  <a:graphicData uri="http://schemas.microsoft.com/office/word/2010/wordprocessingShape">
                    <wps:wsp>
                      <wps:cNvSpPr/>
                      <wps:spPr>
                        <a:xfrm>
                          <a:off x="1048385" y="2022475"/>
                          <a:ext cx="5840095" cy="90995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20.45pt;height:71.65pt;width:459.85pt;z-index:251662336;v-text-anchor:middle;mso-width-relative:page;mso-height-relative:page;" filled="f" stroked="t" coordsize="21600,21600" o:gfxdata="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4mNZTZAAAACQEAAA8AAAAAAAAAAQAgAAAAIgAAAGRycy9kb3ducmV2&#10;LnhtbFBLAQIUABQAAAAIAIdO4kAdxD+WbQIAAM4EAAAOAAAAAAAAAAEAIAAAACgBAABkcnMvZTJv&#10;RG9jLnhtbFBLBQYAAAAABgAGAFkBAAAHBgAAAAA=&#10;">
                <v:fill on="f" focussize="0,0"/>
                <v:stroke weight="2pt" color="#000000" joinstyle="round"/>
                <v:imagedata o:title=""/>
                <o:lock v:ext="edit" aspectratio="f"/>
              </v:rect>
            </w:pict>
          </mc:Fallback>
        </mc:AlternateContent>
      </w:r>
      <w:r>
        <w:rPr>
          <w:rFonts w:ascii="Times New Roman" w:hAnsi="Times New Roman" w:eastAsia="宋体" w:cs="Times New Roman"/>
          <w:b/>
          <w:bCs/>
          <w:sz w:val="24"/>
          <w:szCs w:val="32"/>
          <w:highlight w:val="none"/>
        </w:rPr>
        <w:t>公开招标公告</w:t>
      </w:r>
    </w:p>
    <w:p>
      <w:pPr>
        <w:spacing w:line="360" w:lineRule="auto"/>
        <w:rPr>
          <w:rFonts w:hint="eastAsia"/>
          <w:highlight w:val="none"/>
        </w:rPr>
      </w:pPr>
      <w:r>
        <w:rPr>
          <w:rFonts w:hint="eastAsia"/>
          <w:highlight w:val="none"/>
        </w:rPr>
        <w:t>项目概况</w:t>
      </w:r>
    </w:p>
    <w:p>
      <w:pPr>
        <w:spacing w:line="360" w:lineRule="auto"/>
        <w:ind w:firstLine="420" w:firstLineChars="200"/>
        <w:rPr>
          <w:highlight w:val="none"/>
        </w:rPr>
      </w:pPr>
      <w:r>
        <w:rPr>
          <w:rFonts w:hint="eastAsia"/>
          <w:highlight w:val="none"/>
          <w:lang w:eastAsia="zh-CN"/>
        </w:rPr>
        <w:t>伊宁市人民医院云桌面采购项目</w:t>
      </w:r>
      <w:r>
        <w:rPr>
          <w:rFonts w:hint="eastAsia"/>
          <w:highlight w:val="none"/>
        </w:rPr>
        <w:t>招标项目的</w:t>
      </w:r>
      <w:r>
        <w:rPr>
          <w:rFonts w:hint="eastAsia"/>
          <w:highlight w:val="none"/>
          <w:lang w:eastAsia="zh-CN"/>
        </w:rPr>
        <w:t>潜在投标人应在政采云平台线上获取获取招标文</w:t>
      </w:r>
      <w:r>
        <w:rPr>
          <w:rFonts w:hint="eastAsia"/>
          <w:highlight w:val="none"/>
          <w:lang w:val="en-US" w:eastAsia="zh-CN"/>
        </w:rPr>
        <w:t>件</w:t>
      </w:r>
      <w:r>
        <w:rPr>
          <w:rFonts w:hint="eastAsia"/>
          <w:highlight w:val="none"/>
          <w:lang w:eastAsia="zh-CN"/>
        </w:rPr>
        <w:t>，</w:t>
      </w:r>
      <w:r>
        <w:rPr>
          <w:rFonts w:hint="eastAsia"/>
          <w:highlight w:val="none"/>
        </w:rPr>
        <w:t>并于202</w:t>
      </w:r>
      <w:r>
        <w:rPr>
          <w:rFonts w:hint="eastAsia"/>
          <w:highlight w:val="none"/>
          <w:lang w:val="en-US" w:eastAsia="zh-CN"/>
        </w:rPr>
        <w:t>3</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23</w:t>
      </w:r>
      <w:r>
        <w:rPr>
          <w:rFonts w:hint="eastAsia"/>
          <w:highlight w:val="none"/>
        </w:rPr>
        <w:t xml:space="preserve">日 </w:t>
      </w:r>
      <w:r>
        <w:rPr>
          <w:rFonts w:hint="eastAsia"/>
          <w:highlight w:val="none"/>
          <w:lang w:val="en-US" w:eastAsia="zh-CN"/>
        </w:rPr>
        <w:t>16</w:t>
      </w:r>
      <w:r>
        <w:rPr>
          <w:rFonts w:hint="eastAsia"/>
          <w:highlight w:val="none"/>
        </w:rPr>
        <w:t>:</w:t>
      </w:r>
      <w:r>
        <w:rPr>
          <w:rFonts w:hint="eastAsia"/>
          <w:highlight w:val="none"/>
          <w:lang w:val="en-US" w:eastAsia="zh-CN"/>
        </w:rPr>
        <w:t>30</w:t>
      </w:r>
      <w:r>
        <w:rPr>
          <w:rFonts w:hint="eastAsia"/>
          <w:highlight w:val="none"/>
        </w:rPr>
        <w:t>（北京时间）前递交投标文件。</w:t>
      </w:r>
    </w:p>
    <w:p>
      <w:pPr>
        <w:spacing w:line="360" w:lineRule="auto"/>
        <w:rPr>
          <w:b/>
          <w:bCs/>
          <w:highlight w:val="none"/>
        </w:rPr>
      </w:pPr>
    </w:p>
    <w:p>
      <w:pPr>
        <w:spacing w:line="360" w:lineRule="auto"/>
        <w:rPr>
          <w:b/>
          <w:bCs/>
          <w:highlight w:val="none"/>
        </w:rPr>
      </w:pPr>
      <w:r>
        <w:rPr>
          <w:b/>
          <w:bCs/>
          <w:highlight w:val="none"/>
        </w:rPr>
        <w:t>一、项目基本情况</w:t>
      </w:r>
    </w:p>
    <w:p>
      <w:pPr>
        <w:spacing w:line="360" w:lineRule="auto"/>
        <w:rPr>
          <w:rFonts w:hint="eastAsia" w:eastAsia="宋体"/>
          <w:highlight w:val="none"/>
          <w:lang w:val="en-US" w:eastAsia="zh-CN"/>
        </w:rPr>
      </w:pPr>
      <w:r>
        <w:rPr>
          <w:rFonts w:hint="eastAsia"/>
          <w:highlight w:val="none"/>
        </w:rPr>
        <w:t>项目编号：</w:t>
      </w:r>
      <w:r>
        <w:rPr>
          <w:rFonts w:hint="eastAsia"/>
          <w:highlight w:val="none"/>
          <w:lang w:eastAsia="zh-CN"/>
        </w:rPr>
        <w:t>HYYL-2023-050</w:t>
      </w:r>
    </w:p>
    <w:p>
      <w:pPr>
        <w:spacing w:line="360" w:lineRule="auto"/>
        <w:rPr>
          <w:rFonts w:hint="eastAsia"/>
          <w:highlight w:val="none"/>
          <w:lang w:eastAsia="zh-CN"/>
        </w:rPr>
      </w:pPr>
      <w:r>
        <w:rPr>
          <w:rFonts w:hint="eastAsia"/>
          <w:highlight w:val="none"/>
        </w:rPr>
        <w:t>项目名称：</w:t>
      </w:r>
      <w:r>
        <w:rPr>
          <w:rFonts w:hint="eastAsia"/>
          <w:highlight w:val="none"/>
          <w:lang w:eastAsia="zh-CN"/>
        </w:rPr>
        <w:t>伊宁市人民医院云桌面采购项目</w:t>
      </w:r>
    </w:p>
    <w:p>
      <w:pPr>
        <w:spacing w:line="360" w:lineRule="auto"/>
        <w:rPr>
          <w:highlight w:val="none"/>
        </w:rPr>
      </w:pPr>
      <w:r>
        <w:rPr>
          <w:rFonts w:hint="eastAsia"/>
          <w:highlight w:val="none"/>
        </w:rPr>
        <w:t>采购方式：公开招标</w:t>
      </w:r>
    </w:p>
    <w:p>
      <w:pPr>
        <w:spacing w:line="360" w:lineRule="auto"/>
        <w:rPr>
          <w:rFonts w:hint="default" w:eastAsia="宋体"/>
          <w:highlight w:val="none"/>
          <w:lang w:val="en-US" w:eastAsia="zh-CN"/>
        </w:rPr>
      </w:pPr>
      <w:r>
        <w:rPr>
          <w:rFonts w:hint="eastAsia"/>
          <w:highlight w:val="none"/>
        </w:rPr>
        <w:t>预算金额（元）：</w:t>
      </w:r>
      <w:r>
        <w:rPr>
          <w:rFonts w:hint="eastAsia"/>
          <w:highlight w:val="none"/>
          <w:lang w:val="en-US" w:eastAsia="zh-CN"/>
        </w:rPr>
        <w:t>2400000.00</w:t>
      </w:r>
    </w:p>
    <w:p>
      <w:pPr>
        <w:spacing w:line="360" w:lineRule="auto"/>
        <w:rPr>
          <w:rFonts w:hint="default" w:eastAsia="宋体"/>
          <w:highlight w:val="none"/>
          <w:lang w:val="en-US" w:eastAsia="zh-CN"/>
        </w:rPr>
      </w:pPr>
      <w:r>
        <w:rPr>
          <w:rFonts w:hint="eastAsia"/>
          <w:highlight w:val="none"/>
        </w:rPr>
        <w:t>最高限价（元）：</w:t>
      </w:r>
      <w:r>
        <w:rPr>
          <w:rFonts w:hint="eastAsia"/>
          <w:highlight w:val="none"/>
          <w:lang w:val="en-US" w:eastAsia="zh-CN"/>
        </w:rPr>
        <w:t>2400000.00</w:t>
      </w:r>
    </w:p>
    <w:p>
      <w:pPr>
        <w:spacing w:line="360" w:lineRule="auto"/>
        <w:rPr>
          <w:highlight w:val="none"/>
        </w:rPr>
      </w:pPr>
      <w:r>
        <w:rPr>
          <w:rFonts w:hint="eastAsia"/>
          <w:highlight w:val="none"/>
        </w:rPr>
        <w:t>采购需求：</w:t>
      </w:r>
    </w:p>
    <w:p>
      <w:pPr>
        <w:spacing w:line="360" w:lineRule="auto"/>
        <w:rPr>
          <w:rFonts w:hint="eastAsia"/>
          <w:highlight w:val="none"/>
          <w:lang w:eastAsia="zh-CN"/>
        </w:rPr>
      </w:pPr>
      <w:r>
        <w:rPr>
          <w:rFonts w:hint="eastAsia"/>
          <w:highlight w:val="none"/>
        </w:rPr>
        <w:t>标项一</w:t>
      </w:r>
    </w:p>
    <w:p>
      <w:pPr>
        <w:spacing w:line="360" w:lineRule="auto"/>
        <w:rPr>
          <w:rFonts w:hint="eastAsia"/>
          <w:highlight w:val="none"/>
          <w:lang w:eastAsia="zh-CN"/>
        </w:rPr>
      </w:pPr>
      <w:r>
        <w:rPr>
          <w:rFonts w:hint="eastAsia"/>
          <w:highlight w:val="none"/>
        </w:rPr>
        <w:t>标项名称:</w:t>
      </w:r>
      <w:r>
        <w:rPr>
          <w:rFonts w:hint="eastAsia"/>
          <w:highlight w:val="none"/>
          <w:lang w:eastAsia="zh-CN"/>
        </w:rPr>
        <w:t>伊宁市人民医院云桌面采购项目</w:t>
      </w:r>
    </w:p>
    <w:p>
      <w:pPr>
        <w:spacing w:line="360" w:lineRule="auto"/>
        <w:rPr>
          <w:rFonts w:hint="default"/>
          <w:highlight w:val="none"/>
          <w:lang w:val="en-US" w:eastAsia="zh-CN"/>
        </w:rPr>
      </w:pPr>
      <w:r>
        <w:rPr>
          <w:rFonts w:hint="eastAsia"/>
          <w:highlight w:val="none"/>
        </w:rPr>
        <w:t>预算金额（元）:</w:t>
      </w:r>
      <w:r>
        <w:rPr>
          <w:rFonts w:hint="eastAsia"/>
          <w:highlight w:val="none"/>
          <w:lang w:val="en-US" w:eastAsia="zh-CN"/>
        </w:rPr>
        <w:t>2400000.00</w:t>
      </w:r>
    </w:p>
    <w:p>
      <w:pPr>
        <w:spacing w:line="360" w:lineRule="auto"/>
        <w:rPr>
          <w:rFonts w:hint="default"/>
          <w:highlight w:val="none"/>
          <w:lang w:val="en-US" w:eastAsia="zh-CN"/>
        </w:rPr>
      </w:pPr>
      <w:r>
        <w:rPr>
          <w:rFonts w:hint="eastAsia"/>
          <w:highlight w:val="none"/>
          <w:lang w:val="en-US" w:eastAsia="zh-CN"/>
        </w:rPr>
        <w:t>数量：1</w:t>
      </w:r>
    </w:p>
    <w:p>
      <w:pPr>
        <w:spacing w:line="360" w:lineRule="auto"/>
        <w:rPr>
          <w:rFonts w:hint="eastAsia"/>
          <w:highlight w:val="none"/>
        </w:rPr>
      </w:pPr>
      <w:r>
        <w:rPr>
          <w:rFonts w:hint="eastAsia"/>
          <w:highlight w:val="none"/>
        </w:rPr>
        <w:t>简要规格描述或项目基本概况介绍、用途：采购云桌面（胖终端）</w:t>
      </w:r>
      <w:r>
        <w:rPr>
          <w:rFonts w:hint="eastAsia"/>
          <w:highlight w:val="none"/>
          <w:lang w:val="en-US" w:eastAsia="zh-CN"/>
        </w:rPr>
        <w:t>等配套软硬件设备</w:t>
      </w:r>
      <w:r>
        <w:rPr>
          <w:rFonts w:hint="eastAsia"/>
          <w:highlight w:val="none"/>
        </w:rPr>
        <w:t>；具体参数详见招标文件。</w:t>
      </w:r>
    </w:p>
    <w:p>
      <w:pPr>
        <w:spacing w:line="360" w:lineRule="auto"/>
        <w:rPr>
          <w:rFonts w:hint="eastAsia"/>
          <w:highlight w:val="none"/>
        </w:rPr>
      </w:pPr>
      <w:r>
        <w:rPr>
          <w:rFonts w:hint="eastAsia"/>
          <w:highlight w:val="none"/>
        </w:rPr>
        <w:t>备注：</w:t>
      </w:r>
    </w:p>
    <w:p>
      <w:pPr>
        <w:spacing w:line="360" w:lineRule="auto"/>
        <w:rPr>
          <w:rFonts w:hint="default"/>
          <w:highlight w:val="yellow"/>
          <w:lang w:val="en-US"/>
        </w:rPr>
      </w:pPr>
      <w:r>
        <w:rPr>
          <w:rFonts w:hint="eastAsia"/>
          <w:highlight w:val="none"/>
        </w:rPr>
        <w:t>合同履约期限：标项 1</w:t>
      </w:r>
      <w:r>
        <w:rPr>
          <w:rFonts w:hint="eastAsia"/>
          <w:highlight w:val="none"/>
          <w:lang w:eastAsia="zh-CN"/>
        </w:rPr>
        <w:t>，中标之日起30日内到货，到货后7日内完成安装调试；</w:t>
      </w:r>
    </w:p>
    <w:p>
      <w:pPr>
        <w:spacing w:line="360" w:lineRule="auto"/>
        <w:rPr>
          <w:highlight w:val="none"/>
        </w:rPr>
      </w:pPr>
      <w:r>
        <w:rPr>
          <w:rFonts w:hint="eastAsia"/>
          <w:highlight w:val="none"/>
        </w:rPr>
        <w:t>本项目（否）接受联合体投标。</w:t>
      </w:r>
    </w:p>
    <w:p>
      <w:pPr>
        <w:spacing w:line="360" w:lineRule="auto"/>
        <w:rPr>
          <w:b/>
          <w:bCs/>
          <w:highlight w:val="none"/>
        </w:rPr>
      </w:pPr>
      <w:r>
        <w:rPr>
          <w:rFonts w:hint="eastAsia"/>
          <w:b/>
          <w:bCs/>
          <w:highlight w:val="none"/>
          <w:lang w:val="en-US" w:eastAsia="zh-CN"/>
        </w:rPr>
        <w:t>二、</w:t>
      </w:r>
      <w:r>
        <w:rPr>
          <w:b/>
          <w:bCs/>
          <w:highlight w:val="none"/>
        </w:rPr>
        <w:t>申请人的资格要求：</w:t>
      </w:r>
    </w:p>
    <w:p>
      <w:pPr>
        <w:spacing w:line="360" w:lineRule="auto"/>
        <w:rPr>
          <w:rFonts w:hint="eastAsia"/>
          <w:highlight w:val="none"/>
          <w:lang w:val="en-US" w:eastAsia="zh-CN"/>
        </w:rPr>
      </w:pPr>
      <w:r>
        <w:rPr>
          <w:rFonts w:hint="eastAsia"/>
          <w:highlight w:val="none"/>
          <w:lang w:val="en-US" w:eastAsia="zh-CN"/>
        </w:rPr>
        <w:t>1.满足《中华人民共和国政府采购法》第二十二条规定；服务商未列入失信被执行人、重大税收违法失信主体、政府采购严重违法失信行为记录名单（财库[2016]125号）。</w:t>
      </w:r>
    </w:p>
    <w:p>
      <w:pPr>
        <w:spacing w:line="360" w:lineRule="auto"/>
        <w:rPr>
          <w:rFonts w:hint="default"/>
          <w:highlight w:val="none"/>
          <w:lang w:val="en-US" w:eastAsia="zh-CN"/>
        </w:rPr>
      </w:pPr>
      <w:r>
        <w:rPr>
          <w:rFonts w:hint="eastAsia"/>
          <w:highlight w:val="none"/>
          <w:lang w:val="en-US" w:eastAsia="zh-CN"/>
        </w:rPr>
        <w:t>2.落实政府采购政策需满足的资格要求：无</w:t>
      </w:r>
    </w:p>
    <w:p>
      <w:pPr>
        <w:spacing w:line="360" w:lineRule="auto"/>
        <w:rPr>
          <w:rFonts w:hint="eastAsia"/>
          <w:highlight w:val="none"/>
          <w:lang w:val="en-US" w:eastAsia="zh-CN"/>
        </w:rPr>
      </w:pPr>
      <w:r>
        <w:rPr>
          <w:rFonts w:hint="eastAsia"/>
          <w:highlight w:val="none"/>
          <w:lang w:val="en-US" w:eastAsia="zh-CN"/>
        </w:rPr>
        <w:t>3.本项目的特定资格要求：</w:t>
      </w:r>
    </w:p>
    <w:p>
      <w:pPr>
        <w:spacing w:line="360" w:lineRule="auto"/>
        <w:rPr>
          <w:rFonts w:hint="eastAsia"/>
          <w:highlight w:val="none"/>
          <w:lang w:val="en-US" w:eastAsia="zh-CN"/>
        </w:rPr>
      </w:pPr>
      <w:r>
        <w:rPr>
          <w:rFonts w:hint="eastAsia"/>
          <w:highlight w:val="none"/>
          <w:lang w:val="en-US" w:eastAsia="zh-CN"/>
        </w:rPr>
        <w:t>【标项1】</w:t>
      </w:r>
    </w:p>
    <w:p>
      <w:pPr>
        <w:numPr>
          <w:ilvl w:val="0"/>
          <w:numId w:val="1"/>
        </w:numPr>
        <w:spacing w:line="360" w:lineRule="auto"/>
        <w:rPr>
          <w:rFonts w:hint="eastAsia"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投标人为企业法人应提供合法有效的标识有统一社会信用代码的营业执照；事业法人应提供事业单位法人证书；其他组织应提供合法登记证明文件；</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（2）法定代表人（负责人）参加提供法定代表人（负责人）身份证明书及身份证（授权委托人参加提供法定代表人（负责人）授权委托书及被委托人身份证）；</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（4）投标人提供近半年内已缴存的至少一个月的社会保障资金缴存单据或社保机构开具的社会保险参保缴费情况证明，依法不需要缴纳社会保障资金的投标人应提供相关文件证明；</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5）投标人提供2022年的财务审计报告（成立时间至提交投标文件截止时间不足一年的可提供成立后任意时段的资产负债表），或其开标前三个月内基本存款账户开户银行出具的资信证明及基本存款账户开户证明；</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（6）投标人提供近半年内已缴纳的至少一个月的纳税证明或完税证明，纳税证明或完税证明上应有代收机构或税务机关的公章，依法免税的投标人应提供相关文件证明；</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（7）投标人应具备良好的商业信誉，提供参加政府采购活动前3年内在经营活动中没有重大违法记录的书面声明；</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Times New Roman" w:hAnsi="Times New Roman" w:eastAsia="宋体" w:cs="Times New Roman"/>
          <w:b w:val="0"/>
          <w:bCs w:val="0"/>
          <w:kern w:val="2"/>
          <w:sz w:val="21"/>
          <w:szCs w:val="24"/>
          <w:highlight w:val="none"/>
          <w:lang w:val="en-US" w:eastAsia="zh-CN" w:bidi="ar-SA"/>
        </w:rPr>
        <w:br w:type="textWrapping"/>
      </w:r>
      <w:r>
        <w:rPr>
          <w:rFonts w:hint="eastAsia" w:ascii="Times New Roman" w:hAnsi="Times New Roman" w:eastAsia="宋体" w:cs="Times New Roman"/>
          <w:b w:val="0"/>
          <w:bCs w:val="0"/>
          <w:kern w:val="2"/>
          <w:sz w:val="21"/>
          <w:szCs w:val="24"/>
          <w:highlight w:val="none"/>
          <w:lang w:val="en-US" w:eastAsia="zh-CN" w:bidi="ar-SA"/>
        </w:rPr>
        <w:t>（9）本项目不接受联合体投标。</w:t>
      </w:r>
    </w:p>
    <w:p>
      <w:pPr>
        <w:numPr>
          <w:ilvl w:val="0"/>
          <w:numId w:val="0"/>
        </w:numPr>
        <w:spacing w:line="360" w:lineRule="auto"/>
        <w:rPr>
          <w:b/>
          <w:bCs/>
          <w:highlight w:val="none"/>
        </w:rPr>
      </w:pPr>
      <w:r>
        <w:rPr>
          <w:b/>
          <w:bCs/>
          <w:highlight w:val="none"/>
        </w:rPr>
        <w:t>三、获取招标文件</w:t>
      </w:r>
    </w:p>
    <w:p>
      <w:pPr>
        <w:spacing w:line="360" w:lineRule="auto"/>
        <w:rPr>
          <w:rFonts w:hint="eastAsia"/>
          <w:highlight w:val="none"/>
          <w:lang w:val="en-US" w:eastAsia="zh-CN"/>
        </w:rPr>
      </w:pPr>
      <w:r>
        <w:rPr>
          <w:rFonts w:hint="eastAsia"/>
          <w:highlight w:val="none"/>
          <w:lang w:val="en-US" w:eastAsia="zh-CN"/>
        </w:rPr>
        <w:t>时间：2023年8月3日至2023年8月10日，每天上午10:00至14:00，下午16:00至20:00（北京时间，法定节假日除外）；</w:t>
      </w:r>
    </w:p>
    <w:p>
      <w:pPr>
        <w:spacing w:line="360" w:lineRule="auto"/>
        <w:rPr>
          <w:rFonts w:hint="eastAsia"/>
          <w:highlight w:val="none"/>
          <w:lang w:val="en-US" w:eastAsia="zh-CN"/>
        </w:rPr>
      </w:pPr>
      <w:r>
        <w:rPr>
          <w:rFonts w:hint="eastAsia"/>
          <w:highlight w:val="none"/>
          <w:lang w:val="en-US" w:eastAsia="zh-CN"/>
        </w:rPr>
        <w:t>地点：政采云平台线上获取；</w:t>
      </w:r>
    </w:p>
    <w:p>
      <w:pPr>
        <w:spacing w:line="360" w:lineRule="auto"/>
        <w:rPr>
          <w:rFonts w:hint="eastAsia"/>
          <w:highlight w:val="none"/>
          <w:lang w:val="en-US" w:eastAsia="zh-CN"/>
        </w:rPr>
      </w:pPr>
      <w:r>
        <w:rPr>
          <w:rFonts w:hint="eastAsia"/>
          <w:highlight w:val="none"/>
          <w:lang w:val="en-US" w:eastAsia="zh-CN"/>
        </w:rPr>
        <w:t xml:space="preserve">方式：供应商登录政采云平台https://www.zcygov.cn/在线申请获取采购文件（进入“项目采购”应用，在获取采购文件菜单中选择项目，申请获取采购文件）； </w:t>
      </w:r>
    </w:p>
    <w:p>
      <w:pPr>
        <w:spacing w:line="360" w:lineRule="auto"/>
        <w:rPr>
          <w:rFonts w:hint="eastAsia"/>
          <w:highlight w:val="none"/>
          <w:lang w:val="en-US" w:eastAsia="zh-CN"/>
        </w:rPr>
      </w:pPr>
      <w:r>
        <w:rPr>
          <w:rFonts w:hint="eastAsia"/>
          <w:highlight w:val="none"/>
          <w:lang w:val="en-US" w:eastAsia="zh-CN"/>
        </w:rPr>
        <w:t>售价（元）：0</w:t>
      </w:r>
    </w:p>
    <w:p>
      <w:pPr>
        <w:spacing w:line="360" w:lineRule="auto"/>
        <w:rPr>
          <w:b/>
          <w:bCs/>
          <w:highlight w:val="none"/>
        </w:rPr>
      </w:pPr>
      <w:r>
        <w:rPr>
          <w:b/>
          <w:bCs/>
          <w:highlight w:val="none"/>
        </w:rPr>
        <w:t>四、提交投标文件截止时间、开标时间和地点</w:t>
      </w:r>
    </w:p>
    <w:p>
      <w:pPr>
        <w:spacing w:line="360" w:lineRule="auto"/>
        <w:rPr>
          <w:rFonts w:hint="eastAsia"/>
          <w:highlight w:val="none"/>
          <w:lang w:val="en-US" w:eastAsia="zh-CN"/>
        </w:rPr>
      </w:pPr>
      <w:r>
        <w:rPr>
          <w:rFonts w:hint="eastAsia"/>
          <w:highlight w:val="none"/>
          <w:lang w:val="en-US" w:eastAsia="zh-CN"/>
        </w:rPr>
        <w:t>提交投标文件截止时间：2023年8月23日16点30分（北京时间）</w:t>
      </w:r>
    </w:p>
    <w:p>
      <w:pPr>
        <w:spacing w:line="360" w:lineRule="auto"/>
        <w:rPr>
          <w:rFonts w:hint="eastAsia"/>
          <w:highlight w:val="none"/>
          <w:lang w:val="en-US" w:eastAsia="zh-CN"/>
        </w:rPr>
      </w:pPr>
      <w:r>
        <w:rPr>
          <w:rFonts w:hint="eastAsia"/>
          <w:highlight w:val="none"/>
          <w:lang w:val="en-US" w:eastAsia="zh-CN"/>
        </w:rPr>
        <w:t>投标地点：政采云平台客户端投标（逾期上传或者未上传指定地点的投标文件，采购人不予受理）。</w:t>
      </w:r>
    </w:p>
    <w:p>
      <w:pPr>
        <w:spacing w:line="360" w:lineRule="auto"/>
        <w:rPr>
          <w:rFonts w:hint="eastAsia"/>
          <w:highlight w:val="none"/>
          <w:lang w:val="en-US" w:eastAsia="zh-CN"/>
        </w:rPr>
      </w:pPr>
      <w:r>
        <w:rPr>
          <w:rFonts w:hint="eastAsia"/>
          <w:highlight w:val="none"/>
          <w:lang w:val="en-US" w:eastAsia="zh-CN"/>
        </w:rPr>
        <w:t>开标时间：2023年8月23日 16:30（北京时间）</w:t>
      </w:r>
    </w:p>
    <w:p>
      <w:pPr>
        <w:spacing w:line="360" w:lineRule="auto"/>
        <w:rPr>
          <w:rFonts w:hint="eastAsia"/>
          <w:highlight w:val="none"/>
          <w:lang w:val="en-US" w:eastAsia="zh-CN"/>
        </w:rPr>
      </w:pPr>
      <w:r>
        <w:rPr>
          <w:rFonts w:hint="eastAsia"/>
          <w:highlight w:val="none"/>
          <w:lang w:val="en-US" w:eastAsia="zh-CN"/>
        </w:rPr>
        <w:t>开标地点：政采云电子开标大厅</w:t>
      </w:r>
    </w:p>
    <w:p>
      <w:pPr>
        <w:spacing w:line="360" w:lineRule="auto"/>
        <w:rPr>
          <w:b/>
          <w:bCs/>
          <w:highlight w:val="none"/>
        </w:rPr>
      </w:pPr>
      <w:r>
        <w:rPr>
          <w:b/>
          <w:bCs/>
          <w:highlight w:val="none"/>
        </w:rPr>
        <w:t>五、公告期限</w:t>
      </w:r>
    </w:p>
    <w:p>
      <w:pPr>
        <w:spacing w:line="360" w:lineRule="auto"/>
        <w:rPr>
          <w:highlight w:val="none"/>
        </w:rPr>
      </w:pPr>
      <w:r>
        <w:rPr>
          <w:rFonts w:hint="eastAsia"/>
          <w:highlight w:val="none"/>
        </w:rPr>
        <w:t>自本公告发布之日起5个工作日。</w:t>
      </w:r>
    </w:p>
    <w:p>
      <w:pPr>
        <w:spacing w:line="360" w:lineRule="auto"/>
        <w:rPr>
          <w:rFonts w:hint="eastAsia"/>
          <w:b/>
          <w:bCs/>
          <w:highlight w:val="none"/>
          <w:lang w:eastAsia="zh-CN"/>
        </w:rPr>
      </w:pPr>
      <w:r>
        <w:rPr>
          <w:rFonts w:hint="eastAsia"/>
          <w:b/>
          <w:bCs/>
          <w:highlight w:val="none"/>
          <w:lang w:val="en-US" w:eastAsia="zh-CN"/>
        </w:rPr>
        <w:t>六、</w:t>
      </w:r>
      <w:r>
        <w:rPr>
          <w:b/>
          <w:bCs/>
          <w:highlight w:val="none"/>
        </w:rPr>
        <w:t>其他补充事宜</w:t>
      </w:r>
    </w:p>
    <w:p>
      <w:pPr>
        <w:spacing w:line="360" w:lineRule="auto"/>
        <w:ind w:firstLine="420" w:firstLineChars="200"/>
        <w:rPr>
          <w:rFonts w:hint="eastAsia"/>
          <w:highlight w:val="none"/>
          <w:lang w:val="en-US" w:eastAsia="zh-CN"/>
        </w:rPr>
      </w:pPr>
      <w:r>
        <w:rPr>
          <w:rFonts w:hint="eastAsia"/>
          <w:highlight w:val="none"/>
          <w:lang w:val="en-US" w:eastAsia="zh-CN"/>
        </w:rPr>
        <w:t>1、本次采购采用电子交易方式，电子交易平台为“政府采购云平台 (www.zcygov.cn) ”。供应商参与本项目电子交易活动前，应注册成为政府采购云平台供应商。编制电子投标文件前还需 申 领 CA 证 书 并 绑 定 帐 号 ， CA 申 领 地 址 查 看 网 址 https://www.xjca.com.cn/article/content/201802/582/1.html ， CA 服 务 电 话 ： 0991-281-9290。</w:t>
      </w:r>
    </w:p>
    <w:p>
      <w:pPr>
        <w:spacing w:line="360" w:lineRule="auto"/>
        <w:rPr>
          <w:rFonts w:hint="eastAsia"/>
          <w:highlight w:val="none"/>
          <w:lang w:val="en-US" w:eastAsia="zh-CN"/>
        </w:rPr>
      </w:pPr>
      <w:r>
        <w:rPr>
          <w:rFonts w:hint="eastAsia"/>
          <w:highlight w:val="none"/>
          <w:lang w:val="en-US" w:eastAsia="zh-CN"/>
        </w:rPr>
        <w:t>2、供应商编制电子投标文件应安装“电子招投标供应商客户端”软件，并按照本采购文 件和电子招投标供应商客户端的要求编制并加密投标文件。未按规定加密的投标文件，将被 电子招投标供应商客户端拒收。“电子招投标供应商客户端”请供应商自行前往“新疆政府 采购网—下载专区—新疆维吾尔自治区全流程电子招投标项目管理系统--电子招投标供应商 客户端”版块获取。</w:t>
      </w:r>
    </w:p>
    <w:p>
      <w:pPr>
        <w:spacing w:line="360" w:lineRule="auto"/>
        <w:rPr>
          <w:rFonts w:hint="eastAsia"/>
          <w:highlight w:val="none"/>
          <w:lang w:val="en-US" w:eastAsia="zh-CN"/>
        </w:rPr>
      </w:pPr>
      <w:r>
        <w:rPr>
          <w:rFonts w:hint="eastAsia"/>
          <w:highlight w:val="none"/>
          <w:lang w:val="en-US" w:eastAsia="zh-CN"/>
        </w:rPr>
        <w:t>3、供应商应当在投标截止时间前，将“电子招投标供应商客户端”生成的“电子加密投标文件”上传电子交易平台。</w:t>
      </w:r>
    </w:p>
    <w:p>
      <w:pPr>
        <w:spacing w:line="360" w:lineRule="auto"/>
        <w:rPr>
          <w:rFonts w:hint="eastAsia" w:ascii="Times New Roman" w:hAnsi="Times New Roman" w:eastAsia="宋体" w:cs="Times New Roman"/>
          <w:b w:val="0"/>
          <w:bCs w:val="0"/>
          <w:kern w:val="2"/>
          <w:sz w:val="21"/>
          <w:szCs w:val="24"/>
          <w:highlight w:val="none"/>
          <w:lang w:val="en-US" w:eastAsia="zh-CN" w:bidi="ar-SA"/>
        </w:rPr>
      </w:pPr>
      <w:r>
        <w:rPr>
          <w:rFonts w:hint="eastAsia"/>
          <w:highlight w:val="none"/>
          <w:lang w:val="en-US" w:eastAsia="zh-CN"/>
        </w:rPr>
        <w:t>4、服务与支持。各政府采购代理机构 (含集采机构) 及供应商对不见面开评标系统的技 术操作咨询，可通过 https://edu.zcygov.cn/luban/xinjiang-e-biding 自助查询，也可在 政 采 云 帮 助 中 心 常 见 问 题 解 答 和 操 作 流 程 讲 解 视 频 中 自 助 查 询 ， 网 址 为 ： https://service.zcygov.cn/#/help，“项目采购”—“操作流程-电子招投标”—“政府采 购项目电子交易管理操作指南-供应商”版面获取操作指南，同时对自助查询无法解决的问题 可通过钉钉群及政采云在线客服获取服务支持。政采云热线人工号码：400-881-7190 (工作 时间：工作日 08:00~20：00) 。</w:t>
      </w:r>
    </w:p>
    <w:p>
      <w:pPr>
        <w:spacing w:line="360" w:lineRule="auto"/>
        <w:rPr>
          <w:b/>
          <w:bCs/>
          <w:highlight w:val="none"/>
        </w:rPr>
      </w:pPr>
      <w:r>
        <w:rPr>
          <w:b/>
          <w:bCs/>
          <w:highlight w:val="none"/>
        </w:rPr>
        <w:t>七、对本次采购提出询问，请按以下方式联系</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1.采购人信息</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名 称：</w:t>
      </w:r>
      <w:r>
        <w:rPr>
          <w:rFonts w:hint="eastAsia" w:ascii="宋体" w:hAnsi="宋体" w:cs="宋体"/>
          <w:i w:val="0"/>
          <w:iCs w:val="0"/>
          <w:sz w:val="21"/>
          <w:szCs w:val="21"/>
          <w:highlight w:val="none"/>
          <w:u w:val="none"/>
          <w:lang w:eastAsia="zh-CN"/>
        </w:rPr>
        <w:t>伊宁市人民医院</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val="en-US" w:eastAsia="zh-CN"/>
        </w:rPr>
      </w:pPr>
      <w:r>
        <w:rPr>
          <w:rFonts w:hint="eastAsia" w:ascii="宋体" w:hAnsi="宋体" w:eastAsia="宋体" w:cs="宋体"/>
          <w:i w:val="0"/>
          <w:iCs w:val="0"/>
          <w:sz w:val="21"/>
          <w:szCs w:val="21"/>
          <w:highlight w:val="none"/>
          <w:u w:val="none"/>
        </w:rPr>
        <w:t>地 址：伊宁市新华东路66号</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default" w:ascii="宋体" w:hAnsi="宋体" w:eastAsia="宋体" w:cs="宋体"/>
          <w:i w:val="0"/>
          <w:iCs w:val="0"/>
          <w:sz w:val="21"/>
          <w:szCs w:val="21"/>
          <w:highlight w:val="none"/>
          <w:u w:val="none"/>
          <w:lang w:val="en-US" w:eastAsia="zh-CN"/>
        </w:rPr>
      </w:pPr>
      <w:r>
        <w:rPr>
          <w:rFonts w:hint="eastAsia" w:ascii="宋体" w:hAnsi="宋体" w:eastAsia="宋体" w:cs="宋体"/>
          <w:i w:val="0"/>
          <w:iCs w:val="0"/>
          <w:sz w:val="21"/>
          <w:szCs w:val="21"/>
          <w:highlight w:val="none"/>
          <w:u w:val="none"/>
        </w:rPr>
        <w:t>联系方式：</w:t>
      </w:r>
      <w:r>
        <w:rPr>
          <w:rFonts w:hint="eastAsia" w:ascii="宋体" w:hAnsi="宋体" w:cs="宋体"/>
          <w:i w:val="0"/>
          <w:iCs w:val="0"/>
          <w:sz w:val="21"/>
          <w:szCs w:val="21"/>
          <w:highlight w:val="none"/>
          <w:u w:val="none"/>
          <w:lang w:val="en-US" w:eastAsia="zh-CN"/>
        </w:rPr>
        <w:t>18699909660</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2.采购代理机构信息</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名 称：新疆华域建设工程项目管理咨询有限公司</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地 址：伊宁市经济合作区北京路一品墅新房大厦10楼1004号</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3.项目联系方式</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项目联系人：</w:t>
      </w:r>
      <w:r>
        <w:rPr>
          <w:rFonts w:hint="eastAsia" w:ascii="宋体" w:hAnsi="宋体" w:cs="宋体"/>
          <w:i w:val="0"/>
          <w:iCs w:val="0"/>
          <w:sz w:val="21"/>
          <w:szCs w:val="21"/>
          <w:highlight w:val="none"/>
          <w:u w:val="none"/>
          <w:lang w:eastAsia="zh-CN"/>
        </w:rPr>
        <w:t>李娜</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电 话：</w:t>
      </w:r>
      <w:r>
        <w:rPr>
          <w:rFonts w:hint="eastAsia" w:ascii="宋体" w:hAnsi="宋体" w:cs="宋体"/>
          <w:i w:val="0"/>
          <w:iCs w:val="0"/>
          <w:sz w:val="21"/>
          <w:szCs w:val="21"/>
          <w:highlight w:val="none"/>
          <w:u w:val="none"/>
          <w:lang w:eastAsia="zh-CN"/>
        </w:rPr>
        <w:t>18699973005</w:t>
      </w:r>
    </w:p>
    <w:p>
      <w:pPr>
        <w:rPr>
          <w:highlight w:val="none"/>
        </w:rPr>
      </w:pPr>
    </w:p>
    <w:p>
      <w:pPr>
        <w:pageBreakBefore w:val="0"/>
        <w:widowControl w:val="0"/>
        <w:kinsoku/>
        <w:wordWrap/>
        <w:overflowPunct/>
        <w:topLinePunct w:val="0"/>
        <w:autoSpaceDE/>
        <w:autoSpaceDN/>
        <w:bidi w:val="0"/>
        <w:adjustRightInd/>
        <w:snapToGrid w:val="0"/>
        <w:spacing w:beforeAutospacing="0" w:afterAutospacing="0" w:line="460" w:lineRule="exact"/>
        <w:ind w:left="0" w:leftChars="0" w:firstLine="480" w:firstLineChars="200"/>
        <w:jc w:val="left"/>
        <w:textAlignment w:val="auto"/>
        <w:rPr>
          <w:rFonts w:hint="eastAsia" w:ascii="宋体" w:hAnsi="宋体" w:eastAsia="宋体" w:cs="宋体"/>
          <w:i w:val="0"/>
          <w:iCs w:val="0"/>
          <w:sz w:val="24"/>
          <w:szCs w:val="24"/>
          <w:highlight w:val="none"/>
          <w:u w:val="none"/>
        </w:rPr>
      </w:pPr>
    </w:p>
    <w:p>
      <w:pPr>
        <w:rPr>
          <w:rFonts w:hint="eastAsia" w:ascii="黑体" w:hAnsi="宋体" w:eastAsia="黑体"/>
          <w:b/>
          <w:color w:val="auto"/>
          <w:kern w:val="44"/>
          <w:sz w:val="44"/>
          <w:szCs w:val="44"/>
          <w:highlight w:val="none"/>
        </w:rPr>
      </w:pPr>
      <w:r>
        <w:rPr>
          <w:rFonts w:hint="eastAsia" w:ascii="黑体" w:hAnsi="宋体" w:eastAsia="黑体"/>
          <w:b/>
          <w:color w:val="auto"/>
          <w:kern w:val="44"/>
          <w:sz w:val="44"/>
          <w:szCs w:val="44"/>
          <w:highlight w:val="none"/>
        </w:rPr>
        <w:br w:type="page"/>
      </w:r>
    </w:p>
    <w:p>
      <w:pPr>
        <w:spacing w:after="50" w:line="600" w:lineRule="exact"/>
        <w:jc w:val="center"/>
        <w:rPr>
          <w:rFonts w:hint="eastAsia" w:ascii="黑体" w:hAnsi="宋体" w:eastAsia="黑体"/>
          <w:b/>
          <w:color w:val="auto"/>
          <w:sz w:val="44"/>
          <w:szCs w:val="44"/>
          <w:highlight w:val="none"/>
        </w:rPr>
      </w:pPr>
      <w:r>
        <w:rPr>
          <w:rFonts w:hint="eastAsia" w:ascii="黑体" w:hAnsi="宋体" w:eastAsia="黑体"/>
          <w:b/>
          <w:color w:val="auto"/>
          <w:kern w:val="44"/>
          <w:sz w:val="44"/>
          <w:szCs w:val="44"/>
          <w:highlight w:val="none"/>
        </w:rPr>
        <w:t>第二</w:t>
      </w:r>
      <w:r>
        <w:rPr>
          <w:rFonts w:hint="eastAsia" w:ascii="黑体" w:hAnsi="宋体" w:eastAsia="黑体"/>
          <w:b/>
          <w:color w:val="auto"/>
          <w:sz w:val="44"/>
          <w:szCs w:val="44"/>
          <w:highlight w:val="none"/>
        </w:rPr>
        <w:t>章  投标人须知</w:t>
      </w:r>
      <w:bookmarkEnd w:id="2"/>
      <w:bookmarkEnd w:id="3"/>
      <w:bookmarkEnd w:id="4"/>
      <w:bookmarkEnd w:id="5"/>
      <w:bookmarkEnd w:id="6"/>
      <w:bookmarkStart w:id="11" w:name="_Toc217446032"/>
      <w:bookmarkStart w:id="12" w:name="_Toc213396946"/>
      <w:bookmarkStart w:id="13" w:name="_Toc189727030"/>
      <w:bookmarkStart w:id="14" w:name="_Toc213496268"/>
      <w:bookmarkStart w:id="15" w:name="_Toc213396760"/>
      <w:bookmarkStart w:id="16" w:name="_Toc184274915"/>
      <w:bookmarkStart w:id="17" w:name="_Toc213397010"/>
      <w:bookmarkStart w:id="18" w:name="_Toc184283909"/>
    </w:p>
    <w:p>
      <w:pPr>
        <w:spacing w:before="240" w:beforeLines="100" w:after="50" w:line="600" w:lineRule="exact"/>
        <w:ind w:firstLine="2880" w:firstLineChars="800"/>
        <w:jc w:val="left"/>
        <w:rPr>
          <w:rFonts w:hint="eastAsia" w:ascii="黑体" w:hAnsi="宋体" w:eastAsia="黑体"/>
          <w:b/>
          <w:color w:val="auto"/>
          <w:sz w:val="44"/>
          <w:szCs w:val="44"/>
          <w:highlight w:val="none"/>
        </w:rPr>
      </w:pPr>
      <w:r>
        <w:rPr>
          <w:rFonts w:hint="eastAsia" w:ascii="黑体" w:hAnsi="宋体" w:eastAsia="黑体"/>
          <w:color w:val="auto"/>
          <w:sz w:val="36"/>
          <w:szCs w:val="36"/>
          <w:highlight w:val="none"/>
        </w:rPr>
        <w:t>投标人须知前附表</w:t>
      </w:r>
      <w:bookmarkEnd w:id="11"/>
      <w:bookmarkEnd w:id="12"/>
      <w:bookmarkEnd w:id="13"/>
      <w:bookmarkEnd w:id="14"/>
      <w:bookmarkEnd w:id="15"/>
      <w:bookmarkEnd w:id="16"/>
      <w:bookmarkEnd w:id="17"/>
      <w:bookmarkEnd w:id="18"/>
    </w:p>
    <w:tbl>
      <w:tblPr>
        <w:tblStyle w:val="21"/>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lang w:val="zh-CN"/>
              </w:rPr>
            </w:pPr>
            <w:r>
              <w:rPr>
                <w:rFonts w:hint="eastAsia"/>
                <w:color w:val="auto"/>
                <w:highlight w:val="none"/>
                <w:lang w:val="zh-CN"/>
              </w:rPr>
              <w:t>名称：伊宁市人民医院</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lang w:val="zh-CN"/>
              </w:rPr>
            </w:pPr>
            <w:r>
              <w:rPr>
                <w:rFonts w:hint="eastAsia"/>
                <w:color w:val="auto"/>
                <w:highlight w:val="none"/>
                <w:lang w:val="zh-CN"/>
              </w:rPr>
              <w:t>地址：伊宁市新华东路66号</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eastAsia="宋体"/>
                <w:color w:val="auto"/>
                <w:highlight w:val="none"/>
                <w:lang w:val="en-US" w:eastAsia="zh-CN"/>
              </w:rPr>
            </w:pPr>
            <w:r>
              <w:rPr>
                <w:rFonts w:hint="eastAsia"/>
                <w:color w:val="auto"/>
                <w:highlight w:val="none"/>
                <w:lang w:val="zh-CN"/>
              </w:rPr>
              <w:t>联 系 人：</w:t>
            </w:r>
            <w:r>
              <w:rPr>
                <w:rFonts w:hint="eastAsia"/>
                <w:color w:val="auto"/>
                <w:highlight w:val="none"/>
                <w:lang w:val="en-US" w:eastAsia="zh-CN"/>
              </w:rPr>
              <w:t>宋毅</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lang w:val="zh-CN"/>
              </w:rPr>
            </w:pPr>
            <w:r>
              <w:rPr>
                <w:rFonts w:hint="eastAsia"/>
                <w:color w:val="auto"/>
                <w:highlight w:val="none"/>
                <w:lang w:val="zh-CN"/>
              </w:rPr>
              <w:t>联系方式：</w:t>
            </w:r>
            <w:r>
              <w:rPr>
                <w:rFonts w:hint="eastAsia" w:ascii="宋体" w:hAnsi="宋体" w:cs="宋体"/>
                <w:i w:val="0"/>
                <w:iCs w:val="0"/>
                <w:sz w:val="21"/>
                <w:szCs w:val="21"/>
                <w:highlight w:val="none"/>
                <w:u w:val="none"/>
                <w:lang w:val="en-US" w:eastAsia="zh-CN"/>
              </w:rPr>
              <w:t>18699909660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新疆华域建设工程项目管理咨询有限公司</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rPr>
            </w:pPr>
            <w:r>
              <w:rPr>
                <w:rFonts w:hint="eastAsia"/>
                <w:color w:val="auto"/>
                <w:highlight w:val="none"/>
              </w:rPr>
              <w:t>地 址：伊宁市经济合作区北京路一品墅新房大厦10楼1004号</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李娜</w:t>
            </w:r>
          </w:p>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color w:val="auto"/>
                <w:highlight w:val="none"/>
              </w:rPr>
            </w:pPr>
            <w:r>
              <w:rPr>
                <w:rFonts w:hint="eastAsia"/>
                <w:color w:val="auto"/>
                <w:highlight w:val="none"/>
              </w:rPr>
              <w:t>项目联系方式：</w:t>
            </w:r>
            <w:r>
              <w:rPr>
                <w:rFonts w:hint="eastAsia"/>
                <w:highlight w:val="none"/>
                <w:lang w:val="en-US" w:eastAsia="zh-CN"/>
              </w:rPr>
              <w:t>18699973005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3"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eastAsia="zh-CN"/>
              </w:rPr>
            </w:pPr>
            <w:r>
              <w:rPr>
                <w:rFonts w:hint="eastAsia"/>
                <w:color w:val="auto"/>
                <w:sz w:val="21"/>
                <w:szCs w:val="21"/>
                <w:highlight w:val="none"/>
                <w:lang w:val="zh-CN" w:eastAsia="zh-CN"/>
              </w:rPr>
              <w:t>伊宁市人民医院云桌面采购项目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eastAsia="宋体"/>
                <w:color w:val="auto"/>
                <w:highlight w:val="none"/>
                <w:lang w:eastAsia="zh-CN"/>
              </w:rPr>
            </w:pPr>
            <w:r>
              <w:rPr>
                <w:rFonts w:hint="eastAsia"/>
                <w:color w:val="auto"/>
                <w:highlight w:val="none"/>
                <w:lang w:eastAsia="zh-CN"/>
              </w:rPr>
              <w:t>HYYL-2023-050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资金来源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13"/>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default" w:ascii="宋体" w:eastAsia="宋体"/>
                <w:color w:val="auto"/>
                <w:highlight w:val="none"/>
                <w:lang w:val="en-US" w:eastAsia="zh-CN"/>
              </w:rPr>
            </w:pPr>
            <w:r>
              <w:rPr>
                <w:rFonts w:hint="eastAsia"/>
                <w:color w:val="auto"/>
                <w:highlight w:val="none"/>
                <w:lang w:val="en-US" w:eastAsia="zh-CN"/>
              </w:rPr>
              <w:t>自筹</w:t>
            </w:r>
            <w:r>
              <w:rPr>
                <w:rFonts w:hint="default" w:ascii="宋体" w:eastAsia="宋体"/>
                <w:color w:val="auto"/>
                <w:highlight w:val="none"/>
                <w:lang w:val="en-US" w:eastAsia="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4" w:hRule="exact"/>
          <w:jc w:val="center"/>
        </w:trPr>
        <w:tc>
          <w:tcPr>
            <w:tcW w:w="811" w:type="dxa"/>
            <w:vMerge w:val="restart"/>
            <w:tcBorders>
              <w:top w:val="single" w:color="auto" w:sz="8" w:space="0"/>
              <w:left w:val="single" w:color="auto" w:sz="1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本项目预算金额￥</w:t>
            </w:r>
            <w:r>
              <w:rPr>
                <w:rFonts w:hint="eastAsia" w:ascii="宋体" w:hAnsi="宋体" w:cs="Times New Roman"/>
                <w:color w:val="auto"/>
                <w:highlight w:val="none"/>
                <w:lang w:val="en-US" w:eastAsia="zh-CN"/>
              </w:rPr>
              <w:t>2400000.00</w:t>
            </w: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val="en-US" w:eastAsia="zh-CN"/>
              </w:rPr>
              <w:t>投标人投标</w:t>
            </w:r>
            <w:r>
              <w:rPr>
                <w:rFonts w:hint="eastAsia" w:ascii="宋体" w:hAnsi="宋体" w:eastAsia="宋体" w:cs="Times New Roman"/>
                <w:color w:val="auto"/>
                <w:highlight w:val="none"/>
                <w:lang w:val="en-US" w:eastAsia="zh-CN"/>
              </w:rPr>
              <w:t>报价超出预算金额的，作为不实质性响应</w:t>
            </w:r>
            <w:r>
              <w:rPr>
                <w:rFonts w:hint="eastAsia" w:ascii="宋体" w:hAnsi="宋体" w:cs="Times New Roman"/>
                <w:color w:val="auto"/>
                <w:highlight w:val="none"/>
                <w:lang w:val="en-US" w:eastAsia="zh-CN"/>
              </w:rPr>
              <w:t>投标</w:t>
            </w:r>
            <w:r>
              <w:rPr>
                <w:rFonts w:hint="eastAsia" w:ascii="宋体" w:hAnsi="宋体" w:eastAsia="宋体" w:cs="Times New Roman"/>
                <w:color w:val="auto"/>
                <w:highlight w:val="none"/>
                <w:lang w:val="en-US" w:eastAsia="zh-CN"/>
              </w:rPr>
              <w:t>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31" w:hRule="exact"/>
          <w:jc w:val="center"/>
        </w:trPr>
        <w:tc>
          <w:tcPr>
            <w:tcW w:w="811" w:type="dxa"/>
            <w:vMerge w:val="continue"/>
            <w:tcBorders>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最高限价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2" w:char="0052"/>
            </w:r>
            <w:r>
              <w:rPr>
                <w:rFonts w:hint="eastAsia" w:ascii="宋体" w:hAnsi="宋体" w:eastAsia="宋体" w:cs="Times New Roman"/>
                <w:color w:val="auto"/>
                <w:highlight w:val="none"/>
                <w:lang w:val="en-US" w:eastAsia="zh-CN"/>
              </w:rPr>
              <w:t>有，</w:t>
            </w:r>
            <w:r>
              <w:rPr>
                <w:rFonts w:hint="eastAsia" w:ascii="宋体" w:hAnsi="宋体" w:cs="Times New Roman"/>
                <w:color w:val="auto"/>
                <w:highlight w:val="none"/>
                <w:lang w:val="en-US" w:eastAsia="zh-CN"/>
              </w:rPr>
              <w:t>本项目</w:t>
            </w:r>
            <w:r>
              <w:rPr>
                <w:rFonts w:hint="eastAsia" w:ascii="宋体" w:hAnsi="宋体" w:eastAsia="宋体" w:cs="Times New Roman"/>
                <w:color w:val="auto"/>
                <w:highlight w:val="none"/>
                <w:lang w:val="en-US" w:eastAsia="zh-CN"/>
              </w:rPr>
              <w:t>最高限价：</w:t>
            </w:r>
            <w:r>
              <w:rPr>
                <w:rFonts w:hint="eastAsia" w:ascii="宋体" w:hAnsi="宋体" w:cs="Times New Roman"/>
                <w:color w:val="auto"/>
                <w:highlight w:val="none"/>
                <w:lang w:val="en-US" w:eastAsia="zh-CN"/>
              </w:rPr>
              <w:t>2400000</w:t>
            </w:r>
            <w:r>
              <w:rPr>
                <w:rFonts w:hint="eastAsia" w:ascii="宋体" w:hAnsi="宋体" w:eastAsia="宋体" w:cs="Times New Roman"/>
                <w:color w:val="auto"/>
                <w:highlight w:val="none"/>
                <w:lang w:val="en-US" w:eastAsia="zh-CN"/>
              </w:rPr>
              <w:t>.00（</w:t>
            </w:r>
            <w:r>
              <w:rPr>
                <w:rFonts w:hint="eastAsia" w:ascii="宋体" w:hAnsi="宋体" w:cs="Times New Roman"/>
                <w:color w:val="auto"/>
                <w:highlight w:val="none"/>
                <w:lang w:val="en-US" w:eastAsia="zh-CN"/>
              </w:rPr>
              <w:t>大写：贰佰肆拾万元整</w:t>
            </w:r>
            <w:r>
              <w:rPr>
                <w:rFonts w:hint="eastAsia" w:ascii="宋体" w:hAnsi="宋体" w:eastAsia="宋体" w:cs="Times New Roman"/>
                <w:color w:val="auto"/>
                <w:highlight w:val="none"/>
                <w:lang w:val="en-US" w:eastAsia="zh-CN"/>
              </w:rPr>
              <w:t>）</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eastAsia="宋体" w:cs="Times New Roman"/>
                <w:color w:val="auto"/>
                <w:highlight w:val="none"/>
                <w:lang w:val="zh-CN" w:eastAsia="zh-CN"/>
              </w:rPr>
            </w:pPr>
            <w:r>
              <w:rPr>
                <w:rFonts w:hint="eastAsia" w:ascii="宋体" w:hAnsi="宋体" w:cs="Times New Roman"/>
                <w:color w:val="auto"/>
                <w:highlight w:val="none"/>
                <w:lang w:val="en-US" w:eastAsia="zh-CN"/>
              </w:rPr>
              <w:t>投标人投标</w:t>
            </w:r>
            <w:r>
              <w:rPr>
                <w:rFonts w:hint="eastAsia" w:ascii="宋体" w:hAnsi="宋体" w:eastAsia="宋体" w:cs="Times New Roman"/>
                <w:color w:val="auto"/>
                <w:highlight w:val="none"/>
                <w:lang w:val="en-US" w:eastAsia="zh-CN"/>
              </w:rPr>
              <w:t>报价超出最高限价的，作为不实质性响应</w:t>
            </w:r>
            <w:r>
              <w:rPr>
                <w:rFonts w:hint="eastAsia" w:ascii="宋体" w:hAnsi="宋体" w:cs="Times New Roman"/>
                <w:color w:val="auto"/>
                <w:highlight w:val="none"/>
                <w:lang w:val="en-US" w:eastAsia="zh-CN"/>
              </w:rPr>
              <w:t>投标</w:t>
            </w:r>
            <w:r>
              <w:rPr>
                <w:rFonts w:hint="eastAsia" w:ascii="宋体" w:hAnsi="宋体" w:eastAsia="宋体" w:cs="Times New Roman"/>
                <w:color w:val="auto"/>
                <w:highlight w:val="none"/>
                <w:lang w:val="en-US" w:eastAsia="zh-CN"/>
              </w:rPr>
              <w:t>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0"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项目用途</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en-US" w:eastAsia="zh-CN"/>
              </w:rPr>
              <w:t>终端</w:t>
            </w:r>
            <w:r>
              <w:rPr>
                <w:rFonts w:hint="eastAsia"/>
                <w:color w:val="auto"/>
                <w:sz w:val="21"/>
                <w:szCs w:val="21"/>
                <w:highlight w:val="none"/>
                <w:lang w:val="zh-CN"/>
              </w:rPr>
              <w:t>设备采购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采购方式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440" w:lineRule="exact"/>
              <w:ind w:left="38"/>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是否专门面向中小</w:t>
            </w:r>
          </w:p>
          <w:p>
            <w:pPr>
              <w:pStyle w:val="28"/>
              <w:keepNext w:val="0"/>
              <w:keepLines w:val="0"/>
              <w:pageBreakBefore w:val="0"/>
              <w:widowControl w:val="0"/>
              <w:kinsoku/>
              <w:wordWrap/>
              <w:overflowPunct/>
              <w:topLinePunct w:val="0"/>
              <w:bidi w:val="0"/>
              <w:snapToGrid/>
              <w:spacing w:line="440" w:lineRule="exact"/>
              <w:ind w:left="38" w:leftChars="0"/>
              <w:jc w:val="center"/>
              <w:textAlignment w:val="auto"/>
              <w:rPr>
                <w:rFonts w:hint="eastAsia"/>
                <w:color w:val="auto"/>
                <w:sz w:val="21"/>
                <w:szCs w:val="21"/>
                <w:highlight w:val="none"/>
                <w:lang w:val="zh-CN"/>
              </w:rPr>
            </w:pPr>
            <w:r>
              <w:rPr>
                <w:rFonts w:hint="eastAsia" w:ascii="宋体" w:hAnsi="宋体" w:eastAsia="宋体" w:cs="宋体"/>
                <w:color w:val="000000"/>
                <w:sz w:val="21"/>
                <w:szCs w:val="21"/>
                <w:highlight w:val="none"/>
                <w:lang w:val="zh-CN"/>
              </w:rPr>
              <w:t>企业采购</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color w:val="auto"/>
                <w:sz w:val="21"/>
                <w:szCs w:val="21"/>
                <w:highlight w:val="none"/>
                <w:lang w:val="zh-CN"/>
              </w:rPr>
            </w:pPr>
            <w:r>
              <w:rPr>
                <w:rFonts w:hint="eastAsia" w:ascii="宋体" w:hAnsi="宋体" w:eastAsia="宋体" w:cs="宋体"/>
                <w:color w:val="000000"/>
                <w:sz w:val="21"/>
                <w:szCs w:val="21"/>
                <w:highlight w:val="none"/>
                <w:lang w:val="zh-CN"/>
              </w:rPr>
              <w:sym w:font="Wingdings 2" w:char="0052"/>
            </w:r>
            <w:r>
              <w:rPr>
                <w:rFonts w:hint="eastAsia" w:cs="宋体"/>
                <w:color w:val="000000"/>
                <w:sz w:val="21"/>
                <w:szCs w:val="21"/>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采购内容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合同履行期限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中标之日起30日内到货，到货后7日内完成安装调试；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交货地点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color w:val="auto"/>
                <w:sz w:val="21"/>
                <w:szCs w:val="21"/>
                <w:highlight w:val="none"/>
              </w:rPr>
            </w:pPr>
            <w:r>
              <w:rPr>
                <w:rFonts w:hint="eastAsia"/>
                <w:color w:val="auto"/>
                <w:sz w:val="21"/>
                <w:szCs w:val="21"/>
                <w:highlight w:val="none"/>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质量要求、验收标准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default" w:eastAsia="宋体"/>
                <w:color w:val="auto"/>
                <w:sz w:val="21"/>
                <w:szCs w:val="21"/>
                <w:highlight w:val="none"/>
                <w:lang w:val="en-US" w:eastAsia="zh-CN"/>
              </w:rPr>
            </w:pPr>
            <w:r>
              <w:rPr>
                <w:rFonts w:hint="eastAsia"/>
                <w:color w:val="auto"/>
                <w:sz w:val="21"/>
                <w:szCs w:val="21"/>
                <w:highlight w:val="none"/>
              </w:rPr>
              <w:t>质保期：大于</w:t>
            </w:r>
            <w:r>
              <w:rPr>
                <w:rFonts w:hint="eastAsia"/>
                <w:color w:val="auto"/>
                <w:sz w:val="21"/>
                <w:szCs w:val="21"/>
                <w:highlight w:val="none"/>
                <w:lang w:eastAsia="zh-CN"/>
              </w:rPr>
              <w:t>或</w:t>
            </w:r>
            <w:r>
              <w:rPr>
                <w:rFonts w:hint="eastAsia"/>
                <w:color w:val="auto"/>
                <w:sz w:val="21"/>
                <w:szCs w:val="21"/>
                <w:highlight w:val="none"/>
              </w:rPr>
              <w:t>等于</w:t>
            </w:r>
            <w:r>
              <w:rPr>
                <w:rFonts w:hint="eastAsia"/>
                <w:color w:val="auto"/>
                <w:sz w:val="21"/>
                <w:szCs w:val="21"/>
                <w:highlight w:val="none"/>
                <w:lang w:val="en-US" w:eastAsia="zh-CN"/>
              </w:rPr>
              <w:t>3</w:t>
            </w:r>
            <w:r>
              <w:rPr>
                <w:rFonts w:hint="eastAsia"/>
                <w:color w:val="auto"/>
                <w:sz w:val="21"/>
                <w:szCs w:val="21"/>
                <w:highlight w:val="none"/>
              </w:rPr>
              <w:t>年</w:t>
            </w:r>
          </w:p>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rPr>
            </w:pPr>
            <w:r>
              <w:rPr>
                <w:rFonts w:hint="eastAsia"/>
                <w:color w:val="auto"/>
                <w:sz w:val="21"/>
                <w:szCs w:val="21"/>
                <w:highlight w:val="none"/>
              </w:rPr>
              <w:t>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货款支付方式、时间</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和条件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分三年支付，具体以合同约定</w:t>
            </w:r>
            <w:r>
              <w:rPr>
                <w:rFonts w:hint="eastAsia" w:ascii="宋体" w:hAnsi="宋体"/>
                <w:color w:val="auto"/>
                <w:szCs w:val="21"/>
                <w:highlight w:val="none"/>
                <w:lang w:val="en-US" w:eastAsia="zh-CN"/>
              </w:rPr>
              <w:t>为准</w:t>
            </w:r>
            <w:r>
              <w:rPr>
                <w:rFonts w:hint="eastAsia" w:ascii="宋体" w:hAnsi="宋体"/>
                <w:color w:val="auto"/>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联合体投标</w:t>
            </w:r>
          </w:p>
        </w:tc>
        <w:tc>
          <w:tcPr>
            <w:tcW w:w="6530" w:type="dxa"/>
            <w:tcBorders>
              <w:top w:val="single" w:color="auto" w:sz="8" w:space="0"/>
              <w:left w:val="single" w:color="auto" w:sz="8" w:space="0"/>
              <w:bottom w:val="single" w:color="auto" w:sz="8" w:space="0"/>
              <w:right w:val="single" w:color="auto" w:sz="18" w:space="0"/>
            </w:tcBorders>
            <w:noWrap w:val="0"/>
            <w:vAlign w:val="top"/>
          </w:tcPr>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Cs w:val="21"/>
                <w:highlight w:val="none"/>
              </w:rPr>
            </w:pPr>
            <w:r>
              <w:rPr>
                <w:rFonts w:hint="eastAsia"/>
                <w:color w:val="auto"/>
                <w:szCs w:val="21"/>
                <w:highlight w:val="none"/>
              </w:rPr>
              <w:sym w:font="Wingdings 2" w:char="0052"/>
            </w:r>
            <w:r>
              <w:rPr>
                <w:rFonts w:hint="eastAsia"/>
                <w:color w:val="auto"/>
                <w:szCs w:val="21"/>
                <w:highlight w:val="none"/>
              </w:rPr>
              <w:t>不接受</w:t>
            </w:r>
          </w:p>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color w:val="auto"/>
                <w:szCs w:val="21"/>
                <w:highlight w:val="none"/>
              </w:rPr>
              <w:t>□接受，详见投标人须知第</w:t>
            </w:r>
            <w:r>
              <w:rPr>
                <w:rFonts w:hint="eastAsia" w:ascii="宋体" w:hAnsi="宋体"/>
                <w:color w:val="auto"/>
                <w:szCs w:val="21"/>
                <w:highlight w:val="none"/>
              </w:rPr>
              <w:t>3.3</w:t>
            </w:r>
            <w:r>
              <w:rPr>
                <w:rFonts w:hint="eastAsia"/>
                <w:color w:val="auto"/>
                <w:szCs w:val="21"/>
                <w:highlight w:val="none"/>
              </w:rPr>
              <w:t>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招标文件发售</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时间：</w:t>
            </w:r>
            <w:r>
              <w:rPr>
                <w:rFonts w:hint="eastAsia"/>
                <w:highlight w:val="none"/>
                <w:lang w:val="en-US" w:eastAsia="zh-CN"/>
              </w:rPr>
              <w:t>2023年8月3日至2023年8月10日，每天上午10:00至14:00，下午16:00至20:00（北京时间，法定节假日除外）；</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cs="宋体"/>
                <w:color w:val="auto"/>
                <w:kern w:val="0"/>
                <w:szCs w:val="21"/>
                <w:highlight w:val="none"/>
              </w:rPr>
            </w:pPr>
            <w:r>
              <w:rPr>
                <w:rFonts w:hint="eastAsia" w:ascii="宋体" w:hAnsi="宋体"/>
                <w:color w:val="auto"/>
                <w:szCs w:val="21"/>
                <w:highlight w:val="none"/>
              </w:rPr>
              <w:t>地点：政采云系统平台（https://www.zcygov.cn/）</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textAlignment w:val="auto"/>
              <w:rPr>
                <w:rFonts w:hint="eastAsia"/>
                <w:color w:val="auto"/>
                <w:sz w:val="21"/>
                <w:szCs w:val="21"/>
                <w:highlight w:val="none"/>
                <w:lang w:val="zh-CN"/>
              </w:rPr>
            </w:pPr>
            <w:r>
              <w:rPr>
                <w:rFonts w:hint="eastAsia"/>
                <w:color w:val="auto"/>
                <w:sz w:val="21"/>
                <w:szCs w:val="21"/>
                <w:highlight w:val="none"/>
                <w:lang w:val="zh-CN"/>
              </w:rPr>
              <w:t>考察现场、标前答疑会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sym w:font="Wingdings 2" w:char="0052"/>
            </w:r>
            <w:r>
              <w:rPr>
                <w:rFonts w:hint="eastAsia"/>
                <w:color w:val="auto"/>
                <w:sz w:val="21"/>
                <w:szCs w:val="21"/>
                <w:highlight w:val="none"/>
                <w:lang w:val="zh-CN"/>
              </w:rPr>
              <w:t>不组织</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□组织，时间、地点另行书面通知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转包与分包履约</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不得转包。不允许分包。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19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偏差</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default" w:eastAsia="宋体"/>
                <w:color w:val="auto"/>
                <w:sz w:val="21"/>
                <w:szCs w:val="21"/>
                <w:highlight w:val="none"/>
                <w:lang w:val="en-US" w:eastAsia="zh-CN"/>
              </w:rPr>
            </w:pPr>
            <w:r>
              <w:rPr>
                <w:rFonts w:hint="eastAsia"/>
                <w:color w:val="auto"/>
                <w:sz w:val="21"/>
                <w:szCs w:val="21"/>
                <w:highlight w:val="none"/>
                <w:lang w:val="zh-CN"/>
              </w:rPr>
              <w:t>本项目技术条款需求中加</w:t>
            </w:r>
            <w:r>
              <w:rPr>
                <w:rFonts w:hint="eastAsia"/>
                <w:color w:val="auto"/>
                <w:sz w:val="21"/>
                <w:szCs w:val="21"/>
                <w:highlight w:val="none"/>
                <w:lang w:val="zh-CN" w:eastAsia="zh-CN"/>
              </w:rPr>
              <w:t>“</w:t>
            </w:r>
            <w:r>
              <w:rPr>
                <w:rFonts w:hint="eastAsia" w:cs="宋体" w:asciiTheme="minorEastAsia" w:hAnsiTheme="minorEastAsia"/>
                <w:color w:val="auto"/>
                <w:kern w:val="0"/>
                <w:sz w:val="24"/>
                <w:szCs w:val="24"/>
              </w:rPr>
              <w:t>★</w:t>
            </w:r>
            <w:r>
              <w:rPr>
                <w:rFonts w:hint="eastAsia"/>
                <w:color w:val="auto"/>
                <w:sz w:val="21"/>
                <w:szCs w:val="21"/>
                <w:highlight w:val="none"/>
                <w:lang w:val="zh-CN" w:eastAsia="zh-CN"/>
              </w:rPr>
              <w:t>”号技术参数一项不满足扣3分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6"/>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Cs w:val="21"/>
                <w:highlight w:val="none"/>
              </w:rPr>
            </w:pPr>
            <w:r>
              <w:rPr>
                <w:rFonts w:hint="eastAsia"/>
                <w:color w:val="auto"/>
                <w:szCs w:val="21"/>
                <w:highlight w:val="none"/>
              </w:rPr>
              <w:t>招标文件澄清</w:t>
            </w:r>
          </w:p>
          <w:p>
            <w:pPr>
              <w:pStyle w:val="6"/>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Cs w:val="21"/>
                <w:highlight w:val="none"/>
                <w:lang w:val="zh-CN"/>
              </w:rPr>
            </w:pPr>
            <w:r>
              <w:rPr>
                <w:rFonts w:hint="eastAsia"/>
                <w:color w:val="auto"/>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6"/>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color w:val="auto"/>
                <w:szCs w:val="21"/>
                <w:highlight w:val="none"/>
                <w:lang w:val="zh-CN"/>
              </w:rPr>
              <w:t>时间：</w:t>
            </w:r>
            <w:r>
              <w:rPr>
                <w:rFonts w:hint="eastAsia" w:ascii="宋体" w:hAnsi="宋体"/>
                <w:color w:val="auto"/>
                <w:szCs w:val="21"/>
                <w:highlight w:val="none"/>
              </w:rPr>
              <w:t>递交投标文件截至时间15日前</w:t>
            </w:r>
          </w:p>
          <w:p>
            <w:pPr>
              <w:pStyle w:val="6"/>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Cs w:val="21"/>
                <w:highlight w:val="none"/>
                <w:lang w:val="zh-CN"/>
              </w:rPr>
            </w:pPr>
            <w:r>
              <w:rPr>
                <w:rFonts w:hint="eastAsia" w:ascii="宋体" w:hAnsi="宋体"/>
                <w:color w:val="auto"/>
                <w:szCs w:val="21"/>
                <w:highlight w:val="none"/>
              </w:rPr>
              <w:t>形式：书面和</w:t>
            </w:r>
            <w:r>
              <w:rPr>
                <w:rFonts w:hint="eastAsia" w:ascii="宋体" w:hAnsi="宋体"/>
                <w:color w:val="auto"/>
                <w:szCs w:val="21"/>
                <w:highlight w:val="none"/>
                <w:lang w:eastAsia="zh-CN"/>
              </w:rPr>
              <w:t>政采云平台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构成招标文件的</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招标文件的澄清</w:t>
            </w:r>
            <w:r>
              <w:rPr>
                <w:rFonts w:hint="eastAsia"/>
                <w:color w:val="auto"/>
                <w:sz w:val="21"/>
                <w:szCs w:val="21"/>
                <w:highlight w:val="none"/>
              </w:rPr>
              <w:t>、修改书及有关补充通知为招标文件的有效组成部分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投标人对招标文件</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时间：自投标人收到招标文件之日起7个工作日内，超过期限的采购人或采购代理机构不再受理</w:t>
            </w:r>
          </w:p>
          <w:p>
            <w:pPr>
              <w:pStyle w:val="28"/>
              <w:keepNext w:val="0"/>
              <w:keepLines w:val="0"/>
              <w:pageBreakBefore w:val="0"/>
              <w:widowControl w:val="0"/>
              <w:kinsoku/>
              <w:wordWrap/>
              <w:overflowPunct/>
              <w:topLinePunct w:val="0"/>
              <w:autoSpaceDE w:val="0"/>
              <w:autoSpaceDN w:val="0"/>
              <w:bidi w:val="0"/>
              <w:adjustRightInd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形式：书面形式（详见</w:t>
            </w:r>
            <w:r>
              <w:rPr>
                <w:rFonts w:hint="eastAsia"/>
                <w:color w:val="auto"/>
                <w:sz w:val="21"/>
                <w:szCs w:val="21"/>
                <w:highlight w:val="none"/>
              </w:rPr>
              <w:t>投标人须知第13.1.2条款</w:t>
            </w:r>
            <w:r>
              <w:rPr>
                <w:rFonts w:hint="eastAsia"/>
                <w:color w:val="auto"/>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对投标人提出质疑</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时间：自收到投标人质疑函之日起7个工作日内</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rPr>
            </w:pPr>
            <w:r>
              <w:rPr>
                <w:rFonts w:hint="eastAsia"/>
                <w:color w:val="auto"/>
                <w:sz w:val="21"/>
                <w:szCs w:val="21"/>
                <w:highlight w:val="none"/>
                <w:lang w:val="zh-CN"/>
              </w:rPr>
              <w:t>形式：书面形式或政采云平台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rPr>
            </w:pPr>
            <w:r>
              <w:rPr>
                <w:rFonts w:hint="eastAsia"/>
                <w:color w:val="auto"/>
                <w:sz w:val="21"/>
                <w:szCs w:val="21"/>
                <w:highlight w:val="none"/>
                <w:lang w:val="zh-CN"/>
              </w:rPr>
              <w:t>从投标截止日起90日历日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是否允许递交多个</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备选投标方案</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是否要求投标人递交投标保证金：</w:t>
            </w:r>
          </w:p>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要求：</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金额：￥</w:t>
            </w:r>
            <w:r>
              <w:rPr>
                <w:rFonts w:hint="eastAsia" w:ascii="宋体" w:hAnsi="宋体"/>
                <w:color w:val="auto"/>
                <w:szCs w:val="21"/>
                <w:highlight w:val="none"/>
                <w:lang w:val="en-US" w:eastAsia="zh-CN"/>
              </w:rPr>
              <w:t>32000</w:t>
            </w:r>
            <w:r>
              <w:rPr>
                <w:rFonts w:hint="eastAsia" w:ascii="宋体" w:hAnsi="宋体"/>
                <w:color w:val="auto"/>
                <w:szCs w:val="21"/>
                <w:highlight w:val="none"/>
              </w:rPr>
              <w:t>.00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大写：叁万贰仟元整</w:t>
            </w:r>
            <w:r>
              <w:rPr>
                <w:rFonts w:hint="eastAsia" w:ascii="宋体" w:hAnsi="宋体"/>
                <w:color w:val="auto"/>
                <w:szCs w:val="21"/>
                <w:highlight w:val="none"/>
                <w:lang w:eastAsia="zh-CN"/>
              </w:rPr>
              <w:t>）</w:t>
            </w:r>
            <w:r>
              <w:rPr>
                <w:rFonts w:hint="eastAsia" w:ascii="宋体" w:hAnsi="宋体"/>
                <w:color w:val="auto"/>
                <w:szCs w:val="21"/>
                <w:highlight w:val="none"/>
              </w:rPr>
              <w:t>；</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交款方式：投标保证金应使用人民币，以银行转账或者金融机构、担保机构出具的保函等非现金形式提交。银行转账可以采取支票、电汇、网银、汇票、本票等方式，均应从基本账户转出。</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eastAsia="宋体"/>
                <w:b/>
                <w:bCs/>
                <w:color w:val="auto"/>
                <w:szCs w:val="21"/>
                <w:highlight w:val="none"/>
                <w:lang w:eastAsia="zh-CN"/>
              </w:rPr>
            </w:pPr>
            <w:r>
              <w:rPr>
                <w:rFonts w:hint="eastAsia" w:ascii="宋体" w:hAnsi="宋体"/>
                <w:color w:val="auto"/>
                <w:szCs w:val="21"/>
                <w:highlight w:val="none"/>
              </w:rPr>
              <w:t>单位名称：</w:t>
            </w:r>
            <w:r>
              <w:rPr>
                <w:rFonts w:hint="eastAsia" w:ascii="宋体" w:hAnsi="宋体" w:eastAsia="宋体" w:cs="Times New Roman"/>
                <w:b/>
                <w:bCs/>
                <w:color w:val="auto"/>
                <w:szCs w:val="21"/>
                <w:highlight w:val="none"/>
                <w:lang w:eastAsia="zh-CN"/>
              </w:rPr>
              <w:t>新疆华域建设工程项目管理咨询有限公司伊犁分公司</w:t>
            </w:r>
            <w:r>
              <w:rPr>
                <w:rFonts w:hint="eastAsia" w:ascii="宋体" w:hAnsi="宋体"/>
                <w:color w:val="auto"/>
                <w:szCs w:val="21"/>
                <w:highlight w:val="none"/>
              </w:rPr>
              <w:t xml:space="preserve">  </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eastAsia="宋体" w:cs="Times New Roman"/>
                <w:b/>
                <w:bCs/>
                <w:color w:val="auto"/>
                <w:szCs w:val="21"/>
                <w:highlight w:val="none"/>
                <w:lang w:eastAsia="zh-CN"/>
              </w:rPr>
              <w:t>中国工商银行股份有限公司伊宁阿合买提江街支行</w:t>
            </w:r>
          </w:p>
          <w:p>
            <w:pPr>
              <w:keepNext w:val="0"/>
              <w:keepLines w:val="0"/>
              <w:pageBreakBefore w:val="0"/>
              <w:widowControl/>
              <w:kinsoku/>
              <w:wordWrap/>
              <w:overflowPunct/>
              <w:topLinePunct w:val="0"/>
              <w:bidi w:val="0"/>
              <w:snapToGrid/>
              <w:spacing w:line="390" w:lineRule="exact"/>
              <w:ind w:left="0" w:leftChars="0" w:right="0" w:rightChars="0" w:firstLine="210" w:firstLineChars="100"/>
              <w:jc w:val="left"/>
              <w:textAlignment w:val="auto"/>
              <w:rPr>
                <w:rFonts w:hint="eastAsia" w:ascii="宋体" w:hAnsi="宋体"/>
                <w:b/>
                <w:bCs/>
                <w:color w:val="auto"/>
                <w:szCs w:val="21"/>
                <w:highlight w:val="none"/>
              </w:rPr>
            </w:pPr>
            <w:r>
              <w:rPr>
                <w:rFonts w:hint="eastAsia" w:ascii="宋体" w:hAnsi="宋体"/>
                <w:color w:val="auto"/>
                <w:szCs w:val="21"/>
                <w:highlight w:val="none"/>
              </w:rPr>
              <w:t>银行账号：</w:t>
            </w:r>
            <w:r>
              <w:rPr>
                <w:rFonts w:hint="eastAsia" w:ascii="宋体" w:hAnsi="宋体" w:eastAsia="宋体" w:cs="Times New Roman"/>
                <w:b/>
                <w:bCs/>
                <w:color w:val="auto"/>
                <w:szCs w:val="21"/>
                <w:highlight w:val="none"/>
                <w:lang w:eastAsia="zh-CN"/>
              </w:rPr>
              <w:t>3006023109200131786</w:t>
            </w:r>
          </w:p>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在递交的投标保证金转账单附注说明中写清：项目名称（有标段号的需注明标段号）</w:t>
            </w:r>
            <w:r>
              <w:rPr>
                <w:rFonts w:hint="eastAsia" w:ascii="宋体" w:hAnsi="宋体" w:cs="宋体"/>
                <w:color w:val="auto"/>
                <w:highlight w:val="none"/>
              </w:rPr>
              <w:t>投标保证金递交截止时间：</w:t>
            </w:r>
            <w:r>
              <w:rPr>
                <w:rFonts w:hint="eastAsia" w:ascii="宋体" w:hAnsi="宋体" w:cs="宋体"/>
                <w:b/>
                <w:bCs/>
                <w:color w:val="auto"/>
                <w:szCs w:val="21"/>
                <w:highlight w:val="none"/>
              </w:rPr>
              <w:t>同提交</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文件截止时间</w:t>
            </w:r>
            <w:r>
              <w:rPr>
                <w:rFonts w:hint="eastAsia" w:ascii="宋体" w:hAnsi="宋体" w:cs="宋体"/>
                <w:color w:val="auto"/>
                <w:highlight w:val="none"/>
              </w:rPr>
              <w:t>（以银行到账时间为准），逾期未交或逾期到账视为放弃投标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不予退还投标</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详见</w:t>
            </w:r>
            <w:r>
              <w:rPr>
                <w:rFonts w:hint="eastAsia"/>
                <w:color w:val="auto"/>
                <w:sz w:val="21"/>
                <w:szCs w:val="21"/>
                <w:highlight w:val="none"/>
              </w:rPr>
              <w:t>投标人须知第4.5.2.2条款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解密响应文件现场</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ascii="宋体" w:hAnsi="宋体" w:eastAsia="宋体" w:cs="宋体"/>
                <w:color w:val="auto"/>
                <w:sz w:val="21"/>
                <w:szCs w:val="21"/>
                <w:highlight w:val="none"/>
                <w:lang w:val="zh-CN"/>
              </w:rPr>
              <w:t>是否提供样品</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20" w:lineRule="exact"/>
              <w:ind w:right="105" w:rightChars="50" w:firstLine="210" w:firstLineChars="10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sym w:font="Wingdings 2" w:char="0052"/>
            </w:r>
            <w:r>
              <w:rPr>
                <w:rFonts w:hint="eastAsia" w:ascii="宋体" w:hAnsi="宋体" w:eastAsia="宋体" w:cs="宋体"/>
                <w:color w:val="auto"/>
                <w:kern w:val="0"/>
                <w:sz w:val="21"/>
                <w:szCs w:val="21"/>
                <w:highlight w:val="none"/>
                <w:lang w:val="zh-CN" w:eastAsia="zh-CN" w:bidi="ar-SA"/>
              </w:rPr>
              <w:t xml:space="preserve">  不需要</w:t>
            </w:r>
          </w:p>
          <w:p>
            <w:pPr>
              <w:spacing w:line="340" w:lineRule="exact"/>
              <w:ind w:right="105" w:rightChars="50" w:firstLine="210" w:firstLineChars="100"/>
              <w:rPr>
                <w:rFonts w:hint="eastAsia"/>
                <w:color w:val="auto"/>
                <w:sz w:val="21"/>
                <w:szCs w:val="21"/>
                <w:highlight w:val="none"/>
                <w:lang w:val="zh-CN"/>
              </w:rPr>
            </w:pPr>
            <w:r>
              <w:rPr>
                <w:rFonts w:hint="eastAsia" w:ascii="宋体" w:hAnsi="宋体" w:eastAsia="宋体" w:cs="宋体"/>
                <w:color w:val="auto"/>
                <w:kern w:val="0"/>
                <w:sz w:val="21"/>
                <w:szCs w:val="21"/>
                <w:highlight w:val="none"/>
                <w:lang w:val="zh-CN" w:eastAsia="zh-CN" w:bidi="ar-SA"/>
              </w:rPr>
              <w:t>□  需要，样品要求：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9"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29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投标文件签字</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或盖章要求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投标人必须按照招标文件的规定和要求签字、盖章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25"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采用不见面开标：</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1．本项目采用不见面开标、投标人需要递交电子投标文件，加密的电子投标文件，在投标截止时间前通过新疆政府采购网政采云平台上传到指定位置。无需递交纸质文件。</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2.本项目采用远程不见面交易的模式。开标当日，投标人无需到达开标现场，仅需在任意地点通过新疆政府采购网政采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3.远程开标前，投标人务必在新疆政府采购网政采云平台（http://ccgp-bingtuan.gov.cn）投标文件上传模块中使用“模拟解密”功能，验证本机远程自助解密环境。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Arial"/>
                <w:color w:val="auto"/>
                <w:sz w:val="21"/>
                <w:szCs w:val="21"/>
                <w:highlight w:val="none"/>
                <w:lang w:val="en-US" w:eastAsia="zh-CN"/>
              </w:rPr>
            </w:pPr>
            <w:r>
              <w:rPr>
                <w:rFonts w:hint="eastAsia" w:cs="Arial"/>
                <w:color w:val="auto"/>
                <w:sz w:val="21"/>
                <w:szCs w:val="21"/>
                <w:highlight w:val="none"/>
                <w:lang w:val="en-US" w:eastAsia="zh-CN"/>
              </w:rPr>
              <w:t>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s="Arial"/>
                <w:color w:val="auto"/>
                <w:sz w:val="21"/>
                <w:szCs w:val="21"/>
                <w:highlight w:val="none"/>
                <w:lang w:val="zh-CN"/>
              </w:rPr>
            </w:pPr>
            <w:r>
              <w:rPr>
                <w:rFonts w:hint="eastAsia" w:cs="Arial"/>
                <w:color w:val="auto"/>
                <w:sz w:val="21"/>
                <w:szCs w:val="21"/>
                <w:highlight w:val="none"/>
                <w:lang w:val="zh-CN"/>
              </w:rPr>
              <w:t>提交投标文件地点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请登录政采云投标客户端，在截止时间前将加密的电子投标文件（.jmbs）上传到新疆政府采购网对应的位置（逾期上传或者未上传指定地点的响应文件，采购人不予受理）。</w:t>
            </w:r>
          </w:p>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采用不见面开标：</w:t>
            </w:r>
          </w:p>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投标地点：政采云远程不见面开标大厅</w:t>
            </w:r>
          </w:p>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不见面开标默认解密时长：</w:t>
            </w:r>
            <w:r>
              <w:rPr>
                <w:rFonts w:hint="eastAsia"/>
                <w:color w:val="auto"/>
                <w:sz w:val="21"/>
                <w:szCs w:val="21"/>
                <w:highlight w:val="none"/>
                <w:lang w:val="en-US" w:eastAsia="zh-CN"/>
              </w:rPr>
              <w:t>30</w:t>
            </w:r>
            <w:r>
              <w:rPr>
                <w:rFonts w:hint="eastAsia"/>
                <w:color w:val="auto"/>
                <w:sz w:val="21"/>
                <w:szCs w:val="21"/>
                <w:highlight w:val="none"/>
                <w:lang w:val="zh-CN"/>
              </w:rPr>
              <w:t>分钟</w:t>
            </w:r>
          </w:p>
          <w:p>
            <w:pPr>
              <w:pStyle w:val="28"/>
              <w:keepNext w:val="0"/>
              <w:keepLines w:val="0"/>
              <w:pageBreakBefore w:val="0"/>
              <w:kinsoku/>
              <w:wordWrap/>
              <w:overflowPunct/>
              <w:topLinePunct w:val="0"/>
              <w:bidi w:val="0"/>
              <w:snapToGrid/>
              <w:spacing w:line="390" w:lineRule="exact"/>
              <w:ind w:left="0" w:leftChars="0" w:right="0" w:rightChars="0" w:firstLine="210" w:firstLineChars="100"/>
              <w:jc w:val="both"/>
              <w:textAlignment w:val="auto"/>
              <w:rPr>
                <w:rFonts w:hint="eastAsia"/>
                <w:color w:val="auto"/>
                <w:sz w:val="21"/>
                <w:szCs w:val="21"/>
                <w:highlight w:val="none"/>
                <w:lang w:val="zh-CN"/>
              </w:rPr>
            </w:pPr>
            <w:r>
              <w:rPr>
                <w:rFonts w:hint="eastAsia"/>
                <w:color w:val="auto"/>
                <w:sz w:val="21"/>
                <w:szCs w:val="21"/>
                <w:highlight w:val="none"/>
                <w:lang w:val="zh-CN"/>
              </w:rPr>
              <w:t>关于能否延长解密时间的约定：开标现场若发现默认解密时长不足，由采购人决定是否延长解密时长。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投标截</w:t>
            </w:r>
            <w:r>
              <w:rPr>
                <w:rFonts w:hint="eastAsia"/>
                <w:color w:val="auto"/>
                <w:sz w:val="21"/>
                <w:szCs w:val="21"/>
                <w:highlight w:val="none"/>
                <w:lang w:val="en-US" w:eastAsia="zh-CN"/>
              </w:rPr>
              <w:t>止</w:t>
            </w:r>
            <w:r>
              <w:rPr>
                <w:rFonts w:hint="eastAsia"/>
                <w:color w:val="auto"/>
                <w:sz w:val="21"/>
                <w:szCs w:val="21"/>
                <w:highlight w:val="none"/>
                <w:lang w:val="zh-CN"/>
              </w:rPr>
              <w:t>时间</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rPr>
            </w:pPr>
            <w:r>
              <w:rPr>
                <w:rFonts w:hint="eastAsia"/>
                <w:color w:val="auto"/>
                <w:sz w:val="21"/>
                <w:szCs w:val="21"/>
                <w:highlight w:val="none"/>
              </w:rPr>
              <w:t>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8</w:t>
            </w:r>
            <w:r>
              <w:rPr>
                <w:rFonts w:hint="eastAsia"/>
                <w:color w:val="auto"/>
                <w:sz w:val="21"/>
                <w:szCs w:val="21"/>
                <w:highlight w:val="none"/>
              </w:rPr>
              <w:t>月</w:t>
            </w:r>
            <w:r>
              <w:rPr>
                <w:rFonts w:hint="eastAsia"/>
                <w:color w:val="auto"/>
                <w:sz w:val="21"/>
                <w:szCs w:val="21"/>
                <w:highlight w:val="none"/>
                <w:lang w:val="en-US" w:eastAsia="zh-CN"/>
              </w:rPr>
              <w:t>23</w:t>
            </w:r>
            <w:r>
              <w:rPr>
                <w:rFonts w:hint="eastAsia"/>
                <w:color w:val="auto"/>
                <w:sz w:val="21"/>
                <w:szCs w:val="21"/>
                <w:highlight w:val="none"/>
              </w:rPr>
              <w:t>日</w:t>
            </w:r>
            <w:r>
              <w:rPr>
                <w:rFonts w:hint="eastAsia"/>
                <w:color w:val="auto"/>
                <w:sz w:val="21"/>
                <w:szCs w:val="21"/>
                <w:highlight w:val="none"/>
                <w:lang w:val="en-US" w:eastAsia="zh-CN"/>
              </w:rPr>
              <w:t>下午16</w:t>
            </w:r>
            <w:r>
              <w:rPr>
                <w:rFonts w:hint="eastAsia"/>
                <w:color w:val="auto"/>
                <w:sz w:val="21"/>
                <w:szCs w:val="21"/>
                <w:highlight w:val="none"/>
              </w:rPr>
              <w:t>：</w:t>
            </w:r>
            <w:r>
              <w:rPr>
                <w:rFonts w:hint="eastAsia"/>
                <w:color w:val="auto"/>
                <w:sz w:val="21"/>
                <w:szCs w:val="21"/>
                <w:highlight w:val="none"/>
                <w:lang w:val="en-US" w:eastAsia="zh-CN"/>
              </w:rPr>
              <w:t>30</w:t>
            </w:r>
            <w:r>
              <w:rPr>
                <w:rFonts w:hint="eastAsia"/>
                <w:color w:val="auto"/>
                <w:sz w:val="21"/>
                <w:szCs w:val="21"/>
                <w:highlight w:val="none"/>
              </w:rPr>
              <w:t>(北京时间)（如有变动另行通知）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递交投标文件地点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请登录政采云投标客户端，在截止时间前将加密的电子投标文件（.jmbs）上传到新疆政府采购网对应的位置（逾期上传或者未上传指定地点的投标文件，采购人不予受理）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投标文件是否退还</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highlight w:val="none"/>
              </w:rPr>
            </w:pPr>
            <w:r>
              <w:rPr>
                <w:rFonts w:hint="eastAsia"/>
                <w:color w:val="auto"/>
                <w:sz w:val="21"/>
                <w:szCs w:val="21"/>
                <w:highlight w:val="none"/>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Arial"/>
                <w:color w:val="auto"/>
                <w:sz w:val="21"/>
                <w:szCs w:val="21"/>
                <w:highlight w:val="none"/>
                <w:lang w:val="zh-CN"/>
              </w:rPr>
            </w:pPr>
            <w:r>
              <w:rPr>
                <w:rFonts w:hint="eastAsia" w:cs="Courier New"/>
                <w:color w:val="auto"/>
                <w:sz w:val="21"/>
                <w:szCs w:val="21"/>
                <w:highlight w:val="none"/>
                <w:lang w:val="zh-CN"/>
              </w:rPr>
              <w:t>35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s="Arial"/>
                <w:color w:val="auto"/>
                <w:sz w:val="21"/>
                <w:szCs w:val="21"/>
                <w:highlight w:val="none"/>
                <w:lang w:val="zh-CN"/>
              </w:rPr>
            </w:pPr>
            <w:r>
              <w:rPr>
                <w:rFonts w:hint="eastAsia"/>
                <w:color w:val="auto"/>
                <w:sz w:val="21"/>
                <w:szCs w:val="21"/>
                <w:highlight w:val="none"/>
                <w:lang w:val="zh-CN"/>
              </w:rPr>
              <w:t>开标时间和地点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开标时间（解密）：同投标截</w:t>
            </w:r>
            <w:r>
              <w:rPr>
                <w:rFonts w:hint="eastAsia"/>
                <w:color w:val="auto"/>
                <w:sz w:val="21"/>
                <w:szCs w:val="21"/>
                <w:highlight w:val="none"/>
                <w:lang w:val="en-US" w:eastAsia="zh-CN"/>
              </w:rPr>
              <w:t>止</w:t>
            </w:r>
            <w:r>
              <w:rPr>
                <w:rFonts w:hint="eastAsia"/>
                <w:color w:val="auto"/>
                <w:sz w:val="21"/>
                <w:szCs w:val="21"/>
                <w:highlight w:val="none"/>
                <w:lang w:val="zh-CN"/>
              </w:rPr>
              <w:t>时间</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开标地点：政采云电子开标大厅</w:t>
            </w:r>
            <w:bookmarkStart w:id="136" w:name="_GoBack"/>
            <w:bookmarkEnd w:id="13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评标委员会的组建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评标委员会构成形式、人数，评标专家确定方式：</w:t>
            </w:r>
          </w:p>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详见投标人须知第8.1.1条款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评标方法及标准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详见第三章评标方法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评标委员会推荐中标</w:t>
            </w:r>
          </w:p>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候选人的人数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39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是否授权评标委员会确定中标人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中标公告的时间、</w:t>
            </w:r>
          </w:p>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媒介和期限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6"/>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szCs w:val="21"/>
                <w:highlight w:val="none"/>
                <w:lang w:val="zh-CN"/>
              </w:rPr>
            </w:pPr>
            <w:r>
              <w:rPr>
                <w:rFonts w:hint="eastAsia"/>
                <w:color w:val="auto"/>
                <w:szCs w:val="21"/>
                <w:highlight w:val="none"/>
                <w:lang w:val="zh-CN"/>
              </w:rPr>
              <w:t>公告时间：</w:t>
            </w:r>
            <w:r>
              <w:rPr>
                <w:rFonts w:hint="eastAsia" w:ascii="宋体" w:hAnsi="宋体"/>
                <w:color w:val="auto"/>
                <w:szCs w:val="21"/>
                <w:highlight w:val="none"/>
              </w:rPr>
              <w:t>在确定中标人之日起</w:t>
            </w:r>
            <w:r>
              <w:rPr>
                <w:rFonts w:hint="eastAsia" w:ascii="宋体" w:hAnsi="宋体"/>
                <w:b/>
                <w:color w:val="auto"/>
                <w:szCs w:val="21"/>
                <w:highlight w:val="none"/>
              </w:rPr>
              <w:t>2</w:t>
            </w:r>
            <w:r>
              <w:rPr>
                <w:rFonts w:hint="eastAsia" w:ascii="宋体" w:hAnsi="宋体"/>
                <w:color w:val="auto"/>
                <w:szCs w:val="21"/>
                <w:highlight w:val="none"/>
              </w:rPr>
              <w:t>个工作日内</w:t>
            </w:r>
          </w:p>
          <w:p>
            <w:pPr>
              <w:pStyle w:val="28"/>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公告媒介：</w:t>
            </w:r>
            <w:r>
              <w:rPr>
                <w:rFonts w:hint="eastAsia"/>
                <w:color w:val="auto"/>
                <w:sz w:val="21"/>
                <w:szCs w:val="21"/>
                <w:highlight w:val="none"/>
                <w:lang w:val="en-US" w:eastAsia="zh-CN"/>
              </w:rPr>
              <w:t>新疆政府采购网</w:t>
            </w:r>
          </w:p>
          <w:p>
            <w:pPr>
              <w:pStyle w:val="28"/>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color w:val="auto"/>
                <w:sz w:val="21"/>
                <w:szCs w:val="21"/>
                <w:highlight w:val="none"/>
                <w:lang w:val="zh-CN"/>
              </w:rPr>
            </w:pPr>
            <w:r>
              <w:rPr>
                <w:rFonts w:hint="eastAsia"/>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履约保证金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240" w:firstLineChars="100"/>
              <w:textAlignment w:val="auto"/>
              <w:rPr>
                <w:rFonts w:hint="eastAsia"/>
                <w:color w:val="auto"/>
                <w:sz w:val="21"/>
                <w:szCs w:val="21"/>
                <w:highlight w:val="none"/>
                <w:lang w:val="zh-CN"/>
              </w:rPr>
            </w:pPr>
            <w:r>
              <w:rPr>
                <w:rFonts w:hint="eastAsia"/>
                <w:color w:val="auto"/>
                <w:szCs w:val="21"/>
                <w:highlight w:val="none"/>
              </w:rPr>
              <w:sym w:font="Wingdings 2" w:char="00A3"/>
            </w:r>
            <w:r>
              <w:rPr>
                <w:rFonts w:hint="eastAsia"/>
                <w:color w:val="auto"/>
                <w:sz w:val="21"/>
                <w:szCs w:val="21"/>
                <w:highlight w:val="none"/>
                <w:lang w:val="zh-CN"/>
              </w:rPr>
              <w:t xml:space="preserve"> 需要   </w:t>
            </w:r>
            <w:r>
              <w:rPr>
                <w:rFonts w:hint="eastAsia"/>
                <w:color w:val="auto"/>
                <w:szCs w:val="21"/>
                <w:highlight w:val="none"/>
              </w:rPr>
              <w:sym w:font="Wingdings 2" w:char="0052"/>
            </w:r>
            <w:r>
              <w:rPr>
                <w:rFonts w:hint="eastAsia"/>
                <w:color w:val="auto"/>
                <w:sz w:val="21"/>
                <w:szCs w:val="21"/>
                <w:highlight w:val="none"/>
                <w:lang w:val="zh-CN"/>
              </w:rPr>
              <w:t>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投标人信用信息</w:t>
            </w:r>
          </w:p>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查询截至时点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投标文件递交截止时间当日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Arial"/>
                <w:color w:val="auto"/>
                <w:sz w:val="21"/>
                <w:szCs w:val="21"/>
                <w:highlight w:val="none"/>
                <w:lang w:val="zh-CN"/>
              </w:rPr>
            </w:pPr>
            <w:r>
              <w:rPr>
                <w:rFonts w:hint="eastAsia" w:cs="Courier New"/>
                <w:color w:val="auto"/>
                <w:sz w:val="21"/>
                <w:szCs w:val="21"/>
                <w:highlight w:val="none"/>
                <w:lang w:val="zh-CN"/>
              </w:rPr>
              <w:t>43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资格审查时是否</w:t>
            </w:r>
          </w:p>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s="Arial"/>
                <w:color w:val="auto"/>
                <w:sz w:val="21"/>
                <w:szCs w:val="21"/>
                <w:highlight w:val="none"/>
                <w:lang w:val="zh-CN"/>
              </w:rPr>
            </w:pPr>
            <w:r>
              <w:rPr>
                <w:rFonts w:hint="eastAsia"/>
                <w:color w:val="auto"/>
                <w:sz w:val="21"/>
                <w:szCs w:val="21"/>
                <w:highlight w:val="none"/>
                <w:lang w:val="zh-CN"/>
              </w:rPr>
              <w:t>核验证件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240" w:firstLineChars="100"/>
              <w:textAlignment w:val="auto"/>
              <w:rPr>
                <w:rFonts w:hint="eastAsia"/>
                <w:color w:val="auto"/>
                <w:kern w:val="2"/>
                <w:sz w:val="21"/>
                <w:szCs w:val="21"/>
                <w:highlight w:val="none"/>
              </w:rPr>
            </w:pPr>
            <w:r>
              <w:rPr>
                <w:rFonts w:hint="eastAsia"/>
                <w:color w:val="auto"/>
                <w:szCs w:val="21"/>
                <w:highlight w:val="none"/>
              </w:rPr>
              <w:sym w:font="Wingdings 2" w:char="0052"/>
            </w:r>
            <w:r>
              <w:rPr>
                <w:rFonts w:hint="eastAsia"/>
                <w:color w:val="auto"/>
                <w:szCs w:val="21"/>
                <w:highlight w:val="none"/>
              </w:rPr>
              <w:t xml:space="preserve"> </w:t>
            </w:r>
            <w:r>
              <w:rPr>
                <w:rFonts w:hint="eastAsia"/>
                <w:color w:val="auto"/>
                <w:sz w:val="21"/>
                <w:szCs w:val="18"/>
                <w:highlight w:val="none"/>
              </w:rPr>
              <w:t xml:space="preserve">需要  </w:t>
            </w:r>
            <w:r>
              <w:rPr>
                <w:rFonts w:hint="eastAsia"/>
                <w:color w:val="auto"/>
                <w:sz w:val="21"/>
                <w:szCs w:val="18"/>
                <w:highlight w:val="none"/>
              </w:rPr>
              <w:sym w:font="Wingdings 2" w:char="00A3"/>
            </w:r>
            <w:r>
              <w:rPr>
                <w:rFonts w:hint="eastAsia"/>
                <w:color w:val="auto"/>
                <w:sz w:val="21"/>
                <w:szCs w:val="18"/>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开标现场是否</w:t>
            </w:r>
          </w:p>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演示与述标</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tabs>
                <w:tab w:val="left" w:pos="279"/>
              </w:tabs>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 xml:space="preserve"> 需要  </w:t>
            </w:r>
            <w:r>
              <w:rPr>
                <w:rFonts w:hint="eastAsia" w:ascii="宋体" w:hAnsi="宋体"/>
                <w:color w:val="auto"/>
                <w:szCs w:val="21"/>
                <w:highlight w:val="none"/>
              </w:rPr>
              <w:sym w:font="Wingdings 2" w:char="0052"/>
            </w:r>
            <w:r>
              <w:rPr>
                <w:rFonts w:hint="eastAsia" w:ascii="宋体" w:hAnsi="宋体"/>
                <w:color w:val="auto"/>
                <w:szCs w:val="21"/>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cs="Courier New"/>
                <w:color w:val="auto"/>
                <w:sz w:val="21"/>
                <w:szCs w:val="21"/>
                <w:highlight w:val="none"/>
                <w:lang w:val="zh-CN"/>
              </w:rPr>
            </w:pPr>
            <w:r>
              <w:rPr>
                <w:rFonts w:hint="eastAsia" w:cs="Courier New"/>
                <w:color w:val="auto"/>
                <w:sz w:val="21"/>
                <w:szCs w:val="21"/>
                <w:highlight w:val="none"/>
                <w:lang w:val="zh-CN"/>
              </w:rPr>
              <w:t>45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开标现场是否</w:t>
            </w:r>
          </w:p>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提供样品</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资格要求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eastAsia="zh-CN"/>
              </w:rPr>
              <w:t>无</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本项目</w:t>
            </w:r>
            <w:r>
              <w:rPr>
                <w:rFonts w:hint="eastAsia" w:ascii="宋体" w:hAnsi="宋体"/>
                <w:color w:val="auto"/>
                <w:szCs w:val="21"/>
                <w:highlight w:val="none"/>
              </w:rPr>
              <w:t>的特定资格要求：</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（1）投标人为企业法人应提供合法有效的标识有统一社会信用代码的营业执照；事业法人应提供事业单位法人证书；其他组织应提供合法登记证明文件；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（2）法定代表人（负责人）参加提供法定代表人（负责人）身份证明书及身份证（授权委托人参加提供法定代表人（负责人）授权委托书及被委托人身份证）；</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（4）投标人提供近半年内已缴存的至少一个月的社会保障资金缴存单据或社保机构开具的社会保险参保缴费情况证明，依法不需要缴纳社会保障资金的投标人应提供相关文件证明；</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5）投标人提供2022年的财务审计报告（成立时间至提交投标文件截止时间不足一年的可提供成立后任意时段的资产负债表），或其开标前三个月内基本存款账户开户银行出具的资信证明及基本存款账户开户证明；</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（6）投标人提供近半年内已缴纳的至少一个月的纳税证明或完税证明，纳税证明或完税证明上应有代收机构或税务机关的公章，依法免税的投标人应提供相关文件证明；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（7）投标人应具备良好的商业信誉，提供参加政府采购活动前3年内在经营活动中没有重大违法记录的书面声明；</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（9）本项目不接受联合体投标。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default" w:cs="Courier New"/>
                <w:color w:val="auto"/>
                <w:sz w:val="21"/>
                <w:szCs w:val="21"/>
                <w:highlight w:val="none"/>
                <w:lang w:val="en-US" w:eastAsia="zh-CN"/>
              </w:rPr>
            </w:pPr>
            <w:r>
              <w:rPr>
                <w:rFonts w:hint="eastAsia" w:cs="Courier New"/>
                <w:color w:val="auto"/>
                <w:sz w:val="21"/>
                <w:szCs w:val="21"/>
                <w:highlight w:val="none"/>
                <w:lang w:val="en-US" w:eastAsia="zh-CN"/>
              </w:rPr>
              <w:t>47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所属行业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采购标的对应的中小企业划分标准所属行业为工业。</w:t>
            </w:r>
          </w:p>
          <w:p>
            <w:pPr>
              <w:keepNext w:val="0"/>
              <w:keepLines w:val="0"/>
              <w:pageBreakBefore w:val="0"/>
              <w:widowControl w:val="0"/>
              <w:kinsoku/>
              <w:wordWrap/>
              <w:overflowPunct/>
              <w:topLinePunct w:val="0"/>
              <w:bidi w:val="0"/>
              <w:snapToGrid/>
              <w:spacing w:line="390" w:lineRule="exact"/>
              <w:ind w:left="0" w:leftChars="0" w:right="0" w:rightChars="0"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工业（包括采矿业，制造业，电力、热力、燃气及水生产和供应业）。 从业人员 1000 人以下或营业收入 40000 万元以下的为中小微型企 业。其中，从业人员 300 人及以上，且营业收入 2000 万元及以上 的为中型企业;从业人员 20 人及以上，且营业收入 300 万元及以上 的为小型企业;从业人员 20 人以下或营业收入 300 万元以下的为微型企业。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kinsoku/>
              <w:wordWrap/>
              <w:overflowPunct/>
              <w:topLinePunct w:val="0"/>
              <w:bidi w:val="0"/>
              <w:snapToGrid/>
              <w:spacing w:line="390" w:lineRule="exact"/>
              <w:ind w:left="0" w:leftChars="0" w:right="0" w:rightChars="0" w:firstLine="0" w:firstLineChars="0"/>
              <w:jc w:val="center"/>
              <w:textAlignment w:val="auto"/>
              <w:rPr>
                <w:rFonts w:hint="eastAsia"/>
                <w:color w:val="auto"/>
                <w:sz w:val="21"/>
                <w:szCs w:val="21"/>
                <w:highlight w:val="none"/>
                <w:lang w:val="zh-CN"/>
              </w:rPr>
            </w:pPr>
            <w:r>
              <w:rPr>
                <w:rFonts w:hint="eastAsia"/>
                <w:color w:val="auto"/>
                <w:sz w:val="21"/>
                <w:szCs w:val="21"/>
                <w:highlight w:val="none"/>
                <w:lang w:val="zh-CN"/>
              </w:rPr>
              <w:t>其他</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rPr>
            </w:pPr>
            <w:r>
              <w:rPr>
                <w:rFonts w:hint="eastAsia"/>
                <w:color w:val="auto"/>
                <w:highlight w:val="none"/>
              </w:rPr>
              <w:t>1、</w:t>
            </w:r>
            <w:r>
              <w:rPr>
                <w:rFonts w:hint="eastAsia"/>
                <w:color w:val="auto"/>
                <w:highlight w:val="none"/>
                <w:lang w:eastAsia="zh-CN"/>
              </w:rPr>
              <w:t>本项目</w:t>
            </w:r>
            <w:r>
              <w:rPr>
                <w:rFonts w:hint="eastAsia"/>
                <w:color w:val="auto"/>
                <w:highlight w:val="none"/>
              </w:rPr>
              <w:t>核心产品为</w:t>
            </w:r>
            <w:r>
              <w:rPr>
                <w:rFonts w:hint="eastAsia"/>
                <w:b/>
                <w:bCs/>
                <w:color w:val="auto"/>
                <w:highlight w:val="none"/>
                <w:u w:val="single"/>
                <w:lang w:val="en-US" w:eastAsia="zh-CN"/>
              </w:rPr>
              <w:t xml:space="preserve">     云终端    </w:t>
            </w:r>
            <w:r>
              <w:rPr>
                <w:rFonts w:hint="eastAsia"/>
                <w:color w:val="auto"/>
                <w:highlight w:val="none"/>
              </w:rPr>
              <w:t>核心产品相同品牌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rPr>
            </w:pPr>
            <w:r>
              <w:rPr>
                <w:rFonts w:hint="eastAsia"/>
                <w:color w:val="auto"/>
                <w:highlight w:val="none"/>
              </w:rPr>
              <w:t>其他：得分相同的，按投标报价由低到高顺序排列。得分且投标报价相同的，投标文件满足招标文件全部实质性要求且按评审因素的量化指标评审得分最高的投标人为排名第一的中标候选人</w:t>
            </w:r>
          </w:p>
          <w:p>
            <w:pPr>
              <w:keepNext w:val="0"/>
              <w:keepLines w:val="0"/>
              <w:pageBreakBefore w:val="0"/>
              <w:kinsoku/>
              <w:wordWrap/>
              <w:overflowPunct/>
              <w:topLinePunct w:val="0"/>
              <w:bidi w:val="0"/>
              <w:snapToGrid/>
              <w:spacing w:line="390" w:lineRule="exact"/>
              <w:ind w:left="0" w:leftChars="0" w:right="0" w:rightChars="0" w:firstLine="210" w:firstLineChars="100"/>
              <w:textAlignment w:val="auto"/>
              <w:rPr>
                <w:rFonts w:hint="eastAsia"/>
                <w:color w:val="auto"/>
                <w:highlight w:val="none"/>
              </w:rPr>
            </w:pPr>
            <w:r>
              <w:rPr>
                <w:rFonts w:hint="eastAsia"/>
                <w:color w:val="auto"/>
                <w:highlight w:val="none"/>
              </w:rPr>
              <w:t>产品中标后安装验收过程中如果发现有不满足</w:t>
            </w: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color w:val="auto"/>
                <w:highlight w:val="none"/>
              </w:rPr>
              <w:t>号招标要求的、篡改参数，投标产品与交货产品不一致的，用户可以拒绝付款，并列入黑名单。</w:t>
            </w:r>
          </w:p>
          <w:p>
            <w:pPr>
              <w:pStyle w:val="27"/>
              <w:keepNext w:val="0"/>
              <w:keepLines w:val="0"/>
              <w:pageBreakBefore w:val="0"/>
              <w:kinsoku/>
              <w:wordWrap/>
              <w:overflowPunct/>
              <w:topLinePunct w:val="0"/>
              <w:bidi w:val="0"/>
              <w:snapToGrid/>
              <w:spacing w:line="390" w:lineRule="exact"/>
              <w:textAlignment w:val="auto"/>
              <w:rPr>
                <w:rFonts w:hint="eastAsia" w:eastAsia="宋体"/>
                <w:color w:val="auto"/>
                <w:highlight w:val="none"/>
                <w:lang w:eastAsia="zh-CN"/>
              </w:rPr>
            </w:pPr>
            <w:r>
              <w:rPr>
                <w:rFonts w:hint="eastAsia" w:ascii="宋体" w:hAnsi="宋体"/>
                <w:b/>
                <w:bCs/>
                <w:color w:val="auto"/>
                <w:sz w:val="24"/>
                <w:szCs w:val="24"/>
                <w:highlight w:val="none"/>
                <w:lang w:val="en-US" w:eastAsia="zh-CN"/>
              </w:rPr>
              <w:t>2、本项目拒绝</w:t>
            </w:r>
            <w:r>
              <w:rPr>
                <w:rFonts w:hint="eastAsia" w:ascii="宋体" w:hAnsi="宋体"/>
                <w:b/>
                <w:bCs/>
                <w:color w:val="auto"/>
                <w:sz w:val="24"/>
                <w:szCs w:val="24"/>
                <w:highlight w:val="none"/>
              </w:rPr>
              <w:t>进口产品参加投标</w:t>
            </w:r>
            <w:r>
              <w:rPr>
                <w:rFonts w:hint="eastAsia" w:ascii="宋体" w:hAnsi="宋体"/>
                <w:b/>
                <w:bCs/>
                <w:color w:val="auto"/>
                <w:sz w:val="24"/>
                <w:szCs w:val="24"/>
                <w:highlight w:val="none"/>
                <w:lang w:eastAsia="zh-CN"/>
              </w:rPr>
              <w:t>。</w:t>
            </w:r>
          </w:p>
        </w:tc>
      </w:tr>
    </w:tbl>
    <w:p>
      <w:pPr>
        <w:pStyle w:val="5"/>
        <w:spacing w:before="0" w:after="120" w:afterLines="50" w:line="360" w:lineRule="auto"/>
        <w:jc w:val="center"/>
        <w:rPr>
          <w:rFonts w:hint="eastAsia"/>
          <w:bCs/>
          <w:color w:val="auto"/>
          <w:sz w:val="36"/>
          <w:szCs w:val="36"/>
          <w:highlight w:val="none"/>
        </w:rPr>
      </w:pPr>
      <w:r>
        <w:rPr>
          <w:color w:val="auto"/>
          <w:highlight w:val="none"/>
        </w:rPr>
        <w:br w:type="page"/>
      </w:r>
      <w:bookmarkEnd w:id="7"/>
      <w:bookmarkEnd w:id="8"/>
      <w:bookmarkEnd w:id="9"/>
      <w:bookmarkEnd w:id="10"/>
      <w:bookmarkStart w:id="19" w:name="_Toc89075873"/>
      <w:bookmarkStart w:id="20" w:name="_Toc183682341"/>
      <w:bookmarkStart w:id="21" w:name="_Toc77400778"/>
      <w:bookmarkStart w:id="22" w:name="_Toc217446033"/>
      <w:bookmarkStart w:id="23" w:name="_Toc183582204"/>
      <w:r>
        <w:rPr>
          <w:rFonts w:hint="eastAsia"/>
          <w:bCs/>
          <w:color w:val="auto"/>
          <w:sz w:val="36"/>
          <w:szCs w:val="36"/>
          <w:highlight w:val="none"/>
        </w:rPr>
        <w:t>1.总  则</w:t>
      </w:r>
      <w:bookmarkEnd w:id="19"/>
      <w:bookmarkEnd w:id="20"/>
      <w:bookmarkEnd w:id="21"/>
      <w:bookmarkEnd w:id="22"/>
      <w:bookmarkEnd w:id="23"/>
      <w:bookmarkStart w:id="24" w:name="_Toc183682342"/>
      <w:bookmarkStart w:id="25" w:name="_Toc183582205"/>
      <w:bookmarkStart w:id="26" w:name="_Toc217446034"/>
    </w:p>
    <w:p>
      <w:pPr>
        <w:pStyle w:val="5"/>
        <w:spacing w:before="0" w:after="0" w:line="360" w:lineRule="auto"/>
        <w:rPr>
          <w:rFonts w:hint="eastAsia"/>
          <w:bCs/>
          <w:color w:val="auto"/>
          <w:sz w:val="30"/>
          <w:szCs w:val="30"/>
          <w:highlight w:val="none"/>
        </w:rPr>
      </w:pPr>
      <w:r>
        <w:rPr>
          <w:rFonts w:hint="eastAsia" w:ascii="宋体" w:hAnsi="宋体" w:eastAsia="宋体"/>
          <w:color w:val="auto"/>
          <w:sz w:val="30"/>
          <w:szCs w:val="30"/>
          <w:highlight w:val="none"/>
        </w:rPr>
        <w:t>1.</w:t>
      </w:r>
      <w:bookmarkEnd w:id="24"/>
      <w:bookmarkEnd w:id="25"/>
      <w:r>
        <w:rPr>
          <w:rFonts w:hint="eastAsia" w:ascii="宋体" w:hAnsi="宋体" w:eastAsia="宋体"/>
          <w:color w:val="auto"/>
          <w:sz w:val="30"/>
          <w:szCs w:val="30"/>
          <w:highlight w:val="none"/>
        </w:rPr>
        <w:t>1适用范围</w:t>
      </w:r>
      <w:bookmarkEnd w:id="26"/>
    </w:p>
    <w:p>
      <w:pPr>
        <w:tabs>
          <w:tab w:val="left" w:pos="7665"/>
        </w:tabs>
        <w:spacing w:line="360" w:lineRule="auto"/>
        <w:ind w:firstLine="420" w:firstLineChars="200"/>
        <w:rPr>
          <w:rFonts w:hint="eastAsia"/>
          <w:color w:val="auto"/>
          <w:szCs w:val="21"/>
          <w:highlight w:val="none"/>
        </w:rPr>
      </w:pPr>
      <w:r>
        <w:rPr>
          <w:rFonts w:hint="eastAsia"/>
          <w:color w:val="auto"/>
          <w:szCs w:val="21"/>
          <w:highlight w:val="none"/>
        </w:rPr>
        <w:t>本招标文件仅适用于本次公开招标所叙述的货物（产品）项目采购活动。</w:t>
      </w:r>
      <w:bookmarkStart w:id="27" w:name="_Toc183682343"/>
      <w:bookmarkStart w:id="28" w:name="_Toc217446035"/>
      <w:bookmarkStart w:id="29" w:name="_Toc183582206"/>
    </w:p>
    <w:p>
      <w:pPr>
        <w:tabs>
          <w:tab w:val="left" w:pos="7665"/>
        </w:tabs>
        <w:spacing w:before="120" w:beforeLines="50" w:after="120" w:afterLines="50" w:line="360" w:lineRule="auto"/>
        <w:ind w:firstLine="1"/>
        <w:rPr>
          <w:rFonts w:hint="eastAsia" w:ascii="宋体" w:hAnsi="宋体"/>
          <w:b/>
          <w:color w:val="auto"/>
          <w:sz w:val="30"/>
          <w:szCs w:val="30"/>
          <w:highlight w:val="none"/>
        </w:rPr>
      </w:pPr>
      <w:r>
        <w:rPr>
          <w:rFonts w:hint="eastAsia" w:ascii="宋体" w:hAnsi="宋体"/>
          <w:b/>
          <w:color w:val="auto"/>
          <w:sz w:val="30"/>
          <w:szCs w:val="30"/>
          <w:highlight w:val="none"/>
        </w:rPr>
        <w:t>1.2</w:t>
      </w:r>
      <w:bookmarkEnd w:id="27"/>
      <w:bookmarkEnd w:id="28"/>
      <w:bookmarkEnd w:id="29"/>
      <w:r>
        <w:rPr>
          <w:rFonts w:hint="eastAsia"/>
          <w:b/>
          <w:color w:val="auto"/>
          <w:sz w:val="30"/>
          <w:szCs w:val="30"/>
          <w:highlight w:val="none"/>
        </w:rPr>
        <w:t>名词解释</w:t>
      </w:r>
    </w:p>
    <w:p>
      <w:pPr>
        <w:adjustRightInd w:val="0"/>
        <w:snapToGrid w:val="0"/>
        <w:spacing w:before="120" w:beforeLines="50" w:line="360" w:lineRule="auto"/>
        <w:ind w:firstLine="420" w:firstLineChars="200"/>
        <w:rPr>
          <w:rFonts w:ascii="宋体" w:hAnsi="宋体"/>
          <w:b/>
          <w:color w:val="auto"/>
          <w:szCs w:val="21"/>
          <w:highlight w:val="none"/>
        </w:rPr>
      </w:pPr>
      <w:bookmarkStart w:id="30" w:name="_Toc217390843"/>
      <w:bookmarkStart w:id="31" w:name="_Toc217446036"/>
      <w:bookmarkStart w:id="32" w:name="_Toc183582207"/>
      <w:bookmarkStart w:id="33" w:name="_Toc183682344"/>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系指依法进行采购的国家机关、事业单位、团体组织。本次采购的采购人名称、地址、电话、联系人见投标人须知前附表。</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系指监督管理部门。</w:t>
      </w:r>
    </w:p>
    <w:p>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w:t>
      </w:r>
      <w:r>
        <w:rPr>
          <w:rFonts w:hint="eastAsia" w:ascii="宋体" w:hAnsi="宋体" w:eastAsia="宋体"/>
          <w:color w:val="auto"/>
          <w:szCs w:val="21"/>
          <w:highlight w:val="none"/>
          <w:lang w:val="en-US" w:eastAsia="zh-CN"/>
        </w:rPr>
        <w:t>有关</w:t>
      </w:r>
      <w:r>
        <w:rPr>
          <w:rFonts w:hint="eastAsia" w:ascii="宋体" w:hAnsi="宋体"/>
          <w:color w:val="auto"/>
          <w:szCs w:val="21"/>
          <w:highlight w:val="none"/>
        </w:rPr>
        <w:t>部门认定资格的采购代理机构。本次采购的采购代理机构名称、地址、电话、联系人见投标人须知前附表。</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1.2.4 </w:t>
      </w:r>
      <w:r>
        <w:rPr>
          <w:rFonts w:hint="eastAsia" w:ascii="宋体" w:hAnsi="宋体"/>
          <w:b/>
          <w:color w:val="auto"/>
          <w:szCs w:val="21"/>
          <w:highlight w:val="none"/>
        </w:rPr>
        <w:t>投标人</w:t>
      </w:r>
      <w:r>
        <w:rPr>
          <w:rFonts w:hint="eastAsia" w:ascii="宋体" w:hAnsi="宋体"/>
          <w:color w:val="auto"/>
          <w:szCs w:val="21"/>
          <w:highlight w:val="none"/>
        </w:rPr>
        <w:t>是指响应招标，参加投标竞争的法人或其他组织或个人。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1.2.5 </w:t>
      </w:r>
      <w:r>
        <w:rPr>
          <w:rFonts w:hint="eastAsia" w:ascii="宋体" w:hAnsi="宋体"/>
          <w:b/>
          <w:color w:val="auto"/>
          <w:szCs w:val="21"/>
          <w:highlight w:val="none"/>
        </w:rPr>
        <w:t>货物</w:t>
      </w:r>
      <w:r>
        <w:rPr>
          <w:rFonts w:hint="eastAsia" w:ascii="宋体" w:hAnsi="宋体"/>
          <w:color w:val="auto"/>
          <w:szCs w:val="21"/>
          <w:highlight w:val="none"/>
        </w:rPr>
        <w:t>是指</w:t>
      </w:r>
      <w:r>
        <w:rPr>
          <w:rFonts w:hint="eastAsia"/>
          <w:color w:val="auto"/>
          <w:szCs w:val="21"/>
          <w:highlight w:val="none"/>
        </w:rPr>
        <w:t>本招标文件中第四章所述所有货物。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是指人为满足招标文件要求而提供的服务。</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hint="eastAsia" w:ascii="宋体" w:hAnsi="宋体"/>
          <w:color w:val="auto"/>
          <w:szCs w:val="21"/>
          <w:highlight w:val="none"/>
        </w:rPr>
        <w:t>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监狱管理局、戒毒管理局的企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pPr>
        <w:adjustRightInd w:val="0"/>
        <w:snapToGrid w:val="0"/>
        <w:spacing w:before="120" w:beforeLines="50" w:after="120" w:afterLines="50" w:line="360" w:lineRule="auto"/>
        <w:rPr>
          <w:rFonts w:hint="eastAsia" w:ascii="宋体" w:hAnsi="宋体" w:cs="宋体"/>
          <w:b/>
          <w:color w:val="auto"/>
          <w:kern w:val="0"/>
          <w:sz w:val="30"/>
          <w:szCs w:val="30"/>
          <w:highlight w:val="none"/>
        </w:rPr>
      </w:pPr>
      <w:r>
        <w:rPr>
          <w:rFonts w:hint="eastAsia" w:ascii="宋体" w:hAnsi="宋体"/>
          <w:b/>
          <w:color w:val="auto"/>
          <w:sz w:val="30"/>
          <w:szCs w:val="30"/>
          <w:highlight w:val="none"/>
        </w:rPr>
        <w:t>1.3 合格的投标</w:t>
      </w:r>
      <w:bookmarkEnd w:id="30"/>
      <w:bookmarkEnd w:id="31"/>
      <w:bookmarkEnd w:id="32"/>
      <w:bookmarkEnd w:id="33"/>
      <w:r>
        <w:rPr>
          <w:rFonts w:hint="eastAsia" w:ascii="宋体" w:hAnsi="宋体"/>
          <w:b/>
          <w:color w:val="auto"/>
          <w:sz w:val="30"/>
          <w:szCs w:val="30"/>
          <w:highlight w:val="none"/>
        </w:rPr>
        <w:t>人</w:t>
      </w:r>
    </w:p>
    <w:p>
      <w:pPr>
        <w:tabs>
          <w:tab w:val="left" w:pos="7665"/>
        </w:tabs>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1.3.1 合格的投标人应具备以下条件：</w:t>
      </w:r>
    </w:p>
    <w:p>
      <w:pPr>
        <w:tabs>
          <w:tab w:val="left" w:pos="7665"/>
        </w:tabs>
        <w:spacing w:line="360" w:lineRule="auto"/>
        <w:ind w:firstLine="420" w:firstLineChars="200"/>
        <w:rPr>
          <w:rFonts w:hint="eastAsia" w:ascii="宋体" w:hAnsi="宋体"/>
          <w:color w:val="auto"/>
          <w:spacing w:val="-4"/>
          <w:szCs w:val="21"/>
          <w:highlight w:val="none"/>
        </w:rPr>
      </w:pPr>
      <w:r>
        <w:rPr>
          <w:rFonts w:hint="eastAsia" w:ascii="宋体" w:hAnsi="宋体"/>
          <w:color w:val="auto"/>
          <w:szCs w:val="21"/>
          <w:highlight w:val="none"/>
        </w:rPr>
        <w:t>（1）具备且满足“招标公告”要求的</w:t>
      </w:r>
      <w:r>
        <w:rPr>
          <w:rFonts w:hint="eastAsia" w:ascii="宋体" w:hAnsi="宋体"/>
          <w:color w:val="auto"/>
          <w:spacing w:val="-4"/>
          <w:szCs w:val="21"/>
          <w:highlight w:val="none"/>
        </w:rPr>
        <w:t>；</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（2）向采购代理机构购买了招标文件并登记备案；</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（3）向采购代理机构交纳了投标保证金；</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（4）遵守国家、新疆维吾尔自治区有关的法律法规、规章和规范性文件要求；</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（5）招标文件和法律、行政法规规定的其他条件。</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投标人不得存在下列情形之一：</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隶属关系或者其他利害关系，且可能影响招标公正性；</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（2）与本采购项目其他投标人的法定代表人（或者负责人）为同一人；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（3）与本采购项目其他投标人存在控股、管理关系；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（4）为本项目采购代理机构；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（5）为本项目代理投标的为其采购代理机构；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（8）受到财政部门3万元以上数额罚款的行政处罚或其他行政部门较大数额罚款的行政处罚（举行听证会的）；</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eastAsia="宋体"/>
          <w:bCs/>
          <w:color w:val="auto"/>
          <w:szCs w:val="21"/>
          <w:highlight w:val="none"/>
          <w:lang w:val="en-US" w:eastAsia="zh-CN"/>
        </w:rPr>
        <w:t>9</w:t>
      </w:r>
      <w:r>
        <w:rPr>
          <w:rFonts w:hint="eastAsia" w:ascii="宋体" w:hAnsi="宋体"/>
          <w:bCs/>
          <w:color w:val="auto"/>
          <w:szCs w:val="21"/>
          <w:highlight w:val="none"/>
        </w:rPr>
        <w:t>）被责令停产停业、暂扣或者吊销许可证、暂扣或者吊销执照的行政处罚；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（11）被列入</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pPr>
        <w:adjustRightInd w:val="0"/>
        <w:snapToGrid w:val="0"/>
        <w:spacing w:before="120" w:beforeLines="50" w:after="120" w:afterLines="50" w:line="360" w:lineRule="auto"/>
        <w:rPr>
          <w:rFonts w:ascii="宋体" w:hAnsi="宋体"/>
          <w:b/>
          <w:bCs/>
          <w:color w:val="auto"/>
          <w:sz w:val="30"/>
          <w:szCs w:val="30"/>
          <w:highlight w:val="none"/>
        </w:rPr>
      </w:pPr>
      <w:bookmarkStart w:id="34" w:name="_Toc183682345"/>
      <w:bookmarkStart w:id="35" w:name="_Toc217446037"/>
      <w:bookmarkStart w:id="36" w:name="_Toc183582208"/>
      <w:r>
        <w:rPr>
          <w:rFonts w:hint="eastAsia" w:ascii="宋体" w:hAnsi="宋体"/>
          <w:b/>
          <w:bCs/>
          <w:color w:val="auto"/>
          <w:sz w:val="30"/>
          <w:szCs w:val="30"/>
          <w:highlight w:val="none"/>
        </w:rPr>
        <w:t>1.4合格的货物（产品）和服务</w:t>
      </w:r>
    </w:p>
    <w:p>
      <w:pP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pPr>
        <w:tabs>
          <w:tab w:val="left" w:pos="747"/>
        </w:tabs>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采购人有权拒绝接受任何不合格的货物和服务，由此产生的费用及相关后果均由投标人自行承担。</w:t>
      </w:r>
    </w:p>
    <w:p>
      <w:pPr>
        <w:pStyle w:val="3"/>
        <w:spacing w:before="120" w:beforeLines="50" w:after="120" w:afterLines="50" w:line="360" w:lineRule="auto"/>
        <w:ind w:firstLine="0"/>
        <w:rPr>
          <w:rFonts w:hint="eastAsia" w:ascii="宋体" w:hAnsi="宋体"/>
          <w:b/>
          <w:bCs/>
          <w:color w:val="auto"/>
          <w:sz w:val="30"/>
          <w:szCs w:val="30"/>
          <w:highlight w:val="none"/>
        </w:rPr>
      </w:pPr>
      <w:bookmarkStart w:id="37" w:name="_Toc217446047"/>
      <w:r>
        <w:rPr>
          <w:rFonts w:hint="eastAsia" w:ascii="宋体" w:hAnsi="宋体"/>
          <w:b/>
          <w:bCs/>
          <w:color w:val="auto"/>
          <w:sz w:val="30"/>
          <w:szCs w:val="30"/>
          <w:highlight w:val="none"/>
        </w:rPr>
        <w:t>1.5知识产权</w:t>
      </w:r>
      <w:bookmarkEnd w:id="37"/>
    </w:p>
    <w:p>
      <w:pPr>
        <w:pStyle w:val="3"/>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3"/>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1.5.2 采购人享有本项目实施过程中产生的知识成果及知识产权。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1.5.4 如采用投标人所不拥有的知识产权，则在投标报价中必须包括合法获取该知识产权的相关费用。</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1.6投标费用</w:t>
      </w:r>
      <w:bookmarkEnd w:id="34"/>
      <w:bookmarkEnd w:id="35"/>
      <w:bookmarkEnd w:id="36"/>
    </w:p>
    <w:p>
      <w:pPr>
        <w:tabs>
          <w:tab w:val="left" w:pos="7665"/>
        </w:tabs>
        <w:spacing w:line="360" w:lineRule="auto"/>
        <w:ind w:firstLine="430" w:firstLineChars="205"/>
        <w:rPr>
          <w:rFonts w:hint="eastAsia" w:ascii="宋体" w:hAnsi="宋体"/>
          <w:color w:val="auto"/>
          <w:szCs w:val="21"/>
          <w:highlight w:val="none"/>
        </w:rPr>
      </w:pPr>
      <w:r>
        <w:rPr>
          <w:rFonts w:hint="eastAsia" w:ascii="宋体" w:hAnsi="宋体"/>
          <w:color w:val="auto"/>
          <w:szCs w:val="21"/>
          <w:highlight w:val="none"/>
        </w:rPr>
        <w:t>不论投标结果如何，投标人准备和参加投标活动发生的费用自理。</w:t>
      </w:r>
      <w:bookmarkStart w:id="38" w:name="_Toc183682346"/>
      <w:bookmarkStart w:id="39" w:name="_Toc183582209"/>
      <w:bookmarkStart w:id="40" w:name="_Toc77400779"/>
      <w:bookmarkStart w:id="41" w:name="_Toc217446038"/>
      <w:bookmarkStart w:id="42" w:name="_Toc89075875"/>
    </w:p>
    <w:p>
      <w:pPr>
        <w:autoSpaceDE w:val="0"/>
        <w:autoSpaceDN w:val="0"/>
        <w:spacing w:before="120" w:beforeLines="50" w:after="120" w:afterLines="50" w:line="360" w:lineRule="auto"/>
        <w:rPr>
          <w:rFonts w:ascii="宋体" w:hAnsi="宋体"/>
          <w:b/>
          <w:color w:val="auto"/>
          <w:sz w:val="30"/>
          <w:szCs w:val="30"/>
          <w:highlight w:val="none"/>
          <w:lang w:val="zh-CN"/>
        </w:rPr>
      </w:pPr>
      <w:r>
        <w:rPr>
          <w:rFonts w:hint="eastAsia" w:ascii="宋体" w:hAnsi="宋体"/>
          <w:b/>
          <w:color w:val="auto"/>
          <w:sz w:val="30"/>
          <w:szCs w:val="30"/>
          <w:highlight w:val="none"/>
          <w:lang w:val="zh-CN"/>
        </w:rPr>
        <w:t xml:space="preserve">1.7 </w:t>
      </w:r>
      <w:r>
        <w:rPr>
          <w:rFonts w:ascii="宋体" w:hAnsi="宋体"/>
          <w:b/>
          <w:color w:val="auto"/>
          <w:sz w:val="30"/>
          <w:szCs w:val="30"/>
          <w:highlight w:val="none"/>
          <w:lang w:val="zh-CN"/>
        </w:rPr>
        <w:t>保密</w:t>
      </w:r>
    </w:p>
    <w:p>
      <w:pPr>
        <w:autoSpaceDE w:val="0"/>
        <w:autoSpaceDN w:val="0"/>
        <w:spacing w:line="360" w:lineRule="auto"/>
        <w:ind w:firstLine="420" w:firstLineChars="200"/>
        <w:rPr>
          <w:rFonts w:hint="eastAsia" w:ascii="宋体" w:hAnsi="宋体"/>
          <w:b/>
          <w:color w:val="auto"/>
          <w:sz w:val="30"/>
          <w:szCs w:val="30"/>
          <w:highlight w:val="none"/>
        </w:rPr>
      </w:pPr>
      <w:r>
        <w:rPr>
          <w:rFonts w:ascii="宋体" w:hAnsi="宋体"/>
          <w:color w:val="auto"/>
          <w:szCs w:val="21"/>
          <w:highlight w:val="none"/>
          <w:lang w:val="zh-CN"/>
        </w:rPr>
        <w:t>参与采购活动的当事人应对</w:t>
      </w:r>
      <w:r>
        <w:rPr>
          <w:rFonts w:hint="eastAsia" w:ascii="宋体" w:hAnsi="宋体"/>
          <w:color w:val="auto"/>
          <w:szCs w:val="21"/>
          <w:highlight w:val="none"/>
          <w:lang w:val="zh-CN"/>
        </w:rPr>
        <w:t>招标文件</w:t>
      </w:r>
      <w:r>
        <w:rPr>
          <w:rFonts w:ascii="宋体" w:hAnsi="宋体"/>
          <w:color w:val="auto"/>
          <w:szCs w:val="21"/>
          <w:highlight w:val="none"/>
          <w:lang w:val="zh-CN"/>
        </w:rPr>
        <w:t>和响应文件中的商业秘密、技术秘密和个人隐私等保密，违者应对由此造成的后果承担法律责任。</w:t>
      </w:r>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1.8语言文字</w:t>
      </w:r>
    </w:p>
    <w:p>
      <w:pPr>
        <w:tabs>
          <w:tab w:val="left" w:pos="7665"/>
        </w:tabs>
        <w:spacing w:line="360" w:lineRule="auto"/>
        <w:ind w:firstLine="405"/>
        <w:rPr>
          <w:rFonts w:hint="eastAsia" w:ascii="宋体" w:hAnsi="宋体"/>
          <w:color w:val="auto"/>
          <w:szCs w:val="21"/>
          <w:highlight w:val="none"/>
        </w:rPr>
      </w:pPr>
      <w:r>
        <w:rPr>
          <w:rFonts w:hint="eastAsia" w:ascii="宋体" w:hAnsi="宋体"/>
          <w:color w:val="auto"/>
          <w:szCs w:val="21"/>
          <w:highlight w:val="none"/>
        </w:rPr>
        <w:t>1.8.1 招标投标文件使用的语言为中文。专用术语使用外文的，应附有中文注释。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1.8.2 投标文件中如附有外文资料，必须逐一对应翻译成中文并加盖投标人单位章后附在相关外文资料后面，否则，投标人的投标文件将作为无效投标处理。</w:t>
      </w:r>
    </w:p>
    <w:p>
      <w:pPr>
        <w:pStyle w:val="13"/>
        <w:adjustRightInd w:val="0"/>
        <w:snapToGrid w:val="0"/>
        <w:spacing w:line="360" w:lineRule="auto"/>
        <w:ind w:firstLine="420" w:firstLineChars="200"/>
        <w:rPr>
          <w:rFonts w:hint="eastAsia"/>
          <w:color w:val="auto"/>
          <w:highlight w:val="none"/>
        </w:rPr>
      </w:pPr>
      <w:r>
        <w:rPr>
          <w:rFonts w:hint="eastAsia"/>
          <w:color w:val="auto"/>
          <w:highlight w:val="none"/>
        </w:rPr>
        <w:t>1.8.3 投标文件中翻译的中文资料与外文资料如果出现差异和矛盾时，以中文为准。但不能故意错误翻译，否则，投标人的投标文件将作为无效投标处理。</w:t>
      </w:r>
      <w:r>
        <w:rPr>
          <w:rFonts w:hint="eastAsia"/>
          <w:color w:val="auto"/>
          <w:kern w:val="0"/>
          <w:highlight w:val="none"/>
        </w:rPr>
        <w:t>必要时采购人可以要求投标人提供附有公证书的中文翻译文件或者与原版文件签章相一致的中文翻译文件。</w:t>
      </w:r>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1.9计量单位</w:t>
      </w:r>
    </w:p>
    <w:p>
      <w:pPr>
        <w:tabs>
          <w:tab w:val="left" w:pos="7665"/>
        </w:tabs>
        <w:spacing w:line="360" w:lineRule="auto"/>
        <w:ind w:firstLine="405"/>
        <w:rPr>
          <w:rFonts w:hint="eastAsia" w:ascii="宋体" w:hAnsi="宋体"/>
          <w:color w:val="auto"/>
          <w:szCs w:val="21"/>
          <w:highlight w:val="none"/>
        </w:rPr>
      </w:pPr>
      <w:r>
        <w:rPr>
          <w:rFonts w:hint="eastAsia" w:ascii="宋体" w:hAnsi="宋体"/>
          <w:color w:val="auto"/>
          <w:szCs w:val="21"/>
          <w:highlight w:val="none"/>
        </w:rPr>
        <w:t>所有计量单位均采用中华人民共和国法定计量单位。</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1.10 答疑会或现场考察</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w:t>
      </w:r>
      <w:r>
        <w:rPr>
          <w:rFonts w:hint="eastAsia"/>
          <w:color w:val="auto"/>
          <w:sz w:val="21"/>
          <w:szCs w:val="21"/>
          <w:highlight w:val="none"/>
          <w:lang w:val="zh-CN"/>
        </w:rPr>
        <w:t>或政采云平台</w:t>
      </w:r>
      <w:r>
        <w:rPr>
          <w:rFonts w:hint="eastAsia" w:ascii="宋体" w:hAnsi="宋体"/>
          <w:color w:val="auto"/>
          <w:szCs w:val="21"/>
          <w:highlight w:val="none"/>
        </w:rPr>
        <w:t>通知所有获取了招标文件的投标人。</w:t>
      </w:r>
    </w:p>
    <w:p>
      <w:pPr>
        <w:adjustRightInd w:val="0"/>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1.10.2 答疑会或现场考察后，采购人或采购代理机构对投标人所提问题的澄清，以书面形式</w:t>
      </w:r>
      <w:r>
        <w:rPr>
          <w:rFonts w:hint="eastAsia"/>
          <w:color w:val="auto"/>
          <w:sz w:val="21"/>
          <w:szCs w:val="21"/>
          <w:highlight w:val="none"/>
          <w:lang w:val="zh-CN"/>
        </w:rPr>
        <w:t>或政采云平台</w:t>
      </w:r>
      <w:r>
        <w:rPr>
          <w:rFonts w:hint="eastAsia" w:ascii="宋体" w:hAnsi="宋体"/>
          <w:color w:val="auto"/>
          <w:szCs w:val="21"/>
          <w:highlight w:val="none"/>
        </w:rPr>
        <w:t>通知所有获取了招标文件的投标人。该澄清内容为招标文件的组成部分。</w:t>
      </w:r>
    </w:p>
    <w:p>
      <w:pPr>
        <w:adjustRightInd w:val="0"/>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1.10.3 采购人不对投标人现场考察而做出的推论、理解和结论负责。一旦成交，中标人不得以任何借口，提出额外补偿，或延长合同期限的要求。</w:t>
      </w:r>
    </w:p>
    <w:p>
      <w:pPr>
        <w:tabs>
          <w:tab w:val="left" w:pos="7665"/>
        </w:tabs>
        <w:spacing w:before="120" w:beforeLines="50" w:after="120" w:afterLines="50" w:line="360" w:lineRule="auto"/>
        <w:rPr>
          <w:rFonts w:hint="eastAsia" w:ascii="黑体" w:hAnsi="宋体" w:eastAsia="黑体"/>
          <w:b/>
          <w:bCs/>
          <w:color w:val="auto"/>
          <w:sz w:val="36"/>
          <w:szCs w:val="36"/>
          <w:highlight w:val="none"/>
        </w:rPr>
      </w:pPr>
      <w:r>
        <w:rPr>
          <w:rFonts w:hint="eastAsia" w:ascii="黑体" w:hAnsi="宋体" w:eastAsia="黑体"/>
          <w:b/>
          <w:bCs/>
          <w:color w:val="auto"/>
          <w:sz w:val="36"/>
          <w:szCs w:val="36"/>
          <w:highlight w:val="none"/>
        </w:rPr>
        <w:t>2.招标文件</w:t>
      </w:r>
      <w:bookmarkEnd w:id="38"/>
      <w:bookmarkEnd w:id="39"/>
      <w:bookmarkEnd w:id="40"/>
      <w:bookmarkEnd w:id="41"/>
      <w:bookmarkEnd w:id="42"/>
      <w:bookmarkStart w:id="43" w:name="_Toc183682347"/>
      <w:bookmarkStart w:id="44" w:name="_Toc217446039"/>
      <w:bookmarkStart w:id="45" w:name="_Toc183582210"/>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2.1招标文件的</w:t>
      </w:r>
      <w:bookmarkEnd w:id="43"/>
      <w:bookmarkEnd w:id="44"/>
      <w:bookmarkEnd w:id="45"/>
      <w:r>
        <w:rPr>
          <w:rFonts w:hint="eastAsia" w:ascii="宋体" w:hAnsi="宋体"/>
          <w:b/>
          <w:color w:val="auto"/>
          <w:sz w:val="30"/>
          <w:szCs w:val="30"/>
          <w:highlight w:val="none"/>
        </w:rPr>
        <w:t>组成</w:t>
      </w:r>
    </w:p>
    <w:p>
      <w:pPr>
        <w:tabs>
          <w:tab w:val="left" w:pos="7665"/>
        </w:tabs>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本招标文件包括以下内容：</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（1）招标公告；</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（2）投标人须知；</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（3）评标办法；</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（4）采购内容及要求；</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（5）采购合同条款；</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（6）投标文件格式要求；</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（7）投标人须知前附表规定的其他材料。</w:t>
      </w:r>
      <w:bookmarkStart w:id="46" w:name="_Toc183582211"/>
      <w:bookmarkStart w:id="47" w:name="_Toc183682348"/>
      <w:bookmarkStart w:id="48" w:name="_Toc217446040"/>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根据本章第1.10款、第2.2款对招标文件所作的澄清、修改，构成招标文件组成部分。</w:t>
      </w:r>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2.2</w:t>
      </w:r>
      <w:r>
        <w:rPr>
          <w:rFonts w:hint="eastAsia"/>
          <w:b/>
          <w:color w:val="auto"/>
          <w:sz w:val="30"/>
          <w:szCs w:val="30"/>
          <w:highlight w:val="none"/>
        </w:rPr>
        <w:t>招标文件的澄清</w:t>
      </w:r>
      <w:bookmarkEnd w:id="46"/>
      <w:bookmarkEnd w:id="47"/>
      <w:r>
        <w:rPr>
          <w:rFonts w:hint="eastAsia"/>
          <w:b/>
          <w:color w:val="auto"/>
          <w:sz w:val="30"/>
          <w:szCs w:val="30"/>
          <w:highlight w:val="none"/>
        </w:rPr>
        <w:t>或修改</w:t>
      </w:r>
      <w:bookmarkEnd w:id="48"/>
    </w:p>
    <w:p>
      <w:pPr>
        <w:tabs>
          <w:tab w:val="left" w:pos="7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在投标截止时间前，采购代理机构无论出于何种原因，可以对已发出的招标文件进行必要的澄清或者修改，但不得修改采购标的和资格条件。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采购人或采购代理机构对已发出的招标文件进行必要的澄清或者修改，澄清或修改的内容可能影响投标文件编制的，应当在投标文件截止时间</w:t>
      </w:r>
      <w:r>
        <w:rPr>
          <w:rFonts w:hint="eastAsia" w:ascii="宋体" w:hAnsi="宋体"/>
          <w:b/>
          <w:color w:val="auto"/>
          <w:szCs w:val="21"/>
          <w:highlight w:val="none"/>
        </w:rPr>
        <w:t>15</w:t>
      </w:r>
      <w:r>
        <w:rPr>
          <w:rFonts w:hint="eastAsia" w:ascii="宋体" w:hAnsi="宋体"/>
          <w:color w:val="auto"/>
          <w:szCs w:val="21"/>
          <w:highlight w:val="none"/>
        </w:rPr>
        <w:t>日前，以书面形式</w:t>
      </w:r>
      <w:r>
        <w:rPr>
          <w:rFonts w:hint="eastAsia"/>
          <w:color w:val="auto"/>
          <w:sz w:val="21"/>
          <w:szCs w:val="21"/>
          <w:highlight w:val="none"/>
          <w:lang w:val="zh-CN"/>
        </w:rPr>
        <w:t>或政采云平台</w:t>
      </w:r>
      <w:r>
        <w:rPr>
          <w:rFonts w:hint="eastAsia" w:ascii="宋体" w:hAnsi="宋体"/>
          <w:color w:val="auto"/>
          <w:szCs w:val="21"/>
          <w:highlight w:val="none"/>
        </w:rPr>
        <w:t>将澄清或者修改的内容通知所有获取招标文件的投标人。投标人在收到上述通知后，应立即以书面形式</w:t>
      </w:r>
      <w:r>
        <w:rPr>
          <w:rFonts w:hint="eastAsia"/>
          <w:color w:val="auto"/>
          <w:sz w:val="21"/>
          <w:szCs w:val="21"/>
          <w:highlight w:val="none"/>
          <w:lang w:val="zh-CN"/>
        </w:rPr>
        <w:t>或政采云平台</w:t>
      </w:r>
      <w:r>
        <w:rPr>
          <w:rFonts w:hint="eastAsia" w:ascii="宋体" w:hAnsi="宋体"/>
          <w:color w:val="auto"/>
          <w:szCs w:val="21"/>
          <w:highlight w:val="none"/>
        </w:rPr>
        <w:t>向采购代理机构确认。如果澄清或者修改发出的时间距规定的投标截止时间不足</w:t>
      </w:r>
      <w:r>
        <w:rPr>
          <w:rFonts w:hint="eastAsia" w:ascii="宋体" w:hAnsi="宋体" w:cs="TimesNewRomanPSMT"/>
          <w:b/>
          <w:color w:val="auto"/>
          <w:szCs w:val="21"/>
          <w:highlight w:val="none"/>
        </w:rPr>
        <w:t>15</w:t>
      </w:r>
      <w:r>
        <w:rPr>
          <w:rFonts w:hint="eastAsia" w:ascii="宋体" w:hAnsi="宋体"/>
          <w:color w:val="auto"/>
          <w:szCs w:val="21"/>
          <w:highlight w:val="none"/>
        </w:rPr>
        <w:t>日，将相应顺延投标截止时间。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b/>
          <w:bCs/>
          <w:color w:val="auto"/>
          <w:szCs w:val="21"/>
          <w:highlight w:val="none"/>
        </w:rPr>
        <w:t>.</w:t>
      </w:r>
      <w:r>
        <w:rPr>
          <w:rFonts w:hint="eastAsia" w:ascii="宋体" w:hAnsi="宋体"/>
          <w:color w:val="auto"/>
          <w:szCs w:val="21"/>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b/>
          <w:color w:val="auto"/>
          <w:szCs w:val="21"/>
          <w:highlight w:val="none"/>
        </w:rPr>
        <w:t>10</w:t>
      </w:r>
      <w:r>
        <w:rPr>
          <w:rFonts w:hint="eastAsia" w:ascii="宋体" w:hAnsi="宋体"/>
          <w:color w:val="auto"/>
          <w:szCs w:val="21"/>
          <w:highlight w:val="none"/>
        </w:rPr>
        <w:t>日前按招标文件中的联系方式，以书面形式向采购代理机构提出，采购代理机构应当在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w:t>
      </w:r>
      <w:r>
        <w:rPr>
          <w:rFonts w:hint="eastAsia"/>
          <w:color w:val="auto"/>
          <w:sz w:val="21"/>
          <w:szCs w:val="21"/>
          <w:highlight w:val="none"/>
          <w:lang w:val="zh-CN"/>
        </w:rPr>
        <w:t>或政采云平台</w:t>
      </w:r>
      <w:r>
        <w:rPr>
          <w:rFonts w:hint="eastAsia" w:ascii="宋体" w:hAnsi="宋体"/>
          <w:color w:val="auto"/>
          <w:szCs w:val="21"/>
          <w:highlight w:val="none"/>
        </w:rPr>
        <w:t>予以答复，或认为有必要召开答疑会。超过该时间收到的需要询问或澄清的内容，采购代理机构有权不予答复。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2.2.4 在投标截止时间前，采购代理机构可以视采购具体情况，延长投标截止时间和开标时间，并在招标文件要求提交投标文件的截止时间前，将变更时间以书面形式</w:t>
      </w:r>
      <w:r>
        <w:rPr>
          <w:rFonts w:hint="eastAsia"/>
          <w:color w:val="auto"/>
          <w:sz w:val="21"/>
          <w:szCs w:val="21"/>
          <w:highlight w:val="none"/>
          <w:lang w:val="zh-CN"/>
        </w:rPr>
        <w:t>或政采云平台</w:t>
      </w:r>
      <w:r>
        <w:rPr>
          <w:rFonts w:hint="eastAsia" w:ascii="宋体" w:hAnsi="宋体"/>
          <w:color w:val="auto"/>
          <w:szCs w:val="21"/>
          <w:highlight w:val="none"/>
        </w:rPr>
        <w:t>通知所有获取招标文件的投标人，同时在原信息发布媒体上发布变更公告。</w:t>
      </w:r>
      <w:bookmarkStart w:id="49" w:name="_Toc217446041"/>
      <w:bookmarkStart w:id="50" w:name="_Toc183582213"/>
      <w:bookmarkStart w:id="51" w:name="_Toc208848971"/>
      <w:bookmarkStart w:id="52" w:name="_Toc183682350"/>
    </w:p>
    <w:p>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当招标文件</w:t>
      </w:r>
      <w:r>
        <w:rPr>
          <w:rFonts w:hint="eastAsia" w:ascii="宋体" w:hAnsi="宋体"/>
          <w:color w:val="auto"/>
          <w:szCs w:val="21"/>
          <w:highlight w:val="none"/>
        </w:rPr>
        <w:t>澄清、答复、修改或补充通知与招标文件</w:t>
      </w:r>
      <w:r>
        <w:rPr>
          <w:rFonts w:hint="eastAsia" w:ascii="宋体"/>
          <w:color w:val="auto"/>
          <w:szCs w:val="21"/>
          <w:highlight w:val="none"/>
        </w:rPr>
        <w:t>就同一内容表述不一致时，以最后发出的书面文件内容为准。</w:t>
      </w:r>
    </w:p>
    <w:bookmarkEnd w:id="49"/>
    <w:bookmarkEnd w:id="50"/>
    <w:bookmarkEnd w:id="51"/>
    <w:bookmarkEnd w:id="52"/>
    <w:p>
      <w:pPr>
        <w:adjustRightInd w:val="0"/>
        <w:snapToGrid w:val="0"/>
        <w:spacing w:before="120" w:beforeLines="50" w:after="120" w:afterLines="50" w:line="360" w:lineRule="auto"/>
        <w:rPr>
          <w:rFonts w:hint="eastAsia" w:ascii="宋体" w:hAnsi="宋体"/>
          <w:b/>
          <w:color w:val="auto"/>
          <w:sz w:val="30"/>
          <w:szCs w:val="30"/>
          <w:highlight w:val="none"/>
        </w:rPr>
      </w:pPr>
      <w:r>
        <w:rPr>
          <w:rFonts w:hint="eastAsia" w:ascii="宋体" w:hAnsi="宋体"/>
          <w:b/>
          <w:bCs/>
          <w:color w:val="auto"/>
          <w:sz w:val="30"/>
          <w:szCs w:val="30"/>
          <w:highlight w:val="none"/>
        </w:rPr>
        <w:t>2.3招标文件的解释权</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招标文件的解释权归采购代理机构，如发现招标文件内容与现行法律法规不相符的情况，以现行法律法规为准。</w:t>
      </w:r>
      <w:bookmarkStart w:id="53" w:name="_Toc77400780"/>
      <w:bookmarkStart w:id="54" w:name="_Toc217446042"/>
      <w:bookmarkStart w:id="55" w:name="_Toc183682351"/>
      <w:bookmarkStart w:id="56" w:name="_Toc183582214"/>
      <w:bookmarkStart w:id="57" w:name="_Toc89075876"/>
    </w:p>
    <w:p>
      <w:pPr>
        <w:pStyle w:val="6"/>
        <w:spacing w:before="120" w:beforeLines="50" w:after="120" w:afterLines="50" w:line="360" w:lineRule="auto"/>
        <w:ind w:firstLine="0"/>
        <w:rPr>
          <w:rFonts w:hint="eastAsia" w:ascii="黑体" w:hAnsi="宋体" w:eastAsia="黑体"/>
          <w:b/>
          <w:color w:val="auto"/>
          <w:sz w:val="36"/>
          <w:szCs w:val="36"/>
          <w:highlight w:val="none"/>
        </w:rPr>
      </w:pPr>
      <w:r>
        <w:rPr>
          <w:rFonts w:hint="eastAsia" w:ascii="黑体" w:eastAsia="黑体"/>
          <w:b/>
          <w:bCs/>
          <w:color w:val="auto"/>
          <w:sz w:val="36"/>
          <w:szCs w:val="36"/>
          <w:highlight w:val="none"/>
        </w:rPr>
        <w:t>3.投标人</w:t>
      </w:r>
    </w:p>
    <w:p>
      <w:pPr>
        <w:pStyle w:val="6"/>
        <w:spacing w:after="120" w:afterLines="50" w:line="360" w:lineRule="auto"/>
        <w:ind w:firstLine="0"/>
        <w:rPr>
          <w:rFonts w:hint="eastAsia" w:ascii="宋体" w:hAnsi="宋体"/>
          <w:b/>
          <w:color w:val="auto"/>
          <w:sz w:val="30"/>
          <w:szCs w:val="30"/>
          <w:highlight w:val="none"/>
        </w:rPr>
      </w:pPr>
      <w:r>
        <w:rPr>
          <w:rFonts w:hint="eastAsia" w:ascii="宋体" w:hAnsi="宋体"/>
          <w:b/>
          <w:color w:val="auto"/>
          <w:sz w:val="30"/>
          <w:szCs w:val="30"/>
          <w:highlight w:val="none"/>
        </w:rPr>
        <w:t>3.1</w:t>
      </w:r>
      <w:bookmarkEnd w:id="53"/>
      <w:bookmarkEnd w:id="54"/>
      <w:bookmarkEnd w:id="55"/>
      <w:bookmarkEnd w:id="56"/>
      <w:bookmarkEnd w:id="57"/>
      <w:bookmarkStart w:id="58" w:name="_Toc217446043"/>
      <w:bookmarkStart w:id="59" w:name="_Toc183582215"/>
      <w:bookmarkStart w:id="60" w:name="_Toc183682352"/>
      <w:r>
        <w:rPr>
          <w:rFonts w:hint="eastAsia" w:ascii="宋体" w:hAnsi="宋体"/>
          <w:b/>
          <w:color w:val="auto"/>
          <w:sz w:val="30"/>
          <w:szCs w:val="30"/>
          <w:highlight w:val="none"/>
        </w:rPr>
        <w:t>投标人资格要求</w:t>
      </w:r>
    </w:p>
    <w:p>
      <w:pPr>
        <w:widowControl/>
        <w:adjustRightInd w:val="0"/>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olor w:val="auto"/>
          <w:szCs w:val="21"/>
          <w:highlight w:val="none"/>
        </w:rPr>
        <w:t xml:space="preserve">3.1.1 </w:t>
      </w:r>
      <w:r>
        <w:rPr>
          <w:rFonts w:hint="eastAsia" w:ascii="宋体" w:hAnsi="宋体" w:cs="宋体"/>
          <w:color w:val="auto"/>
          <w:kern w:val="0"/>
          <w:szCs w:val="21"/>
          <w:highlight w:val="none"/>
        </w:rPr>
        <w:t>投标人应符合资格要求规定的条件，</w:t>
      </w:r>
      <w:r>
        <w:rPr>
          <w:rFonts w:hint="eastAsia" w:ascii="宋体" w:hAnsi="宋体" w:cs="宋体"/>
          <w:color w:val="auto"/>
          <w:kern w:val="0"/>
          <w:szCs w:val="21"/>
          <w:highlight w:val="none"/>
          <w:lang w:val="zh-CN"/>
        </w:rPr>
        <w:t>并根据</w:t>
      </w:r>
      <w:r>
        <w:rPr>
          <w:rFonts w:hint="eastAsia" w:ascii="宋体" w:hAnsi="宋体" w:eastAsia="宋体" w:cs="宋体"/>
          <w:color w:val="auto"/>
          <w:highlight w:val="none"/>
        </w:rPr>
        <w:t>资格要求</w:t>
      </w:r>
      <w:r>
        <w:rPr>
          <w:rFonts w:hint="eastAsia" w:ascii="宋体" w:hAnsi="宋体" w:cs="宋体"/>
          <w:color w:val="auto"/>
          <w:kern w:val="0"/>
          <w:szCs w:val="21"/>
          <w:highlight w:val="none"/>
          <w:lang w:val="zh-CN"/>
        </w:rPr>
        <w:t>规定提供下列材料：</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（1）投标人为企业法人应提供合法有效的标识有统一社会信用代码的营业执照；事业法人应提供事业单位法人证书；其他组织应提供合法登记证明文件；</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（2）法定代表人（负责人）参加提供法定代表人（负责人）身份证明书及身份证（授权委托人参加提供法定代表人（负责人）授权委托书及被委托人身份证）；</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（4）投标人提供近半年内已缴存的至少一个月的社会保障资金缴存单据或社保机构开具的社会保险参保缴费情况证明，依法不需要缴纳社会保障资金的投标人应提供相关文件证明；</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5）投标人提供2022年的财务审计报告（成立时间至提交投标文件截止时间不足一年的可提供成立后任意时段的资产负债表），或其开标前三个月内基本存款账户开户银行出具的资信证明及基本存款账户开户证明；</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（6）投标人提供近半年内已缴纳的至少一个月的纳税证明或完税证明，纳税证明或完税证明上应有代收机构或税务机关的公章，依法免税的投标人应提供相关文件证明；</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（7）投标人应具备良好的商业信誉，提供参加政府采购活动前3年内在经营活动中没有重大违法记录的书面声明；</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（9）本项目不接受联合体投标。</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注：以上资格证明材料为必备材料，缺少一项或某项达不到招标文件要求的按无效投标文件处理。在投标文件中应附一套以上完整的资格证明材料，复印件加盖投标人单位公章。</w:t>
      </w:r>
    </w:p>
    <w:p>
      <w:pPr>
        <w:autoSpaceDE w:val="0"/>
        <w:autoSpaceDN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3.1.2 </w:t>
      </w:r>
      <w:r>
        <w:rPr>
          <w:rFonts w:hint="eastAsia" w:ascii="宋体" w:hAnsi="宋体"/>
          <w:color w:val="auto"/>
          <w:szCs w:val="21"/>
          <w:highlight w:val="none"/>
        </w:rPr>
        <w:t>采购代理机构将通过“信用中国”网站（www.creditchina.gov.cn）和中国政府采购网站（www.ccgp.gov.cn）查询投标人信用记录，被列入失信被执行人、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、政府采购严重违法失信行为记录名单的单位将被拒绝参与本项目投标。</w:t>
      </w:r>
    </w:p>
    <w:p>
      <w:pPr>
        <w:tabs>
          <w:tab w:val="left" w:pos="720"/>
        </w:tabs>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 xml:space="preserve">3.1.3 </w:t>
      </w:r>
      <w:r>
        <w:rPr>
          <w:rFonts w:hint="eastAsia" w:ascii="宋体" w:hAnsi="宋体"/>
          <w:color w:val="auto"/>
          <w:szCs w:val="21"/>
          <w:highlight w:val="none"/>
        </w:rPr>
        <w:t>投标人应保证所提供的全部证明材料的真实性，并保证愿意接受由采购人对其所提供材料的真实性的调查和考证。</w:t>
      </w:r>
    </w:p>
    <w:p>
      <w:pPr>
        <w:tabs>
          <w:tab w:val="left" w:pos="720"/>
        </w:tabs>
        <w:snapToGrid w:val="0"/>
        <w:spacing w:line="360" w:lineRule="auto"/>
        <w:rPr>
          <w:rFonts w:hint="eastAsia" w:ascii="宋体" w:hAnsi="宋体"/>
          <w:color w:val="auto"/>
          <w:szCs w:val="21"/>
          <w:highlight w:val="none"/>
        </w:rPr>
      </w:pPr>
      <w:r>
        <w:rPr>
          <w:rFonts w:hint="eastAsia" w:hAnsi="宋体"/>
          <w:b/>
          <w:color w:val="auto"/>
          <w:sz w:val="30"/>
          <w:szCs w:val="30"/>
          <w:highlight w:val="none"/>
        </w:rPr>
        <w:t>3.2</w:t>
      </w:r>
      <w:r>
        <w:rPr>
          <w:rFonts w:hint="eastAsia" w:hAnsi="宋体"/>
          <w:b/>
          <w:bCs/>
          <w:color w:val="auto"/>
          <w:sz w:val="30"/>
          <w:szCs w:val="30"/>
          <w:highlight w:val="none"/>
        </w:rPr>
        <w:t>授权委托</w:t>
      </w:r>
    </w:p>
    <w:p>
      <w:pPr>
        <w:pStyle w:val="13"/>
        <w:adjustRightInd w:val="0"/>
        <w:snapToGrid w:val="0"/>
        <w:spacing w:line="360" w:lineRule="auto"/>
        <w:ind w:firstLine="525" w:firstLineChars="250"/>
        <w:rPr>
          <w:rFonts w:hint="eastAsia"/>
          <w:color w:val="auto"/>
          <w:highlight w:val="none"/>
        </w:rPr>
      </w:pPr>
      <w:r>
        <w:rPr>
          <w:rFonts w:hint="eastAsia"/>
          <w:color w:val="auto"/>
          <w:highlight w:val="none"/>
        </w:rPr>
        <w:t>3.2.1投标人代表为法定代表人（单位负责人）的，应持有法定代表人（单位负责人）身份证明。投标人代表不是法定代表人（单位负责人）的，应持有法定代表人（单位负责人）授权委托书。</w:t>
      </w:r>
    </w:p>
    <w:p>
      <w:pPr>
        <w:pStyle w:val="13"/>
        <w:adjustRightInd w:val="0"/>
        <w:snapToGrid w:val="0"/>
        <w:spacing w:line="360" w:lineRule="auto"/>
        <w:ind w:firstLine="525" w:firstLineChars="250"/>
        <w:rPr>
          <w:rFonts w:hint="eastAsia"/>
          <w:color w:val="auto"/>
          <w:kern w:val="0"/>
          <w:highlight w:val="none"/>
        </w:rPr>
      </w:pPr>
      <w:r>
        <w:rPr>
          <w:rFonts w:hint="eastAsia"/>
          <w:color w:val="auto"/>
          <w:highlight w:val="none"/>
        </w:rPr>
        <w:t>3.2</w:t>
      </w:r>
      <w:r>
        <w:rPr>
          <w:color w:val="auto"/>
          <w:kern w:val="0"/>
          <w:highlight w:val="none"/>
        </w:rPr>
        <w:t>.2</w:t>
      </w:r>
      <w:r>
        <w:rPr>
          <w:rFonts w:hint="eastAsia"/>
          <w:color w:val="auto"/>
          <w:kern w:val="0"/>
          <w:highlight w:val="none"/>
        </w:rPr>
        <w:t>投标</w:t>
      </w:r>
      <w:r>
        <w:rPr>
          <w:color w:val="auto"/>
          <w:kern w:val="0"/>
          <w:highlight w:val="none"/>
        </w:rPr>
        <w:t>人应</w:t>
      </w:r>
      <w:r>
        <w:rPr>
          <w:rFonts w:hint="eastAsia"/>
          <w:color w:val="auto"/>
          <w:kern w:val="0"/>
          <w:highlight w:val="none"/>
        </w:rPr>
        <w:t>当</w:t>
      </w:r>
      <w:r>
        <w:rPr>
          <w:color w:val="auto"/>
          <w:kern w:val="0"/>
          <w:highlight w:val="none"/>
        </w:rPr>
        <w:t>委托本单位正式员工</w:t>
      </w:r>
      <w:r>
        <w:rPr>
          <w:rFonts w:hint="eastAsia"/>
          <w:color w:val="auto"/>
          <w:kern w:val="0"/>
          <w:highlight w:val="none"/>
        </w:rPr>
        <w:t>作为投标人代表，且投标</w:t>
      </w:r>
      <w:r>
        <w:rPr>
          <w:color w:val="auto"/>
          <w:kern w:val="0"/>
          <w:highlight w:val="none"/>
        </w:rPr>
        <w:t>人代表只能接受一个</w:t>
      </w:r>
      <w:r>
        <w:rPr>
          <w:rFonts w:hint="eastAsia"/>
          <w:color w:val="auto"/>
          <w:kern w:val="0"/>
          <w:highlight w:val="none"/>
        </w:rPr>
        <w:t>投标</w:t>
      </w:r>
      <w:r>
        <w:rPr>
          <w:color w:val="auto"/>
          <w:kern w:val="0"/>
          <w:highlight w:val="none"/>
        </w:rPr>
        <w:t>人的委托参加</w:t>
      </w:r>
      <w:r>
        <w:rPr>
          <w:rFonts w:hint="eastAsia"/>
          <w:color w:val="auto"/>
          <w:kern w:val="0"/>
          <w:highlight w:val="none"/>
        </w:rPr>
        <w:t>投标</w:t>
      </w:r>
      <w:r>
        <w:rPr>
          <w:color w:val="auto"/>
          <w:kern w:val="0"/>
          <w:highlight w:val="none"/>
        </w:rPr>
        <w:t>。</w:t>
      </w:r>
    </w:p>
    <w:p>
      <w:pPr>
        <w:pStyle w:val="13"/>
        <w:adjustRightInd w:val="0"/>
        <w:snapToGrid w:val="0"/>
        <w:spacing w:before="120" w:beforeLines="50" w:after="120" w:afterLines="50" w:line="360" w:lineRule="auto"/>
        <w:ind w:left="-178" w:leftChars="-85" w:firstLine="220" w:firstLineChars="73"/>
        <w:rPr>
          <w:rFonts w:hint="eastAsia"/>
          <w:color w:val="auto"/>
          <w:kern w:val="0"/>
          <w:sz w:val="30"/>
          <w:szCs w:val="30"/>
          <w:highlight w:val="none"/>
        </w:rPr>
      </w:pPr>
      <w:r>
        <w:rPr>
          <w:rFonts w:hint="eastAsia" w:hAnsi="宋体"/>
          <w:b/>
          <w:color w:val="auto"/>
          <w:sz w:val="30"/>
          <w:szCs w:val="30"/>
          <w:highlight w:val="none"/>
        </w:rPr>
        <w:t>3.3联合投标</w:t>
      </w:r>
    </w:p>
    <w:p>
      <w:pPr>
        <w:tabs>
          <w:tab w:val="left" w:pos="7665"/>
        </w:tabs>
        <w:spacing w:line="360" w:lineRule="auto"/>
        <w:ind w:left="13" w:leftChars="6" w:firstLine="411" w:firstLineChars="196"/>
        <w:rPr>
          <w:rFonts w:hint="eastAsia" w:ascii="宋体" w:hAnsi="宋体"/>
          <w:color w:val="auto"/>
          <w:szCs w:val="21"/>
          <w:highlight w:val="none"/>
        </w:rPr>
      </w:pPr>
      <w:r>
        <w:rPr>
          <w:rFonts w:hint="eastAsia" w:ascii="宋体" w:hAnsi="宋体"/>
          <w:color w:val="auto"/>
          <w:szCs w:val="21"/>
          <w:highlight w:val="none"/>
        </w:rPr>
        <w:t>3.3.1本项目允许联合投标的，适用本条款。</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3.3.2 两个以上投标人可以组成一个投标联合体，以一个投标人的身份投标。以联合体形式参加投标的，联合体各方均应当符合《中华人民共和国政府采购法》规定的资格条件：</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（1）联合体各方均应当符合本章第3.1.1条规定的投标人基本资格条件；</w:t>
      </w:r>
    </w:p>
    <w:p>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（2）联合体各方中至少应当有一方符合本章第3.1.1（7）条款规定的投标人强制资格条件。</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3.3.3联合体各方之间应当签订共同投标协议，明确约定联合体各方承担的合同工作量比例和相应的责任，并将共同投标协议连同投标文件一并提交采购代理机构。联合体各方签订共同投标协议后，不得再以自己名义单独在同一项目中投标，也不得组成新的联合体参加同一项目投标。</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3.3.4联合体应当确定其中一个单位为投标的全权代表，负责参加投标的一切事务，并承担投标及履约中应承担的全部责任与义务。</w:t>
      </w:r>
    </w:p>
    <w:p>
      <w:pPr>
        <w:pStyle w:val="3"/>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3.3.5联合体各方应当共同与采购人签订采购合同，就采购合同约定的事项对采购人承担连带责任。</w:t>
      </w:r>
    </w:p>
    <w:p>
      <w:pPr>
        <w:adjustRightInd w:val="0"/>
        <w:snapToGrid w:val="0"/>
        <w:spacing w:before="120" w:beforeLines="50" w:after="120" w:afterLines="50"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3.4享受的政府采购政策</w:t>
      </w:r>
    </w:p>
    <w:p>
      <w:pPr>
        <w:pStyle w:val="13"/>
        <w:adjustRightInd w:val="0"/>
        <w:snapToGrid w:val="0"/>
        <w:spacing w:line="360" w:lineRule="auto"/>
        <w:ind w:firstLine="422" w:firstLineChars="200"/>
        <w:rPr>
          <w:rFonts w:hint="eastAsia"/>
          <w:b/>
          <w:color w:val="auto"/>
          <w:highlight w:val="none"/>
        </w:rPr>
      </w:pPr>
      <w:r>
        <w:rPr>
          <w:rFonts w:hint="eastAsia"/>
          <w:b/>
          <w:color w:val="auto"/>
          <w:highlight w:val="none"/>
        </w:rPr>
        <w:t>3.4.1 节能产品、环境标志产品</w:t>
      </w:r>
    </w:p>
    <w:p>
      <w:pPr>
        <w:pStyle w:val="13"/>
        <w:adjustRightInd w:val="0"/>
        <w:snapToGrid w:val="0"/>
        <w:spacing w:line="360" w:lineRule="auto"/>
        <w:ind w:firstLine="630" w:firstLineChars="300"/>
        <w:rPr>
          <w:rFonts w:hint="eastAsia" w:hAnsi="宋体"/>
          <w:color w:val="auto"/>
          <w:highlight w:val="none"/>
        </w:rPr>
      </w:pPr>
      <w:r>
        <w:rPr>
          <w:rFonts w:hint="eastAsia"/>
          <w:color w:val="auto"/>
          <w:highlight w:val="none"/>
        </w:rPr>
        <w:t>3.4.1.1 投标人所投产品，将</w:t>
      </w:r>
      <w:r>
        <w:rPr>
          <w:rFonts w:hint="eastAsia" w:hAnsi="宋体"/>
          <w:color w:val="auto"/>
          <w:highlight w:val="none"/>
        </w:rPr>
        <w:t>依据《节能产品、环境标志产品品目清单》和认证证书实施政府优先采购和强制采购。</w:t>
      </w:r>
    </w:p>
    <w:p>
      <w:pPr>
        <w:pStyle w:val="13"/>
        <w:adjustRightInd w:val="0"/>
        <w:snapToGrid w:val="0"/>
        <w:spacing w:line="360" w:lineRule="auto"/>
        <w:ind w:firstLine="630" w:firstLineChars="300"/>
        <w:rPr>
          <w:rFonts w:hint="eastAsia"/>
          <w:color w:val="auto"/>
          <w:highlight w:val="none"/>
        </w:rPr>
      </w:pPr>
      <w:r>
        <w:rPr>
          <w:rFonts w:hint="eastAsia"/>
          <w:color w:val="auto"/>
          <w:highlight w:val="none"/>
        </w:rPr>
        <w:t>3.4.1.2 投标人可以提供所投产品经</w:t>
      </w:r>
      <w:r>
        <w:rPr>
          <w:rFonts w:hint="eastAsia" w:hAnsi="宋体"/>
          <w:color w:val="auto"/>
          <w:highlight w:val="none"/>
        </w:rPr>
        <w:t>国家确定的认证机构出具的、处于有效期之内的节能产品、环境标志产品认证证书复印件。采购代理机构通过中国政府采购网（</w:t>
      </w:r>
      <w:r>
        <w:rPr>
          <w:rFonts w:hAnsi="宋体"/>
          <w:color w:val="auto"/>
          <w:highlight w:val="none"/>
        </w:rPr>
        <w:fldChar w:fldCharType="begin"/>
      </w:r>
      <w:r>
        <w:rPr>
          <w:rFonts w:hAnsi="宋体"/>
          <w:color w:val="auto"/>
          <w:highlight w:val="none"/>
        </w:rPr>
        <w:instrText xml:space="preserve"> HYPERLINK "</w:instrText>
      </w:r>
      <w:r>
        <w:rPr>
          <w:rFonts w:hint="eastAsia" w:hAnsi="宋体"/>
          <w:color w:val="auto"/>
          <w:highlight w:val="none"/>
        </w:rPr>
        <w:instrText xml:space="preserve">http://www.ccgp.gov.cn/</w:instrText>
      </w:r>
      <w:r>
        <w:rPr>
          <w:rFonts w:hAnsi="宋体"/>
          <w:color w:val="auto"/>
          <w:highlight w:val="none"/>
        </w:rPr>
        <w:instrText xml:space="preserve">" </w:instrText>
      </w:r>
      <w:r>
        <w:rPr>
          <w:rFonts w:hAnsi="宋体"/>
          <w:color w:val="auto"/>
          <w:highlight w:val="none"/>
        </w:rPr>
        <w:fldChar w:fldCharType="separate"/>
      </w:r>
      <w:r>
        <w:rPr>
          <w:rStyle w:val="25"/>
          <w:rFonts w:hint="eastAsia" w:hAnsi="宋体"/>
          <w:color w:val="auto"/>
          <w:highlight w:val="none"/>
        </w:rPr>
        <w:t>http://www.ccgp.gov.cn/</w:t>
      </w:r>
      <w:r>
        <w:rPr>
          <w:rFonts w:hAnsi="宋体"/>
          <w:color w:val="auto"/>
          <w:highlight w:val="none"/>
        </w:rPr>
        <w:fldChar w:fldCharType="end"/>
      </w:r>
      <w:r>
        <w:rPr>
          <w:rFonts w:hint="eastAsia" w:hAnsi="宋体"/>
          <w:color w:val="auto"/>
          <w:highlight w:val="none"/>
        </w:rPr>
        <w:t>）对获证产品信息进行核对。</w:t>
      </w:r>
    </w:p>
    <w:p>
      <w:pPr>
        <w:pStyle w:val="13"/>
        <w:adjustRightInd w:val="0"/>
        <w:snapToGrid w:val="0"/>
        <w:spacing w:line="360" w:lineRule="auto"/>
        <w:ind w:firstLine="630" w:firstLineChars="300"/>
        <w:rPr>
          <w:rFonts w:hint="eastAsia"/>
          <w:color w:val="auto"/>
          <w:highlight w:val="none"/>
        </w:rPr>
      </w:pPr>
      <w:r>
        <w:rPr>
          <w:rFonts w:hint="eastAsia" w:hAnsi="宋体"/>
          <w:color w:val="auto"/>
          <w:highlight w:val="none"/>
        </w:rPr>
        <w:t>3.4.1.3 投标人所投产品属于下列情形之一的，属于优先采购的不再享受优先采购政策，或者属于强制采购的按无效投标文件处理：</w:t>
      </w:r>
    </w:p>
    <w:p>
      <w:pPr>
        <w:pStyle w:val="13"/>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（1）不属于《节能产品、环境标志产品品目清单》中的产品；</w:t>
      </w:r>
    </w:p>
    <w:p>
      <w:pPr>
        <w:pStyle w:val="13"/>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（2）未提供认证证书或经核对认证证书信息有误的。</w:t>
      </w:r>
    </w:p>
    <w:p>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3.4.2 中小企业</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根据财政部、工业和信息化部关于印发《政府采购促进中小企业发展管理办法》的通知(财库〔2020〕46号)。</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在政府采购活动中，投标人提供的货物、工程或者服务符合下列情形的，享受本办法规定的中小企业扶持政策：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（一）在货物采购项目中，货物由中小企业制造，即货物由中小企业生产且使用该中小企业商号或者注册商标；</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（二）在工程采购项目中，工程由中小企业承建，即工程施工单位为中小企业；</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（三）在服务采购项目中，服务由中小企业承接，即提供服务的人员为中小企业依照《中华人民共和国劳动合同法》订立劳动合同的从业人员。</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在货物采购项目中，投标人提供的货物既有中小企业制造货物，也有大型企业制造货物的，不享受本办法规定的中小企业扶持政策。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中小企业参加政府采购活动，应当出具本办法规定的《中小企业声明函》（见附件），否则不得享受相关中小企业扶持政策。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val="en-US" w:eastAsia="zh-CN"/>
        </w:rPr>
        <w:t>3.4.2.1</w:t>
      </w:r>
      <w:r>
        <w:rPr>
          <w:rFonts w:hint="eastAsia" w:ascii="宋体" w:hAnsi="宋体"/>
          <w:color w:val="auto"/>
          <w:szCs w:val="21"/>
          <w:highlight w:val="none"/>
        </w:rPr>
        <w:t>监狱和戒毒企业应符合《财政部 司法部关于政府采购支持监狱企业发展有关问题的通知》--财库〔2014〕68号，并提供属于监狱企业的声明。</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val="en-US" w:eastAsia="zh-CN"/>
        </w:rPr>
        <w:t>3.4.2.2</w:t>
      </w:r>
      <w:r>
        <w:rPr>
          <w:rFonts w:hint="eastAsia" w:ascii="宋体" w:hAnsi="宋体"/>
          <w:color w:val="auto"/>
          <w:szCs w:val="21"/>
          <w:highlight w:val="none"/>
        </w:rPr>
        <w:t>促进残疾人就业落实政府采购政策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1）投标投标人应符合《三部门联合发布关于促进残疾人就业政府采购政策的通知》财库〔2017〕141号文件的规定。</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2）符合条件的残疾人福利性单位在参加政府采购活动时，应当提供本通知规定的《残疾人福利性单位声明函》，并对声明的真实性负责。任何单位或者个人在政府采购活动中均不得要求残疾人福利性单位提供其他材料。 </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3）中标、成交投标人为残疾人福利性单位的，采购人或者其委托的采购代理机构应当随中标、成交结果同时公告其《残疾人福利性单位声明函》，接受社会监督。 </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4）投标人提供的《残疾人福利性单位声明函》与事实不符的，依照《政府采购法》第七十七条第一款的规定追究法律责任。</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val="en-US" w:eastAsia="zh-CN"/>
        </w:rPr>
        <w:t>3.4.2.3</w:t>
      </w:r>
      <w:r>
        <w:rPr>
          <w:rFonts w:hint="eastAsia" w:ascii="宋体" w:hAnsi="宋体"/>
          <w:color w:val="auto"/>
          <w:szCs w:val="21"/>
          <w:highlight w:val="none"/>
        </w:rPr>
        <w:t>投标投标人应如实提供以上证明文件，如存在虚假应标，将取消其投标资格。</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val="en-US" w:eastAsia="zh-CN"/>
        </w:rPr>
        <w:t>3.4.2.4</w:t>
      </w:r>
      <w:r>
        <w:rPr>
          <w:rFonts w:hint="eastAsia" w:ascii="宋体" w:hAnsi="宋体"/>
          <w:color w:val="auto"/>
          <w:szCs w:val="21"/>
          <w:highlight w:val="none"/>
        </w:rPr>
        <w:t>对符合要求的小微企业、监狱企业、残疾人福利性单位给予</w:t>
      </w:r>
      <w:r>
        <w:rPr>
          <w:rFonts w:hint="eastAsia" w:ascii="宋体" w:hAnsi="宋体"/>
          <w:color w:val="auto"/>
          <w:szCs w:val="21"/>
          <w:highlight w:val="none"/>
          <w:lang w:val="en-US" w:eastAsia="zh-CN"/>
        </w:rPr>
        <w:t>10</w:t>
      </w:r>
      <w:r>
        <w:rPr>
          <w:rFonts w:hint="eastAsia" w:ascii="宋体" w:hAnsi="宋体"/>
          <w:color w:val="auto"/>
          <w:szCs w:val="21"/>
          <w:highlight w:val="none"/>
        </w:rPr>
        <w:t>%的价格扣除，用扣除后的价格参与评审。采用综合评估法但未采用低价优先法计算价格分的，评标时应当在采用原报价进行评分的基础上增加其价格得分的</w:t>
      </w:r>
      <w:r>
        <w:rPr>
          <w:rFonts w:hint="eastAsia" w:ascii="宋体" w:hAnsi="宋体"/>
          <w:color w:val="auto"/>
          <w:szCs w:val="21"/>
          <w:highlight w:val="none"/>
          <w:lang w:val="en-US" w:eastAsia="zh-CN"/>
        </w:rPr>
        <w:t>10</w:t>
      </w:r>
      <w:r>
        <w:rPr>
          <w:rFonts w:hint="eastAsia" w:ascii="宋体" w:hAnsi="宋体"/>
          <w:color w:val="auto"/>
          <w:szCs w:val="21"/>
          <w:highlight w:val="none"/>
        </w:rPr>
        <w:t>%作为其价格分。以上政策同时具备的，只做一次价格折扣，不重复享受政策。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3.4.2.5 联合体各方均为小型、微型企业的，参加政府采购活动时，视同小型、微型企业。联合体各方均需提供《中小企业声明函》，有一方未提供或提供有瑕疵的，在评标时不享受政府采购优惠（价格给予10%的折扣）政策。</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3.4.2.6 中小企业可以同时享受节能产品、环境标志产品优先采购政策。同一项目中部分产品属于优先采购政策的，评审时只对该部分产品实行优先采购。</w:t>
      </w:r>
    </w:p>
    <w:p>
      <w:pPr>
        <w:adjustRightInd w:val="0"/>
        <w:snapToGrid w:val="0"/>
        <w:spacing w:line="360" w:lineRule="auto"/>
        <w:ind w:firstLine="632" w:firstLineChars="300"/>
        <w:rPr>
          <w:rFonts w:hint="eastAsia" w:ascii="宋体" w:hAnsi="宋体"/>
          <w:b/>
          <w:bCs/>
          <w:color w:val="auto"/>
          <w:szCs w:val="21"/>
          <w:highlight w:val="none"/>
        </w:rPr>
      </w:pPr>
      <w:r>
        <w:rPr>
          <w:rFonts w:hint="eastAsia" w:ascii="宋体" w:hAnsi="宋体"/>
          <w:b/>
          <w:bCs/>
          <w:color w:val="auto"/>
          <w:szCs w:val="21"/>
          <w:highlight w:val="none"/>
        </w:rPr>
        <w:t>3.4.3采购标的对应的中小企业划分标准所属行业为工业。</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3.4.3.1工业：（包括采矿业，制造业，电力、热力、燃气及水生产和供应业）。 从业人员 1000 人以下或营业收入 40000 万元以下的为中小微型企 业。其中，从业人员 300 人及以上，且营业收入 2000 万元及以上 的为中型企业;从业人员 20 人及以上，且营业收入 300 万元及以上 的为小型企业;从业人员 20 人以下或营业收入 300 万元以下的为微型企业。</w:t>
      </w:r>
    </w:p>
    <w:p>
      <w:pPr>
        <w:adjustRightInd w:val="0"/>
        <w:snapToGrid w:val="0"/>
        <w:spacing w:line="360" w:lineRule="auto"/>
        <w:ind w:firstLine="632" w:firstLineChars="300"/>
        <w:rPr>
          <w:rFonts w:hint="eastAsia" w:ascii="宋体" w:hAnsi="宋体"/>
          <w:b/>
          <w:bCs/>
          <w:color w:val="auto"/>
          <w:szCs w:val="21"/>
          <w:highlight w:val="none"/>
        </w:rPr>
      </w:pPr>
      <w:r>
        <w:rPr>
          <w:rFonts w:hint="eastAsia" w:ascii="宋体" w:hAnsi="宋体"/>
          <w:b/>
          <w:bCs/>
          <w:color w:val="auto"/>
          <w:szCs w:val="21"/>
          <w:highlight w:val="none"/>
        </w:rPr>
        <w:t>3.4.4进口产品</w:t>
      </w:r>
    </w:p>
    <w:p>
      <w:pPr>
        <w:adjustRightInd w:val="0"/>
        <w:snapToGrid w:val="0"/>
        <w:spacing w:line="360" w:lineRule="auto"/>
        <w:ind w:firstLine="632" w:firstLineChars="300"/>
        <w:rPr>
          <w:rFonts w:hint="eastAsia" w:ascii="宋体" w:hAnsi="宋体"/>
          <w:color w:val="auto"/>
          <w:szCs w:val="21"/>
          <w:highlight w:val="none"/>
        </w:rPr>
      </w:pPr>
      <w:r>
        <w:rPr>
          <w:rFonts w:hint="eastAsia" w:ascii="宋体" w:hAnsi="宋体"/>
          <w:b/>
          <w:bCs/>
          <w:color w:val="auto"/>
          <w:szCs w:val="21"/>
          <w:highlight w:val="none"/>
        </w:rPr>
        <w:t>（A）</w:t>
      </w:r>
      <w:r>
        <w:rPr>
          <w:rFonts w:hint="eastAsia" w:ascii="宋体" w:hAnsi="宋体"/>
          <w:b/>
          <w:bCs/>
          <w:color w:val="auto"/>
          <w:szCs w:val="21"/>
          <w:highlight w:val="none"/>
          <w:lang w:eastAsia="zh-CN"/>
        </w:rPr>
        <w:t>本项目拒绝</w:t>
      </w:r>
      <w:r>
        <w:rPr>
          <w:rFonts w:hint="eastAsia" w:ascii="宋体" w:hAnsi="宋体"/>
          <w:b/>
          <w:bCs/>
          <w:color w:val="auto"/>
          <w:szCs w:val="21"/>
          <w:highlight w:val="none"/>
        </w:rPr>
        <w:t>进口产品参加投标。本条款适合未经财政部门批准采购进口产品的项目。</w:t>
      </w:r>
    </w:p>
    <w:p>
      <w:pPr>
        <w:pStyle w:val="13"/>
        <w:adjustRightInd w:val="0"/>
        <w:snapToGrid w:val="0"/>
        <w:spacing w:before="120" w:beforeLines="50" w:after="120" w:afterLines="50" w:line="360" w:lineRule="auto"/>
        <w:ind w:left="-178" w:leftChars="-85" w:firstLine="220" w:firstLineChars="73"/>
        <w:rPr>
          <w:rFonts w:hint="eastAsia" w:hAnsi="宋体" w:cs="Courier New"/>
          <w:b/>
          <w:color w:val="auto"/>
          <w:sz w:val="30"/>
          <w:szCs w:val="30"/>
          <w:highlight w:val="none"/>
        </w:rPr>
      </w:pPr>
      <w:r>
        <w:rPr>
          <w:rFonts w:hint="eastAsia" w:hAnsi="宋体" w:cs="Courier New"/>
          <w:b/>
          <w:color w:val="auto"/>
          <w:sz w:val="30"/>
          <w:szCs w:val="30"/>
          <w:highlight w:val="none"/>
        </w:rPr>
        <w:t>3.5转包与分包</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 本项目严禁采取转包方式履行合同。本项项目所称转包，是指中标人将采购合同业务转让给第三人，并退出现有采购合同当事人双方权利业务关系，受让人（即第三人）成为采购合同的另一方当事人的行为。</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中标人转包的，视同拒绝履行采购合同业务，将依法追究法律责任。</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3.5.2本项目经采购人同意，可以将中标项目的部分非主体、非关键性工作分包给他人完成，</w:t>
      </w:r>
      <w:r>
        <w:rPr>
          <w:rFonts w:hint="eastAsia" w:ascii="宋体" w:hAnsi="宋体"/>
          <w:color w:val="auto"/>
          <w:szCs w:val="21"/>
          <w:highlight w:val="none"/>
          <w:lang w:val="en-US" w:eastAsia="zh-CN"/>
        </w:rPr>
        <w:t>本项目</w:t>
      </w:r>
      <w:r>
        <w:rPr>
          <w:rFonts w:hint="eastAsia" w:ascii="宋体" w:hAnsi="宋体"/>
          <w:b/>
          <w:bCs/>
          <w:color w:val="auto"/>
          <w:szCs w:val="21"/>
          <w:highlight w:val="none"/>
        </w:rPr>
        <w:t>“主体和关键性工作”是指：</w:t>
      </w:r>
      <w:r>
        <w:rPr>
          <w:rFonts w:hint="eastAsia" w:ascii="宋体" w:hAnsi="宋体"/>
          <w:b/>
          <w:bCs/>
          <w:color w:val="auto"/>
          <w:szCs w:val="21"/>
          <w:highlight w:val="none"/>
          <w:lang w:eastAsia="zh-CN"/>
        </w:rPr>
        <w:t>本项目</w:t>
      </w:r>
      <w:r>
        <w:rPr>
          <w:rFonts w:hint="eastAsia" w:ascii="宋体" w:hAnsi="宋体"/>
          <w:color w:val="auto"/>
          <w:szCs w:val="21"/>
          <w:highlight w:val="none"/>
        </w:rPr>
        <w:t>全部内容，本项目不允许分包。</w:t>
      </w:r>
    </w:p>
    <w:p>
      <w:pPr>
        <w:spacing w:line="360" w:lineRule="auto"/>
        <w:ind w:firstLine="493"/>
        <w:rPr>
          <w:rFonts w:hint="eastAsia" w:ascii="宋体" w:hAnsi="宋体" w:cs="宋体"/>
          <w:b/>
          <w:bCs/>
          <w:color w:val="auto"/>
          <w:kern w:val="0"/>
          <w:szCs w:val="21"/>
          <w:highlight w:val="none"/>
        </w:rPr>
      </w:pPr>
      <w:r>
        <w:rPr>
          <w:rFonts w:hint="eastAsia" w:ascii="宋体" w:hAnsi="宋体" w:cs="宋体"/>
          <w:color w:val="auto"/>
          <w:kern w:val="0"/>
          <w:szCs w:val="21"/>
          <w:highlight w:val="none"/>
        </w:rPr>
        <w:t>接受分包的投标人应当具备相应的资格条件，并不得再次分包。</w:t>
      </w:r>
      <w:r>
        <w:rPr>
          <w:rFonts w:hint="eastAsia" w:ascii="宋体" w:hAnsi="宋体"/>
          <w:color w:val="auto"/>
          <w:szCs w:val="21"/>
          <w:highlight w:val="none"/>
        </w:rPr>
        <w:t>采购合同实行分包履行的，中标人就采购项目和分包项目向采购人负责，分包投标人就分包项目承担责任。</w:t>
      </w:r>
    </w:p>
    <w:p>
      <w:pPr>
        <w:pStyle w:val="13"/>
        <w:adjustRightInd w:val="0"/>
        <w:snapToGrid w:val="0"/>
        <w:spacing w:before="120" w:beforeLines="50" w:after="120" w:afterLines="50" w:line="360" w:lineRule="auto"/>
        <w:ind w:left="-178" w:leftChars="-85" w:firstLine="220" w:firstLineChars="73"/>
        <w:rPr>
          <w:rFonts w:hint="eastAsia" w:hAnsi="宋体" w:cs="Courier New"/>
          <w:b/>
          <w:color w:val="auto"/>
          <w:sz w:val="30"/>
          <w:szCs w:val="30"/>
          <w:highlight w:val="none"/>
        </w:rPr>
      </w:pPr>
      <w:r>
        <w:rPr>
          <w:rFonts w:hint="eastAsia" w:hAnsi="宋体" w:cs="Courier New"/>
          <w:b/>
          <w:color w:val="auto"/>
          <w:sz w:val="30"/>
          <w:szCs w:val="30"/>
          <w:highlight w:val="none"/>
        </w:rPr>
        <w:t>3.6投标人的风险</w:t>
      </w:r>
    </w:p>
    <w:p>
      <w:pPr>
        <w:tabs>
          <w:tab w:val="left" w:pos="7665"/>
        </w:tabs>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投标人应认真阅读和充分理解招标文件中所有的事项、格式条款和规范要求，任何对</w:t>
      </w:r>
      <w:r>
        <w:rPr>
          <w:rFonts w:hint="eastAsia" w:ascii="宋体" w:hAnsi="宋体"/>
          <w:bCs/>
          <w:color w:val="auto"/>
          <w:szCs w:val="21"/>
          <w:highlight w:val="none"/>
        </w:rPr>
        <w:t>招标</w:t>
      </w:r>
      <w:r>
        <w:rPr>
          <w:rFonts w:hint="eastAsia" w:ascii="宋体" w:hAnsi="宋体"/>
          <w:color w:val="auto"/>
          <w:szCs w:val="21"/>
          <w:highlight w:val="none"/>
        </w:rPr>
        <w:t>文件的忽略或误解不能作为投标文件存在缺陷或瑕疵的理由；投标人</w:t>
      </w:r>
      <w:r>
        <w:rPr>
          <w:rFonts w:hint="eastAsia" w:ascii="宋体" w:hAnsi="宋体" w:cs="宋体"/>
          <w:color w:val="auto"/>
          <w:kern w:val="0"/>
          <w:szCs w:val="21"/>
          <w:highlight w:val="none"/>
        </w:rPr>
        <w:t>没有按照招标文件要求提供全部资料，</w:t>
      </w:r>
      <w:r>
        <w:rPr>
          <w:rFonts w:hint="eastAsia" w:ascii="宋体" w:hAnsi="宋体"/>
          <w:color w:val="auto"/>
          <w:szCs w:val="21"/>
          <w:highlight w:val="none"/>
        </w:rPr>
        <w:t>或对招标文件全面做出实质性响应是投标人的风险，</w:t>
      </w:r>
      <w:r>
        <w:rPr>
          <w:rFonts w:hint="eastAsia" w:ascii="宋体" w:hAnsi="宋体" w:cs="宋体"/>
          <w:color w:val="auto"/>
          <w:kern w:val="0"/>
          <w:szCs w:val="21"/>
          <w:highlight w:val="none"/>
        </w:rPr>
        <w:t>并可能导致其投标文件被拒绝。</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3.7投标人的纪律要求</w:t>
      </w:r>
    </w:p>
    <w:p>
      <w:pPr>
        <w:pStyle w:val="6"/>
        <w:spacing w:line="360" w:lineRule="auto"/>
        <w:ind w:firstLineChars="200"/>
        <w:rPr>
          <w:rFonts w:hint="eastAsia"/>
          <w:color w:val="auto"/>
          <w:szCs w:val="21"/>
          <w:highlight w:val="none"/>
        </w:rPr>
      </w:pPr>
      <w:r>
        <w:rPr>
          <w:rFonts w:hint="eastAsia" w:ascii="宋体" w:hAnsi="宋体"/>
          <w:color w:val="auto"/>
          <w:szCs w:val="21"/>
          <w:highlight w:val="none"/>
        </w:rPr>
        <w:t xml:space="preserve">3.7.1 </w:t>
      </w:r>
      <w:r>
        <w:rPr>
          <w:rFonts w:hint="eastAsia"/>
          <w:color w:val="auto"/>
          <w:szCs w:val="21"/>
          <w:highlight w:val="none"/>
        </w:rPr>
        <w:t>有下列情形之一的，属于不合格投标人，其投标或中标资格将被取消：</w:t>
      </w:r>
    </w:p>
    <w:p>
      <w:pPr>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（1）提供虚假材料谋取中标；</w:t>
      </w:r>
    </w:p>
    <w:p>
      <w:pPr>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（2）采取不正当手段诋毁、排挤其他投标人；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（3）与采购人、采购代理机构、其他投标人恶意串通；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（4）向采购人、采购代理机构、评标委员会成员行贿或者提供其他不正当利益；</w:t>
      </w:r>
    </w:p>
    <w:p>
      <w:pPr>
        <w:pStyle w:val="14"/>
        <w:tabs>
          <w:tab w:val="left" w:pos="720"/>
        </w:tabs>
        <w:spacing w:line="360" w:lineRule="auto"/>
        <w:ind w:firstLine="403" w:firstLineChars="192"/>
        <w:rPr>
          <w:rFonts w:hint="eastAsia" w:ascii="宋体" w:hAnsi="宋体"/>
          <w:color w:val="auto"/>
          <w:sz w:val="21"/>
          <w:szCs w:val="21"/>
          <w:highlight w:val="none"/>
        </w:rPr>
      </w:pPr>
      <w:r>
        <w:rPr>
          <w:rFonts w:hint="eastAsia" w:ascii="宋体" w:hAnsi="宋体"/>
          <w:color w:val="auto"/>
          <w:sz w:val="21"/>
          <w:szCs w:val="21"/>
          <w:highlight w:val="none"/>
        </w:rPr>
        <w:t>（5）在招标过程中与采购人、采购代理机构进行协商谈判；</w:t>
      </w:r>
    </w:p>
    <w:p>
      <w:pPr>
        <w:pStyle w:val="14"/>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（6）拒绝有关部门的监督检查或者向监督检查部门提供虚假情况。</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w:t>
      </w:r>
      <w:r>
        <w:rPr>
          <w:rFonts w:ascii="宋体" w:hAnsi="宋体"/>
          <w:color w:val="auto"/>
          <w:szCs w:val="21"/>
          <w:highlight w:val="none"/>
        </w:rPr>
        <w:t>有下列情形之一的，视为投标</w:t>
      </w:r>
      <w:r>
        <w:rPr>
          <w:rFonts w:hint="eastAsia" w:ascii="宋体" w:hAnsi="宋体"/>
          <w:color w:val="auto"/>
          <w:szCs w:val="21"/>
          <w:highlight w:val="none"/>
        </w:rPr>
        <w:t>人</w:t>
      </w:r>
      <w:r>
        <w:rPr>
          <w:rFonts w:ascii="宋体" w:hAnsi="宋体"/>
          <w:color w:val="auto"/>
          <w:szCs w:val="21"/>
          <w:highlight w:val="none"/>
        </w:rPr>
        <w:t>相互恶意串通投标</w:t>
      </w:r>
      <w:r>
        <w:rPr>
          <w:rFonts w:hint="eastAsia" w:ascii="宋体" w:hAnsi="宋体"/>
          <w:color w:val="auto"/>
          <w:szCs w:val="21"/>
          <w:highlight w:val="none"/>
        </w:rPr>
        <w:t>，其投标无效</w:t>
      </w: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的投标文件由同一单位或者个人编制；</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委托同一单位或者个人办理投标事宜；</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的投标文件载明的项目管理成员为同一人；</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的投标文件异常一致或者投标报价呈规律性差异；</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的投标文件相互混装；</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的投标保证金从同一单位或者个人的账户转出</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（7）不同投标人的投标文件由同一投标人送达</w:t>
      </w:r>
      <w:r>
        <w:rPr>
          <w:rFonts w:ascii="宋体" w:hAnsi="宋体"/>
          <w:color w:val="auto"/>
          <w:szCs w:val="21"/>
          <w:highlight w:val="none"/>
        </w:rPr>
        <w:t>。</w:t>
      </w:r>
    </w:p>
    <w:p>
      <w:pPr>
        <w:tabs>
          <w:tab w:val="left" w:pos="7665"/>
        </w:tabs>
        <w:spacing w:before="120" w:beforeLines="50" w:after="120" w:afterLines="50" w:line="360" w:lineRule="auto"/>
        <w:rPr>
          <w:rFonts w:hint="eastAsia" w:ascii="黑体" w:hAnsi="宋体" w:eastAsia="黑体" w:cs="宋体"/>
          <w:b/>
          <w:color w:val="auto"/>
          <w:kern w:val="0"/>
          <w:sz w:val="36"/>
          <w:szCs w:val="36"/>
          <w:highlight w:val="none"/>
        </w:rPr>
      </w:pPr>
      <w:r>
        <w:rPr>
          <w:rFonts w:hint="eastAsia" w:ascii="黑体" w:eastAsia="黑体"/>
          <w:b/>
          <w:bCs/>
          <w:color w:val="auto"/>
          <w:sz w:val="36"/>
          <w:szCs w:val="36"/>
          <w:highlight w:val="none"/>
        </w:rPr>
        <w:t>4.投标文件</w:t>
      </w:r>
    </w:p>
    <w:p>
      <w:pPr>
        <w:snapToGrid w:val="0"/>
        <w:spacing w:after="120" w:afterLines="50" w:line="360" w:lineRule="auto"/>
        <w:outlineLvl w:val="2"/>
        <w:rPr>
          <w:rFonts w:ascii="宋体" w:hAnsi="宋体"/>
          <w:b/>
          <w:bCs/>
          <w:color w:val="auto"/>
          <w:sz w:val="30"/>
          <w:szCs w:val="30"/>
          <w:highlight w:val="none"/>
        </w:rPr>
      </w:pPr>
      <w:r>
        <w:rPr>
          <w:rFonts w:hint="eastAsia" w:ascii="宋体" w:hAnsi="宋体"/>
          <w:b/>
          <w:bCs/>
          <w:color w:val="auto"/>
          <w:sz w:val="30"/>
          <w:szCs w:val="30"/>
          <w:highlight w:val="none"/>
        </w:rPr>
        <w:t>4.1投标文件的编写原则和要求</w:t>
      </w:r>
    </w:p>
    <w:p>
      <w:pPr>
        <w:tabs>
          <w:tab w:val="left" w:pos="720"/>
        </w:tabs>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4.1.1 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w:t>
      </w:r>
      <w:r>
        <w:rPr>
          <w:rFonts w:hint="eastAsia" w:ascii="宋体" w:hAnsi="宋体"/>
          <w:b/>
          <w:color w:val="auto"/>
          <w:szCs w:val="21"/>
          <w:highlight w:val="none"/>
        </w:rPr>
        <w:t>投标人拟在中标后将中标项目的非主体、非关键性工作交由他人完成的，应当在投标文件中载明。</w:t>
      </w:r>
      <w:r>
        <w:rPr>
          <w:rFonts w:hint="eastAsia" w:ascii="宋体" w:hAnsi="宋体"/>
          <w:color w:val="auto"/>
          <w:szCs w:val="21"/>
          <w:highlight w:val="none"/>
        </w:rPr>
        <w:t>投标人对本招标文件的每一项要求所给予的响应必须是唯一的，否则将视为无效投标文件。</w:t>
      </w:r>
    </w:p>
    <w:p>
      <w:pPr>
        <w:tabs>
          <w:tab w:val="left" w:pos="720"/>
        </w:tabs>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4.1.2 真实性原则</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4.1.2.1 投标人应保证所提供的投标文件和所有资料的真实性、准确性和完整性。</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4.1.2.2 投标人被认定为在采购活动中提供不真实材料的，无论其材料是否重要，采购人均有权拒绝，并取消其投标或中标资格，投标人需承担相应的法律后果。</w:t>
      </w:r>
    </w:p>
    <w:p>
      <w:pPr>
        <w:tabs>
          <w:tab w:val="left" w:pos="720"/>
        </w:tabs>
        <w:snapToGrid w:val="0"/>
        <w:spacing w:line="360" w:lineRule="auto"/>
        <w:ind w:firstLine="480"/>
        <w:rPr>
          <w:rFonts w:hint="eastAsia" w:ascii="宋体" w:hAnsi="宋体"/>
          <w:b/>
          <w:color w:val="auto"/>
          <w:szCs w:val="21"/>
          <w:highlight w:val="none"/>
        </w:rPr>
      </w:pPr>
      <w:r>
        <w:rPr>
          <w:rFonts w:hint="eastAsia" w:ascii="宋体" w:hAnsi="宋体"/>
          <w:b/>
          <w:color w:val="auto"/>
          <w:szCs w:val="21"/>
          <w:highlight w:val="none"/>
        </w:rPr>
        <w:t>4.1.3 投标货币</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本项目的投标均以人民币报价。</w:t>
      </w:r>
    </w:p>
    <w:p>
      <w:pPr>
        <w:tabs>
          <w:tab w:val="left" w:pos="720"/>
        </w:tabs>
        <w:snapToGrid w:val="0"/>
        <w:spacing w:line="360" w:lineRule="auto"/>
        <w:ind w:firstLine="424" w:firstLineChars="201"/>
        <w:rPr>
          <w:rFonts w:hint="eastAsia" w:hAnsi="宋体"/>
          <w:b/>
          <w:color w:val="auto"/>
          <w:highlight w:val="none"/>
        </w:rPr>
      </w:pPr>
      <w:r>
        <w:rPr>
          <w:rFonts w:hint="eastAsia" w:ascii="宋体" w:hAnsi="宋体"/>
          <w:b/>
          <w:color w:val="auto"/>
          <w:highlight w:val="none"/>
        </w:rPr>
        <w:t xml:space="preserve">4.1.4 </w:t>
      </w:r>
      <w:r>
        <w:rPr>
          <w:rFonts w:hint="eastAsia" w:hAnsi="宋体"/>
          <w:b/>
          <w:color w:val="auto"/>
          <w:highlight w:val="none"/>
        </w:rPr>
        <w:t>投标</w:t>
      </w:r>
      <w:r>
        <w:rPr>
          <w:rFonts w:hint="eastAsia"/>
          <w:b/>
          <w:color w:val="auto"/>
          <w:highlight w:val="none"/>
        </w:rPr>
        <w:t>文件形式</w:t>
      </w:r>
    </w:p>
    <w:p>
      <w:pPr>
        <w:pStyle w:val="13"/>
        <w:adjustRightInd w:val="0"/>
        <w:snapToGrid w:val="0"/>
        <w:spacing w:line="360" w:lineRule="auto"/>
        <w:ind w:firstLine="630" w:firstLineChars="300"/>
        <w:rPr>
          <w:rFonts w:hint="eastAsia"/>
          <w:color w:val="auto"/>
          <w:highlight w:val="none"/>
        </w:rPr>
      </w:pPr>
      <w:r>
        <w:rPr>
          <w:rFonts w:hint="eastAsia" w:hAnsi="宋体"/>
          <w:color w:val="auto"/>
          <w:highlight w:val="none"/>
        </w:rPr>
        <w:t>本项目投标</w:t>
      </w:r>
      <w:r>
        <w:rPr>
          <w:rFonts w:hint="eastAsia"/>
          <w:color w:val="auto"/>
          <w:highlight w:val="none"/>
        </w:rPr>
        <w:t>文件应采用</w:t>
      </w:r>
      <w:r>
        <w:rPr>
          <w:rFonts w:hint="eastAsia"/>
          <w:color w:val="auto"/>
          <w:highlight w:val="none"/>
          <w:lang w:eastAsia="zh-CN"/>
        </w:rPr>
        <w:t>软件</w:t>
      </w:r>
      <w:r>
        <w:rPr>
          <w:rFonts w:hint="eastAsia"/>
          <w:color w:val="auto"/>
          <w:highlight w:val="none"/>
        </w:rPr>
        <w:t>形式，电报、传真、电子邮件形式的投标文件不予接受。</w:t>
      </w:r>
    </w:p>
    <w:p>
      <w:pPr>
        <w:tabs>
          <w:tab w:val="left" w:pos="720"/>
        </w:tabs>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4.1.5 备选方案</w:t>
      </w:r>
    </w:p>
    <w:p>
      <w:pPr>
        <w:tabs>
          <w:tab w:val="left" w:pos="720"/>
        </w:tabs>
        <w:snapToGrid w:val="0"/>
        <w:spacing w:line="360" w:lineRule="auto"/>
        <w:ind w:firstLine="630" w:firstLineChars="300"/>
        <w:rPr>
          <w:rFonts w:hint="eastAsia" w:hAnsi="宋体"/>
          <w:color w:val="auto"/>
          <w:szCs w:val="21"/>
          <w:highlight w:val="none"/>
        </w:rPr>
      </w:pPr>
      <w:r>
        <w:rPr>
          <w:rFonts w:hint="eastAsia" w:ascii="宋体" w:hAnsi="宋体"/>
          <w:color w:val="auto"/>
          <w:szCs w:val="21"/>
          <w:highlight w:val="none"/>
        </w:rPr>
        <w:t>4.1.5.1 除投标人须知前附表规定允许外，投标人不得递交备选投标方案，投标文件的报价只允许有一个报价，不接受具有附加条件的报价，否则，视为</w:t>
      </w:r>
      <w:r>
        <w:rPr>
          <w:rFonts w:hint="eastAsia" w:hAnsi="宋体"/>
          <w:color w:val="auto"/>
          <w:szCs w:val="21"/>
          <w:highlight w:val="none"/>
        </w:rPr>
        <w:t>无效投标。</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4.1.5.3 投标人提供两个或两个以上投标报价，或者在投标文件中提供一个报价，但同时提供两个或两个以上供货方案的，视为提供备选方案。</w:t>
      </w:r>
    </w:p>
    <w:bookmarkEnd w:id="58"/>
    <w:bookmarkEnd w:id="59"/>
    <w:bookmarkEnd w:id="60"/>
    <w:p>
      <w:pPr>
        <w:tabs>
          <w:tab w:val="left" w:pos="720"/>
        </w:tabs>
        <w:snapToGrid w:val="0"/>
        <w:spacing w:before="120" w:beforeLines="50" w:after="120" w:afterLines="50" w:line="360" w:lineRule="auto"/>
        <w:rPr>
          <w:rFonts w:hint="eastAsia" w:ascii="宋体" w:hAnsi="宋体"/>
          <w:b/>
          <w:color w:val="auto"/>
          <w:sz w:val="30"/>
          <w:szCs w:val="30"/>
          <w:highlight w:val="none"/>
        </w:rPr>
      </w:pPr>
      <w:bookmarkStart w:id="61" w:name="_Toc183682354"/>
      <w:bookmarkStart w:id="62" w:name="_Toc217446048"/>
      <w:bookmarkStart w:id="63" w:name="_Toc183582217"/>
      <w:r>
        <w:rPr>
          <w:rFonts w:hint="eastAsia" w:ascii="宋体" w:hAnsi="宋体"/>
          <w:b/>
          <w:color w:val="auto"/>
          <w:sz w:val="30"/>
          <w:szCs w:val="30"/>
          <w:highlight w:val="none"/>
        </w:rPr>
        <w:t>4.2 投标文件的组成</w:t>
      </w:r>
      <w:bookmarkEnd w:id="61"/>
      <w:bookmarkEnd w:id="62"/>
      <w:bookmarkEnd w:id="63"/>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4.2.1投标文件由下列文件组成：</w:t>
      </w:r>
    </w:p>
    <w:p>
      <w:pPr>
        <w:tabs>
          <w:tab w:val="left" w:pos="2730"/>
        </w:tabs>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（1）资格审查文件</w:t>
      </w:r>
      <w:r>
        <w:rPr>
          <w:rFonts w:hint="eastAsia" w:ascii="宋体" w:hAnsi="宋体"/>
          <w:color w:val="auto"/>
          <w:szCs w:val="21"/>
          <w:highlight w:val="none"/>
          <w:lang w:eastAsia="zh-CN"/>
        </w:rPr>
        <w:t>（详见</w:t>
      </w:r>
      <w:r>
        <w:rPr>
          <w:rFonts w:hint="eastAsia" w:ascii="宋体" w:hAnsi="宋体"/>
          <w:color w:val="auto"/>
          <w:szCs w:val="21"/>
          <w:highlight w:val="none"/>
        </w:rPr>
        <w:t>投标文件格式</w:t>
      </w:r>
      <w:r>
        <w:rPr>
          <w:rFonts w:hint="eastAsia" w:ascii="宋体" w:hAnsi="宋体"/>
          <w:color w:val="auto"/>
          <w:szCs w:val="21"/>
          <w:highlight w:val="none"/>
          <w:lang w:eastAsia="zh-CN"/>
        </w:rPr>
        <w:t>）</w:t>
      </w:r>
      <w:r>
        <w:rPr>
          <w:rFonts w:ascii="宋体" w:hAnsi="宋体"/>
          <w:color w:val="auto"/>
          <w:szCs w:val="21"/>
          <w:highlight w:val="none"/>
        </w:rPr>
        <w:tab/>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（2）商务文件</w:t>
      </w:r>
      <w:r>
        <w:rPr>
          <w:rFonts w:hint="eastAsia" w:ascii="宋体" w:hAnsi="宋体"/>
          <w:color w:val="auto"/>
          <w:szCs w:val="21"/>
          <w:highlight w:val="none"/>
          <w:lang w:eastAsia="zh-CN"/>
        </w:rPr>
        <w:t>（详见</w:t>
      </w:r>
      <w:r>
        <w:rPr>
          <w:rFonts w:hint="eastAsia" w:ascii="宋体" w:hAnsi="宋体"/>
          <w:color w:val="auto"/>
          <w:szCs w:val="21"/>
          <w:highlight w:val="none"/>
        </w:rPr>
        <w:t>投标文件格式</w:t>
      </w:r>
      <w:r>
        <w:rPr>
          <w:rFonts w:hint="eastAsia" w:ascii="宋体" w:hAnsi="宋体"/>
          <w:color w:val="auto"/>
          <w:szCs w:val="21"/>
          <w:highlight w:val="none"/>
          <w:lang w:eastAsia="zh-CN"/>
        </w:rPr>
        <w:t>）</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（3）技术文件</w:t>
      </w:r>
      <w:r>
        <w:rPr>
          <w:rFonts w:hint="eastAsia" w:ascii="宋体" w:hAnsi="宋体"/>
          <w:color w:val="auto"/>
          <w:szCs w:val="21"/>
          <w:highlight w:val="none"/>
          <w:lang w:eastAsia="zh-CN"/>
        </w:rPr>
        <w:t>（详见</w:t>
      </w:r>
      <w:r>
        <w:rPr>
          <w:rFonts w:hint="eastAsia" w:ascii="宋体" w:hAnsi="宋体"/>
          <w:color w:val="auto"/>
          <w:szCs w:val="21"/>
          <w:highlight w:val="none"/>
        </w:rPr>
        <w:t>投标文件格式</w:t>
      </w:r>
      <w:r>
        <w:rPr>
          <w:rFonts w:hint="eastAsia" w:ascii="宋体" w:hAnsi="宋体"/>
          <w:color w:val="auto"/>
          <w:szCs w:val="21"/>
          <w:highlight w:val="none"/>
          <w:lang w:eastAsia="zh-CN"/>
        </w:rPr>
        <w:t>）</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4.3投标报价</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4.3.1 </w:t>
      </w:r>
      <w:r>
        <w:rPr>
          <w:rFonts w:hint="eastAsia" w:ascii="宋体" w:hAnsi="宋体"/>
          <w:bCs/>
          <w:color w:val="auto"/>
          <w:szCs w:val="21"/>
          <w:highlight w:val="none"/>
        </w:rPr>
        <w:t>投标人应当</w:t>
      </w:r>
      <w:r>
        <w:rPr>
          <w:rFonts w:hint="eastAsia" w:ascii="宋体" w:hAnsi="宋体"/>
          <w:color w:val="auto"/>
          <w:szCs w:val="21"/>
          <w:highlight w:val="none"/>
        </w:rPr>
        <w:t>按照招标文件要求填报投标报价，并充分了解该采购项目的总体情况以及影响投标报价的其他要素。</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4.3.2 </w:t>
      </w:r>
      <w:r>
        <w:rPr>
          <w:rFonts w:hint="eastAsia" w:ascii="宋体" w:hAnsi="宋体" w:cs="宋体"/>
          <w:color w:val="auto"/>
          <w:spacing w:val="3"/>
          <w:highlight w:val="none"/>
        </w:rPr>
        <w:t>投标报价应是完成招标内容所需设备的全部费用，包括但不限于产品的报价及所发生</w:t>
      </w:r>
      <w:r>
        <w:rPr>
          <w:rFonts w:hint="eastAsia" w:ascii="宋体" w:hAnsi="宋体" w:cs="宋体"/>
          <w:color w:val="auto"/>
          <w:spacing w:val="-4"/>
          <w:highlight w:val="none"/>
        </w:rPr>
        <w:t>的：</w:t>
      </w:r>
      <w:r>
        <w:rPr>
          <w:rFonts w:hint="eastAsia" w:ascii="宋体" w:hAnsi="宋体" w:cs="宋体"/>
          <w:b/>
          <w:bCs/>
          <w:color w:val="auto"/>
          <w:spacing w:val="-4"/>
          <w:highlight w:val="none"/>
        </w:rPr>
        <w:t>包括货物价格、备品备件、包装、运输、仓储、保管、保险、装卸（卸货至甲方指定地点）、安装、调试、售后维护服务、培训、利润、相关税费及市场价格风险在内等一切费用。</w:t>
      </w:r>
      <w:r>
        <w:rPr>
          <w:rFonts w:hint="eastAsia" w:ascii="宋体" w:hAnsi="宋体"/>
          <w:color w:val="auto"/>
          <w:szCs w:val="21"/>
          <w:highlight w:val="none"/>
        </w:rPr>
        <w:t>进口设备除应包括要向中华人民共和国政府缴纳的增值税和其它税，还应包括货物在制造或组装时使用的部件和原材料是从关境外进口的已交纳或应交纳的全部关税、增值税和其它税等一切费用。要求的其他相关费用以本招标文件的内容和要求作为投标依据。报价时单价所反映的内容同上，综合考虑在单价中。在供货、安装、调试、培训等工作中出现硬件、软件等的任何遗漏，均由中标人免费提供，采购人将不再支付任何费用。</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4.3.3 投标</w:t>
      </w:r>
      <w:r>
        <w:rPr>
          <w:rFonts w:hint="eastAsia" w:ascii="宋体" w:hAnsi="宋体" w:cs="宋体"/>
          <w:color w:val="auto"/>
          <w:kern w:val="0"/>
          <w:szCs w:val="21"/>
          <w:highlight w:val="none"/>
        </w:rPr>
        <w:t>人应按</w:t>
      </w:r>
      <w:r>
        <w:rPr>
          <w:rFonts w:hint="eastAsia" w:ascii="宋体" w:hAnsi="宋体"/>
          <w:color w:val="auto"/>
          <w:szCs w:val="21"/>
          <w:highlight w:val="none"/>
        </w:rPr>
        <w:t>“开标一览表”及“货物（产品）分项报价表”</w:t>
      </w:r>
      <w:r>
        <w:rPr>
          <w:rFonts w:hint="eastAsia" w:ascii="宋体" w:hAnsi="宋体" w:cs="宋体"/>
          <w:color w:val="auto"/>
          <w:kern w:val="0"/>
          <w:szCs w:val="21"/>
          <w:highlight w:val="none"/>
        </w:rPr>
        <w:t>的内容</w:t>
      </w:r>
      <w:r>
        <w:rPr>
          <w:rFonts w:hint="eastAsia" w:ascii="宋体" w:hAnsi="宋体"/>
          <w:color w:val="auto"/>
          <w:szCs w:val="21"/>
          <w:highlight w:val="none"/>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pPr>
        <w:adjustRightInd w:val="0"/>
        <w:snapToGrid w:val="0"/>
        <w:spacing w:line="360" w:lineRule="auto"/>
        <w:ind w:firstLine="482"/>
        <w:rPr>
          <w:rFonts w:hint="eastAsia" w:ascii="宋体" w:hAnsi="宋体"/>
          <w:color w:val="auto"/>
          <w:szCs w:val="21"/>
          <w:highlight w:val="none"/>
        </w:rPr>
      </w:pPr>
      <w:r>
        <w:rPr>
          <w:rFonts w:hint="eastAsia" w:ascii="宋体" w:hAnsi="宋体" w:cs="宋体"/>
          <w:color w:val="auto"/>
          <w:kern w:val="0"/>
          <w:szCs w:val="21"/>
          <w:highlight w:val="none"/>
        </w:rPr>
        <w:t xml:space="preserve">4.3.4 </w:t>
      </w:r>
      <w:r>
        <w:rPr>
          <w:rFonts w:hint="eastAsia" w:ascii="宋体" w:hAnsi="宋体"/>
          <w:color w:val="auto"/>
          <w:szCs w:val="21"/>
          <w:highlight w:val="none"/>
        </w:rPr>
        <w:t>投标人每种产品只允许有一个报价，并且在合同履行过程中是固定不变的，任何有选择或可调整的报价将不予接受并按无效投标处理。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4.3.5 当评标委员会认为，某投标人的报价存在明显低于其他通过符合性审查投标人的报价，有可能影响货物质量和不能诚信履约的，应当要求其在评标现场规定时间内，提供必要的书面文件予以解释和说明，</w:t>
      </w:r>
      <w:r>
        <w:rPr>
          <w:rFonts w:hint="eastAsia" w:ascii="宋体" w:hAnsi="宋体"/>
          <w:b/>
          <w:color w:val="auto"/>
          <w:szCs w:val="21"/>
          <w:highlight w:val="none"/>
        </w:rPr>
        <w:t>必要时</w:t>
      </w:r>
      <w:r>
        <w:rPr>
          <w:rFonts w:hint="eastAsia" w:ascii="宋体" w:hAnsi="宋体"/>
          <w:color w:val="auto"/>
          <w:szCs w:val="21"/>
          <w:highlight w:val="none"/>
        </w:rPr>
        <w:t>提交相关证明材料；若投标人不能证明其报价合理性，评标委员会将其作无效投标处理。</w:t>
      </w:r>
    </w:p>
    <w:p>
      <w:pPr>
        <w:spacing w:before="120" w:beforeLines="50" w:after="120" w:afterLines="50"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4.4投标有效期</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4.4.1投标有效期见投标人须知前附表。</w:t>
      </w:r>
      <w:r>
        <w:rPr>
          <w:rFonts w:hint="eastAsia" w:hAnsi="宋体"/>
          <w:color w:val="auto"/>
          <w:highlight w:val="none"/>
        </w:rPr>
        <w:t>在此期间投标文件对投标人具有法律约束力，</w:t>
      </w:r>
      <w:r>
        <w:rPr>
          <w:rFonts w:hint="eastAsia" w:hAnsi="宋体" w:cs="Arial"/>
          <w:color w:val="auto"/>
          <w:highlight w:val="none"/>
        </w:rPr>
        <w:t>从</w:t>
      </w:r>
      <w:r>
        <w:rPr>
          <w:rFonts w:hint="eastAsia" w:hAnsi="宋体"/>
          <w:b/>
          <w:color w:val="auto"/>
          <w:highlight w:val="none"/>
        </w:rPr>
        <w:t>投标人须知前附表规定</w:t>
      </w:r>
      <w:r>
        <w:rPr>
          <w:rFonts w:hint="eastAsia" w:hAnsi="宋体"/>
          <w:color w:val="auto"/>
          <w:highlight w:val="none"/>
        </w:rPr>
        <w:t>的</w:t>
      </w:r>
      <w:r>
        <w:rPr>
          <w:rFonts w:hint="eastAsia" w:hAnsi="宋体" w:cs="宋体"/>
          <w:color w:val="auto"/>
          <w:kern w:val="0"/>
          <w:highlight w:val="none"/>
        </w:rPr>
        <w:t>递交投标文件截止时间</w:t>
      </w:r>
      <w:r>
        <w:rPr>
          <w:rFonts w:hint="eastAsia" w:hAnsi="宋体"/>
          <w:color w:val="auto"/>
          <w:highlight w:val="none"/>
        </w:rPr>
        <w:t>之日</w:t>
      </w:r>
      <w:r>
        <w:rPr>
          <w:rFonts w:hint="eastAsia" w:hAnsi="宋体" w:cs="Arial"/>
          <w:color w:val="auto"/>
          <w:highlight w:val="none"/>
        </w:rPr>
        <w:t>起计算。</w:t>
      </w:r>
      <w:r>
        <w:rPr>
          <w:rFonts w:hint="eastAsia" w:ascii="宋体" w:hAnsi="宋体"/>
          <w:color w:val="auto"/>
          <w:szCs w:val="21"/>
          <w:highlight w:val="none"/>
        </w:rPr>
        <w:t>投标有效期短于此规定期限的投标，属于非实质性响应，将按无效投标处理。</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4.4.2 出现特殊情况需要延长投标有效期的，采购代理机构或采购人可于投标有效期满之前，以书面形式或政采云平台通知所有投标人延长投标有效期。投标人应予书面答复，同意延长的，应相应延长其投标保证金有效期，但不得要求或被允许修改其投标文件；投标人拒绝延长的，其投标失效，但投标人有权收回其投标保证金。</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4.4.3 在投标有效期内，投标人撤销投标文件的，应承担招标文件和法律规定的责任。</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4.4.4 中标人的投标有效期自动延长至合同终止为止。</w:t>
      </w:r>
    </w:p>
    <w:p>
      <w:pPr>
        <w:pStyle w:val="6"/>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bCs/>
          <w:color w:val="auto"/>
          <w:sz w:val="30"/>
          <w:szCs w:val="30"/>
          <w:highlight w:val="none"/>
        </w:rPr>
        <w:t>4.5 投标保证金</w:t>
      </w:r>
    </w:p>
    <w:p>
      <w:pPr>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4.5.1投标保证金的提交</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rPr>
        <w:t>4.5.1.1 开标现场不办理投标保证金事宜。</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rPr>
        <w:t>4.5.1.2 投标人应按投标人须知前附表规定的金额、形式和时间提交，作为其投标文件的一部分。联合投标的，</w:t>
      </w:r>
      <w:r>
        <w:rPr>
          <w:rFonts w:hint="eastAsia" w:ascii="宋体" w:hAnsi="宋体"/>
          <w:color w:val="auto"/>
          <w:szCs w:val="21"/>
          <w:highlight w:val="none"/>
          <w:shd w:val="clear" w:color="auto" w:fill="FFFFFF"/>
        </w:rPr>
        <w:t>应当以各方或者联合体中牵头人的名义提交投标保证金。</w:t>
      </w:r>
      <w:r>
        <w:rPr>
          <w:rFonts w:hint="eastAsia" w:ascii="宋体" w:hAnsi="宋体"/>
          <w:color w:val="auto"/>
          <w:szCs w:val="21"/>
          <w:highlight w:val="none"/>
        </w:rPr>
        <w:t>以联合体牵头单位提交投标保证金的，对联合体各方均具有约束力。</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rPr>
        <w:t>4.5.1.3 投标保证金可以银行转账或者保险机构、担保机构出具的保函等非现金形式提交：</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（1）以银行转账提交保证金的，可以采取支票、电汇、网银、汇票、本票等方式，应从其基本账户转出，并在投标文件中附上基本账户开户证明。</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（2）以信用担保函形式提交保证金的，应按招标文件规定的格式提交，且是伊犁州有关部门认定的具有开具投标保函资格的单位开具的保函。投标人违约，开具保函单位承担连带责任。</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 xml:space="preserve">4.5.1.4 </w:t>
      </w:r>
      <w:r>
        <w:rPr>
          <w:rFonts w:ascii="宋体" w:hAnsi="宋体"/>
          <w:color w:val="auto"/>
          <w:szCs w:val="21"/>
          <w:highlight w:val="none"/>
        </w:rPr>
        <w:t>换取投标保证金</w:t>
      </w:r>
      <w:r>
        <w:rPr>
          <w:rFonts w:hint="eastAsia" w:ascii="宋体" w:hAnsi="宋体"/>
          <w:color w:val="auto"/>
          <w:szCs w:val="21"/>
          <w:highlight w:val="none"/>
        </w:rPr>
        <w:t>提</w:t>
      </w:r>
      <w:r>
        <w:rPr>
          <w:rFonts w:ascii="宋体" w:hAnsi="宋体"/>
          <w:color w:val="auto"/>
          <w:szCs w:val="21"/>
          <w:highlight w:val="none"/>
        </w:rPr>
        <w:t>交凭据</w:t>
      </w:r>
    </w:p>
    <w:p>
      <w:pPr>
        <w:widowControl/>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（1）投标人</w:t>
      </w:r>
      <w:r>
        <w:rPr>
          <w:rFonts w:ascii="宋体" w:hAnsi="宋体"/>
          <w:color w:val="auto"/>
          <w:szCs w:val="21"/>
          <w:highlight w:val="none"/>
        </w:rPr>
        <w:t>在确认保证金到账后，在</w:t>
      </w:r>
      <w:r>
        <w:rPr>
          <w:rFonts w:hint="eastAsia" w:ascii="宋体" w:hAnsi="宋体"/>
          <w:color w:val="auto"/>
          <w:szCs w:val="21"/>
          <w:highlight w:val="none"/>
        </w:rPr>
        <w:t>递</w:t>
      </w:r>
      <w:r>
        <w:rPr>
          <w:rFonts w:ascii="宋体" w:hAnsi="宋体"/>
          <w:color w:val="auto"/>
          <w:szCs w:val="21"/>
          <w:highlight w:val="none"/>
        </w:rPr>
        <w:t>交投标文件截止时间前，凭相关资料到采购</w:t>
      </w:r>
      <w:r>
        <w:rPr>
          <w:rFonts w:hint="eastAsia" w:ascii="宋体" w:hAnsi="宋体"/>
          <w:color w:val="auto"/>
          <w:szCs w:val="21"/>
          <w:highlight w:val="none"/>
        </w:rPr>
        <w:t>代理</w:t>
      </w:r>
      <w:r>
        <w:rPr>
          <w:rFonts w:ascii="宋体" w:hAnsi="宋体"/>
          <w:color w:val="auto"/>
          <w:szCs w:val="21"/>
          <w:highlight w:val="none"/>
        </w:rPr>
        <w:t>机构</w:t>
      </w:r>
      <w:r>
        <w:rPr>
          <w:rFonts w:hint="eastAsia" w:ascii="宋体" w:hAnsi="宋体"/>
          <w:color w:val="auto"/>
          <w:szCs w:val="21"/>
          <w:highlight w:val="none"/>
        </w:rPr>
        <w:t>财务部门</w:t>
      </w:r>
      <w:r>
        <w:rPr>
          <w:rFonts w:ascii="宋体" w:hAnsi="宋体"/>
          <w:color w:val="auto"/>
          <w:szCs w:val="21"/>
          <w:highlight w:val="none"/>
        </w:rPr>
        <w:t>办理</w:t>
      </w:r>
      <w:r>
        <w:rPr>
          <w:rFonts w:hint="eastAsia" w:ascii="宋体" w:hAnsi="宋体"/>
          <w:color w:val="auto"/>
          <w:szCs w:val="21"/>
          <w:highlight w:val="none"/>
        </w:rPr>
        <w:t>投标</w:t>
      </w:r>
      <w:r>
        <w:rPr>
          <w:rFonts w:ascii="宋体" w:hAnsi="宋体"/>
          <w:color w:val="auto"/>
          <w:szCs w:val="21"/>
          <w:highlight w:val="none"/>
        </w:rPr>
        <w:t>保证金换票手续。开标当天一律不予换票</w:t>
      </w:r>
      <w:r>
        <w:rPr>
          <w:rFonts w:hint="eastAsia" w:ascii="宋体" w:hAnsi="宋体"/>
          <w:color w:val="auto"/>
          <w:szCs w:val="21"/>
          <w:highlight w:val="none"/>
        </w:rPr>
        <w:t>。</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换取</w:t>
      </w:r>
      <w:r>
        <w:rPr>
          <w:rFonts w:hint="eastAsia" w:ascii="宋体" w:hAnsi="宋体"/>
          <w:color w:val="auto"/>
          <w:szCs w:val="21"/>
          <w:highlight w:val="none"/>
        </w:rPr>
        <w:t>投标</w:t>
      </w:r>
      <w:r>
        <w:rPr>
          <w:rFonts w:ascii="宋体" w:hAnsi="宋体"/>
          <w:color w:val="auto"/>
          <w:szCs w:val="21"/>
          <w:highlight w:val="none"/>
        </w:rPr>
        <w:t>保证金</w:t>
      </w:r>
      <w:r>
        <w:rPr>
          <w:rFonts w:hint="eastAsia" w:ascii="宋体" w:hAnsi="宋体"/>
          <w:color w:val="auto"/>
          <w:szCs w:val="21"/>
          <w:highlight w:val="none"/>
        </w:rPr>
        <w:t>提</w:t>
      </w:r>
      <w:r>
        <w:rPr>
          <w:rFonts w:ascii="宋体" w:hAnsi="宋体"/>
          <w:color w:val="auto"/>
          <w:szCs w:val="21"/>
          <w:highlight w:val="none"/>
        </w:rPr>
        <w:t>交票据时，</w:t>
      </w:r>
      <w:r>
        <w:rPr>
          <w:rFonts w:hint="eastAsia" w:ascii="宋体" w:hAnsi="宋体"/>
          <w:color w:val="auto"/>
          <w:szCs w:val="21"/>
          <w:highlight w:val="none"/>
        </w:rPr>
        <w:t>投标人</w:t>
      </w:r>
      <w:r>
        <w:rPr>
          <w:rFonts w:ascii="宋体" w:hAnsi="宋体"/>
          <w:color w:val="auto"/>
          <w:szCs w:val="21"/>
          <w:highlight w:val="none"/>
        </w:rPr>
        <w:t>应向采购</w:t>
      </w:r>
      <w:r>
        <w:rPr>
          <w:rFonts w:hint="eastAsia" w:ascii="宋体" w:hAnsi="宋体"/>
          <w:color w:val="auto"/>
          <w:szCs w:val="21"/>
          <w:highlight w:val="none"/>
        </w:rPr>
        <w:t>代理</w:t>
      </w:r>
      <w:r>
        <w:rPr>
          <w:rFonts w:ascii="宋体" w:hAnsi="宋体"/>
          <w:color w:val="auto"/>
          <w:szCs w:val="21"/>
          <w:highlight w:val="none"/>
        </w:rPr>
        <w:t>机构提供以下资料：</w:t>
      </w:r>
    </w:p>
    <w:p>
      <w:pPr>
        <w:widowControl/>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）交纳保证金的银行回单（进账单、电汇单、电子回单）原件，或加盖</w:t>
      </w:r>
      <w:r>
        <w:rPr>
          <w:rFonts w:hint="eastAsia" w:ascii="宋体" w:hAnsi="宋体"/>
          <w:color w:val="auto"/>
          <w:szCs w:val="21"/>
          <w:highlight w:val="none"/>
        </w:rPr>
        <w:t>投标人</w:t>
      </w:r>
      <w:r>
        <w:rPr>
          <w:rFonts w:ascii="宋体" w:hAnsi="宋体"/>
          <w:color w:val="auto"/>
          <w:szCs w:val="21"/>
          <w:highlight w:val="none"/>
        </w:rPr>
        <w:t>单位章的复印件；</w:t>
      </w:r>
    </w:p>
    <w:p>
      <w:pPr>
        <w:widowControl/>
        <w:spacing w:line="360" w:lineRule="auto"/>
        <w:ind w:firstLine="630" w:firstLineChars="300"/>
        <w:rPr>
          <w:rFonts w:hint="eastAsia" w:ascii="宋体" w:hAnsi="宋体"/>
          <w:color w:val="auto"/>
          <w:szCs w:val="21"/>
          <w:highlight w:val="none"/>
        </w:rPr>
      </w:pPr>
      <w:r>
        <w:rPr>
          <w:rFonts w:ascii="宋体" w:hAnsi="宋体"/>
          <w:color w:val="auto"/>
          <w:szCs w:val="21"/>
          <w:highlight w:val="none"/>
        </w:rPr>
        <w:t>2）基本存款账户开户许可证加盖</w:t>
      </w:r>
      <w:r>
        <w:rPr>
          <w:rFonts w:hint="eastAsia" w:ascii="宋体" w:hAnsi="宋体"/>
          <w:color w:val="auto"/>
          <w:szCs w:val="21"/>
          <w:highlight w:val="none"/>
        </w:rPr>
        <w:t>单位</w:t>
      </w:r>
      <w:r>
        <w:rPr>
          <w:rFonts w:ascii="宋体" w:hAnsi="宋体"/>
          <w:color w:val="auto"/>
          <w:szCs w:val="21"/>
          <w:highlight w:val="none"/>
        </w:rPr>
        <w:t>章的复印件</w:t>
      </w:r>
      <w:r>
        <w:rPr>
          <w:rFonts w:hint="eastAsia" w:ascii="宋体" w:hAnsi="宋体"/>
          <w:color w:val="auto"/>
          <w:szCs w:val="21"/>
          <w:highlight w:val="none"/>
        </w:rPr>
        <w:t>。</w:t>
      </w:r>
    </w:p>
    <w:p>
      <w:pPr>
        <w:widowControl/>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4.5.1.5投标人</w:t>
      </w:r>
      <w:r>
        <w:rPr>
          <w:rFonts w:ascii="宋体" w:hAnsi="宋体"/>
          <w:color w:val="auto"/>
          <w:szCs w:val="21"/>
          <w:highlight w:val="none"/>
        </w:rPr>
        <w:t>未提供相关证明或经查实其</w:t>
      </w:r>
      <w:r>
        <w:rPr>
          <w:rFonts w:hint="eastAsia" w:ascii="宋体" w:hAnsi="宋体"/>
          <w:color w:val="auto"/>
          <w:szCs w:val="21"/>
          <w:highlight w:val="none"/>
        </w:rPr>
        <w:t>提</w:t>
      </w:r>
      <w:r>
        <w:rPr>
          <w:rFonts w:ascii="宋体" w:hAnsi="宋体"/>
          <w:color w:val="auto"/>
          <w:szCs w:val="21"/>
          <w:highlight w:val="none"/>
        </w:rPr>
        <w:t>交账户为非基本存款账户的，采购</w:t>
      </w:r>
      <w:r>
        <w:rPr>
          <w:rFonts w:hint="eastAsia" w:ascii="宋体" w:hAnsi="宋体"/>
          <w:color w:val="auto"/>
          <w:szCs w:val="21"/>
          <w:highlight w:val="none"/>
        </w:rPr>
        <w:t>代理</w:t>
      </w:r>
      <w:r>
        <w:rPr>
          <w:rFonts w:ascii="宋体" w:hAnsi="宋体"/>
          <w:color w:val="auto"/>
          <w:szCs w:val="21"/>
          <w:highlight w:val="none"/>
        </w:rPr>
        <w:t>机构按该</w:t>
      </w:r>
      <w:r>
        <w:rPr>
          <w:rFonts w:hint="eastAsia" w:ascii="宋体" w:hAnsi="宋体"/>
          <w:color w:val="auto"/>
          <w:szCs w:val="21"/>
          <w:highlight w:val="none"/>
        </w:rPr>
        <w:t>投标人</w:t>
      </w:r>
      <w:r>
        <w:rPr>
          <w:rFonts w:ascii="宋体" w:hAnsi="宋体"/>
          <w:color w:val="auto"/>
          <w:szCs w:val="21"/>
          <w:highlight w:val="none"/>
        </w:rPr>
        <w:t>未</w:t>
      </w:r>
      <w:r>
        <w:rPr>
          <w:rFonts w:hint="eastAsia" w:ascii="宋体" w:hAnsi="宋体"/>
          <w:color w:val="auto"/>
          <w:szCs w:val="21"/>
          <w:highlight w:val="none"/>
        </w:rPr>
        <w:t>提</w:t>
      </w:r>
      <w:r>
        <w:rPr>
          <w:rFonts w:ascii="宋体" w:hAnsi="宋体"/>
          <w:color w:val="auto"/>
          <w:szCs w:val="21"/>
          <w:highlight w:val="none"/>
        </w:rPr>
        <w:t>交</w:t>
      </w:r>
      <w:r>
        <w:rPr>
          <w:rFonts w:hint="eastAsia" w:ascii="宋体" w:hAnsi="宋体"/>
          <w:color w:val="auto"/>
          <w:szCs w:val="21"/>
          <w:highlight w:val="none"/>
        </w:rPr>
        <w:t>投标</w:t>
      </w:r>
      <w:r>
        <w:rPr>
          <w:rFonts w:ascii="宋体" w:hAnsi="宋体"/>
          <w:color w:val="auto"/>
          <w:szCs w:val="21"/>
          <w:highlight w:val="none"/>
        </w:rPr>
        <w:t>保证金处理。</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rPr>
        <w:t>4.5.1.6未按招标文件要求在规定时间前（以银行实际到账时间为准）提交投标保证金的投标将被拒绝。</w:t>
      </w:r>
    </w:p>
    <w:p>
      <w:pPr>
        <w:spacing w:before="120" w:beforeLines="50"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4.5.2 投标保证金的退还</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rPr>
        <w:t>4.5.2.1未中标人的投标保证金，将在中标通知书发出之日起5个工作日内全额退还。中标人的投标保证金，在采购人与中标人签订合同后5个工作日内全额退还。</w:t>
      </w:r>
    </w:p>
    <w:p>
      <w:pPr>
        <w:spacing w:line="360" w:lineRule="auto"/>
        <w:ind w:firstLine="621" w:firstLineChars="296"/>
        <w:rPr>
          <w:rFonts w:hint="eastAsia" w:ascii="宋体" w:hAnsi="宋体"/>
          <w:color w:val="auto"/>
          <w:szCs w:val="21"/>
          <w:highlight w:val="none"/>
        </w:rPr>
      </w:pPr>
      <w:bookmarkStart w:id="64" w:name="_Toc183582224"/>
      <w:bookmarkStart w:id="65" w:name="_Toc183682361"/>
      <w:bookmarkStart w:id="66" w:name="_Toc217446051"/>
      <w:r>
        <w:rPr>
          <w:rFonts w:hint="eastAsia" w:ascii="宋体" w:hAnsi="宋体"/>
          <w:color w:val="auto"/>
          <w:szCs w:val="21"/>
          <w:highlight w:val="none"/>
        </w:rPr>
        <w:t>4.5.2.2有下列情形之一的，投标保证金将不予退还：</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（2）中标人在收到中标通知书后，无正当理由不与采购人订立合同，或着在签订合同时向采购人提出附加条件的；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（3）中标人无正当理由，未能按招标文件规定时间内领取《中标通知书》的；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（4）中标人未向采购代理机构支付采购（招标）代理服务费的；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（5）中标人未按招标文件规定向采购人提交履约保证金的；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（6）投标有效期内，投标人在政府采购活动中有违规、违纪和违法行为的；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（7）法律法规规定的其他情况。</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4.5.2.3 投标保证金退还程序：</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（1）在开标结束时，未中标人的投标保证金，在《中标通知书》发出之日起5个工作日内，采购代理机构将主动退还至其基本账户。</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（3）中标人应当在合同签订生效之日起5个工作日内，持采购合同原件和办理人员身份证复印件到采购代理机构办理，逾期后果自负。采购代理机构应当及时将投标保证金退还至其基本账户。</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4.5.2.4投标保证金退还方式：银行转账。</w:t>
      </w:r>
    </w:p>
    <w:bookmarkEnd w:id="64"/>
    <w:bookmarkEnd w:id="65"/>
    <w:bookmarkEnd w:id="66"/>
    <w:p>
      <w:pPr>
        <w:spacing w:before="120" w:beforeLines="50" w:after="120" w:afterLines="50"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4.6 商务文件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4.6.1投标人应按照招标文件商务要求做出完全响应。未作出商务响应的，作为不实质性响应招标文件，按无效投标处理。</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color w:val="auto"/>
          <w:szCs w:val="21"/>
          <w:highlight w:val="none"/>
        </w:rPr>
        <w:t xml:space="preserve">4.6.2 </w:t>
      </w:r>
      <w:r>
        <w:rPr>
          <w:rFonts w:hint="eastAsia" w:ascii="宋体" w:hAnsi="宋体"/>
          <w:bCs/>
          <w:color w:val="auto"/>
          <w:szCs w:val="21"/>
          <w:highlight w:val="none"/>
        </w:rPr>
        <w:t>投标人应按照招标文件中售后服务要求作出积极响应。包括以下内容：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（1）产品制造商或投标人设立的售后服务机构网点清单、服务电话和维修人员名单（加盖单位章）；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（2）说明投标产品的保修时间、保修期内的保修内容与范围、维修响应时间等。分别提供产品制造商和投标人的服务承诺和保障措施；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（3）培训措施：说明培训内容及培训的时间、地点、目标、培训人数、收费标准和办法。</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bCs/>
          <w:color w:val="auto"/>
          <w:szCs w:val="21"/>
          <w:highlight w:val="none"/>
        </w:rPr>
        <w:t>4.6.3投标人应对以下（不限于）要求作出承诺：</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r>
        <w:rPr>
          <w:rFonts w:hint="eastAsia" w:ascii="宋体" w:hAnsi="宋体"/>
          <w:bCs/>
          <w:color w:val="auto"/>
          <w:szCs w:val="21"/>
          <w:highlight w:val="none"/>
        </w:rPr>
        <w:t>；</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bCs/>
          <w:color w:val="auto"/>
          <w:szCs w:val="21"/>
          <w:highlight w:val="none"/>
        </w:rPr>
        <w:t>（2）产品质量承诺；</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color w:val="auto"/>
          <w:szCs w:val="21"/>
          <w:highlight w:val="none"/>
        </w:rPr>
        <w:t>（3）利于用户的售后服务承诺；</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bCs/>
          <w:color w:val="auto"/>
          <w:szCs w:val="21"/>
          <w:highlight w:val="none"/>
        </w:rPr>
        <w:t>（4）严格按招标文件对本项目的要求，组织生产、供货运输、安装调试和服务培训；</w:t>
      </w:r>
    </w:p>
    <w:p>
      <w:pPr>
        <w:spacing w:line="360" w:lineRule="auto"/>
        <w:ind w:left="2" w:leftChars="1" w:firstLine="420" w:firstLineChars="200"/>
        <w:rPr>
          <w:rFonts w:hint="eastAsia" w:ascii="宋体" w:hAnsi="宋体"/>
          <w:color w:val="auto"/>
          <w:szCs w:val="21"/>
          <w:highlight w:val="none"/>
        </w:rPr>
      </w:pPr>
      <w:r>
        <w:rPr>
          <w:rFonts w:hint="eastAsia" w:ascii="宋体" w:hAnsi="宋体"/>
          <w:color w:val="auto"/>
          <w:szCs w:val="21"/>
          <w:highlight w:val="none"/>
        </w:rPr>
        <w:t>（5）未经采购人许可，不得将本采购项目采取转包实施的办法，一经发现，立即取消其中标资格，并承担由此产生的一切经济损失；</w:t>
      </w:r>
    </w:p>
    <w:p>
      <w:pPr>
        <w:pStyle w:val="6"/>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（6）接受采购人或采购人委托相关单位对项目实施方案、生产进度、货物质量、售后服务、货款支付与结算审核等方面监督和管理;</w:t>
      </w:r>
    </w:p>
    <w:p>
      <w:pPr>
        <w:pStyle w:val="6"/>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（6）其它承诺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Style w:val="6"/>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color w:val="auto"/>
          <w:sz w:val="30"/>
          <w:szCs w:val="30"/>
          <w:highlight w:val="none"/>
        </w:rPr>
        <w:t>4.7 技术文件</w:t>
      </w:r>
    </w:p>
    <w:p>
      <w:pPr>
        <w:pStyle w:val="6"/>
        <w:spacing w:line="360" w:lineRule="auto"/>
        <w:ind w:firstLine="465"/>
        <w:rPr>
          <w:rFonts w:hint="eastAsia" w:ascii="宋体" w:hAnsi="宋体"/>
          <w:color w:val="auto"/>
          <w:szCs w:val="21"/>
          <w:highlight w:val="none"/>
        </w:rPr>
      </w:pPr>
      <w:r>
        <w:rPr>
          <w:rFonts w:hint="eastAsia" w:ascii="宋体" w:hAnsi="宋体"/>
          <w:color w:val="auto"/>
          <w:szCs w:val="21"/>
          <w:highlight w:val="none"/>
        </w:rPr>
        <w:t xml:space="preserve">4.7.1 </w:t>
      </w:r>
      <w:r>
        <w:rPr>
          <w:rFonts w:hint="eastAsia" w:ascii="宋体" w:hAnsi="宋体"/>
          <w:bCs/>
          <w:color w:val="auto"/>
          <w:szCs w:val="21"/>
          <w:highlight w:val="none"/>
        </w:rPr>
        <w:t>投标人应</w:t>
      </w:r>
      <w:r>
        <w:rPr>
          <w:rFonts w:hint="eastAsia" w:ascii="宋体" w:hAnsi="宋体"/>
          <w:color w:val="auto"/>
          <w:szCs w:val="21"/>
          <w:highlight w:val="none"/>
        </w:rPr>
        <w:t xml:space="preserve">按照招标文件要求做出的技术应答，主要是针对采购项目的技术指标、参数和技术服务要求做出的实质性响应和满足。 </w:t>
      </w:r>
    </w:p>
    <w:p>
      <w:pPr>
        <w:pStyle w:val="6"/>
        <w:spacing w:line="360" w:lineRule="auto"/>
        <w:ind w:firstLine="422" w:firstLineChars="200"/>
        <w:rPr>
          <w:rFonts w:hint="eastAsia" w:ascii="宋体" w:hAnsi="宋体"/>
          <w:b/>
          <w:color w:val="auto"/>
          <w:szCs w:val="21"/>
          <w:highlight w:val="none"/>
        </w:rPr>
      </w:pPr>
      <w:bookmarkStart w:id="67" w:name="_Toc217446049"/>
      <w:bookmarkStart w:id="68" w:name="_Toc183582218"/>
      <w:bookmarkStart w:id="69" w:name="_Toc183682355"/>
      <w:r>
        <w:rPr>
          <w:rFonts w:hint="eastAsia" w:ascii="宋体" w:hAnsi="宋体"/>
          <w:b/>
          <w:color w:val="auto"/>
          <w:szCs w:val="21"/>
          <w:highlight w:val="none"/>
        </w:rPr>
        <w:t>4.7.2 证明所投货物（产品）符合招标文件要求的相关文件，可以是文字资料、图纸、数据、宣传彩页等，所有证明文件，表达意思必须统一。如需投标人提供样品，证明文件的表述与投标人所提供样品必须完全符合，且是投标文件的组成部分，否则，按未实质响应招标文件予以拒绝。</w:t>
      </w:r>
      <w:bookmarkEnd w:id="67"/>
      <w:bookmarkEnd w:id="68"/>
      <w:bookmarkEnd w:id="69"/>
      <w:bookmarkStart w:id="70" w:name="_Toc217446050"/>
      <w:bookmarkStart w:id="71" w:name="_Toc183582223"/>
      <w:bookmarkStart w:id="72" w:name="_Toc183682360"/>
      <w:r>
        <w:rPr>
          <w:rFonts w:hint="eastAsia" w:ascii="宋体" w:hAnsi="宋体"/>
          <w:b/>
          <w:color w:val="auto"/>
          <w:szCs w:val="21"/>
          <w:highlight w:val="none"/>
        </w:rPr>
        <w:t xml:space="preserve"> </w:t>
      </w:r>
    </w:p>
    <w:bookmarkEnd w:id="70"/>
    <w:bookmarkEnd w:id="71"/>
    <w:bookmarkEnd w:id="72"/>
    <w:p>
      <w:pPr>
        <w:tabs>
          <w:tab w:val="left" w:pos="7665"/>
        </w:tabs>
        <w:spacing w:before="120" w:beforeLines="50" w:after="120" w:afterLines="50" w:line="360" w:lineRule="auto"/>
        <w:rPr>
          <w:rFonts w:hint="eastAsia" w:ascii="宋体" w:hAnsi="宋体"/>
          <w:b/>
          <w:bCs/>
          <w:color w:val="auto"/>
          <w:sz w:val="30"/>
          <w:szCs w:val="30"/>
          <w:highlight w:val="none"/>
        </w:rPr>
      </w:pPr>
      <w:bookmarkStart w:id="73" w:name="_Toc183582225"/>
      <w:bookmarkStart w:id="74" w:name="_Toc183682362"/>
      <w:bookmarkStart w:id="75" w:name="_Toc217446052"/>
      <w:r>
        <w:rPr>
          <w:rFonts w:hint="eastAsia" w:ascii="宋体" w:hAnsi="宋体"/>
          <w:b/>
          <w:bCs/>
          <w:color w:val="auto"/>
          <w:sz w:val="30"/>
          <w:szCs w:val="30"/>
          <w:highlight w:val="none"/>
        </w:rPr>
        <w:t>4.8 投标文件的制作和签署</w:t>
      </w:r>
      <w:bookmarkEnd w:id="73"/>
      <w:bookmarkEnd w:id="74"/>
      <w:bookmarkEnd w:id="75"/>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4.8.1 投标文件应根据招标文件的要求制作。投标人应填写全称，同时加盖单位章，签署、盖章和内容应完整，如有遗漏，将被视为无效投标。</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4.8.2 投标文件格式。投标人应严格按照第六章提供的“投标文件格式”编写相关内容。除明确允许投标人可以自行编写外，投标人不得以“投标文件格式”规定之外的方式填写相关内容。否则，投标人提供的投标文件将作为无效投标处理。</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4.8.3 对于没有格式要求的投标文件由投标人自行编写。</w:t>
      </w:r>
    </w:p>
    <w:p>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4.8.4 投标人应按“投标须知前附表”规定准备投标文件。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4.8.5 投标文件均需打印或用不褪色、不变质的墨水书写，并由投标人的法定代表人或其授权代表在规定签章处签字和盖章。</w:t>
      </w:r>
    </w:p>
    <w:p>
      <w:pPr>
        <w:tabs>
          <w:tab w:val="left" w:pos="1095"/>
        </w:tabs>
        <w:spacing w:line="360" w:lineRule="auto"/>
        <w:ind w:firstLine="403" w:firstLineChars="192"/>
        <w:rPr>
          <w:rFonts w:hint="eastAsia" w:ascii="宋体" w:hAnsi="宋体"/>
          <w:b/>
          <w:color w:val="auto"/>
          <w:szCs w:val="21"/>
          <w:highlight w:val="none"/>
        </w:rPr>
      </w:pPr>
      <w:r>
        <w:rPr>
          <w:rFonts w:hint="eastAsia" w:ascii="宋体" w:hAnsi="宋体"/>
          <w:color w:val="auto"/>
          <w:szCs w:val="21"/>
          <w:highlight w:val="none"/>
        </w:rPr>
        <w:t>4.8.6 投标文件的书写应清楚工整，尽量避免行间插字、涂改或增删。如出现上述情况，改动之处应由投标人的法定代表人或其授权代表签字或盖单位章。字迹潦草、表达不清或可能导致非唯一理解的投标文件可能视为无效投标。</w:t>
      </w:r>
      <w:bookmarkStart w:id="76" w:name="_Toc77400781"/>
      <w:bookmarkStart w:id="77" w:name="_Toc183582226"/>
      <w:bookmarkStart w:id="78" w:name="_Toc89075877"/>
      <w:bookmarkStart w:id="79" w:name="_Toc217446053"/>
      <w:bookmarkStart w:id="80" w:name="_Toc183682363"/>
    </w:p>
    <w:p>
      <w:pPr>
        <w:tabs>
          <w:tab w:val="left" w:pos="1080"/>
        </w:tabs>
        <w:spacing w:before="120" w:beforeLines="50" w:after="120" w:afterLines="50" w:line="360" w:lineRule="auto"/>
        <w:rPr>
          <w:rFonts w:hint="eastAsia" w:ascii="黑体" w:hAnsi="宋体" w:eastAsia="黑体"/>
          <w:b/>
          <w:bCs/>
          <w:color w:val="auto"/>
          <w:sz w:val="36"/>
          <w:szCs w:val="36"/>
          <w:highlight w:val="none"/>
        </w:rPr>
      </w:pPr>
      <w:r>
        <w:rPr>
          <w:rFonts w:hint="eastAsia" w:ascii="黑体" w:hAnsi="宋体" w:eastAsia="黑体"/>
          <w:b/>
          <w:bCs/>
          <w:color w:val="auto"/>
          <w:sz w:val="36"/>
          <w:szCs w:val="36"/>
          <w:highlight w:val="none"/>
        </w:rPr>
        <w:t>5. 投标</w:t>
      </w:r>
    </w:p>
    <w:p>
      <w:pPr>
        <w:tabs>
          <w:tab w:val="left" w:pos="1080"/>
        </w:tabs>
        <w:spacing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5.1 投标内容要求</w:t>
      </w:r>
    </w:p>
    <w:p>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投标人应仔细阅读招标文件中的所有事项、格式、条款和要求，对招标文件的全部内容及要求作出实质性响应，提交相应资料。若分包，应以包为单位投标，不得在其中选项投标或将其中内容再行分解，否则投标无效。</w:t>
      </w:r>
    </w:p>
    <w:p>
      <w:pPr>
        <w:tabs>
          <w:tab w:val="left" w:pos="1080"/>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 xml:space="preserve">5.2 </w:t>
      </w:r>
      <w:bookmarkEnd w:id="76"/>
      <w:bookmarkEnd w:id="77"/>
      <w:bookmarkEnd w:id="78"/>
      <w:bookmarkEnd w:id="79"/>
      <w:bookmarkEnd w:id="80"/>
      <w:r>
        <w:rPr>
          <w:rFonts w:hint="eastAsia" w:ascii="宋体" w:hAnsi="宋体"/>
          <w:b/>
          <w:color w:val="auto"/>
          <w:sz w:val="30"/>
          <w:szCs w:val="30"/>
          <w:highlight w:val="none"/>
        </w:rPr>
        <w:t>投标文件的加密、递交</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5.2.1</w:t>
      </w:r>
      <w:r>
        <w:rPr>
          <w:rFonts w:hint="eastAsia" w:ascii="宋体" w:hAnsi="宋体" w:cs="宋体"/>
          <w:color w:val="auto"/>
          <w:kern w:val="0"/>
          <w:szCs w:val="21"/>
          <w:highlight w:val="none"/>
        </w:rPr>
        <w:t xml:space="preserve"> 加密的电子投标文件（.jmbs格式）应在投标文件递交截止时间前通过政采云平台上传完成。</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5.2.</w:t>
      </w:r>
      <w:r>
        <w:rPr>
          <w:rFonts w:hint="eastAsia" w:ascii="宋体" w:hAnsi="宋体" w:cs="宋体"/>
          <w:color w:val="auto"/>
          <w:kern w:val="0"/>
          <w:szCs w:val="21"/>
          <w:highlight w:val="none"/>
        </w:rPr>
        <w:t>2逾期上传或者未上传指定地点的投标文件，采购人不予受理。</w:t>
      </w:r>
    </w:p>
    <w:p>
      <w:pPr>
        <w:tabs>
          <w:tab w:val="left" w:pos="1080"/>
        </w:tabs>
        <w:spacing w:before="120" w:beforeLines="50" w:after="120" w:afterLines="50" w:line="360" w:lineRule="auto"/>
        <w:rPr>
          <w:rFonts w:hint="eastAsia" w:ascii="宋体" w:hAnsi="宋体"/>
          <w:b/>
          <w:color w:val="auto"/>
          <w:sz w:val="30"/>
          <w:szCs w:val="30"/>
          <w:highlight w:val="none"/>
        </w:rPr>
      </w:pPr>
      <w:bookmarkStart w:id="81" w:name="_Toc183582227"/>
      <w:bookmarkStart w:id="82" w:name="_Toc183682364"/>
      <w:bookmarkStart w:id="83" w:name="_Toc217446054"/>
      <w:r>
        <w:rPr>
          <w:rFonts w:hint="eastAsia" w:ascii="宋体" w:hAnsi="宋体"/>
          <w:b/>
          <w:bCs/>
          <w:color w:val="auto"/>
          <w:sz w:val="30"/>
          <w:szCs w:val="30"/>
          <w:highlight w:val="none"/>
        </w:rPr>
        <w:t>5.3 投标文件的</w:t>
      </w:r>
      <w:bookmarkEnd w:id="81"/>
      <w:bookmarkEnd w:id="82"/>
      <w:r>
        <w:rPr>
          <w:rFonts w:hint="eastAsia" w:ascii="宋体" w:hAnsi="宋体"/>
          <w:b/>
          <w:bCs/>
          <w:color w:val="auto"/>
          <w:sz w:val="30"/>
          <w:szCs w:val="30"/>
          <w:highlight w:val="none"/>
        </w:rPr>
        <w:t>递交</w:t>
      </w:r>
      <w:bookmarkEnd w:id="83"/>
    </w:p>
    <w:p>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5.3.1 投标人应在投标人须知前附表规定的投标截止时间前递交投标文件。</w:t>
      </w:r>
    </w:p>
    <w:p>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5.3.</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除投标人须知前附表另有规定外，投标人递交的投标文件不予退还。</w:t>
      </w:r>
    </w:p>
    <w:p>
      <w:pPr>
        <w:tabs>
          <w:tab w:val="left" w:pos="851"/>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5.3.</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逾期送达的投标文件，采购代理机构将予以拒收。</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5.3.</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本次招标不接受邮寄的投标文件。</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5.3.</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需要投标人提供样品的，同投标文件一起递交。</w:t>
      </w:r>
      <w:bookmarkStart w:id="84" w:name="_Toc183582228"/>
      <w:bookmarkStart w:id="85" w:name="_Toc183682365"/>
      <w:bookmarkStart w:id="86" w:name="_Toc217446055"/>
    </w:p>
    <w:p>
      <w:pPr>
        <w:pStyle w:val="6"/>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bCs/>
          <w:color w:val="auto"/>
          <w:sz w:val="30"/>
          <w:szCs w:val="30"/>
          <w:highlight w:val="none"/>
        </w:rPr>
        <w:t xml:space="preserve">5.4 </w:t>
      </w:r>
      <w:r>
        <w:rPr>
          <w:rFonts w:hint="eastAsia" w:ascii="宋体" w:hAnsi="宋体"/>
          <w:b/>
          <w:bCs/>
          <w:color w:val="auto"/>
          <w:spacing w:val="20"/>
          <w:sz w:val="30"/>
          <w:szCs w:val="30"/>
          <w:highlight w:val="none"/>
        </w:rPr>
        <w:t>投标文件的修改和撤</w:t>
      </w:r>
      <w:bookmarkEnd w:id="84"/>
      <w:bookmarkEnd w:id="85"/>
      <w:r>
        <w:rPr>
          <w:rFonts w:hint="eastAsia" w:ascii="宋体" w:hAnsi="宋体"/>
          <w:b/>
          <w:bCs/>
          <w:color w:val="auto"/>
          <w:spacing w:val="20"/>
          <w:sz w:val="30"/>
          <w:szCs w:val="30"/>
          <w:highlight w:val="none"/>
        </w:rPr>
        <w:t>回</w:t>
      </w:r>
      <w:bookmarkEnd w:id="86"/>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5.4.1 在本章第5.3.1项规定的投标截止时间前，投标人可以修改或撤回已递交的投标文件，但应以书面形式或政采云平台通知采购代理机构。</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5.4.2 投标人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spacing w:line="360" w:lineRule="auto"/>
        <w:ind w:firstLine="411" w:firstLineChars="196"/>
        <w:rPr>
          <w:rFonts w:hint="eastAsia" w:ascii="宋体" w:hAnsi="宋体"/>
          <w:color w:val="auto"/>
          <w:szCs w:val="21"/>
          <w:highlight w:val="none"/>
        </w:rPr>
      </w:pPr>
      <w:bookmarkStart w:id="87" w:name="_Toc183682368"/>
      <w:bookmarkStart w:id="88" w:name="_Toc217446056"/>
      <w:bookmarkStart w:id="89" w:name="_Toc77400782"/>
      <w:bookmarkStart w:id="90" w:name="_Toc183582231"/>
      <w:bookmarkStart w:id="91" w:name="_Toc89075878"/>
      <w:r>
        <w:rPr>
          <w:rFonts w:hint="eastAsia" w:ascii="宋体" w:hAnsi="宋体"/>
          <w:color w:val="auto"/>
          <w:szCs w:val="21"/>
          <w:highlight w:val="none"/>
        </w:rPr>
        <w:t>5.4.3 投标人撤回投标文件的，采购代理机构自收到投标人书面撤回通知之日起5个工作日内退还已收取的投标保证金。</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5.4.5 在投标截止时间之后，投标人不得对其递交的投标文件做任何修改或撤销投标。</w:t>
      </w:r>
    </w:p>
    <w:p>
      <w:pPr>
        <w:pStyle w:val="6"/>
        <w:spacing w:before="240" w:beforeLines="100" w:after="120" w:afterLines="50" w:line="360" w:lineRule="auto"/>
        <w:ind w:firstLine="0"/>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6.开标</w:t>
      </w:r>
      <w:bookmarkEnd w:id="87"/>
      <w:bookmarkEnd w:id="88"/>
      <w:bookmarkEnd w:id="89"/>
      <w:bookmarkEnd w:id="90"/>
      <w:bookmarkEnd w:id="91"/>
    </w:p>
    <w:p>
      <w:pPr>
        <w:spacing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6.1开标时间和地点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6.1.1 采购代理机构在投标人须知前附表中规定的投标截止时间（开标时间）和地点公开开标，并邀请采购人、所有投标人派代表准时参加并签到以证明其出席。</w:t>
      </w:r>
    </w:p>
    <w:p>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6.1.2 投标人未参加开标的，视同认可开标结果。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6.1.3 开标时，采购代理机构邀请有关监督管理机构对开标进行现场监督。</w:t>
      </w:r>
      <w:bookmarkStart w:id="92" w:name="_Toc217446058"/>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6.1.4 投标人不足3家的，不得开标。</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6.2 开标程序</w:t>
      </w:r>
      <w:bookmarkEnd w:id="92"/>
    </w:p>
    <w:p>
      <w:pPr>
        <w:pStyle w:val="18"/>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6.2.1 开标由采购代理机构主持。主持人按照招标文件规定的开标时间宣布开标，并按下列程序进行（但不限于）：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（1）宣布开标开始和开启录音录像设备并致辞；</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（2）宣布开标纪律和有关注意事项；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（3）公布在投标截止时间前递交投标文件的投标人名称；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（4）宣布开标人、唱标人、监标人、记录人等有关工作人员和现场监督人员姓名；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开标唱标：主持人宣布开标后，由唱标人对其中“开标一览表”的采购项目编号、投标人名称、投标总价、合同履行期限等内容进行宣读并做开标记录；所有投标唱标完毕，无异议后，由投标人法定代表人或委托代理人及监督管理机构代表签字确认唱标内容；</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（7）宣布开标结束：主持人宣布开标结束后，</w:t>
      </w:r>
      <w:r>
        <w:rPr>
          <w:rFonts w:hint="eastAsia" w:ascii="宋体"/>
          <w:color w:val="auto"/>
          <w:szCs w:val="21"/>
          <w:highlight w:val="none"/>
        </w:rPr>
        <w:t>所有投标人应保持通讯设备的畅通，以方便在评标过程中评标委员会要求投标人对投标文件的必要澄清。</w:t>
      </w:r>
    </w:p>
    <w:p>
      <w:pPr>
        <w:spacing w:line="360" w:lineRule="auto"/>
        <w:ind w:firstLine="420" w:firstLineChars="200"/>
        <w:rPr>
          <w:rFonts w:hint="eastAsia" w:ascii="宋体"/>
          <w:color w:val="auto"/>
          <w:szCs w:val="21"/>
          <w:highlight w:val="none"/>
        </w:rPr>
      </w:pPr>
      <w:bookmarkStart w:id="93" w:name="_Toc217446059"/>
      <w:r>
        <w:rPr>
          <w:rFonts w:hint="eastAsia" w:ascii="宋体" w:hAnsi="宋体"/>
          <w:color w:val="auto"/>
          <w:szCs w:val="21"/>
          <w:highlight w:val="none"/>
        </w:rPr>
        <w:t xml:space="preserve">6.2.2 </w:t>
      </w:r>
      <w:r>
        <w:rPr>
          <w:rFonts w:hint="eastAsia" w:ascii="宋体"/>
          <w:color w:val="auto"/>
          <w:szCs w:val="21"/>
          <w:highlight w:val="none"/>
        </w:rPr>
        <w:t>检查投标文件密封情况是指，由投标人或者其推选的代表检查其自己递交的投标文件的密封情况，经检查无误后，签字确认。</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pPr>
        <w:spacing w:before="240" w:beforeLines="100" w:after="120" w:afterLines="50" w:line="360" w:lineRule="auto"/>
        <w:rPr>
          <w:rFonts w:hint="eastAsia" w:ascii="宋体" w:hAnsi="宋体"/>
          <w:b/>
          <w:color w:val="auto"/>
          <w:sz w:val="36"/>
          <w:szCs w:val="36"/>
          <w:highlight w:val="none"/>
        </w:rPr>
      </w:pPr>
      <w:r>
        <w:rPr>
          <w:rFonts w:hint="eastAsia" w:ascii="宋体" w:hAnsi="宋体"/>
          <w:b/>
          <w:color w:val="auto"/>
          <w:sz w:val="36"/>
          <w:szCs w:val="36"/>
          <w:highlight w:val="none"/>
        </w:rPr>
        <w:t>7. 投标人资格审查</w:t>
      </w:r>
    </w:p>
    <w:p>
      <w:pPr>
        <w:spacing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7.1 资格审查小组</w:t>
      </w:r>
    </w:p>
    <w:p>
      <w:pPr>
        <w:spacing w:line="360" w:lineRule="auto"/>
        <w:ind w:firstLine="310" w:firstLineChars="147"/>
        <w:rPr>
          <w:rFonts w:hint="eastAsia"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7.1.1 采购人依法对投标人的资格进行审查。</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7.1.2 资格审查小组，由采购人完成。</w:t>
      </w:r>
    </w:p>
    <w:p>
      <w:pPr>
        <w:tabs>
          <w:tab w:val="left" w:pos="0"/>
        </w:tabs>
        <w:adjustRightInd w:val="0"/>
        <w:snapToGrid w:val="0"/>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7.2 资格审查办法</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7.2.1 资格审查在开标结束之后评标开始之前进行。</w:t>
      </w:r>
    </w:p>
    <w:p>
      <w:pPr>
        <w:tabs>
          <w:tab w:val="left" w:pos="0"/>
        </w:tabs>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olor w:val="auto"/>
          <w:szCs w:val="21"/>
          <w:highlight w:val="none"/>
        </w:rPr>
        <w:t>7.2.2 资格审查小组将依据投标人投标文件之资格审查部分文件，按照本章第3.1.1项所述资格要求对投标人进行资格审查，以确定其是否具备相应资格。</w:t>
      </w:r>
      <w:r>
        <w:rPr>
          <w:rFonts w:hint="eastAsia" w:ascii="宋体" w:hAnsi="宋体" w:cs="宋体"/>
          <w:color w:val="auto"/>
          <w:kern w:val="0"/>
          <w:szCs w:val="21"/>
          <w:highlight w:val="none"/>
        </w:rPr>
        <w:t>如果投标人不具备资格、不满足招标文件所规定的资格条件,将被视为未实质性响应招标文件,按无效投标处理。</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7.2.3 信用信息查询时间截至时点，见投标人须知前附表，其查询结果在投标人限制性资格条件审查时使用。</w:t>
      </w:r>
    </w:p>
    <w:p>
      <w:pPr>
        <w:tabs>
          <w:tab w:val="left" w:pos="0"/>
        </w:tabs>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s="宋体"/>
          <w:color w:val="auto"/>
          <w:kern w:val="0"/>
          <w:szCs w:val="21"/>
          <w:highlight w:val="none"/>
        </w:rPr>
        <w:t>7.2.4 资格审查小组按下列程序进行资格审查：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（1）投标人基本资格条件审查；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（2）投标人限制性资格条件审查；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（3）编写投标人资格审查报告。</w:t>
      </w:r>
    </w:p>
    <w:p>
      <w:pPr>
        <w:tabs>
          <w:tab w:val="left" w:pos="0"/>
        </w:tabs>
        <w:adjustRightInd w:val="0"/>
        <w:snapToGrid w:val="0"/>
        <w:spacing w:line="360" w:lineRule="auto"/>
        <w:ind w:firstLine="426" w:firstLineChars="202"/>
        <w:rPr>
          <w:rFonts w:hint="eastAsia" w:ascii="宋体" w:hAnsi="宋体" w:cs="宋体"/>
          <w:b/>
          <w:color w:val="auto"/>
          <w:kern w:val="0"/>
          <w:szCs w:val="21"/>
          <w:highlight w:val="none"/>
        </w:rPr>
      </w:pPr>
      <w:r>
        <w:rPr>
          <w:rFonts w:hint="eastAsia" w:ascii="宋体" w:hAnsi="宋体" w:cs="宋体"/>
          <w:b/>
          <w:color w:val="auto"/>
          <w:kern w:val="0"/>
          <w:szCs w:val="21"/>
          <w:highlight w:val="none"/>
        </w:rPr>
        <w:t>7.2.5 投标人基本资格条件的审查</w:t>
      </w:r>
    </w:p>
    <w:p>
      <w:pPr>
        <w:tabs>
          <w:tab w:val="left" w:pos="0"/>
        </w:tabs>
        <w:adjustRightInd w:val="0"/>
        <w:snapToGrid w:val="0"/>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7.2.5.1 审查方法：</w:t>
      </w:r>
    </w:p>
    <w:p>
      <w:pPr>
        <w:tabs>
          <w:tab w:val="left" w:pos="0"/>
        </w:tabs>
        <w:adjustRightInd w:val="0"/>
        <w:snapToGrid w:val="0"/>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单独审查</w:t>
      </w:r>
    </w:p>
    <w:p>
      <w:pPr>
        <w:tabs>
          <w:tab w:val="left" w:pos="0"/>
        </w:tabs>
        <w:adjustRightInd w:val="0"/>
        <w:snapToGrid w:val="0"/>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7.2.5.2 审查标准：</w:t>
      </w:r>
    </w:p>
    <w:p>
      <w:pPr>
        <w:tabs>
          <w:tab w:val="left" w:pos="0"/>
        </w:tabs>
        <w:adjustRightInd w:val="0"/>
        <w:snapToGrid w:val="0"/>
        <w:spacing w:line="360" w:lineRule="auto"/>
        <w:ind w:firstLine="829" w:firstLineChars="395"/>
        <w:rPr>
          <w:rFonts w:hint="eastAsia" w:ascii="宋体" w:hAnsi="宋体" w:cs="宋体"/>
          <w:color w:val="auto"/>
          <w:kern w:val="0"/>
          <w:szCs w:val="21"/>
          <w:highlight w:val="none"/>
        </w:rPr>
      </w:pPr>
      <w:r>
        <w:rPr>
          <w:rFonts w:hint="eastAsia" w:ascii="宋体" w:hAnsi="宋体" w:cs="宋体"/>
          <w:color w:val="auto"/>
          <w:kern w:val="0"/>
          <w:szCs w:val="21"/>
          <w:highlight w:val="none"/>
        </w:rPr>
        <w:t>资格审查小组将按下表所列举的审查标准对投标人基本资格条件进行</w:t>
      </w:r>
      <w:r>
        <w:rPr>
          <w:rFonts w:hint="eastAsia" w:ascii="宋体" w:cs="宋体"/>
          <w:bCs/>
          <w:color w:val="auto"/>
          <w:szCs w:val="21"/>
          <w:highlight w:val="none"/>
        </w:rPr>
        <w:t>审查，投标人若</w:t>
      </w:r>
      <w:r>
        <w:rPr>
          <w:rFonts w:hint="eastAsia" w:ascii="宋体" w:hAnsi="宋体" w:cs="宋体"/>
          <w:color w:val="auto"/>
          <w:kern w:val="0"/>
          <w:szCs w:val="21"/>
          <w:highlight w:val="none"/>
        </w:rPr>
        <w:t>有一项不合格，即判定其基本资格条件审查结果为不合格，将不具备投标资格，按无效投标处理。</w:t>
      </w: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888"/>
        <w:gridCol w:w="2333"/>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82" w:type="dxa"/>
            <w:noWrap w:val="0"/>
            <w:vAlign w:val="center"/>
          </w:tcPr>
          <w:p>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888" w:type="dxa"/>
            <w:noWrap w:val="0"/>
            <w:vAlign w:val="center"/>
          </w:tcPr>
          <w:p>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2333" w:type="dxa"/>
            <w:noWrap w:val="0"/>
            <w:vAlign w:val="center"/>
          </w:tcPr>
          <w:p>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c>
          <w:tcPr>
            <w:tcW w:w="786" w:type="dxa"/>
            <w:noWrap w:val="0"/>
            <w:vAlign w:val="center"/>
          </w:tcPr>
          <w:p>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r>
              <w:rPr>
                <w:rFonts w:hint="eastAsia" w:ascii="Times New Roman" w:hAnsi="Times New Roman" w:eastAsia="宋体" w:cs="Times New Roman"/>
                <w:b w:val="0"/>
                <w:bCs w:val="0"/>
                <w:kern w:val="2"/>
                <w:sz w:val="21"/>
                <w:szCs w:val="24"/>
                <w:highlight w:val="none"/>
                <w:lang w:val="en-US" w:eastAsia="zh-CN" w:bidi="ar-SA"/>
              </w:rPr>
              <w:t>投标人为企业法人应提供合法有效的标识有统一社会信用代码的营业执照；事业法人应提供事业单位法人证书；其他组织应提供合法登记证明文件；</w:t>
            </w:r>
          </w:p>
        </w:tc>
        <w:tc>
          <w:tcPr>
            <w:tcW w:w="2333" w:type="dxa"/>
            <w:noWrap w:val="0"/>
            <w:vAlign w:val="center"/>
          </w:tcPr>
          <w:p>
            <w:pPr>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jc w:val="center"/>
              <w:rPr>
                <w:rFonts w:hint="eastAsia" w:ascii="宋体" w:hAnsi="宋体" w:eastAsia="宋体" w:cs="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r>
              <w:rPr>
                <w:rFonts w:hint="eastAsia" w:ascii="Times New Roman" w:hAnsi="Times New Roman" w:eastAsia="宋体" w:cs="Times New Roman"/>
                <w:b w:val="0"/>
                <w:bCs w:val="0"/>
                <w:kern w:val="2"/>
                <w:sz w:val="21"/>
                <w:szCs w:val="24"/>
                <w:highlight w:val="none"/>
                <w:lang w:val="en-US" w:eastAsia="zh-CN" w:bidi="ar-SA"/>
              </w:rPr>
              <w:t>法定代表人（负责人）参加提供法定代表人（负责人）身份证明书及身份证（授权委托人参加提供法定代表人（负责人）授权委托书及被委托人身份证）；</w:t>
            </w:r>
          </w:p>
        </w:tc>
        <w:tc>
          <w:tcPr>
            <w:tcW w:w="2333" w:type="dxa"/>
            <w:noWrap w:val="0"/>
            <w:vAlign w:val="center"/>
          </w:tcPr>
          <w:p>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r>
              <w:rPr>
                <w:rFonts w:hint="eastAsia" w:ascii="Times New Roman" w:hAnsi="Times New Roman" w:eastAsia="宋体" w:cs="Times New Roman"/>
                <w:b w:val="0"/>
                <w:bCs w:val="0"/>
                <w:kern w:val="2"/>
                <w:sz w:val="21"/>
                <w:szCs w:val="24"/>
                <w:highlight w:val="none"/>
                <w:lang w:val="en-US" w:eastAsia="zh-CN" w:bidi="ar-SA"/>
              </w:rPr>
              <w:t>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tc>
        <w:tc>
          <w:tcPr>
            <w:tcW w:w="2333" w:type="dxa"/>
            <w:noWrap w:val="0"/>
            <w:vAlign w:val="center"/>
          </w:tcPr>
          <w:p>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4</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投标人提供近半年内已缴存的至少一个月的社会保障资金缴存单据或社保机构开具的社会保险参保缴费情况证明，依法不需要缴纳社会保障资金的投标人应提供相关文件证明</w:t>
            </w:r>
          </w:p>
        </w:tc>
        <w:tc>
          <w:tcPr>
            <w:tcW w:w="2333" w:type="dxa"/>
            <w:noWrap w:val="0"/>
            <w:vAlign w:val="center"/>
          </w:tcPr>
          <w:p>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投标人提供2022年的财务审计报告（成立时间至提交投标文件截止时间不足一年的可提供成立后任意时段的资产负债表），或其开标前三个月内基本存款账户开户银行出具的资信证明及基本存款账户开户证明；</w:t>
            </w:r>
          </w:p>
        </w:tc>
        <w:tc>
          <w:tcPr>
            <w:tcW w:w="2333"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6</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tc>
        <w:tc>
          <w:tcPr>
            <w:tcW w:w="2333"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2"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7</w:t>
            </w:r>
          </w:p>
        </w:tc>
        <w:tc>
          <w:tcPr>
            <w:tcW w:w="4888"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val="0"/>
                <w:bCs w:val="0"/>
                <w:kern w:val="2"/>
                <w:sz w:val="21"/>
                <w:szCs w:val="24"/>
                <w:highlight w:val="none"/>
                <w:lang w:val="en-US" w:eastAsia="zh-CN" w:bidi="ar-SA"/>
              </w:rPr>
              <w:t>投标人应具备良好的商业信誉，提供参加政府采购活动前3年内在经营活动中没有重大违法记录的书面声明；</w:t>
            </w:r>
          </w:p>
        </w:tc>
        <w:tc>
          <w:tcPr>
            <w:tcW w:w="2333" w:type="dxa"/>
            <w:noWrap w:val="0"/>
            <w:vAlign w:val="center"/>
          </w:tcPr>
          <w:p>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合法有效</w:t>
            </w:r>
          </w:p>
        </w:tc>
        <w:tc>
          <w:tcPr>
            <w:tcW w:w="786" w:type="dxa"/>
            <w:noWrap w:val="0"/>
            <w:vAlign w:val="center"/>
          </w:tcPr>
          <w:p>
            <w:pPr>
              <w:tabs>
                <w:tab w:val="left" w:pos="0"/>
              </w:tabs>
              <w:adjustRightInd w:val="0"/>
              <w:snapToGrid w:val="0"/>
              <w:rPr>
                <w:rFonts w:hint="eastAsia" w:ascii="宋体" w:hAnsi="宋体" w:eastAsia="宋体" w:cs="宋体"/>
                <w:color w:val="auto"/>
                <w:kern w:val="0"/>
                <w:sz w:val="21"/>
                <w:szCs w:val="21"/>
                <w:highlight w:val="none"/>
                <w:lang w:val="en-US" w:eastAsia="zh-CN" w:bidi="ar-SA"/>
              </w:rPr>
            </w:pPr>
          </w:p>
        </w:tc>
      </w:tr>
    </w:tbl>
    <w:p>
      <w:pPr>
        <w:tabs>
          <w:tab w:val="left" w:pos="0"/>
        </w:tabs>
        <w:adjustRightInd w:val="0"/>
        <w:snapToGrid w:val="0"/>
        <w:spacing w:line="360" w:lineRule="auto"/>
        <w:ind w:firstLine="405"/>
        <w:rPr>
          <w:rFonts w:hint="eastAsia" w:ascii="宋体" w:hAnsi="宋体" w:cs="宋体"/>
          <w:b/>
          <w:color w:val="auto"/>
          <w:kern w:val="0"/>
          <w:szCs w:val="21"/>
          <w:highlight w:val="none"/>
        </w:rPr>
      </w:pPr>
      <w:r>
        <w:rPr>
          <w:rFonts w:hint="eastAsia" w:ascii="宋体" w:hAnsi="宋体" w:cs="宋体"/>
          <w:b/>
          <w:color w:val="auto"/>
          <w:kern w:val="0"/>
          <w:szCs w:val="21"/>
          <w:highlight w:val="none"/>
        </w:rPr>
        <w:t>7.2.6 投标人限制性资格条件审查</w:t>
      </w:r>
    </w:p>
    <w:p>
      <w:pPr>
        <w:tabs>
          <w:tab w:val="left" w:pos="0"/>
        </w:tabs>
        <w:adjustRightInd w:val="0"/>
        <w:snapToGrid w:val="0"/>
        <w:spacing w:line="360" w:lineRule="auto"/>
        <w:ind w:firstLine="405"/>
        <w:rPr>
          <w:rFonts w:hint="eastAsia" w:ascii="宋体" w:hAnsi="宋体" w:cs="宋体"/>
          <w:color w:val="auto"/>
          <w:kern w:val="0"/>
          <w:szCs w:val="21"/>
          <w:highlight w:val="none"/>
        </w:rPr>
      </w:pPr>
      <w:r>
        <w:rPr>
          <w:rFonts w:hint="eastAsia" w:ascii="宋体" w:hAnsi="宋体" w:cs="宋体"/>
          <w:color w:val="auto"/>
          <w:kern w:val="0"/>
          <w:szCs w:val="21"/>
          <w:highlight w:val="none"/>
        </w:rPr>
        <w:t>7.2.6.1 审查方法：</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（1）资格审查小组将通过信用中国网（http://www.creditchina.gov.cn/）和中国政府采购网（网址：http://www.ccgp.gov.cn/cr/list）对投标人的信用信息进行查询核实。</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（2）资格审查小组将通过投标人投标文件之资格审查部分文件和国家企业信用信息公示系统（http://www.gsxt.gov.cn/index.html）对投标人之间存在隶属关系或者其他利害关系进行相关信息的核实。</w:t>
      </w:r>
    </w:p>
    <w:p>
      <w:pPr>
        <w:tabs>
          <w:tab w:val="left" w:pos="0"/>
        </w:tabs>
        <w:adjustRightInd w:val="0"/>
        <w:snapToGrid w:val="0"/>
        <w:spacing w:line="360" w:lineRule="auto"/>
        <w:ind w:firstLine="405"/>
        <w:rPr>
          <w:rFonts w:hint="eastAsia" w:ascii="宋体" w:hAnsi="宋体" w:cs="宋体"/>
          <w:color w:val="auto"/>
          <w:kern w:val="0"/>
          <w:szCs w:val="21"/>
          <w:highlight w:val="none"/>
        </w:rPr>
      </w:pPr>
      <w:r>
        <w:rPr>
          <w:rFonts w:hint="eastAsia" w:ascii="宋体" w:hAnsi="宋体" w:cs="宋体"/>
          <w:color w:val="auto"/>
          <w:kern w:val="0"/>
          <w:szCs w:val="21"/>
          <w:highlight w:val="none"/>
        </w:rPr>
        <w:t>7.2.6.2 审查标准：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投标人存在下列情形之一的，审查不予通过，即判定其限制性资格条件审查结果为不合格，将不具备投标资格，按无效投标处理：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（1）与采购人、采购代理机构存在隶属关系或者其他利害关系，且可能影响招标公正性；</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（2）与本采购项目其他投标人的法定代表人（或者负责人）为同一人；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（3）与本采购项目其他投标人存在控股、管理关系；</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（4）为本项目采购代理机构；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（5）为本项目代理投标的为其采购代理机构；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（6）为本项目提供整体设计、规范编制或者项目管理、监理、检测、咨询服务；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（7）近3年受到刑事处罚；</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（8）近3年内受到财政部门3万元以上罚款或其他行政部门较大数额罚款行政处罚（举行听证会的）；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（9）近3年被责令停产停业、暂扣或者吊销许可证、暂扣或者吊销执照的行政处罚；</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（10）被列入严重失信被执行人名单；</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（11）被列入</w:t>
      </w:r>
      <w:r>
        <w:rPr>
          <w:rFonts w:hint="eastAsia" w:ascii="宋体" w:hAnsi="宋体" w:cs="宋体"/>
          <w:color w:val="auto"/>
          <w:kern w:val="0"/>
          <w:szCs w:val="21"/>
          <w:highlight w:val="none"/>
          <w:lang w:eastAsia="zh-CN"/>
        </w:rPr>
        <w:t>重大税收违法失信主体</w:t>
      </w:r>
      <w:r>
        <w:rPr>
          <w:rFonts w:hint="eastAsia" w:ascii="宋体" w:hAnsi="宋体" w:cs="宋体"/>
          <w:color w:val="auto"/>
          <w:kern w:val="0"/>
          <w:szCs w:val="21"/>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（12）被禁止在一至三年内参加政府采购活动或存在财政部门认定的其他重大违法记录；</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（13）法律法规规定的其他情形。</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7.2.7 资格审查报告</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7.2.7.1 资格审查报告由资格审查小组负责编制，以采购代理机构名义向采购人提交，其附表《投标人资格审查表》应当经资格审查小组全体成员签字确认。资格审查报告在采购人盖章确认后随采购文件一并存档。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7.2.7.2 信用查询结果的截屏资料，通过电子文件保存至光盘，作为资格审查报告附件随采购文件一起存档。</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7.2.8 合格投标人不足3家的，不得评标。</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7.2.9 不合格的投标人，不得进入评标环节。</w:t>
      </w:r>
    </w:p>
    <w:p>
      <w:pPr>
        <w:spacing w:before="120" w:beforeLines="50" w:after="120" w:afterLines="50" w:line="360" w:lineRule="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8.评标</w:t>
      </w:r>
      <w:bookmarkEnd w:id="93"/>
    </w:p>
    <w:p>
      <w:pPr>
        <w:spacing w:after="120" w:afterLines="50" w:line="360" w:lineRule="auto"/>
        <w:ind w:left="120" w:leftChars="50" w:hanging="15" w:hangingChars="5"/>
        <w:rPr>
          <w:rFonts w:hint="eastAsia" w:ascii="宋体" w:hAnsi="宋体"/>
          <w:color w:val="auto"/>
          <w:sz w:val="30"/>
          <w:szCs w:val="30"/>
          <w:highlight w:val="none"/>
        </w:rPr>
      </w:pPr>
      <w:r>
        <w:rPr>
          <w:rFonts w:hint="eastAsia" w:ascii="宋体" w:hAnsi="宋体"/>
          <w:b/>
          <w:color w:val="auto"/>
          <w:sz w:val="30"/>
          <w:szCs w:val="30"/>
          <w:highlight w:val="none"/>
        </w:rPr>
        <w:t>8.1 评标委员会</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8.1.1 评标由采购代理机构依法组建的评标委员会负责。评标委员会由采购人代表和评审专家组成，成员由5人以上单数组成。其中评审专家不得少于成员总数的三分之二。采购预算金额在1000万元以上、技术复杂的项目或者社会影响较大的项目，评标委员会成员应当为7人以上。评审专家人选在省级</w:t>
      </w:r>
      <w:r>
        <w:rPr>
          <w:rFonts w:hint="eastAsia" w:ascii="宋体" w:hAnsi="宋体" w:cs="宋体"/>
          <w:color w:val="auto"/>
          <w:kern w:val="0"/>
          <w:szCs w:val="21"/>
          <w:highlight w:val="none"/>
          <w:lang w:val="en-US" w:eastAsia="zh-CN"/>
        </w:rPr>
        <w:t>主管</w:t>
      </w:r>
      <w:r>
        <w:rPr>
          <w:rFonts w:hint="eastAsia" w:ascii="宋体" w:hAnsi="宋体" w:cs="宋体"/>
          <w:color w:val="auto"/>
          <w:kern w:val="0"/>
          <w:szCs w:val="21"/>
          <w:highlight w:val="none"/>
        </w:rPr>
        <w:t>部门设立的采购评审专家库中随机抽取。</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对技术复杂、专业性强的采购项目，通过随机方式难以确定合适评审专家的，经主管预算单位同意，采购人或采购代理机构可以自行选定相应专业领域的评审专家。</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8.1.2 评标委员会成员到位后，推荐一名评审专家担任评标组长，并由评标组长牵头组织该项目评标工作，采购人代表，不得担任评标组长。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8.1.3 评委会成员有下列情形之一的，应当回避：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（1）采购人或投标人主要负责人的近亲属；</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（2）项目主管部门或者行政监督部门的人员；</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（3）与投标人有经济利益关系，可能影响对投标公正评审的；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）曾因在招标、评标以及其他与招标投标有关活动中从事违法行为而受过行政处罚或刑事处罚的。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cs="宋体"/>
          <w:color w:val="auto"/>
          <w:kern w:val="0"/>
          <w:szCs w:val="21"/>
          <w:highlight w:val="none"/>
          <w:lang w:val="zh-CN"/>
        </w:rPr>
        <w:t>采购代理机构</w:t>
      </w:r>
      <w:r>
        <w:rPr>
          <w:rFonts w:hint="eastAsia" w:ascii="宋体" w:hAnsi="宋体" w:cs="宋体"/>
          <w:color w:val="auto"/>
          <w:kern w:val="0"/>
          <w:szCs w:val="21"/>
          <w:highlight w:val="none"/>
        </w:rPr>
        <w:t>应当将变更、重新组建评标委员会的情况予以记录，并随采购文件一并存档。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8.1.5 评委会成员名单在中标结果公告前，应当保密。</w:t>
      </w:r>
    </w:p>
    <w:p>
      <w:pPr>
        <w:widowControl/>
        <w:autoSpaceDE w:val="0"/>
        <w:autoSpaceDN w:val="0"/>
        <w:spacing w:line="360" w:lineRule="auto"/>
        <w:ind w:right="51" w:firstLine="422" w:firstLineChars="200"/>
        <w:textAlignment w:val="bottom"/>
        <w:rPr>
          <w:rFonts w:hint="eastAsia"/>
          <w:color w:val="auto"/>
          <w:szCs w:val="21"/>
          <w:highlight w:val="none"/>
        </w:rPr>
      </w:pPr>
      <w:r>
        <w:rPr>
          <w:rFonts w:hint="eastAsia" w:ascii="宋体" w:hAnsi="宋体"/>
          <w:b/>
          <w:color w:val="auto"/>
          <w:szCs w:val="21"/>
          <w:highlight w:val="none"/>
        </w:rPr>
        <w:t xml:space="preserve">8.1.6  </w:t>
      </w:r>
      <w:r>
        <w:rPr>
          <w:b/>
          <w:color w:val="auto"/>
          <w:szCs w:val="21"/>
          <w:highlight w:val="none"/>
        </w:rPr>
        <w:t>评标委员会及其成员不得有下列行为：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（1）确定参与评标至评标结束前私自接触投标人；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（2）接受投标人提出的与投标文件不一致的澄清或者说明；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（3）违反评标纪律发表倾向性意见或者征询采购人的倾向性意见；</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（4）对需要专业判断的主观评审因素协商评分；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（5）在评标过程中擅离职守，影响评标程序正常进行的；</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（6）记录、复制或者带走任何评标资料；</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（7）其他不遵守评标纪律的行为。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评标委员会成员有前款第一至五项行为之一的，其评审意见无效，并不得获取评审劳务报酬和报销异地评审差旅费。</w:t>
      </w:r>
    </w:p>
    <w:p>
      <w:pPr>
        <w:spacing w:line="360" w:lineRule="auto"/>
        <w:rPr>
          <w:rFonts w:hint="eastAsia" w:ascii="宋体" w:hAnsi="宋体"/>
          <w:color w:val="auto"/>
          <w:sz w:val="30"/>
          <w:szCs w:val="30"/>
          <w:highlight w:val="none"/>
        </w:rPr>
      </w:pPr>
      <w:r>
        <w:rPr>
          <w:rFonts w:hint="eastAsia" w:ascii="宋体" w:hAnsi="宋体"/>
          <w:b/>
          <w:color w:val="auto"/>
          <w:sz w:val="30"/>
          <w:szCs w:val="30"/>
          <w:highlight w:val="none"/>
        </w:rPr>
        <w:t>8.2 评标原则</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8.2.1“客观、公正、审慎”为本次评标的基本原则，评标委员会按照这一原则的要求，公正、平等地对待各投标人。同时，在评审中恪守以下原则：</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（1）统一性原则：评标委员会将按照统一的评标原则和评审方法，用统一标准进行评审。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（2）独立性原则：评标工作在评标委员会内部独立进行，不受外界任何因素的干扰和影响。评标委员会成员对其出具的意见承担个人责任。投标</w:t>
      </w:r>
      <w:r>
        <w:rPr>
          <w:rFonts w:hint="eastAsia" w:ascii="宋体" w:hAnsi="宋体" w:cs="宋体"/>
          <w:color w:val="auto"/>
          <w:kern w:val="0"/>
          <w:szCs w:val="21"/>
          <w:highlight w:val="none"/>
        </w:rPr>
        <w:t>人试图影响或干预评审的任何行为，将导致其丧失投标的资格，并承担相应的法律责任。</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（3）客观性原则：评标委员会将严格按照招标文件要求，对投标人的投标文件进行认真评审；评标委员会对投标文件的评审仅依据投标文件本身，而不依据投标文件以外的任何因素。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（4）保密性原则：采购代理机构应当采取必要的措施，保证评标在严格保密情况下进行。</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）综合性原则：评标委员会将综合分析、评审投标人的各项指标，而不以单项指标的优劣评定出中标人。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8.2.2 评标委员会有权对整个招标过程中出现的一切问题，根据《中华人民共和国政府采购法》及实施条例和《政府采购货物和服务招标投标管理办法》等相关规定进行处理。</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8.3 评标</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8.3.1 评标委员会按照招标文件第三章“评标办法”规定的方法、评审因素、标准和程序对投标文件进行评审。第三章“评标办法”没有规定的方法、评审因素和标准，不作为评标依据。</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8.3.2 评标委员会负责具体评标事务，并独立履行下列职责：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（1）审查、评价投标文件是否符合招标文件的商务、技术、服务等实质性要求；</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（2）要求投标人对投标文件有关事项作出澄清或者说明；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（3）对投标文件进行比较和评价；</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（4）确定中标候选人名单，以及根据采购人委托直接确定中标人；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（5）向采购人、采购代理机构或者有关部门报告评标中发现的违法行为。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8.3.3评标委员会成员应当履行下列义务：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（1）遵纪守法，客观、公正、廉洁地履行职责；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（2）根据采购文件的规定独立进行评审，对个人的评审意见承担法律责任；</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（3）参与评标报告的起草；</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（4）配合采购人、采购代理机构答复投标人提出的质疑；</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（5）配合财政部门的投诉处理和监督检查工作。</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8.3.4 采购代理机构负责组织评标工作并履行下列职责：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（1）核对评审专家身份和采购人代表授权函，对评审专家在采购活动中的职责履行情况予以记录，并及时将有关违法违规行为向财政部门报告；</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（2）宣布评标纪律和开启录音录像设备；</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（3）公布投标人名单，告知评标专家应当回避的情形；</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（4）组织评标委员会推选评标组长，采购人代表不得担任组长；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（5）在评标期间采取必要的通讯管理措施，保证评标活动不受外界干扰；</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（6）根据评标委员会的要求介绍采购相关政策法规、招标文件；</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（7）维护评标秩序，监督评标委员会依照评标文件规定的评审程序、方法和标准进行独立评审，及时制止和纠正采购人代表、评审专家的倾向性言论或违法违规行为； </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（8）核对评标结果，有《政府采购货物和服务招标投标管理办法》第六十四条规定情形的，要求评标委员会复核或书面说明理由，评标委员会拒绝的，应予记录并向本级财政部门报告；</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（9）评审工作完成后，按照规定向评审专家支付劳务报酬和异地评审差旅费，不得向评审专家以外的其他人员支付评审劳务报酬；</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（10）处理与评标有关的其他事项。</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8.3.5 采购人可以在评标前介绍项目背景和采购需求，介绍内容不得含有歧视性、倾向性意见，不得超出招标文件所述范围。介绍应当提交书面介绍材料，并随采购文件一并存档。</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8.3.6评标过程严格保密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8.3.6.1 采购人、采购代理机构应当采取必要措施，保证评标在严格保密的情况下进行。除采购人代表、评标现场组织人员外，采购人的其他工作人员以及与评标工作无关的人员不得进入评标现场。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8.3.6.2 有关人员对评标情况以及在评标过程中获悉的国家秘密、商业秘密负有保密责任。开标后，直至授予中标人合同为止，凡属于对投标文件的审查、澄清、评价和比较的有关资料以及中标候选人的推荐情况，与评标有关的其他任何情况均严格保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8.3.7 投标人对评标委员会的评标过程或合同授予决定施加影响的任何行为都可能导致其投标被拒绝。</w:t>
      </w:r>
      <w:bookmarkStart w:id="94" w:name="_Toc217446060"/>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8.3.8 评标完成后，评标委员会应当向采购人提交书面评标报告，并由采购代理机构转送。</w:t>
      </w:r>
    </w:p>
    <w:p>
      <w:pPr>
        <w:spacing w:before="120" w:beforeLines="50" w:after="120" w:afterLines="50" w:line="360" w:lineRule="auto"/>
        <w:rPr>
          <w:rFonts w:hint="eastAsia" w:ascii="黑体" w:hAnsi="宋体" w:eastAsia="黑体"/>
          <w:color w:val="auto"/>
          <w:sz w:val="36"/>
          <w:szCs w:val="36"/>
          <w:highlight w:val="none"/>
        </w:rPr>
      </w:pPr>
      <w:r>
        <w:rPr>
          <w:rFonts w:hint="eastAsia" w:ascii="黑体" w:hAnsi="宋体" w:eastAsia="黑体"/>
          <w:color w:val="auto"/>
          <w:sz w:val="36"/>
          <w:szCs w:val="36"/>
          <w:highlight w:val="none"/>
        </w:rPr>
        <w:t>9.定标</w:t>
      </w:r>
      <w:bookmarkEnd w:id="94"/>
      <w:bookmarkStart w:id="95" w:name="_Toc217446061"/>
    </w:p>
    <w:p>
      <w:pPr>
        <w:spacing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9.1 定标原则</w:t>
      </w:r>
      <w:bookmarkEnd w:id="95"/>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采购人或其授权的评标委员会按照评标报告中推荐的中标候选人名单，按顺序确定中标人。</w:t>
      </w:r>
      <w:bookmarkStart w:id="96" w:name="_Toc217446062"/>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9.2 定标程序</w:t>
      </w:r>
      <w:bookmarkEnd w:id="96"/>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9.2.1评标委员会将评标情况写出书面报告，推荐3个中标候选人，并按照综合得分高低标明排列顺序。得分相同的，按投标报价由低到高顺序排列；得分且投标报价相同的并列。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9.2.2 采购代理机构在评标结束后2个工作日内将评标报告送采购人。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9.2.3 采购人应当在收到评标报告后5个工作日内，按照评标报告中推荐的中标候选人顺序和有关规定确定中标人，第一名中标候选人并列的，由采购人根据</w:t>
      </w:r>
      <w:r>
        <w:rPr>
          <w:rFonts w:hint="eastAsia" w:ascii="宋体" w:hAnsi="宋体"/>
          <w:color w:val="auto"/>
          <w:szCs w:val="21"/>
          <w:highlight w:val="none"/>
          <w:u w:val="single"/>
        </w:rPr>
        <w:t>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color w:val="auto"/>
          <w:szCs w:val="21"/>
          <w:highlight w:val="none"/>
        </w:rPr>
        <w:t>。同时，将中标结果复函至采购代理机构。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shd w:val="clear" w:color="auto" w:fill="FFFFFF"/>
        </w:rPr>
        <w:t>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9.2.4 采购代理机构应当在接到采购人“定标”复函之日起2个工作日内，根据采购人确定的中标人，在省级以上财政部门指定的媒体上发布中标公告，同时向中标人发出《中标通知书》。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9.2.5 采购代理机构，应当</w:t>
      </w:r>
      <w:r>
        <w:rPr>
          <w:rFonts w:hint="eastAsia" w:ascii="宋体" w:hAnsi="宋体" w:cs="宋体"/>
          <w:color w:val="auto"/>
          <w:kern w:val="0"/>
          <w:szCs w:val="21"/>
          <w:highlight w:val="none"/>
        </w:rPr>
        <w:t>对未通过资格审查或未通符合性审查的投标人，告知其未通过的原因；采用综合评分法评审的，还应当告知未中标人本身的评审得分与排序。</w:t>
      </w:r>
    </w:p>
    <w:p>
      <w:pPr>
        <w:spacing w:before="120" w:beforeLines="50" w:after="120" w:afterLines="50" w:line="360" w:lineRule="auto"/>
        <w:rPr>
          <w:rFonts w:hint="eastAsia" w:ascii="宋体" w:hAnsi="宋体"/>
          <w:b/>
          <w:color w:val="auto"/>
          <w:sz w:val="30"/>
          <w:szCs w:val="30"/>
          <w:highlight w:val="none"/>
        </w:rPr>
      </w:pPr>
      <w:bookmarkStart w:id="97" w:name="_Toc183582238"/>
      <w:bookmarkStart w:id="98" w:name="_Toc183682375"/>
      <w:bookmarkStart w:id="99" w:name="_Toc217446063"/>
      <w:r>
        <w:rPr>
          <w:rFonts w:hint="eastAsia" w:ascii="宋体" w:hAnsi="宋体"/>
          <w:b/>
          <w:bCs/>
          <w:color w:val="auto"/>
          <w:sz w:val="30"/>
          <w:szCs w:val="30"/>
          <w:highlight w:val="none"/>
        </w:rPr>
        <w:t>9.3 中标通知</w:t>
      </w:r>
      <w:bookmarkEnd w:id="97"/>
      <w:bookmarkEnd w:id="98"/>
      <w:r>
        <w:rPr>
          <w:rFonts w:hint="eastAsia" w:ascii="宋体" w:hAnsi="宋体"/>
          <w:b/>
          <w:bCs/>
          <w:color w:val="auto"/>
          <w:sz w:val="30"/>
          <w:szCs w:val="30"/>
          <w:highlight w:val="none"/>
        </w:rPr>
        <w:t>书</w:t>
      </w:r>
      <w:bookmarkEnd w:id="99"/>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9.3.1 中标通知书为签订采购合同的依据之一，是合同的有效组成部分。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9.3.2 中标通知书对采购人和中标人均具有法律效力。中标通知书发出后，采购人不得违法改变中标结果，中标人无正当理由不得放弃中标。否则，应当承担相应的法律责任。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9.3.3 中标人应当在接到采购代理机构通知之日起2个工作日内领取《中标通知书》。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9.3.4 在《中标通知书》发出后，发现中标人有</w:t>
      </w:r>
      <w:r>
        <w:rPr>
          <w:rFonts w:hint="eastAsia" w:ascii="宋体" w:hAnsi="宋体"/>
          <w:color w:val="auto"/>
          <w:szCs w:val="21"/>
          <w:highlight w:val="none"/>
          <w:lang w:eastAsia="zh-CN"/>
        </w:rPr>
        <w:t>、</w:t>
      </w:r>
      <w:r>
        <w:rPr>
          <w:rFonts w:hint="eastAsia" w:ascii="宋体" w:hAnsi="宋体"/>
          <w:color w:val="auto"/>
          <w:szCs w:val="21"/>
          <w:highlight w:val="none"/>
        </w:rPr>
        <w:t>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pPr>
        <w:tabs>
          <w:tab w:val="left" w:pos="7665"/>
        </w:tabs>
        <w:spacing w:before="240" w:beforeLines="100" w:after="240" w:afterLines="100"/>
        <w:rPr>
          <w:rFonts w:hint="eastAsia" w:ascii="黑体" w:eastAsia="黑体"/>
          <w:color w:val="auto"/>
          <w:sz w:val="36"/>
          <w:szCs w:val="36"/>
          <w:highlight w:val="none"/>
        </w:rPr>
      </w:pPr>
      <w:bookmarkStart w:id="100" w:name="_Toc217446064"/>
      <w:bookmarkStart w:id="101" w:name="_Toc183582240"/>
      <w:bookmarkStart w:id="102" w:name="_Toc183682377"/>
      <w:r>
        <w:rPr>
          <w:rFonts w:hint="eastAsia" w:ascii="黑体" w:eastAsia="黑体"/>
          <w:color w:val="auto"/>
          <w:sz w:val="36"/>
          <w:szCs w:val="36"/>
          <w:highlight w:val="none"/>
        </w:rPr>
        <w:t>10.合同</w:t>
      </w:r>
      <w:bookmarkEnd w:id="100"/>
      <w:r>
        <w:rPr>
          <w:rFonts w:hint="eastAsia" w:ascii="黑体" w:eastAsia="黑体"/>
          <w:color w:val="auto"/>
          <w:sz w:val="36"/>
          <w:szCs w:val="36"/>
          <w:highlight w:val="none"/>
        </w:rPr>
        <w:t>授予</w:t>
      </w:r>
      <w:bookmarkStart w:id="103" w:name="_Toc217446065"/>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10.1 履约保证金</w:t>
      </w:r>
    </w:p>
    <w:p>
      <w:pPr>
        <w:tabs>
          <w:tab w:val="left" w:pos="7665"/>
        </w:tabs>
        <w:spacing w:line="360" w:lineRule="auto"/>
        <w:ind w:firstLine="482"/>
        <w:rPr>
          <w:rFonts w:hint="eastAsia" w:ascii="宋体" w:hAnsi="宋体"/>
          <w:color w:val="auto"/>
          <w:szCs w:val="21"/>
          <w:highlight w:val="none"/>
        </w:rPr>
      </w:pPr>
      <w:r>
        <w:rPr>
          <w:rFonts w:hint="eastAsia" w:ascii="宋体" w:hAnsi="宋体"/>
          <w:color w:val="auto"/>
          <w:szCs w:val="21"/>
          <w:highlight w:val="none"/>
        </w:rPr>
        <w:t>10.1.1 本项目需要提交履约保证金的，适用本条。</w:t>
      </w:r>
    </w:p>
    <w:p>
      <w:pPr>
        <w:tabs>
          <w:tab w:val="left" w:pos="7665"/>
        </w:tabs>
        <w:spacing w:line="360" w:lineRule="auto"/>
        <w:ind w:firstLine="482"/>
        <w:rPr>
          <w:rFonts w:hint="eastAsia" w:ascii="宋体" w:hAnsi="宋体"/>
          <w:color w:val="auto"/>
          <w:szCs w:val="21"/>
          <w:highlight w:val="none"/>
        </w:rPr>
      </w:pPr>
      <w:r>
        <w:rPr>
          <w:rFonts w:hint="eastAsia" w:ascii="宋体" w:hAnsi="宋体"/>
          <w:color w:val="auto"/>
          <w:szCs w:val="21"/>
          <w:highlight w:val="none"/>
        </w:rPr>
        <w:t>10.1.2</w:t>
      </w:r>
      <w:r>
        <w:rPr>
          <w:rFonts w:hint="eastAsia" w:ascii="宋体" w:hAnsi="宋体" w:cs="宋体"/>
          <w:color w:val="auto"/>
          <w:kern w:val="0"/>
          <w:szCs w:val="21"/>
          <w:highlight w:val="none"/>
        </w:rPr>
        <w:t xml:space="preserve"> </w:t>
      </w:r>
      <w:r>
        <w:rPr>
          <w:rFonts w:hint="eastAsia" w:ascii="宋体" w:hAnsi="宋体"/>
          <w:color w:val="auto"/>
          <w:szCs w:val="21"/>
          <w:highlight w:val="none"/>
        </w:rPr>
        <w:t>中标人在收到采购代理机构的中标通知书后10日内，应按照</w:t>
      </w:r>
      <w:r>
        <w:rPr>
          <w:rFonts w:hint="eastAsia" w:ascii="宋体" w:hAnsi="宋体"/>
          <w:b/>
          <w:color w:val="auto"/>
          <w:szCs w:val="21"/>
          <w:highlight w:val="none"/>
        </w:rPr>
        <w:t>投标人须知前附表</w:t>
      </w:r>
      <w:r>
        <w:rPr>
          <w:rFonts w:hint="eastAsia" w:ascii="宋体" w:hAnsi="宋体"/>
          <w:color w:val="auto"/>
          <w:szCs w:val="21"/>
          <w:highlight w:val="none"/>
        </w:rPr>
        <w:t>规定的形式、金额，向采购人提交履约保证金或履约担保。联合体中标的，履约保证金或履约担保由联合体各方或者联合体中牵头人的名义提交。</w:t>
      </w:r>
    </w:p>
    <w:p>
      <w:pPr>
        <w:tabs>
          <w:tab w:val="left" w:pos="7665"/>
        </w:tabs>
        <w:spacing w:line="360" w:lineRule="auto"/>
        <w:ind w:firstLine="482"/>
        <w:rPr>
          <w:rFonts w:hint="eastAsia" w:ascii="宋体" w:hAnsi="宋体"/>
          <w:b/>
          <w:color w:val="auto"/>
          <w:szCs w:val="21"/>
          <w:highlight w:val="none"/>
        </w:rPr>
      </w:pPr>
      <w:r>
        <w:rPr>
          <w:rFonts w:hint="eastAsia" w:ascii="宋体" w:hAnsi="宋体"/>
          <w:color w:val="auto"/>
          <w:szCs w:val="21"/>
          <w:highlight w:val="none"/>
        </w:rPr>
        <w:t>10.1.3 中标人</w:t>
      </w:r>
      <w:r>
        <w:rPr>
          <w:rFonts w:hint="eastAsia" w:ascii="宋体" w:hAnsi="宋体"/>
          <w:color w:val="auto"/>
          <w:spacing w:val="4"/>
          <w:szCs w:val="21"/>
          <w:highlight w:val="none"/>
        </w:rPr>
        <w:t>不能按照本章第10.1.2项规定</w:t>
      </w:r>
      <w:r>
        <w:rPr>
          <w:rFonts w:hint="eastAsia" w:ascii="宋体" w:hAnsi="宋体"/>
          <w:color w:val="auto"/>
          <w:szCs w:val="21"/>
          <w:highlight w:val="none"/>
        </w:rPr>
        <w:t>提交履约保证金或履约担保的</w:t>
      </w:r>
      <w:r>
        <w:rPr>
          <w:rFonts w:hint="eastAsia" w:ascii="宋体" w:hAnsi="宋体"/>
          <w:color w:val="auto"/>
          <w:spacing w:val="4"/>
          <w:szCs w:val="21"/>
          <w:highlight w:val="none"/>
        </w:rPr>
        <w:t>，视为放弃</w:t>
      </w:r>
      <w:r>
        <w:rPr>
          <w:rFonts w:hint="eastAsia" w:ascii="宋体" w:hAnsi="宋体"/>
          <w:color w:val="auto"/>
          <w:szCs w:val="21"/>
          <w:highlight w:val="none"/>
        </w:rPr>
        <w:t>中标资格</w:t>
      </w:r>
      <w:r>
        <w:rPr>
          <w:rFonts w:hint="eastAsia" w:ascii="宋体" w:hAnsi="宋体"/>
          <w:color w:val="auto"/>
          <w:spacing w:val="4"/>
          <w:szCs w:val="21"/>
          <w:highlight w:val="none"/>
        </w:rPr>
        <w:t>，</w:t>
      </w:r>
      <w:r>
        <w:rPr>
          <w:rFonts w:hint="eastAsia" w:ascii="宋体" w:hAnsi="宋体"/>
          <w:color w:val="auto"/>
          <w:spacing w:val="2"/>
          <w:szCs w:val="21"/>
          <w:highlight w:val="none"/>
        </w:rPr>
        <w:t>其投标保证金不予退还，给采购人造成的损失超过投标保证金金额的，中标人应当对超过部分予以赔偿。</w:t>
      </w:r>
    </w:p>
    <w:p>
      <w:pPr>
        <w:tabs>
          <w:tab w:val="left" w:pos="7665"/>
        </w:tabs>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10.2 签订合同</w:t>
      </w:r>
      <w:bookmarkEnd w:id="103"/>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 中标人应在《中标通知书》发出之日起30日内与采购人签订采购合同。中标人无正当理由拒签合同，或者在签订合同时向采购人提出附件条件，采购人有权取消其中标资格，其投标保证金不予退还，给采购人造成的损失超过投标保证金数额的，中标人应当对超过部分予以赔偿。采购人可以与排在中标人之后第一位的候选人签订采购合同，或者重新开展采购活动。拒绝签订采购合同的中标人不得参加对该项目重新开展的采购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 发出中标通知书后，采购人不得向中标人提出任何不合理要求，作为签订合的条件，不得与中标人私下订立背离合同实质性内容的任何协议，所签订的合同不得对招标文件确定的事项和中标人投标文件做实质性修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10.2.3中标人因不可抗力原因不能履行采购合同或放弃中标的，采购人可以与排在中标人之后第一位的中标候选人签订采购合同，以此类推。</w:t>
      </w:r>
      <w:bookmarkStart w:id="104" w:name="_Toc217446066"/>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10.2.4 联合体中标的，联合体各方应当与采购人签订采购合同，就中标项目向采购人承担连带责任。</w:t>
      </w:r>
    </w:p>
    <w:p>
      <w:pPr>
        <w:snapToGrid w:val="0"/>
        <w:spacing w:before="120" w:beforeLines="50" w:after="120" w:afterLines="50" w:line="360" w:lineRule="auto"/>
        <w:rPr>
          <w:rFonts w:hint="eastAsia" w:ascii="宋体" w:hAnsi="宋体"/>
          <w:b/>
          <w:bCs/>
          <w:color w:val="auto"/>
          <w:sz w:val="30"/>
          <w:szCs w:val="30"/>
          <w:highlight w:val="none"/>
        </w:rPr>
      </w:pPr>
      <w:bookmarkStart w:id="105" w:name="_Toc322606648"/>
      <w:r>
        <w:rPr>
          <w:rFonts w:hint="eastAsia" w:ascii="宋体" w:hAnsi="宋体"/>
          <w:b/>
          <w:bCs/>
          <w:color w:val="auto"/>
          <w:sz w:val="30"/>
          <w:szCs w:val="30"/>
          <w:highlight w:val="none"/>
        </w:rPr>
        <w:t>10.3 合同履行</w:t>
      </w:r>
      <w:bookmarkEnd w:id="105"/>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10.3.1 采购合同的履行、违约责任和解决争议的方法等适用《</w:t>
      </w:r>
      <w:r>
        <w:rPr>
          <w:rFonts w:hint="eastAsia" w:ascii="宋体" w:hAnsi="宋体"/>
          <w:color w:val="auto"/>
          <w:szCs w:val="21"/>
          <w:highlight w:val="none"/>
          <w:lang w:eastAsia="zh-CN"/>
        </w:rPr>
        <w:t>中华人民共和国民法典</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10.3.2 </w:t>
      </w:r>
      <w:r>
        <w:rPr>
          <w:rFonts w:hint="eastAsia" w:ascii="宋体" w:hAnsi="宋体"/>
          <w:color w:val="auto"/>
          <w:szCs w:val="21"/>
          <w:highlight w:val="none"/>
          <w:lang w:eastAsia="zh-TW"/>
        </w:rPr>
        <w:t>采购合同订立后，合同各方不得擅自变更</w:t>
      </w:r>
      <w:r>
        <w:rPr>
          <w:rFonts w:hint="eastAsia" w:ascii="宋体" w:hAnsi="宋体"/>
          <w:color w:val="auto"/>
          <w:szCs w:val="21"/>
          <w:highlight w:val="none"/>
        </w:rPr>
        <w:t>或者</w:t>
      </w:r>
      <w:r>
        <w:rPr>
          <w:rFonts w:hint="eastAsia" w:ascii="宋体" w:hAnsi="宋体"/>
          <w:color w:val="auto"/>
          <w:szCs w:val="21"/>
          <w:highlight w:val="none"/>
          <w:lang w:eastAsia="zh-TW"/>
        </w:rPr>
        <w:t>中止或者终止合同。采购合同需要变更的，采购人应将有关合同变更内容，以书面形式</w:t>
      </w:r>
      <w:r>
        <w:rPr>
          <w:rFonts w:hint="eastAsia" w:ascii="宋体" w:hAnsi="宋体"/>
          <w:color w:val="auto"/>
          <w:szCs w:val="21"/>
          <w:highlight w:val="none"/>
          <w:lang w:val="zh-CN" w:eastAsia="zh-TW"/>
        </w:rPr>
        <w:t>或政采云平台</w:t>
      </w:r>
      <w:r>
        <w:rPr>
          <w:rFonts w:hint="eastAsia" w:ascii="宋体" w:hAnsi="宋体"/>
          <w:color w:val="auto"/>
          <w:szCs w:val="21"/>
          <w:highlight w:val="none"/>
          <w:lang w:eastAsia="zh-TW"/>
        </w:rPr>
        <w:t>报采购监督管理</w:t>
      </w:r>
      <w:r>
        <w:rPr>
          <w:rFonts w:hint="eastAsia" w:ascii="宋体" w:hAnsi="宋体"/>
          <w:color w:val="auto"/>
          <w:szCs w:val="21"/>
          <w:highlight w:val="none"/>
        </w:rPr>
        <w:t>部门</w:t>
      </w:r>
      <w:r>
        <w:rPr>
          <w:rFonts w:hint="eastAsia" w:ascii="宋体" w:hAnsi="宋体"/>
          <w:color w:val="auto"/>
          <w:szCs w:val="21"/>
          <w:highlight w:val="none"/>
          <w:lang w:eastAsia="zh-TW"/>
        </w:rPr>
        <w:t>备案；因特殊情况需要中止或终止合同的，采购人应将中止或终止合同的理由以及相应措施，以书面形式</w:t>
      </w:r>
      <w:r>
        <w:rPr>
          <w:rFonts w:hint="eastAsia"/>
          <w:color w:val="auto"/>
          <w:sz w:val="21"/>
          <w:szCs w:val="21"/>
          <w:highlight w:val="none"/>
          <w:lang w:val="zh-CN"/>
        </w:rPr>
        <w:t>或政采云平台</w:t>
      </w:r>
      <w:r>
        <w:rPr>
          <w:rFonts w:hint="eastAsia" w:ascii="宋体" w:hAnsi="宋体"/>
          <w:color w:val="auto"/>
          <w:szCs w:val="21"/>
          <w:highlight w:val="none"/>
          <w:lang w:eastAsia="zh-TW"/>
        </w:rPr>
        <w:t>报监督管理</w:t>
      </w:r>
      <w:r>
        <w:rPr>
          <w:rFonts w:hint="eastAsia" w:ascii="宋体" w:hAnsi="宋体"/>
          <w:color w:val="auto"/>
          <w:szCs w:val="21"/>
          <w:highlight w:val="none"/>
        </w:rPr>
        <w:t>部门</w:t>
      </w:r>
      <w:r>
        <w:rPr>
          <w:rFonts w:hint="eastAsia" w:ascii="宋体" w:hAnsi="宋体"/>
          <w:color w:val="auto"/>
          <w:szCs w:val="21"/>
          <w:highlight w:val="none"/>
          <w:lang w:eastAsia="zh-TW"/>
        </w:rPr>
        <w:t>备案。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10.3.3 </w:t>
      </w:r>
      <w:r>
        <w:rPr>
          <w:rFonts w:hint="eastAsia" w:ascii="宋体" w:hAnsi="宋体"/>
          <w:color w:val="auto"/>
          <w:szCs w:val="21"/>
          <w:highlight w:val="none"/>
          <w:lang w:eastAsia="zh-TW"/>
        </w:rPr>
        <w:t>采购合同履行中，采购人需追加与合同标的相同的货物的，在不改变合同其他条款的前提下，可以与</w:t>
      </w:r>
      <w:r>
        <w:rPr>
          <w:rFonts w:hint="eastAsia" w:ascii="宋体" w:hAnsi="宋体"/>
          <w:color w:val="auto"/>
          <w:szCs w:val="21"/>
          <w:highlight w:val="none"/>
        </w:rPr>
        <w:t>中标人</w:t>
      </w:r>
      <w:r>
        <w:rPr>
          <w:rFonts w:hint="eastAsia" w:ascii="宋体" w:hAnsi="宋体"/>
          <w:color w:val="auto"/>
          <w:szCs w:val="21"/>
          <w:highlight w:val="none"/>
          <w:lang w:eastAsia="zh-TW"/>
        </w:rPr>
        <w:t>签订补充合同，但所补充合同的采购金额不得超过原</w:t>
      </w:r>
      <w:r>
        <w:rPr>
          <w:rFonts w:hint="eastAsia" w:ascii="宋体" w:hAnsi="宋体"/>
          <w:color w:val="auto"/>
          <w:szCs w:val="21"/>
          <w:highlight w:val="none"/>
        </w:rPr>
        <w:t>合同</w:t>
      </w:r>
      <w:r>
        <w:rPr>
          <w:rFonts w:hint="eastAsia" w:ascii="宋体" w:hAnsi="宋体"/>
          <w:color w:val="auto"/>
          <w:szCs w:val="21"/>
          <w:highlight w:val="none"/>
          <w:lang w:eastAsia="zh-TW"/>
        </w:rPr>
        <w:t>采购金额的百分之十。签订补充合同的</w:t>
      </w:r>
      <w:r>
        <w:rPr>
          <w:rFonts w:hint="eastAsia" w:ascii="宋体" w:hAnsi="宋体"/>
          <w:color w:val="auto"/>
          <w:szCs w:val="21"/>
          <w:highlight w:val="none"/>
        </w:rPr>
        <w:t>应</w:t>
      </w:r>
      <w:r>
        <w:rPr>
          <w:rFonts w:hint="eastAsia" w:ascii="宋体" w:hAnsi="宋体"/>
          <w:color w:val="auto"/>
          <w:szCs w:val="21"/>
          <w:highlight w:val="none"/>
          <w:lang w:eastAsia="zh-TW"/>
        </w:rPr>
        <w:t>按规定备案。</w:t>
      </w:r>
    </w:p>
    <w:bookmarkEnd w:id="101"/>
    <w:bookmarkEnd w:id="102"/>
    <w:bookmarkEnd w:id="104"/>
    <w:p>
      <w:pPr>
        <w:spacing w:before="120" w:beforeLines="50" w:after="120" w:afterLines="50" w:line="360" w:lineRule="auto"/>
        <w:rPr>
          <w:rFonts w:hint="eastAsia" w:ascii="黑体" w:eastAsia="黑体"/>
          <w:b/>
          <w:color w:val="auto"/>
          <w:sz w:val="36"/>
          <w:szCs w:val="36"/>
          <w:highlight w:val="none"/>
        </w:rPr>
      </w:pPr>
      <w:bookmarkStart w:id="106" w:name="_Toc217446081"/>
      <w:r>
        <w:rPr>
          <w:rFonts w:hint="eastAsia" w:ascii="黑体" w:eastAsia="黑体"/>
          <w:b/>
          <w:color w:val="auto"/>
          <w:sz w:val="36"/>
          <w:szCs w:val="36"/>
          <w:highlight w:val="none"/>
        </w:rPr>
        <w:t>11.废标或变更采购方式</w:t>
      </w:r>
      <w:bookmarkStart w:id="107" w:name="_Toc217446072"/>
    </w:p>
    <w:p>
      <w:pPr>
        <w:spacing w:after="120" w:afterLines="50" w:line="360" w:lineRule="auto"/>
        <w:rPr>
          <w:rFonts w:hint="eastAsia" w:ascii="宋体" w:hAnsi="宋体"/>
          <w:b/>
          <w:color w:val="auto"/>
          <w:sz w:val="30"/>
          <w:szCs w:val="30"/>
          <w:highlight w:val="none"/>
        </w:rPr>
      </w:pPr>
      <w:r>
        <w:rPr>
          <w:rFonts w:hint="eastAsia" w:ascii="宋体" w:hAnsi="宋体"/>
          <w:b/>
          <w:bCs/>
          <w:color w:val="auto"/>
          <w:sz w:val="30"/>
          <w:szCs w:val="30"/>
          <w:highlight w:val="none"/>
        </w:rPr>
        <w:t>11.1废标的情形</w:t>
      </w:r>
      <w:bookmarkEnd w:id="107"/>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 招标采购中，出现下列情形之一的，应予以废标：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（1）符合专业条件的投标人或者对招标文件作实质响应的投标人不足3家的；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（3）投标人的报价均超过了采购预算或最高限价，采购人不能支付的；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（4）因重大变故，采购任务取消的。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 废标后，采购代理机构应在财政部门指定采购网上公告，并公告废标的详细理由。</w:t>
      </w:r>
    </w:p>
    <w:p>
      <w:pPr>
        <w:pStyle w:val="6"/>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color w:val="auto"/>
          <w:sz w:val="30"/>
          <w:szCs w:val="30"/>
          <w:highlight w:val="none"/>
        </w:rPr>
        <w:t>11.2 变更采购方式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11.2.1 存在下列情形之一的，除采购任务取消情形外，采购人经</w:t>
      </w:r>
      <w:r>
        <w:rPr>
          <w:rFonts w:hint="eastAsia" w:ascii="宋体" w:hAnsi="宋体"/>
          <w:color w:val="auto"/>
          <w:szCs w:val="21"/>
          <w:highlight w:val="none"/>
          <w:lang w:val="en-US" w:eastAsia="zh-CN"/>
        </w:rPr>
        <w:t>主管</w:t>
      </w:r>
      <w:r>
        <w:rPr>
          <w:rFonts w:hint="eastAsia" w:ascii="宋体" w:hAnsi="宋体"/>
          <w:color w:val="auto"/>
          <w:szCs w:val="21"/>
          <w:highlight w:val="none"/>
        </w:rPr>
        <w:t>部门同意后，可以</w:t>
      </w:r>
      <w:r>
        <w:rPr>
          <w:rFonts w:hint="eastAsia" w:ascii="宋体" w:hAnsi="宋体"/>
          <w:color w:val="auto"/>
          <w:szCs w:val="21"/>
          <w:highlight w:val="none"/>
          <w:lang w:val="en-US" w:eastAsia="zh-CN"/>
        </w:rPr>
        <w:t>参照</w:t>
      </w:r>
      <w:r>
        <w:rPr>
          <w:rFonts w:hint="eastAsia" w:ascii="宋体" w:hAnsi="宋体"/>
          <w:color w:val="auto"/>
          <w:szCs w:val="21"/>
          <w:highlight w:val="none"/>
        </w:rPr>
        <w:t>按《政府采购货物和服务招标投标管理办法》（财政部87号令）第四十三条规定的方式处理：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（1）投标截止后参加投标的人不足3家的；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（2）通过资格审查的投标人不足3家的；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（3）通过符合性审查的投标人不足3家的。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11.2.2 通过符合性审查的投标人只有2家时，采购人经</w:t>
      </w:r>
      <w:r>
        <w:rPr>
          <w:rFonts w:hint="eastAsia" w:ascii="宋体" w:hAnsi="宋体"/>
          <w:color w:val="auto"/>
          <w:szCs w:val="21"/>
          <w:highlight w:val="none"/>
          <w:lang w:val="en-US" w:eastAsia="zh-CN"/>
        </w:rPr>
        <w:t>主管</w:t>
      </w:r>
      <w:r>
        <w:rPr>
          <w:rFonts w:hint="eastAsia" w:ascii="宋体" w:hAnsi="宋体"/>
          <w:color w:val="auto"/>
          <w:szCs w:val="21"/>
          <w:highlight w:val="none"/>
        </w:rPr>
        <w:t>门同意后，可以</w:t>
      </w:r>
      <w:r>
        <w:rPr>
          <w:rFonts w:hint="eastAsia" w:ascii="宋体" w:hAnsi="宋体"/>
          <w:color w:val="auto"/>
          <w:szCs w:val="21"/>
          <w:highlight w:val="none"/>
          <w:lang w:val="en-US" w:eastAsia="zh-CN"/>
        </w:rPr>
        <w:t>参照</w:t>
      </w:r>
      <w:r>
        <w:rPr>
          <w:rFonts w:hint="eastAsia" w:ascii="宋体" w:hAnsi="宋体"/>
          <w:color w:val="auto"/>
          <w:szCs w:val="21"/>
          <w:highlight w:val="none"/>
        </w:rPr>
        <w:t>按《政府采购非招标采购方式管理办法》（财政部第74号令）的规定与该2家投标人进行竞争性谈判采购。</w:t>
      </w:r>
    </w:p>
    <w:p>
      <w:pPr>
        <w:spacing w:before="240" w:beforeLines="100" w:after="120" w:afterLines="50" w:line="360" w:lineRule="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12.招标代理服务费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12.1 中标人在领取《中标通知书》之前，应向采购代理机构交纳招标代理服务费。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12.2 代理报酬的计算方法</w:t>
      </w:r>
      <w:r>
        <w:rPr>
          <w:rFonts w:hint="eastAsia" w:ascii="宋体" w:hAnsi="宋体"/>
          <w:color w:val="auto"/>
          <w:szCs w:val="21"/>
          <w:highlight w:val="none"/>
          <w:lang w:eastAsia="zh-CN"/>
        </w:rPr>
        <w:t>：参照《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向新疆华域建设工程项目管理咨询有限公司交纳招标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12.3 招标代理服务费不得用投标保证金冲抵。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12.4 中标人未按本章第12.1项规定交纳招标代理服务费的，其投标保证金将被采购代理机构全额没收。</w:t>
      </w:r>
    </w:p>
    <w:p>
      <w:pPr>
        <w:keepNext w:val="0"/>
        <w:keepLines w:val="0"/>
        <w:pageBreakBefore w:val="0"/>
        <w:kinsoku/>
        <w:wordWrap/>
        <w:overflowPunct/>
        <w:topLinePunct w:val="0"/>
        <w:autoSpaceDE/>
        <w:autoSpaceDN/>
        <w:bidi w:val="0"/>
        <w:adjustRightInd/>
        <w:snapToGrid/>
        <w:spacing w:before="240" w:beforeLines="100" w:after="120" w:afterLines="50" w:line="336" w:lineRule="auto"/>
        <w:textAlignment w:val="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13.质疑与投诉</w:t>
      </w:r>
    </w:p>
    <w:p>
      <w:pPr>
        <w:keepNext w:val="0"/>
        <w:keepLines w:val="0"/>
        <w:pageBreakBefore w:val="0"/>
        <w:kinsoku/>
        <w:wordWrap/>
        <w:overflowPunct/>
        <w:topLinePunct w:val="0"/>
        <w:autoSpaceDE/>
        <w:autoSpaceDN/>
        <w:bidi w:val="0"/>
        <w:adjustRightInd/>
        <w:snapToGrid/>
        <w:spacing w:before="120" w:beforeLines="50" w:after="120" w:afterLines="50" w:line="336" w:lineRule="auto"/>
        <w:textAlignment w:val="auto"/>
        <w:rPr>
          <w:rFonts w:hint="eastAsia" w:ascii="宋体" w:hAnsi="宋体"/>
          <w:b/>
          <w:color w:val="auto"/>
          <w:sz w:val="30"/>
          <w:szCs w:val="30"/>
          <w:highlight w:val="none"/>
        </w:rPr>
      </w:pPr>
      <w:r>
        <w:rPr>
          <w:rFonts w:hint="eastAsia" w:ascii="宋体" w:hAnsi="宋体"/>
          <w:b/>
          <w:color w:val="auto"/>
          <w:sz w:val="30"/>
          <w:szCs w:val="30"/>
          <w:highlight w:val="none"/>
        </w:rPr>
        <w:t>13.1质疑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13.1.1 投标人对本次招标采购活动有疑问的，应当</w:t>
      </w:r>
      <w:r>
        <w:rPr>
          <w:rFonts w:hint="eastAsia" w:ascii="宋体" w:hAnsi="宋体"/>
          <w:color w:val="auto"/>
          <w:szCs w:val="21"/>
          <w:highlight w:val="none"/>
          <w:lang w:val="en-US" w:eastAsia="zh-CN"/>
        </w:rPr>
        <w:t>参照</w:t>
      </w:r>
      <w:r>
        <w:rPr>
          <w:rFonts w:hint="eastAsia" w:ascii="宋体" w:hAnsi="宋体"/>
          <w:color w:val="auto"/>
          <w:szCs w:val="21"/>
          <w:highlight w:val="none"/>
        </w:rPr>
        <w:t>《中华人民共和国政府采购法实施条例》的有关规定办理。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13.1.2 投标人对采购文件、采购过程或中标结果使自身的合法权益受到损害，应当在法定期限内，按照质疑函范本格式要求以书面形式向采购代理机构或采购人提出质疑，并附必要的证明材料。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13.1.3 质疑函应当包括下列内容：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（1）投标人的姓名或者名称、地址、邮编、联系人及联系电话；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（2）质疑项目的名称、编号；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（4）事实依据；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（5）必要的法律依据；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（6）提出质疑的日期。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投标人为自然人的，应当由本人签字；投标人为法人或者其他组织的，应当由法定代表人、主要负责人，或者其授权代表签字或者盖章，并加盖单位章。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13.1.4质疑人可以委托代理人办理质疑事项，代理人办理质疑事项时，除提交质疑函外，还应当提交质疑人的授权委托书及代理人的有效身份证明，授权委托书应当载明委托代理的具体权限期限和相关事项。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13.1.5 质疑函范本格式</w:t>
      </w:r>
      <w:r>
        <w:rPr>
          <w:rFonts w:hint="eastAsia" w:ascii="宋体" w:hAnsi="宋体"/>
          <w:color w:val="auto"/>
          <w:szCs w:val="21"/>
          <w:highlight w:val="none"/>
          <w:lang w:val="en-US" w:eastAsia="zh-CN"/>
        </w:rPr>
        <w:t>参照</w:t>
      </w:r>
      <w:r>
        <w:rPr>
          <w:rFonts w:hint="eastAsia" w:ascii="宋体" w:hAnsi="宋体"/>
          <w:color w:val="auto"/>
          <w:szCs w:val="21"/>
          <w:highlight w:val="none"/>
        </w:rPr>
        <w:t>在中国政府采购网站（http://www.ccgp.gov.cn/）自行下载。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13.1.6 接收质疑函的联系部门、联系电话和通讯地址同招标公告。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13.1.7 有下列情形之一的，属于无效质疑，采购代理机构和采购人不予受理：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（1）质疑人不是参与本次采购项目的投标人；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（3）未在法定期限内提出质疑的；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（4）质疑未以书面形式提出，以传真、电子邮件、移动通信等形式即时收悉提交的质疑材料；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（5）质疑未按质疑函范本格式提出的；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（6）质疑书主要内容构成不完整的；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（7）质疑投标人是自然人，个体工商户未提交个体工商户营业执照和本人身份证明或非个体工商户未提供本人身份证明的；</w:t>
      </w:r>
    </w:p>
    <w:p>
      <w:pPr>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color w:val="auto"/>
          <w:szCs w:val="21"/>
          <w:highlight w:val="none"/>
        </w:rPr>
      </w:pPr>
      <w:r>
        <w:rPr>
          <w:rFonts w:hint="eastAsia" w:ascii="宋体" w:hAnsi="宋体"/>
          <w:color w:val="auto"/>
          <w:szCs w:val="21"/>
          <w:highlight w:val="none"/>
        </w:rPr>
        <w:t>（8）质疑投标人是法人，未提交法人营业执照或者事业法人证书和法定代表人身份证明的；（9）质疑投标人是其他组织，未提交其他组织有效证明文件和主要负责人身份证明的；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（10）质疑投标人委托代理人进行质疑，未提交法定代表人授权委托书、授权代表身份证明的；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（11）质疑函未签字或未加盖公章的；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（12）以非法手段取得证据、材料的；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（13）质疑答复后，同一质疑人就同一事项再次提出质疑的；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（14）不符合法律、法规、规章和采购监管机构规定的其他条件的。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13.1.8 采购代理机构或采购人将在收到书面质疑后7个工作日内做出答复，并以书面形式通知质疑人和其他有关投标人。</w:t>
      </w:r>
    </w:p>
    <w:p>
      <w:pPr>
        <w:keepNext w:val="0"/>
        <w:keepLines w:val="0"/>
        <w:pageBreakBefore w:val="0"/>
        <w:kinsoku/>
        <w:wordWrap/>
        <w:overflowPunct/>
        <w:topLinePunct w:val="0"/>
        <w:autoSpaceDE/>
        <w:autoSpaceDN/>
        <w:bidi w:val="0"/>
        <w:adjustRightInd/>
        <w:snapToGrid/>
        <w:spacing w:before="120" w:beforeLines="50" w:after="120" w:afterLines="50" w:line="336" w:lineRule="auto"/>
        <w:textAlignment w:val="auto"/>
        <w:rPr>
          <w:rFonts w:hint="eastAsia" w:ascii="宋体" w:hAnsi="宋体"/>
          <w:b/>
          <w:color w:val="auto"/>
          <w:sz w:val="30"/>
          <w:szCs w:val="30"/>
          <w:highlight w:val="none"/>
        </w:rPr>
      </w:pPr>
      <w:r>
        <w:rPr>
          <w:rFonts w:hint="eastAsia" w:ascii="宋体" w:hAnsi="宋体"/>
          <w:b/>
          <w:color w:val="auto"/>
          <w:sz w:val="30"/>
          <w:szCs w:val="30"/>
          <w:highlight w:val="none"/>
        </w:rPr>
        <w:t>13.2 投诉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lang w:val="en-US" w:eastAsia="zh-CN"/>
        </w:rPr>
        <w:t>特克斯县</w:t>
      </w:r>
      <w:r>
        <w:rPr>
          <w:rFonts w:hint="eastAsia" w:ascii="宋体" w:hAnsi="宋体"/>
          <w:color w:val="auto"/>
          <w:szCs w:val="21"/>
          <w:highlight w:val="none"/>
          <w:lang w:eastAsia="zh-CN"/>
        </w:rPr>
        <w:t>财政局</w:t>
      </w:r>
      <w:r>
        <w:rPr>
          <w:rFonts w:hint="eastAsia" w:ascii="宋体" w:hAnsi="宋体"/>
          <w:color w:val="auto"/>
          <w:szCs w:val="21"/>
          <w:highlight w:val="none"/>
        </w:rPr>
        <w:t>提起投诉。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13.2.2 投诉人投诉时,应当提交投诉书和必要的证明材料，并按照被投诉采购人、采购代理机构（以下简称被投诉人）和与投诉事项有关的投标人数量提供投诉书的副本。投诉书应当包括下列内容：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（1）投诉人和被投诉人的姓名或者名称、通讯地址、邮编、联系人及联系电话；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（2）质疑和质疑答复情况说明及相关证明材料；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（3）具体、明确的投诉事项和与投诉事项相关的投诉请求；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（4）事实依据；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（5）法律依据；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（6）提起投诉的日期。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投诉人为自然人的，应当由本人签字；投诉人为法人或者其他组织的，应当由法定代表人、主要负责人，或者其授权代表签字或者盖章，并加盖单位章。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13.2.3 投诉书范本格式在中国政府采购网站（http://www.ccgp.gov.cn/）自行下载。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13.2.4 投诉人提起投诉应当符合下列条件：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（1）提起投诉前已依法进行质疑；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（2）投诉书内容符合财政部94号令的规定；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（3）在投诉有效期限内提起投诉；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（4）同一投诉事项未经财政部门投诉处理；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（5）财政部规定的其他条件。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13.2.5  投诉人投诉的事项不得超出已质疑事项的范围，但基于质疑答复内容提出的投诉事项除外。</w:t>
      </w:r>
    </w:p>
    <w:p>
      <w:pPr>
        <w:keepNext w:val="0"/>
        <w:keepLines w:val="0"/>
        <w:pageBreakBefore w:val="0"/>
        <w:kinsoku/>
        <w:wordWrap/>
        <w:overflowPunct/>
        <w:topLinePunct w:val="0"/>
        <w:autoSpaceDE/>
        <w:autoSpaceDN/>
        <w:bidi w:val="0"/>
        <w:adjustRightInd/>
        <w:snapToGrid/>
        <w:spacing w:before="240" w:beforeLines="100" w:after="120" w:afterLines="50" w:line="336" w:lineRule="auto"/>
        <w:jc w:val="left"/>
        <w:textAlignment w:val="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14.其他</w:t>
      </w:r>
    </w:p>
    <w:p>
      <w:pPr>
        <w:keepNext w:val="0"/>
        <w:keepLines w:val="0"/>
        <w:pageBreakBefore w:val="0"/>
        <w:kinsoku/>
        <w:wordWrap/>
        <w:overflowPunct/>
        <w:topLinePunct w:val="0"/>
        <w:autoSpaceDE/>
        <w:autoSpaceDN/>
        <w:bidi w:val="0"/>
        <w:adjustRightInd/>
        <w:snapToGrid/>
        <w:spacing w:before="120" w:beforeLines="50" w:after="120" w:afterLines="50" w:line="336" w:lineRule="auto"/>
        <w:jc w:val="left"/>
        <w:textAlignment w:val="auto"/>
        <w:rPr>
          <w:rFonts w:hint="eastAsia" w:ascii="宋体" w:hAnsi="宋体"/>
          <w:b/>
          <w:color w:val="auto"/>
          <w:sz w:val="30"/>
          <w:szCs w:val="30"/>
          <w:highlight w:val="none"/>
        </w:rPr>
      </w:pPr>
      <w:r>
        <w:rPr>
          <w:rFonts w:hint="eastAsia" w:ascii="宋体" w:hAnsi="宋体"/>
          <w:b/>
          <w:color w:val="auto"/>
          <w:sz w:val="30"/>
          <w:szCs w:val="30"/>
          <w:highlight w:val="none"/>
        </w:rPr>
        <w:t>14.1融资担保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中标人为中小企业的可以自愿选择融资担保形式，为本采购项目进行融资。融资担保机构联系方式参见本章第4.5.1.3（2）条款。</w:t>
      </w:r>
    </w:p>
    <w:p>
      <w:pPr>
        <w:keepNext w:val="0"/>
        <w:keepLines w:val="0"/>
        <w:pageBreakBefore w:val="0"/>
        <w:kinsoku/>
        <w:wordWrap/>
        <w:overflowPunct/>
        <w:topLinePunct w:val="0"/>
        <w:autoSpaceDE/>
        <w:autoSpaceDN/>
        <w:bidi w:val="0"/>
        <w:adjustRightInd/>
        <w:snapToGrid/>
        <w:spacing w:before="120" w:beforeLines="50" w:after="120" w:afterLines="50" w:line="336" w:lineRule="auto"/>
        <w:jc w:val="left"/>
        <w:textAlignment w:val="auto"/>
        <w:rPr>
          <w:rFonts w:hint="eastAsia" w:ascii="宋体" w:hAnsi="宋体"/>
          <w:b/>
          <w:color w:val="auto"/>
          <w:sz w:val="30"/>
          <w:szCs w:val="30"/>
          <w:highlight w:val="none"/>
        </w:rPr>
      </w:pPr>
      <w:r>
        <w:rPr>
          <w:rFonts w:hint="eastAsia" w:ascii="宋体" w:hAnsi="宋体"/>
          <w:b/>
          <w:color w:val="auto"/>
          <w:sz w:val="30"/>
          <w:szCs w:val="30"/>
          <w:highlight w:val="none"/>
        </w:rPr>
        <w:t>14.2 录音录像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采购代理机构对开标、投标人资格审查和评标过程进行全程录音录像、文字记录，并存档备查。</w:t>
      </w:r>
    </w:p>
    <w:p>
      <w:pPr>
        <w:pageBreakBefore/>
        <w:spacing w:after="120" w:afterLines="50" w:line="360" w:lineRule="auto"/>
        <w:jc w:val="center"/>
        <w:rPr>
          <w:rFonts w:hint="eastAsia" w:ascii="黑体" w:hAnsi="宋体" w:eastAsia="黑体"/>
          <w:b/>
          <w:color w:val="auto"/>
          <w:sz w:val="24"/>
          <w:highlight w:val="none"/>
        </w:rPr>
      </w:pPr>
      <w:r>
        <w:rPr>
          <w:rFonts w:hint="eastAsia" w:ascii="黑体" w:hAnsi="宋体" w:eastAsia="黑体"/>
          <w:b/>
          <w:color w:val="auto"/>
          <w:sz w:val="44"/>
          <w:szCs w:val="44"/>
          <w:highlight w:val="none"/>
        </w:rPr>
        <w:t>第三章</w:t>
      </w:r>
      <w:bookmarkStart w:id="108" w:name="_Toc217446093"/>
      <w:r>
        <w:rPr>
          <w:rFonts w:hint="eastAsia" w:ascii="黑体" w:hAnsi="宋体" w:eastAsia="黑体"/>
          <w:b/>
          <w:color w:val="auto"/>
          <w:sz w:val="44"/>
          <w:szCs w:val="44"/>
          <w:highlight w:val="none"/>
        </w:rPr>
        <w:t xml:space="preserve">  评标办法</w:t>
      </w:r>
    </w:p>
    <w:p>
      <w:pPr>
        <w:spacing w:line="360" w:lineRule="auto"/>
        <w:ind w:firstLine="420" w:firstLineChars="200"/>
        <w:rPr>
          <w:rFonts w:hint="eastAsia" w:ascii="宋体" w:hAnsi="宋体"/>
          <w:color w:val="auto"/>
          <w:szCs w:val="21"/>
          <w:highlight w:val="none"/>
        </w:rPr>
      </w:pPr>
      <w:r>
        <w:rPr>
          <w:rFonts w:hint="eastAsia" w:ascii="宋体" w:hAnsi="宋体" w:eastAsia="宋体"/>
          <w:color w:val="auto"/>
          <w:szCs w:val="21"/>
          <w:highlight w:val="none"/>
          <w:lang w:val="en-US" w:eastAsia="zh-CN"/>
        </w:rPr>
        <w:t>参照</w:t>
      </w:r>
      <w:r>
        <w:rPr>
          <w:rFonts w:hint="eastAsia" w:ascii="宋体" w:hAnsi="宋体"/>
          <w:color w:val="auto"/>
          <w:szCs w:val="21"/>
          <w:highlight w:val="none"/>
        </w:rPr>
        <w:t>根据《中华人民共和国政府采购法》及其实施条例和《政府采购货物和服务招标投标管理办法》（财政部87号令）等法律法规规定，结合采购项目特点，参照制定本评标办法。</w:t>
      </w:r>
    </w:p>
    <w:p>
      <w:pPr>
        <w:spacing w:before="120" w:beforeLines="50" w:after="120" w:afterLines="50" w:line="360" w:lineRule="auto"/>
        <w:rPr>
          <w:rFonts w:hint="eastAsia" w:ascii="黑体" w:hAnsi="宋体" w:eastAsia="黑体"/>
          <w:b/>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b/>
          <w:color w:val="auto"/>
          <w:sz w:val="36"/>
          <w:szCs w:val="36"/>
          <w:highlight w:val="none"/>
        </w:rPr>
        <w:t>评标程序</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1.1 评标按照下列程序进行：</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（1）投标文件符合性审查；</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（2）投标文件澄清或说明；</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（3）投标文件比较与评价；</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（4）复核与核对评标结果；</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（5）确定中标候选人名单；</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（6）编写评标报告。</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1.2 投标文件符合性审查</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1.2.1 评标委员会依法对符合资格条件的投标人的投标文件进行符合性审查。评标委员会从投标文件的有效性、完整性和对招标文件的响应程度进行审查，以确定其是否对招标文件实质性内容作出响应</w:t>
      </w:r>
      <w:r>
        <w:rPr>
          <w:rFonts w:hint="eastAsia" w:ascii="宋体" w:hAnsi="宋体" w:cs="宋体"/>
          <w:color w:val="auto"/>
          <w:kern w:val="0"/>
          <w:szCs w:val="21"/>
          <w:highlight w:val="none"/>
        </w:rPr>
        <w:t>（采购人可根据具体项目的情况对实质性要求作特别的具体规定）</w:t>
      </w:r>
      <w:r>
        <w:rPr>
          <w:rFonts w:hint="eastAsia" w:ascii="宋体" w:hAnsi="宋体"/>
          <w:color w:val="auto"/>
          <w:szCs w:val="21"/>
          <w:highlight w:val="none"/>
        </w:rPr>
        <w:t>。</w:t>
      </w:r>
    </w:p>
    <w:p>
      <w:pPr>
        <w:spacing w:after="120" w:afterLines="50"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1.2.2评标委员会按下列评审标准进行符合性审查：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083"/>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审查项目</w:t>
            </w:r>
          </w:p>
        </w:tc>
        <w:tc>
          <w:tcPr>
            <w:tcW w:w="528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投标</w:t>
            </w:r>
            <w:r>
              <w:rPr>
                <w:rFonts w:hint="eastAsia" w:ascii="宋体" w:hAnsi="宋体" w:eastAsia="宋体" w:cs="宋体"/>
                <w:sz w:val="22"/>
                <w:szCs w:val="22"/>
                <w:highlight w:val="none"/>
                <w:lang w:eastAsia="zh-CN"/>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签署、盖章</w:t>
            </w:r>
          </w:p>
        </w:tc>
        <w:tc>
          <w:tcPr>
            <w:tcW w:w="5281" w:type="dxa"/>
            <w:noWrap w:val="0"/>
            <w:vAlign w:val="center"/>
          </w:tcPr>
          <w:p>
            <w:pPr>
              <w:pStyle w:val="12"/>
              <w:tabs>
                <w:tab w:val="left" w:pos="567"/>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tc>
        <w:tc>
          <w:tcPr>
            <w:tcW w:w="5281" w:type="dxa"/>
            <w:noWrap w:val="0"/>
            <w:vAlign w:val="center"/>
          </w:tcPr>
          <w:p>
            <w:pPr>
              <w:pStyle w:val="12"/>
              <w:tabs>
                <w:tab w:val="left" w:pos="567"/>
              </w:tabs>
              <w:spacing w:before="0"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投标人投标报价</w:t>
            </w:r>
            <w:r>
              <w:rPr>
                <w:rFonts w:hint="eastAsia" w:ascii="宋体" w:hAnsi="宋体" w:eastAsia="宋体" w:cs="宋体"/>
                <w:sz w:val="22"/>
                <w:szCs w:val="22"/>
                <w:highlight w:val="none"/>
                <w:lang w:eastAsia="zh-CN"/>
              </w:rPr>
              <w:t>未</w:t>
            </w:r>
            <w:r>
              <w:rPr>
                <w:rFonts w:hint="eastAsia" w:ascii="宋体" w:hAnsi="宋体" w:eastAsia="宋体" w:cs="宋体"/>
                <w:sz w:val="22"/>
                <w:szCs w:val="22"/>
                <w:highlight w:val="none"/>
              </w:rPr>
              <w:t>超出采购预算或最高限价的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报价合理性</w:t>
            </w:r>
          </w:p>
        </w:tc>
        <w:tc>
          <w:tcPr>
            <w:tcW w:w="5281" w:type="dxa"/>
            <w:noWrap w:val="0"/>
            <w:vAlign w:val="center"/>
          </w:tcPr>
          <w:p>
            <w:pPr>
              <w:pStyle w:val="12"/>
              <w:tabs>
                <w:tab w:val="left" w:pos="567"/>
              </w:tabs>
              <w:spacing w:before="0"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投标人的报价</w:t>
            </w:r>
            <w:r>
              <w:rPr>
                <w:rFonts w:hint="eastAsia" w:ascii="宋体" w:hAnsi="宋体" w:eastAsia="宋体" w:cs="宋体"/>
                <w:sz w:val="22"/>
                <w:szCs w:val="22"/>
                <w:highlight w:val="none"/>
                <w:lang w:eastAsia="zh-CN"/>
              </w:rPr>
              <w:t>无</w:t>
            </w:r>
            <w:r>
              <w:rPr>
                <w:rFonts w:hint="eastAsia" w:ascii="宋体" w:hAnsi="宋体" w:eastAsia="宋体" w:cs="宋体"/>
                <w:sz w:val="22"/>
                <w:szCs w:val="22"/>
                <w:highlight w:val="none"/>
              </w:rPr>
              <w:t>明显低于其他通过符合性审查投标人的报价，</w:t>
            </w:r>
            <w:r>
              <w:rPr>
                <w:rFonts w:hint="eastAsia" w:ascii="宋体" w:hAnsi="宋体" w:eastAsia="宋体" w:cs="宋体"/>
                <w:sz w:val="22"/>
                <w:szCs w:val="22"/>
                <w:highlight w:val="none"/>
                <w:lang w:eastAsia="zh-CN"/>
              </w:rPr>
              <w:t>不</w:t>
            </w:r>
            <w:r>
              <w:rPr>
                <w:rFonts w:hint="eastAsia" w:ascii="宋体" w:hAnsi="宋体" w:eastAsia="宋体" w:cs="宋体"/>
                <w:sz w:val="22"/>
                <w:szCs w:val="22"/>
                <w:highlight w:val="none"/>
              </w:rPr>
              <w:t>影响产品质量或者能诚信履约的，且投标人</w:t>
            </w:r>
            <w:r>
              <w:rPr>
                <w:rFonts w:hint="eastAsia" w:ascii="宋体" w:hAnsi="宋体" w:eastAsia="宋体" w:cs="宋体"/>
                <w:sz w:val="22"/>
                <w:szCs w:val="22"/>
                <w:highlight w:val="none"/>
                <w:lang w:eastAsia="zh-CN"/>
              </w:rPr>
              <w:t>可以</w:t>
            </w:r>
            <w:r>
              <w:rPr>
                <w:rFonts w:hint="eastAsia" w:ascii="宋体" w:hAnsi="宋体" w:eastAsia="宋体" w:cs="宋体"/>
                <w:sz w:val="22"/>
                <w:szCs w:val="22"/>
                <w:highlight w:val="none"/>
              </w:rPr>
              <w:t>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w:t>
            </w:r>
          </w:p>
        </w:tc>
        <w:tc>
          <w:tcPr>
            <w:tcW w:w="5281" w:type="dxa"/>
            <w:noWrap w:val="0"/>
            <w:vAlign w:val="center"/>
          </w:tcPr>
          <w:p>
            <w:pPr>
              <w:pStyle w:val="12"/>
              <w:tabs>
                <w:tab w:val="left" w:pos="567"/>
              </w:tabs>
              <w:spacing w:before="0"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投标保证金提交或金额、形式</w:t>
            </w:r>
            <w:r>
              <w:rPr>
                <w:rFonts w:hint="eastAsia" w:ascii="宋体" w:hAnsi="宋体" w:eastAsia="宋体" w:cs="宋体"/>
                <w:sz w:val="22"/>
                <w:szCs w:val="22"/>
                <w:highlight w:val="none"/>
                <w:lang w:eastAsia="zh-CN"/>
              </w:rPr>
              <w:t>完全</w:t>
            </w:r>
            <w:r>
              <w:rPr>
                <w:rFonts w:hint="eastAsia" w:ascii="宋体" w:hAnsi="宋体" w:eastAsia="宋体" w:cs="宋体"/>
                <w:sz w:val="22"/>
                <w:szCs w:val="22"/>
                <w:highlight w:val="none"/>
              </w:rPr>
              <w:t>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投标内容</w:t>
            </w:r>
          </w:p>
        </w:tc>
        <w:tc>
          <w:tcPr>
            <w:tcW w:w="5281" w:type="dxa"/>
            <w:noWrap w:val="0"/>
            <w:vAlign w:val="center"/>
          </w:tcPr>
          <w:p>
            <w:pPr>
              <w:pStyle w:val="12"/>
              <w:tabs>
                <w:tab w:val="left" w:pos="567"/>
              </w:tabs>
              <w:spacing w:before="0"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投标内容</w:t>
            </w:r>
            <w:r>
              <w:rPr>
                <w:rFonts w:hint="eastAsia" w:ascii="宋体" w:hAnsi="宋体" w:eastAsia="宋体" w:cs="宋体"/>
                <w:sz w:val="22"/>
                <w:szCs w:val="22"/>
                <w:highlight w:val="none"/>
                <w:lang w:eastAsia="zh-CN"/>
              </w:rPr>
              <w:t>未</w:t>
            </w:r>
            <w:r>
              <w:rPr>
                <w:rFonts w:hint="eastAsia" w:ascii="宋体" w:hAnsi="宋体" w:eastAsia="宋体" w:cs="宋体"/>
                <w:sz w:val="22"/>
                <w:szCs w:val="22"/>
                <w:highlight w:val="none"/>
              </w:rPr>
              <w:t>出现漏项或数量与要求</w:t>
            </w:r>
            <w:r>
              <w:rPr>
                <w:rFonts w:hint="eastAsia" w:ascii="宋体" w:hAnsi="宋体" w:eastAsia="宋体" w:cs="宋体"/>
                <w:sz w:val="22"/>
                <w:szCs w:val="22"/>
                <w:highlight w:val="none"/>
                <w:lang w:eastAsia="zh-CN"/>
              </w:rPr>
              <w:t>不符</w:t>
            </w:r>
            <w:r>
              <w:rPr>
                <w:rFonts w:hint="eastAsia" w:ascii="宋体" w:hAnsi="宋体" w:eastAsia="宋体" w:cs="宋体"/>
                <w:sz w:val="22"/>
                <w:szCs w:val="22"/>
                <w:highlight w:val="none"/>
              </w:rPr>
              <w:t>或投标内容的技术指标</w:t>
            </w:r>
            <w:r>
              <w:rPr>
                <w:rFonts w:hint="eastAsia" w:ascii="宋体" w:hAnsi="宋体" w:eastAsia="宋体" w:cs="宋体"/>
                <w:sz w:val="22"/>
                <w:szCs w:val="22"/>
                <w:highlight w:val="none"/>
                <w:lang w:eastAsia="zh-CN"/>
              </w:rPr>
              <w:t>未</w:t>
            </w:r>
            <w:r>
              <w:rPr>
                <w:rFonts w:hint="eastAsia" w:ascii="宋体" w:hAnsi="宋体" w:eastAsia="宋体" w:cs="宋体"/>
                <w:sz w:val="22"/>
                <w:szCs w:val="22"/>
                <w:highlight w:val="none"/>
              </w:rPr>
              <w:t>达到招标文件要求，</w:t>
            </w:r>
            <w:r>
              <w:rPr>
                <w:rFonts w:hint="eastAsia" w:ascii="宋体" w:hAnsi="宋体" w:eastAsia="宋体" w:cs="宋体"/>
                <w:sz w:val="22"/>
                <w:szCs w:val="22"/>
                <w:highlight w:val="none"/>
                <w:lang w:eastAsia="zh-CN"/>
              </w:rPr>
              <w:t>未</w:t>
            </w:r>
            <w:r>
              <w:rPr>
                <w:rFonts w:hint="eastAsia" w:ascii="宋体" w:hAnsi="宋体" w:eastAsia="宋体" w:cs="宋体"/>
                <w:sz w:val="22"/>
                <w:szCs w:val="22"/>
                <w:highlight w:val="none"/>
              </w:rPr>
              <w:t>造成采购档次降低或影响采购性能、功能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t>合同履行期限</w:t>
            </w:r>
          </w:p>
        </w:tc>
        <w:tc>
          <w:tcPr>
            <w:tcW w:w="5281" w:type="dxa"/>
            <w:noWrap w:val="0"/>
            <w:vAlign w:val="center"/>
          </w:tcPr>
          <w:p>
            <w:pPr>
              <w:tabs>
                <w:tab w:val="left" w:pos="0"/>
              </w:tabs>
              <w:adjustRightInd w:val="0"/>
              <w:snapToGrid w:val="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应满足招标文件中要求的合同履行期限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p>
        </w:tc>
        <w:tc>
          <w:tcPr>
            <w:tcW w:w="3083" w:type="dxa"/>
            <w:noWrap w:val="0"/>
            <w:vAlign w:val="center"/>
          </w:tcPr>
          <w:p>
            <w:pPr>
              <w:pStyle w:val="12"/>
              <w:tabs>
                <w:tab w:val="left" w:pos="567"/>
              </w:tabs>
              <w:spacing w:before="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其它情形</w:t>
            </w:r>
          </w:p>
        </w:tc>
        <w:tc>
          <w:tcPr>
            <w:tcW w:w="5281" w:type="dxa"/>
            <w:noWrap w:val="0"/>
            <w:vAlign w:val="center"/>
          </w:tcPr>
          <w:p>
            <w:pPr>
              <w:pStyle w:val="12"/>
              <w:tabs>
                <w:tab w:val="left" w:pos="567"/>
              </w:tabs>
              <w:spacing w:before="0"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不</w:t>
            </w:r>
            <w:r>
              <w:rPr>
                <w:rFonts w:hint="eastAsia" w:ascii="宋体" w:hAnsi="宋体" w:eastAsia="宋体" w:cs="宋体"/>
                <w:sz w:val="22"/>
                <w:szCs w:val="22"/>
                <w:highlight w:val="none"/>
              </w:rPr>
              <w:t>存在其它不符合法律法规或招标文件规定的投标无效条款</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说明：以上各项有1项不合格，评审不予通过，作为未实质性响应招标文件。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1.2.3 未通过符合性检查的投标文件，不得进入后续评标环节。</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1.3 投标文件的澄清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1.3.1为有助于投标文件的审查、比较和评价，评标委员会可以书面形式</w:t>
      </w:r>
      <w:r>
        <w:rPr>
          <w:rFonts w:hint="eastAsia"/>
          <w:color w:val="auto"/>
          <w:sz w:val="21"/>
          <w:szCs w:val="21"/>
          <w:highlight w:val="none"/>
          <w:lang w:val="zh-CN"/>
        </w:rPr>
        <w:t>或政采云平台</w:t>
      </w:r>
      <w:r>
        <w:rPr>
          <w:rFonts w:hint="eastAsia" w:ascii="宋体" w:hAnsi="宋体"/>
          <w:color w:val="auto"/>
          <w:szCs w:val="21"/>
          <w:highlight w:val="none"/>
        </w:rPr>
        <w:t>要求投标人对其投标文件中含义不明确、同类问题表述不一致或者有明显文字和计算错误的内容作必要的澄清、说明或者补正。有关澄清、说明或者补正应以书面形式</w:t>
      </w:r>
      <w:r>
        <w:rPr>
          <w:rFonts w:hint="eastAsia" w:ascii="宋体" w:hAnsi="宋体"/>
          <w:color w:val="auto"/>
          <w:szCs w:val="21"/>
          <w:highlight w:val="none"/>
          <w:lang w:val="zh-CN"/>
        </w:rPr>
        <w:t>或政采云平台</w:t>
      </w:r>
      <w:r>
        <w:rPr>
          <w:rFonts w:hint="eastAsia" w:ascii="宋体" w:hAnsi="宋体"/>
          <w:color w:val="auto"/>
          <w:szCs w:val="21"/>
          <w:highlight w:val="none"/>
        </w:rPr>
        <w:t>提交，并由其法定代表人或委托代理人签字。评标委员会不接受投标人主动提出的澄清、说明或者补正。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 投标人的澄清、说明或者补正不得超出投标文件的范围或者改变投标文件的实质性内容，并构成为投标文件的组成部分。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1.3.3 评标委员会对投标人提交的澄清、说明或者补正有疑问的，可以要求投标人进一步澄清、说明或者补正，直至满足评标委员会的要求。</w:t>
      </w:r>
    </w:p>
    <w:p>
      <w:pPr>
        <w:spacing w:before="120" w:beforeLines="50" w:after="120" w:afterLines="50"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1.4 投标文件比较与评价</w:t>
      </w:r>
    </w:p>
    <w:p>
      <w:pPr>
        <w:tabs>
          <w:tab w:val="left" w:pos="0"/>
        </w:tabs>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bCs/>
          <w:color w:val="auto"/>
          <w:szCs w:val="21"/>
          <w:highlight w:val="none"/>
        </w:rPr>
        <w:t>评标委员会应按照招标文件中规定的评标方法</w:t>
      </w:r>
      <w:r>
        <w:rPr>
          <w:rFonts w:hint="eastAsia" w:ascii="宋体" w:hAnsi="宋体"/>
          <w:color w:val="auto"/>
          <w:szCs w:val="21"/>
          <w:highlight w:val="none"/>
        </w:rPr>
        <w:t>和标准，</w:t>
      </w:r>
      <w:r>
        <w:rPr>
          <w:rFonts w:hint="eastAsia" w:ascii="宋体" w:hAnsi="宋体"/>
          <w:bCs/>
          <w:color w:val="auto"/>
          <w:szCs w:val="21"/>
          <w:highlight w:val="none"/>
        </w:rPr>
        <w:t>对</w:t>
      </w:r>
      <w:r>
        <w:rPr>
          <w:rFonts w:hint="eastAsia" w:ascii="宋体" w:hAnsi="宋体"/>
          <w:color w:val="auto"/>
          <w:szCs w:val="21"/>
          <w:highlight w:val="none"/>
        </w:rPr>
        <w:t>符合性检查</w:t>
      </w:r>
      <w:r>
        <w:rPr>
          <w:rFonts w:hint="eastAsia" w:ascii="宋体" w:hAnsi="宋体"/>
          <w:bCs/>
          <w:color w:val="auto"/>
          <w:szCs w:val="21"/>
          <w:highlight w:val="none"/>
        </w:rPr>
        <w:t>通过的投标文件进行商务和技术评估，综合比较与评价。</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1.4.2 如果投标文件没有实质性响应招标文件的要求，评标委员会将予以拒绝。投标人不得通过修正或撤销不合要求的偏离或保留，从而使其投标成为实质性响应的投标。</w:t>
      </w:r>
    </w:p>
    <w:p>
      <w:pPr>
        <w:spacing w:before="120" w:before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1.5 复核与核对评标结果</w:t>
      </w:r>
    </w:p>
    <w:p>
      <w:pPr>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 评分汇总结束后，评标委员会应当进行复核，特别要对拟推荐中标候选人的、报价最低的、投标文件被认定无效的进行重点复核。</w:t>
      </w:r>
    </w:p>
    <w:p>
      <w:pPr>
        <w:pStyle w:val="30"/>
        <w:spacing w:line="360" w:lineRule="auto"/>
        <w:ind w:firstLine="420" w:firstLineChars="200"/>
        <w:rPr>
          <w:rFonts w:hint="eastAsia" w:ascii="宋体" w:hAnsi="宋体"/>
          <w:color w:val="auto"/>
          <w:highlight w:val="none"/>
        </w:rPr>
      </w:pPr>
      <w:r>
        <w:rPr>
          <w:rFonts w:hint="eastAsia" w:ascii="宋体" w:hAnsi="宋体"/>
          <w:color w:val="auto"/>
          <w:highlight w:val="none"/>
        </w:rPr>
        <w:t>1.5.2 评标结果汇总完成后，</w:t>
      </w:r>
      <w:r>
        <w:rPr>
          <w:rFonts w:ascii="宋体" w:hAnsi="宋体"/>
          <w:color w:val="auto"/>
          <w:highlight w:val="none"/>
        </w:rPr>
        <w:t>评标报告签署前，</w:t>
      </w:r>
      <w:r>
        <w:rPr>
          <w:rFonts w:hint="eastAsia" w:ascii="宋体" w:hAnsi="宋体"/>
          <w:color w:val="auto"/>
          <w:highlight w:val="none"/>
        </w:rPr>
        <w:t>采购代理机构应当</w:t>
      </w:r>
      <w:r>
        <w:rPr>
          <w:rFonts w:ascii="宋体" w:hAnsi="宋体"/>
          <w:bCs/>
          <w:color w:val="auto"/>
          <w:highlight w:val="none"/>
        </w:rPr>
        <w:t>核对评标结果，</w:t>
      </w:r>
      <w:r>
        <w:rPr>
          <w:rFonts w:ascii="宋体" w:hAnsi="宋体"/>
          <w:color w:val="auto"/>
          <w:highlight w:val="none"/>
        </w:rPr>
        <w:t>除下列情形外，任何人不得修改评标结果：</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）分值汇总计算错误的；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）分项评分超出评分标准范围的；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）评标委员会对客观评审因素评分不一致的；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）经评标委员会认定评分畸高、畸低的。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经复核发现存在以上情形之一的，评标委员会应当当场修改评标结果，并在评标报告中记载</w:t>
      </w:r>
      <w:r>
        <w:rPr>
          <w:rFonts w:hint="eastAsia" w:ascii="宋体" w:hAnsi="宋体"/>
          <w:color w:val="auto"/>
          <w:szCs w:val="21"/>
          <w:highlight w:val="none"/>
        </w:rPr>
        <w:t>。</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1.6 确定中标候选人名单</w:t>
      </w:r>
    </w:p>
    <w:p>
      <w:pPr>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定标及定标程序祥见第二章第9.1、9.2条款。</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1.7 编写评标报告</w:t>
      </w:r>
    </w:p>
    <w:p>
      <w:pPr>
        <w:spacing w:before="120" w:beforeLines="50" w:line="360" w:lineRule="auto"/>
        <w:ind w:firstLine="482"/>
        <w:rPr>
          <w:rFonts w:hint="eastAsia" w:ascii="宋体" w:hAnsi="宋体"/>
          <w:color w:val="auto"/>
          <w:szCs w:val="21"/>
          <w:highlight w:val="none"/>
        </w:rPr>
      </w:pPr>
      <w:r>
        <w:rPr>
          <w:rFonts w:hint="eastAsia" w:ascii="宋体" w:hAnsi="宋体"/>
          <w:color w:val="auto"/>
          <w:szCs w:val="21"/>
          <w:highlight w:val="none"/>
        </w:rPr>
        <w:t>1.7.1 评标委员会在确定中标候选人名单后，应当编写评标报告并向采购人出具。评标报告应当包括以下内容：</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（1）招标公告刊登的媒体名称、开标日期和地点；</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（2）投标人名单和评标委员会成员名单；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（3）评标方法和标准；</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（4）开标记录和评标情况及说明，包括无效投标人名单及原因；</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（5）评标结果，确定的中标候选人名单；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（6）其他需要说明的情况，包括评标过程中投标人根据评标委员会要求进行的澄清、说明或者补正，评标委员会成员的更换等，报价最高的投标人为第一中标候选人的，对其报价合理性予以特别书面。</w:t>
      </w:r>
    </w:p>
    <w:p>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spacing w:before="120" w:beforeLines="50" w:after="120" w:afterLines="50" w:line="360" w:lineRule="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t>2.</w:t>
      </w:r>
      <w:r>
        <w:rPr>
          <w:rFonts w:hint="eastAsia" w:ascii="黑体" w:hAnsi="宋体" w:eastAsia="黑体"/>
          <w:b/>
          <w:color w:val="auto"/>
          <w:szCs w:val="21"/>
          <w:highlight w:val="none"/>
        </w:rPr>
        <w:t xml:space="preserve"> </w:t>
      </w:r>
      <w:r>
        <w:rPr>
          <w:rFonts w:hint="eastAsia" w:ascii="黑体" w:hAnsi="宋体" w:eastAsia="黑体"/>
          <w:b/>
          <w:color w:val="auto"/>
          <w:sz w:val="36"/>
          <w:szCs w:val="36"/>
          <w:highlight w:val="none"/>
        </w:rPr>
        <w:t>评标方法</w:t>
      </w:r>
    </w:p>
    <w:p>
      <w:pPr>
        <w:pStyle w:val="6"/>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color w:val="auto"/>
          <w:sz w:val="30"/>
          <w:szCs w:val="30"/>
          <w:highlight w:val="none"/>
        </w:rPr>
        <w:t>2.1综合评分法</w:t>
      </w:r>
    </w:p>
    <w:p>
      <w:pPr>
        <w:widowControl/>
        <w:spacing w:line="45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本采购项目评标方法采用综合评分法。即</w:t>
      </w:r>
      <w:r>
        <w:rPr>
          <w:rFonts w:hint="eastAsia" w:ascii="宋体" w:hAnsi="宋体" w:cs="宋体"/>
          <w:color w:val="auto"/>
          <w:kern w:val="0"/>
          <w:szCs w:val="21"/>
          <w:highlight w:val="none"/>
        </w:rPr>
        <w:t>投标文件满足招标文件全部实质性要求，且按照评审因素的量化指标评审得分最高的投标人为中标候选人的评标方法。</w:t>
      </w:r>
    </w:p>
    <w:p>
      <w:pPr>
        <w:widowControl/>
        <w:autoSpaceDE w:val="0"/>
        <w:autoSpaceDN w:val="0"/>
        <w:spacing w:before="120" w:beforeLines="50" w:after="120" w:afterLines="50" w:line="360" w:lineRule="auto"/>
        <w:ind w:right="51"/>
        <w:textAlignment w:val="bottom"/>
        <w:rPr>
          <w:rFonts w:hint="eastAsia" w:ascii="宋体" w:hAnsi="宋体"/>
          <w:b/>
          <w:color w:val="auto"/>
          <w:sz w:val="30"/>
          <w:szCs w:val="30"/>
          <w:highlight w:val="none"/>
        </w:rPr>
      </w:pPr>
      <w:r>
        <w:rPr>
          <w:rFonts w:hint="eastAsia" w:ascii="宋体" w:hAnsi="宋体"/>
          <w:b/>
          <w:color w:val="auto"/>
          <w:sz w:val="30"/>
          <w:szCs w:val="30"/>
          <w:highlight w:val="none"/>
        </w:rPr>
        <w:t xml:space="preserve">2.2 </w:t>
      </w:r>
      <w:r>
        <w:rPr>
          <w:rFonts w:hint="eastAsia"/>
          <w:b/>
          <w:color w:val="auto"/>
          <w:sz w:val="30"/>
          <w:szCs w:val="30"/>
          <w:highlight w:val="none"/>
        </w:rPr>
        <w:t>评标细则及标准</w:t>
      </w:r>
    </w:p>
    <w:p>
      <w:pPr>
        <w:pStyle w:val="13"/>
        <w:adjustRightInd w:val="0"/>
        <w:snapToGrid w:val="0"/>
        <w:spacing w:line="360" w:lineRule="auto"/>
        <w:ind w:firstLine="420" w:firstLineChars="200"/>
        <w:rPr>
          <w:rFonts w:hint="eastAsia" w:hAnsi="宋体"/>
          <w:bCs/>
          <w:color w:val="auto"/>
          <w:highlight w:val="none"/>
        </w:rPr>
      </w:pPr>
      <w:r>
        <w:rPr>
          <w:rFonts w:hint="eastAsia" w:hAnsi="宋体"/>
          <w:color w:val="auto"/>
          <w:highlight w:val="none"/>
        </w:rPr>
        <w:t xml:space="preserve">2.2.1 </w:t>
      </w:r>
      <w:r>
        <w:rPr>
          <w:rFonts w:hint="eastAsia" w:hAnsi="宋体"/>
          <w:bCs/>
          <w:color w:val="auto"/>
          <w:highlight w:val="none"/>
        </w:rPr>
        <w:t>评标委员会将综合分析投标人的各项评审因素，而不以单项评审因素的优劣评选出中标人。对所有投标人的投标评估，都采用相同的程序和标准，严格按照招标文件的要求和条件进行。</w:t>
      </w:r>
    </w:p>
    <w:p>
      <w:pPr>
        <w:tabs>
          <w:tab w:val="left" w:pos="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评审因素包括：</w:t>
      </w:r>
      <w:r>
        <w:rPr>
          <w:rFonts w:hint="eastAsia" w:ascii="宋体" w:hAnsi="宋体"/>
          <w:b/>
          <w:bCs/>
          <w:color w:val="auto"/>
          <w:szCs w:val="21"/>
          <w:highlight w:val="none"/>
        </w:rPr>
        <w:t>投标报价、技术要求、商务</w:t>
      </w:r>
      <w:r>
        <w:rPr>
          <w:rFonts w:hint="eastAsia" w:ascii="宋体" w:hAnsi="宋体"/>
          <w:b/>
          <w:bCs/>
          <w:color w:val="auto"/>
          <w:szCs w:val="21"/>
          <w:highlight w:val="none"/>
          <w:lang w:eastAsia="zh-CN"/>
        </w:rPr>
        <w:t>要求</w:t>
      </w:r>
      <w:r>
        <w:rPr>
          <w:rFonts w:hint="eastAsia" w:ascii="宋体" w:hAnsi="宋体" w:cs="宋体"/>
          <w:color w:val="auto"/>
          <w:kern w:val="0"/>
          <w:szCs w:val="21"/>
          <w:highlight w:val="none"/>
        </w:rPr>
        <w:t>等</w:t>
      </w:r>
      <w:r>
        <w:rPr>
          <w:rFonts w:hint="eastAsia" w:ascii="宋体" w:hAnsi="宋体"/>
          <w:color w:val="auto"/>
          <w:szCs w:val="21"/>
          <w:highlight w:val="none"/>
        </w:rPr>
        <w:t>对招标文件的响应程度，以及相应的比重或者权值等，但不包括“投标人须知”第3.1条</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w:t>
      </w:r>
    </w:p>
    <w:p>
      <w:pPr>
        <w:pStyle w:val="13"/>
        <w:adjustRightInd w:val="0"/>
        <w:snapToGrid w:val="0"/>
        <w:spacing w:line="360" w:lineRule="auto"/>
        <w:ind w:left="810" w:leftChars="203" w:hanging="384" w:hangingChars="183"/>
        <w:rPr>
          <w:rFonts w:hint="eastAsia" w:hAnsi="宋体"/>
          <w:bCs/>
          <w:color w:val="auto"/>
          <w:highlight w:val="none"/>
        </w:rPr>
      </w:pPr>
      <w:r>
        <w:rPr>
          <w:rFonts w:hint="eastAsia" w:hAnsi="宋体"/>
          <w:bCs/>
          <w:color w:val="auto"/>
          <w:highlight w:val="none"/>
        </w:rPr>
        <w:t>2.2.3 评标委员会按以下操作程序对投标人的投标文件进行综合评分：</w:t>
      </w:r>
    </w:p>
    <w:p>
      <w:pPr>
        <w:pStyle w:val="14"/>
        <w:widowControl/>
        <w:tabs>
          <w:tab w:val="left" w:pos="1506"/>
        </w:tabs>
        <w:adjustRightInd w:val="0"/>
        <w:snapToGrid w:val="0"/>
        <w:spacing w:line="360" w:lineRule="auto"/>
        <w:ind w:firstLineChars="300"/>
        <w:rPr>
          <w:rFonts w:ascii="宋体" w:hAnsi="宋体"/>
          <w:bCs/>
          <w:color w:val="auto"/>
          <w:sz w:val="21"/>
          <w:szCs w:val="21"/>
          <w:highlight w:val="none"/>
        </w:rPr>
      </w:pPr>
      <w:r>
        <w:rPr>
          <w:rFonts w:hint="eastAsia" w:ascii="宋体" w:hAnsi="宋体"/>
          <w:bCs/>
          <w:color w:val="auto"/>
          <w:sz w:val="21"/>
          <w:szCs w:val="21"/>
          <w:highlight w:val="none"/>
        </w:rPr>
        <w:t>2.2.3.1 根据招标文件和评标原则，按《综合评分明细表》所列评分因素和各评分因素的权重进行评标。</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2.2.3.2 参照财政部87号令第五十五条和财库【2020】46号文件的规定，以本次满足投标文件要求的</w:t>
      </w:r>
      <w:r>
        <w:rPr>
          <w:rFonts w:hint="eastAsia" w:ascii="宋体" w:hAnsi="宋体"/>
          <w:b/>
          <w:bCs/>
          <w:color w:val="auto"/>
          <w:szCs w:val="21"/>
          <w:highlight w:val="none"/>
        </w:rPr>
        <w:t>最低投标评审价</w:t>
      </w:r>
      <w:r>
        <w:rPr>
          <w:rFonts w:hint="eastAsia" w:ascii="宋体" w:hAnsi="宋体"/>
          <w:color w:val="auto"/>
          <w:szCs w:val="21"/>
          <w:highlight w:val="none"/>
        </w:rPr>
        <w:t>为评标基准价，其价格为满分。</w:t>
      </w:r>
    </w:p>
    <w:p>
      <w:pPr>
        <w:widowControl/>
        <w:shd w:val="clear" w:color="auto" w:fill="FFFFFF"/>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如果同一包为单一产品，或同一包为多种产品，全部符合中小企业政策优惠条件的（即小微企业自身生产或中小企业代理的小微企业生产的产品），对</w:t>
      </w:r>
      <w:r>
        <w:rPr>
          <w:rFonts w:hint="eastAsia" w:ascii="宋体" w:hAnsi="宋体" w:cs="宋体"/>
          <w:b/>
          <w:color w:val="auto"/>
          <w:kern w:val="0"/>
          <w:szCs w:val="21"/>
          <w:highlight w:val="none"/>
        </w:rPr>
        <w:t>总报价</w:t>
      </w:r>
      <w:r>
        <w:rPr>
          <w:rFonts w:hint="eastAsia" w:ascii="宋体" w:hAnsi="宋体" w:cs="宋体"/>
          <w:color w:val="auto"/>
          <w:kern w:val="0"/>
          <w:szCs w:val="21"/>
          <w:highlight w:val="none"/>
        </w:rPr>
        <w:t>进行调整，调整后的报价作为投标评审价。</w:t>
      </w:r>
      <w:r>
        <w:rPr>
          <w:rFonts w:hint="eastAsia" w:ascii="宋体" w:hAnsi="宋体"/>
          <w:color w:val="auto"/>
          <w:szCs w:val="21"/>
          <w:highlight w:val="none"/>
        </w:rPr>
        <w:t>投标评审价按下列公示计算：</w:t>
      </w:r>
    </w:p>
    <w:p>
      <w:pPr>
        <w:widowControl/>
        <w:shd w:val="clear" w:color="auto" w:fill="FFFFFF"/>
        <w:spacing w:line="360" w:lineRule="auto"/>
        <w:ind w:firstLine="843" w:firstLineChars="400"/>
        <w:jc w:val="left"/>
        <w:rPr>
          <w:rFonts w:hint="eastAsia" w:ascii="宋体" w:hAnsi="宋体"/>
          <w:b/>
          <w:color w:val="auto"/>
          <w:szCs w:val="21"/>
          <w:highlight w:val="none"/>
        </w:rPr>
      </w:pPr>
      <w:r>
        <w:rPr>
          <w:rFonts w:hint="eastAsia" w:ascii="宋体" w:hAnsi="宋体"/>
          <w:b/>
          <w:color w:val="auto"/>
          <w:szCs w:val="21"/>
          <w:highlight w:val="none"/>
        </w:rPr>
        <w:t>投标评审价=投标报价×（1-投标报价折扣幅度）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）投标人的价格得分按下列公式计算:</w:t>
      </w:r>
    </w:p>
    <w:p>
      <w:pPr>
        <w:spacing w:line="360" w:lineRule="auto"/>
        <w:ind w:firstLine="723" w:firstLineChars="343"/>
        <w:rPr>
          <w:rFonts w:ascii="宋体" w:hAnsi="宋体"/>
          <w:b/>
          <w:color w:val="auto"/>
          <w:szCs w:val="21"/>
          <w:highlight w:val="none"/>
        </w:rPr>
      </w:pPr>
      <w:r>
        <w:rPr>
          <w:rFonts w:hint="eastAsia" w:ascii="宋体" w:hAnsi="宋体"/>
          <w:b/>
          <w:color w:val="auto"/>
          <w:szCs w:val="21"/>
          <w:highlight w:val="none"/>
        </w:rPr>
        <w:t>投标报价得分=(评标基准价／投标评审价)×100×价格分值*100%</w:t>
      </w:r>
    </w:p>
    <w:p>
      <w:pPr>
        <w:pStyle w:val="14"/>
        <w:widowControl/>
        <w:tabs>
          <w:tab w:val="left" w:pos="1506"/>
        </w:tabs>
        <w:adjustRightInd w:val="0"/>
        <w:snapToGrid w:val="0"/>
        <w:spacing w:line="360" w:lineRule="auto"/>
        <w:ind w:firstLineChars="300"/>
        <w:rPr>
          <w:rFonts w:hint="eastAsia" w:ascii="宋体" w:hAnsi="宋体"/>
          <w:bCs/>
          <w:color w:val="auto"/>
          <w:sz w:val="21"/>
          <w:szCs w:val="21"/>
          <w:highlight w:val="none"/>
        </w:rPr>
      </w:pPr>
      <w:r>
        <w:rPr>
          <w:rFonts w:hint="eastAsia" w:ascii="宋体" w:hAnsi="宋体"/>
          <w:bCs/>
          <w:color w:val="auto"/>
          <w:sz w:val="21"/>
          <w:szCs w:val="21"/>
          <w:highlight w:val="none"/>
        </w:rPr>
        <w:t>2.2.3.3 由评标委员会成员独立地根据各项因素的评分标准，结合每个投标人的实际情况，分别就投标报价以外的各项评审因素对每个投标人独立打分。</w:t>
      </w:r>
    </w:p>
    <w:p>
      <w:pPr>
        <w:pStyle w:val="14"/>
        <w:widowControl/>
        <w:tabs>
          <w:tab w:val="left" w:pos="1506"/>
        </w:tabs>
        <w:adjustRightInd w:val="0"/>
        <w:snapToGrid w:val="0"/>
        <w:spacing w:line="360" w:lineRule="auto"/>
        <w:ind w:firstLineChars="300"/>
        <w:rPr>
          <w:rFonts w:hint="eastAsia" w:ascii="宋体" w:hAnsi="宋体"/>
          <w:bCs/>
          <w:color w:val="auto"/>
          <w:sz w:val="21"/>
          <w:szCs w:val="21"/>
          <w:highlight w:val="none"/>
        </w:rPr>
      </w:pPr>
      <w:r>
        <w:rPr>
          <w:rFonts w:hint="eastAsia" w:ascii="宋体" w:hAnsi="宋体"/>
          <w:bCs/>
          <w:color w:val="auto"/>
          <w:sz w:val="21"/>
          <w:szCs w:val="21"/>
          <w:highlight w:val="none"/>
        </w:rPr>
        <w:t>2.2.3.4 将所有评审因素所得实际评审分数相加，即为该投标人的评审总得分。评审总得分按下例公式计算：</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评审总得分＝F1＋F2＋……＋Fn</w:t>
      </w:r>
    </w:p>
    <w:p>
      <w:pPr>
        <w:pStyle w:val="20"/>
        <w:shd w:val="clear" w:color="auto" w:fill="FFFFFF"/>
        <w:spacing w:before="0" w:beforeAutospacing="0" w:after="0" w:afterAutospacing="0" w:line="360" w:lineRule="auto"/>
        <w:ind w:firstLine="840" w:firstLineChars="400"/>
        <w:rPr>
          <w:rFonts w:hint="eastAsia"/>
          <w:color w:val="auto"/>
          <w:sz w:val="21"/>
          <w:szCs w:val="21"/>
          <w:highlight w:val="none"/>
        </w:rPr>
      </w:pPr>
      <w:r>
        <w:rPr>
          <w:rFonts w:hint="eastAsia"/>
          <w:color w:val="auto"/>
          <w:sz w:val="21"/>
          <w:szCs w:val="21"/>
          <w:highlight w:val="none"/>
        </w:rPr>
        <w:t>F1、F2……Fn分别为各项评审因素的汇总得分</w:t>
      </w:r>
    </w:p>
    <w:p>
      <w:pPr>
        <w:pStyle w:val="20"/>
        <w:shd w:val="clear" w:color="auto" w:fill="FFFFFF"/>
        <w:spacing w:before="0" w:beforeAutospacing="0" w:after="0" w:afterAutospacing="0" w:line="360" w:lineRule="auto"/>
        <w:ind w:firstLine="630" w:firstLineChars="300"/>
        <w:rPr>
          <w:rFonts w:hint="eastAsia"/>
          <w:color w:val="auto"/>
          <w:sz w:val="21"/>
          <w:szCs w:val="21"/>
          <w:highlight w:val="none"/>
        </w:rPr>
      </w:pPr>
      <w:r>
        <w:rPr>
          <w:rFonts w:hint="eastAsia"/>
          <w:color w:val="auto"/>
          <w:sz w:val="21"/>
          <w:szCs w:val="21"/>
          <w:highlight w:val="none"/>
        </w:rPr>
        <w:t>2.2.3.5 评审过程中，不得去掉报价中的最高报价和最低报价。</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2.2.4 小型和微型企业货物（产品）的报价折扣幅度标准：</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2.2.4.1 对小型、微型企业生产的货物（产品）投标价格给予</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0%）的折扣。</w:t>
      </w:r>
    </w:p>
    <w:p>
      <w:pPr>
        <w:spacing w:line="360" w:lineRule="auto"/>
        <w:ind w:firstLine="630" w:firstLineChars="300"/>
        <w:rPr>
          <w:rFonts w:hint="eastAsia" w:ascii="宋体" w:hAnsi="宋体"/>
          <w:color w:val="auto"/>
          <w:kern w:val="0"/>
          <w:szCs w:val="21"/>
          <w:highlight w:val="none"/>
        </w:rPr>
      </w:pPr>
      <w:r>
        <w:rPr>
          <w:rFonts w:hint="eastAsia" w:ascii="宋体" w:hAnsi="宋体"/>
          <w:color w:val="auto"/>
          <w:kern w:val="0"/>
          <w:szCs w:val="21"/>
          <w:highlight w:val="none"/>
        </w:rPr>
        <w:t>2.2.4.2 参加联合体投标的</w:t>
      </w:r>
      <w:r>
        <w:rPr>
          <w:rFonts w:hint="eastAsia" w:ascii="宋体" w:hAnsi="宋体"/>
          <w:color w:val="auto"/>
          <w:szCs w:val="21"/>
          <w:highlight w:val="none"/>
        </w:rPr>
        <w:t>小型、微型企业，</w:t>
      </w:r>
      <w:r>
        <w:rPr>
          <w:rFonts w:hint="eastAsia" w:ascii="宋体" w:hAnsi="宋体"/>
          <w:color w:val="auto"/>
          <w:kern w:val="0"/>
          <w:szCs w:val="21"/>
          <w:highlight w:val="none"/>
        </w:rPr>
        <w:t>联合协议中约定，小型、微型企业的协议合同金额占到联合体协议合同总金额30%以上的，可给予联合体</w:t>
      </w:r>
      <w:r>
        <w:rPr>
          <w:rFonts w:hint="eastAsia" w:ascii="宋体" w:hAnsi="宋体"/>
          <w:color w:val="auto"/>
          <w:kern w:val="0"/>
          <w:szCs w:val="21"/>
          <w:highlight w:val="none"/>
          <w:u w:val="single"/>
        </w:rPr>
        <w:t>2%</w:t>
      </w:r>
      <w:r>
        <w:rPr>
          <w:rFonts w:hint="eastAsia" w:ascii="宋体" w:hAnsi="宋体"/>
          <w:color w:val="auto"/>
          <w:kern w:val="0"/>
          <w:szCs w:val="21"/>
          <w:highlight w:val="none"/>
        </w:rPr>
        <w:t>（2%-3%）的价格折扣。</w:t>
      </w:r>
    </w:p>
    <w:p>
      <w:pPr>
        <w:widowControl/>
        <w:shd w:val="clear" w:color="auto" w:fill="FFFFFF"/>
        <w:spacing w:line="360" w:lineRule="auto"/>
        <w:ind w:firstLine="632" w:firstLineChars="300"/>
        <w:jc w:val="left"/>
        <w:rPr>
          <w:rFonts w:hint="eastAsia" w:ascii="宋体" w:hAnsi="宋体"/>
          <w:b/>
          <w:color w:val="auto"/>
          <w:kern w:val="0"/>
          <w:szCs w:val="21"/>
          <w:highlight w:val="none"/>
        </w:rPr>
      </w:pPr>
      <w:r>
        <w:rPr>
          <w:rFonts w:hint="eastAsia" w:ascii="宋体" w:hAnsi="宋体"/>
          <w:b/>
          <w:color w:val="auto"/>
          <w:kern w:val="0"/>
          <w:szCs w:val="21"/>
          <w:highlight w:val="none"/>
        </w:rPr>
        <w:t xml:space="preserve">2.2.4.3  </w:t>
      </w:r>
      <w:r>
        <w:rPr>
          <w:rFonts w:hint="eastAsia" w:ascii="宋体" w:hAnsi="宋体" w:cs="宋体"/>
          <w:b/>
          <w:color w:val="auto"/>
          <w:kern w:val="0"/>
          <w:szCs w:val="21"/>
          <w:highlight w:val="none"/>
        </w:rPr>
        <w:t>小、微企业提供本企业生产的产品或中小型企业（代理商）代理的小、微企业生产的产品可享受报价折扣条件；中小型企业（代理商）代理的中型及以上企业生产的产品不享受报价折扣条件。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（1）文字表述的内容含义不明确；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（2）同类问题表述不一致；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（3）有明显文字和计算错误；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（4）提供的技术信息和数据资料不完整；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（5）投标文件未按招标文件要求进行装订或未编制目录、页码；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（6）评标委员会认定的其他非实质性偏离。</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pStyle w:val="3"/>
        <w:tabs>
          <w:tab w:val="left" w:pos="600"/>
        </w:tabs>
        <w:spacing w:before="240" w:beforeLines="100" w:line="360" w:lineRule="auto"/>
        <w:ind w:firstLine="0"/>
        <w:jc w:val="center"/>
        <w:rPr>
          <w:rFonts w:hint="eastAsia" w:ascii="宋体" w:hAnsi="宋体"/>
          <w:b/>
          <w:color w:val="auto"/>
          <w:szCs w:val="32"/>
          <w:highlight w:val="none"/>
        </w:rPr>
      </w:pPr>
      <w:r>
        <w:rPr>
          <w:rFonts w:hint="eastAsia" w:ascii="宋体" w:hAnsi="宋体"/>
          <w:b/>
          <w:color w:val="auto"/>
          <w:szCs w:val="32"/>
          <w:highlight w:val="none"/>
        </w:rPr>
        <w:t>综合评分明细表</w:t>
      </w:r>
    </w:p>
    <w:p>
      <w:pPr>
        <w:rPr>
          <w:color w:val="auto"/>
          <w:highlight w:val="none"/>
        </w:rPr>
      </w:pPr>
    </w:p>
    <w:tbl>
      <w:tblPr>
        <w:tblStyle w:val="2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58"/>
        <w:gridCol w:w="465"/>
        <w:gridCol w:w="100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序号</w:t>
            </w:r>
          </w:p>
        </w:tc>
        <w:tc>
          <w:tcPr>
            <w:tcW w:w="558"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评分项目</w:t>
            </w:r>
          </w:p>
        </w:tc>
        <w:tc>
          <w:tcPr>
            <w:tcW w:w="465"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分值</w:t>
            </w:r>
          </w:p>
        </w:tc>
        <w:tc>
          <w:tcPr>
            <w:tcW w:w="1005"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评分细项</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w:t>
            </w:r>
          </w:p>
        </w:tc>
        <w:tc>
          <w:tcPr>
            <w:tcW w:w="558"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投标报价评审</w:t>
            </w:r>
          </w:p>
        </w:tc>
        <w:tc>
          <w:tcPr>
            <w:tcW w:w="465"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30分</w:t>
            </w:r>
          </w:p>
        </w:tc>
        <w:tc>
          <w:tcPr>
            <w:tcW w:w="1005" w:type="dxa"/>
            <w:shd w:val="clear" w:color="auto" w:fill="auto"/>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报价评分</w:t>
            </w:r>
          </w:p>
          <w:p>
            <w:pPr>
              <w:widowControl/>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30分)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价格分统一采用低价优先法计算，即满足招标文件要求且投标价格最低的投标报价为评标基准价，其价格分为满分。其他投标单位的价格分统一按照下列公式计算：</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投标报价得分=(评标基准价／投标报价)×价格权值×100</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计算分数时四舍五入取小数点后两位</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备注：投标人报价明显偏低，评标委员会认定具有恶性竞争嫌疑，要求其作出解释，其解释被评委会接受，可确定其报价合理；如不被评委会接受，评委会将不予认可，将作为无效投标书处理。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w:t>
            </w:r>
          </w:p>
        </w:tc>
        <w:tc>
          <w:tcPr>
            <w:tcW w:w="558"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技术评审</w:t>
            </w:r>
          </w:p>
        </w:tc>
        <w:tc>
          <w:tcPr>
            <w:tcW w:w="465"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55分</w:t>
            </w:r>
          </w:p>
        </w:tc>
        <w:tc>
          <w:tcPr>
            <w:tcW w:w="1005" w:type="dxa"/>
            <w:shd w:val="clear" w:color="auto" w:fill="auto"/>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技术参数响应程度</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(30分)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招标文件参数部分基础分30分，标★指标每有1项负偏离扣3分，最多减至0分，非★每有1项负偏离扣2分，最多减至0分，需按要求提供对应参数中要求的佐证材料（功能截图、产品证书、检测报告等），佐证材料不符合要求或未提供者也将视为负偏离处理，请务必保证材料真实性。评标委员会根据材料进行详细比对打分，出现虚假应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建设</w:t>
            </w:r>
          </w:p>
          <w:p>
            <w:pPr>
              <w:widowControl/>
              <w:jc w:val="center"/>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能力</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5分</w:t>
            </w:r>
            <w:r>
              <w:rPr>
                <w:rFonts w:hint="eastAsia" w:cs="宋体" w:asciiTheme="minorEastAsia" w:hAnsiTheme="minorEastAsia"/>
                <w:color w:val="auto"/>
                <w:kern w:val="0"/>
                <w:sz w:val="24"/>
                <w:szCs w:val="24"/>
                <w:highlight w:val="none"/>
              </w:rPr>
              <w:t>)</w:t>
            </w:r>
          </w:p>
        </w:tc>
        <w:tc>
          <w:tcPr>
            <w:tcW w:w="6379" w:type="dxa"/>
            <w:shd w:val="clear" w:color="auto" w:fill="auto"/>
            <w:vAlign w:val="center"/>
          </w:tcPr>
          <w:p>
            <w:pPr>
              <w:widowControl/>
              <w:numPr>
                <w:ilvl w:val="0"/>
                <w:numId w:val="2"/>
              </w:numP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为保障项目质量和售后服务效果，云桌面设备制造商需具有信息系统建设和服务能力；提供设备制造商的信息系统建设和服务能力等级证书，信息系统建设和服务能力评估网查询链接及截图，并加盖原厂公章，CS2级及以上（CS2、CS3、CS4、CS5）得</w:t>
            </w: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分，CS1级得1分，不提供不得分。</w:t>
            </w:r>
          </w:p>
          <w:p>
            <w:pPr>
              <w:widowControl/>
              <w:numPr>
                <w:ilvl w:val="0"/>
                <w:numId w:val="0"/>
              </w:numP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val="en-US" w:eastAsia="zh-CN"/>
              </w:rPr>
              <w:t>2、</w:t>
            </w:r>
            <w:r>
              <w:rPr>
                <w:rFonts w:hint="eastAsia" w:cs="宋体" w:asciiTheme="minorEastAsia" w:hAnsiTheme="minorEastAsia"/>
                <w:color w:val="auto"/>
                <w:kern w:val="0"/>
                <w:sz w:val="24"/>
                <w:szCs w:val="24"/>
                <w:highlight w:val="none"/>
              </w:rPr>
              <w:t>投标人</w:t>
            </w:r>
            <w:r>
              <w:rPr>
                <w:rFonts w:hint="eastAsia" w:hAnsi="宋体" w:cs="宋体"/>
                <w:color w:val="auto"/>
                <w:kern w:val="0"/>
                <w:sz w:val="24"/>
                <w:szCs w:val="20"/>
                <w:highlight w:val="none"/>
              </w:rPr>
              <w:t>项目团队需具备高级项目管理师</w:t>
            </w:r>
            <w:r>
              <w:rPr>
                <w:rFonts w:hint="eastAsia" w:hAnsi="宋体" w:cs="宋体"/>
                <w:color w:val="auto"/>
                <w:kern w:val="0"/>
                <w:sz w:val="24"/>
                <w:szCs w:val="20"/>
                <w:highlight w:val="none"/>
                <w:lang w:eastAsia="zh-CN"/>
              </w:rPr>
              <w:t>、</w:t>
            </w:r>
            <w:r>
              <w:rPr>
                <w:rFonts w:hint="eastAsia" w:hAnsi="宋体" w:cs="宋体"/>
                <w:color w:val="auto"/>
                <w:kern w:val="0"/>
                <w:sz w:val="24"/>
                <w:szCs w:val="20"/>
                <w:highlight w:val="none"/>
              </w:rPr>
              <w:t>通信高级工程师</w:t>
            </w:r>
            <w:r>
              <w:rPr>
                <w:rFonts w:hint="eastAsia" w:hAnsi="宋体" w:cs="宋体"/>
                <w:color w:val="auto"/>
                <w:kern w:val="0"/>
                <w:sz w:val="24"/>
                <w:szCs w:val="20"/>
                <w:highlight w:val="none"/>
                <w:lang w:val="en-US" w:eastAsia="zh-CN"/>
              </w:rPr>
              <w:t>各</w:t>
            </w:r>
            <w:r>
              <w:rPr>
                <w:rFonts w:hint="eastAsia" w:hAnsi="宋体" w:cs="宋体"/>
                <w:color w:val="auto"/>
                <w:kern w:val="0"/>
                <w:sz w:val="24"/>
                <w:szCs w:val="20"/>
                <w:highlight w:val="none"/>
              </w:rPr>
              <w:t>1名，最高得</w:t>
            </w:r>
            <w:r>
              <w:rPr>
                <w:rFonts w:hAnsi="宋体" w:cs="宋体"/>
                <w:color w:val="auto"/>
                <w:kern w:val="0"/>
                <w:sz w:val="24"/>
                <w:szCs w:val="20"/>
                <w:highlight w:val="none"/>
              </w:rPr>
              <w:t>2</w:t>
            </w:r>
            <w:r>
              <w:rPr>
                <w:rFonts w:hint="eastAsia" w:hAnsi="宋体" w:cs="宋体"/>
                <w:color w:val="auto"/>
                <w:kern w:val="0"/>
                <w:sz w:val="24"/>
                <w:szCs w:val="20"/>
                <w:highlight w:val="none"/>
              </w:rPr>
              <w:t>分，</w:t>
            </w:r>
            <w:r>
              <w:rPr>
                <w:rFonts w:hint="eastAsia" w:ascii="宋体" w:hAnsi="宋体" w:cs="宋体"/>
                <w:color w:val="auto"/>
                <w:kern w:val="0"/>
                <w:sz w:val="24"/>
                <w:szCs w:val="20"/>
                <w:highlight w:val="none"/>
              </w:rPr>
              <w:t>不提供不得分。</w:t>
            </w:r>
            <w:r>
              <w:rPr>
                <w:rFonts w:hint="eastAsia" w:hAnsi="宋体" w:cs="宋体"/>
                <w:color w:val="auto"/>
                <w:kern w:val="0"/>
                <w:sz w:val="24"/>
                <w:szCs w:val="20"/>
                <w:highlight w:val="none"/>
              </w:rPr>
              <w:t>提供证书</w:t>
            </w:r>
            <w:r>
              <w:rPr>
                <w:rFonts w:hint="eastAsia" w:hAnsi="宋体" w:cs="宋体"/>
                <w:color w:val="auto"/>
                <w:kern w:val="0"/>
                <w:sz w:val="24"/>
                <w:szCs w:val="20"/>
                <w:highlight w:val="none"/>
                <w:lang w:val="en-US" w:eastAsia="zh-CN"/>
              </w:rPr>
              <w:t>及</w:t>
            </w:r>
            <w:r>
              <w:rPr>
                <w:rFonts w:hint="eastAsia" w:hAnsi="宋体" w:cs="宋体"/>
                <w:color w:val="auto"/>
                <w:kern w:val="0"/>
                <w:sz w:val="24"/>
                <w:szCs w:val="20"/>
                <w:highlight w:val="none"/>
              </w:rPr>
              <w:t>近三个月缴纳社保证明。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产品质量性能</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5</w:t>
            </w:r>
            <w:r>
              <w:rPr>
                <w:rFonts w:hint="eastAsia" w:cs="宋体" w:asciiTheme="minorEastAsia" w:hAnsiTheme="minorEastAsia"/>
                <w:color w:val="auto"/>
                <w:kern w:val="0"/>
                <w:sz w:val="24"/>
                <w:szCs w:val="24"/>
                <w:highlight w:val="none"/>
              </w:rPr>
              <w:t>分）</w:t>
            </w:r>
          </w:p>
        </w:tc>
        <w:tc>
          <w:tcPr>
            <w:tcW w:w="6379" w:type="dxa"/>
            <w:shd w:val="clear" w:color="auto" w:fill="auto"/>
            <w:vAlign w:val="center"/>
          </w:tcPr>
          <w:p>
            <w:pPr>
              <w:widowControl/>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所投</w:t>
            </w:r>
            <w:r>
              <w:rPr>
                <w:rFonts w:cs="宋体" w:asciiTheme="minorEastAsia" w:hAnsiTheme="minorEastAsia"/>
                <w:color w:val="auto"/>
                <w:kern w:val="0"/>
                <w:sz w:val="24"/>
                <w:szCs w:val="24"/>
                <w:highlight w:val="none"/>
              </w:rPr>
              <w:t>IDV云终端产品市场成熟，覆盖面广，</w:t>
            </w:r>
            <w:r>
              <w:rPr>
                <w:rFonts w:hint="eastAsia" w:cs="宋体" w:asciiTheme="minorEastAsia" w:hAnsiTheme="minorEastAsia"/>
                <w:color w:val="auto"/>
                <w:kern w:val="0"/>
                <w:sz w:val="24"/>
                <w:szCs w:val="24"/>
                <w:highlight w:val="none"/>
              </w:rPr>
              <w:t>提供IDC或C</w:t>
            </w:r>
            <w:r>
              <w:rPr>
                <w:rFonts w:cs="宋体" w:asciiTheme="minorEastAsia" w:hAnsiTheme="minorEastAsia"/>
                <w:color w:val="auto"/>
                <w:kern w:val="0"/>
                <w:sz w:val="24"/>
                <w:szCs w:val="24"/>
                <w:highlight w:val="none"/>
              </w:rPr>
              <w:t>CW</w:t>
            </w:r>
            <w:r>
              <w:rPr>
                <w:rFonts w:hint="eastAsia" w:cs="宋体" w:asciiTheme="minorEastAsia" w:hAnsiTheme="minorEastAsia"/>
                <w:color w:val="auto"/>
                <w:kern w:val="0"/>
                <w:sz w:val="24"/>
                <w:szCs w:val="24"/>
                <w:highlight w:val="none"/>
              </w:rPr>
              <w:t>出具的</w:t>
            </w:r>
            <w:r>
              <w:rPr>
                <w:rFonts w:cs="宋体" w:asciiTheme="minorEastAsia" w:hAnsiTheme="minorEastAsia"/>
                <w:color w:val="auto"/>
                <w:kern w:val="0"/>
                <w:sz w:val="24"/>
                <w:szCs w:val="24"/>
                <w:highlight w:val="none"/>
              </w:rPr>
              <w:t>IDV</w:t>
            </w:r>
            <w:r>
              <w:rPr>
                <w:rFonts w:hint="eastAsia" w:cs="宋体" w:asciiTheme="minorEastAsia" w:hAnsiTheme="minorEastAsia"/>
                <w:color w:val="auto"/>
                <w:kern w:val="0"/>
                <w:sz w:val="24"/>
                <w:szCs w:val="24"/>
                <w:highlight w:val="none"/>
              </w:rPr>
              <w:t>设备市场占有率排名证明</w:t>
            </w:r>
            <w:r>
              <w:rPr>
                <w:rFonts w:cs="宋体" w:asciiTheme="minorEastAsia" w:hAnsiTheme="minorEastAsia"/>
                <w:color w:val="auto"/>
                <w:kern w:val="0"/>
                <w:sz w:val="24"/>
                <w:szCs w:val="24"/>
                <w:highlight w:val="none"/>
              </w:rPr>
              <w:t>，根据市场占有率排名，连续</w:t>
            </w:r>
            <w:r>
              <w:rPr>
                <w:rFonts w:hint="eastAsia" w:cs="宋体" w:asciiTheme="minorEastAsia" w:hAnsiTheme="minorEastAsia"/>
                <w:color w:val="auto"/>
                <w:kern w:val="0"/>
                <w:sz w:val="24"/>
                <w:szCs w:val="24"/>
                <w:highlight w:val="none"/>
              </w:rPr>
              <w:t>4年及以上获得过</w:t>
            </w:r>
            <w:r>
              <w:rPr>
                <w:rFonts w:cs="宋体" w:asciiTheme="minorEastAsia" w:hAnsiTheme="minorEastAsia"/>
                <w:color w:val="auto"/>
                <w:kern w:val="0"/>
                <w:sz w:val="24"/>
                <w:szCs w:val="24"/>
                <w:highlight w:val="none"/>
              </w:rPr>
              <w:t>第一名得5分，</w:t>
            </w:r>
            <w:r>
              <w:rPr>
                <w:rFonts w:hint="eastAsia" w:cs="宋体" w:asciiTheme="minorEastAsia" w:hAnsiTheme="minorEastAsia"/>
                <w:color w:val="auto"/>
                <w:kern w:val="0"/>
                <w:sz w:val="24"/>
                <w:szCs w:val="24"/>
                <w:highlight w:val="none"/>
              </w:rPr>
              <w:t>获得3年第一名得2分</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获得2年第一名得1分</w:t>
            </w:r>
            <w:r>
              <w:rPr>
                <w:rFonts w:cs="宋体" w:asciiTheme="minorEastAsia" w:hAnsiTheme="minorEastAsia"/>
                <w:color w:val="auto"/>
                <w:kern w:val="0"/>
                <w:sz w:val="24"/>
                <w:szCs w:val="24"/>
                <w:highlight w:val="none"/>
              </w:rPr>
              <w:t>，其余酌情给分。提供第三方权威咨询机构</w:t>
            </w:r>
            <w:r>
              <w:rPr>
                <w:rFonts w:hint="eastAsia" w:cs="宋体" w:asciiTheme="minorEastAsia" w:hAnsiTheme="minorEastAsia"/>
                <w:color w:val="auto"/>
                <w:kern w:val="0"/>
                <w:sz w:val="24"/>
                <w:szCs w:val="24"/>
                <w:highlight w:val="none"/>
              </w:rPr>
              <w:t>如CCW或IDC的市场占有率报告证明</w:t>
            </w:r>
            <w:r>
              <w:rPr>
                <w:rFonts w:cs="宋体" w:asciiTheme="minorEastAsia" w:hAnsiTheme="minorEastAsia"/>
                <w:color w:val="auto"/>
                <w:kern w:val="0"/>
                <w:sz w:val="24"/>
                <w:szCs w:val="24"/>
                <w:highlight w:val="none"/>
              </w:rPr>
              <w:t>并加盖厂商公章或投标专用章，不提供不得分。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实施</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方案</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4</w:t>
            </w:r>
            <w:r>
              <w:rPr>
                <w:rFonts w:hint="eastAsia" w:cs="宋体" w:asciiTheme="minorEastAsia" w:hAnsiTheme="minorEastAsia"/>
                <w:color w:val="auto"/>
                <w:kern w:val="0"/>
                <w:sz w:val="24"/>
                <w:szCs w:val="24"/>
                <w:highlight w:val="none"/>
              </w:rPr>
              <w:t>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投标人提供科学合理的项目实施方案，进行综合评分，进度安排科学合理，所报</w:t>
            </w:r>
            <w:r>
              <w:rPr>
                <w:rFonts w:hint="eastAsia" w:cs="宋体" w:asciiTheme="minorEastAsia" w:hAnsiTheme="minorEastAsia"/>
                <w:color w:val="auto"/>
                <w:kern w:val="0"/>
                <w:sz w:val="24"/>
                <w:szCs w:val="24"/>
                <w:highlight w:val="none"/>
                <w:lang w:val="en-US" w:eastAsia="zh-CN"/>
              </w:rPr>
              <w:t>合同履行期限</w:t>
            </w:r>
            <w:r>
              <w:rPr>
                <w:rFonts w:hint="eastAsia" w:cs="宋体" w:asciiTheme="minorEastAsia" w:hAnsiTheme="minorEastAsia"/>
                <w:color w:val="auto"/>
                <w:kern w:val="0"/>
                <w:sz w:val="24"/>
                <w:szCs w:val="24"/>
                <w:highlight w:val="none"/>
              </w:rPr>
              <w:t>符合招标文件要求，有可行的进度图，有保证</w:t>
            </w:r>
            <w:r>
              <w:rPr>
                <w:rFonts w:hint="eastAsia" w:cs="宋体" w:asciiTheme="minorEastAsia" w:hAnsiTheme="minorEastAsia"/>
                <w:color w:val="auto"/>
                <w:kern w:val="0"/>
                <w:sz w:val="24"/>
                <w:szCs w:val="24"/>
                <w:highlight w:val="none"/>
                <w:lang w:val="en-US" w:eastAsia="zh-CN"/>
              </w:rPr>
              <w:t>项目</w:t>
            </w:r>
            <w:r>
              <w:rPr>
                <w:rFonts w:hint="eastAsia" w:cs="宋体" w:asciiTheme="minorEastAsia" w:hAnsiTheme="minorEastAsia"/>
                <w:color w:val="auto"/>
                <w:kern w:val="0"/>
                <w:sz w:val="24"/>
                <w:szCs w:val="24"/>
                <w:highlight w:val="none"/>
              </w:rPr>
              <w:t>进度的具体措施。包括但不限于供货方案、质量保证标准、进度安排、安装方案、验收方案、等进行评价:</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优：方案完整合理、可行性强，完全满足并优于招标文件要求，得</w:t>
            </w:r>
            <w:r>
              <w:rPr>
                <w:rFonts w:cs="宋体" w:asciiTheme="minorEastAsia" w:hAnsiTheme="minorEastAsia"/>
                <w:color w:val="auto"/>
                <w:kern w:val="0"/>
                <w:sz w:val="24"/>
                <w:szCs w:val="24"/>
                <w:highlight w:val="none"/>
              </w:rPr>
              <w:t>4</w:t>
            </w:r>
            <w:r>
              <w:rPr>
                <w:rFonts w:hint="eastAsia" w:cs="宋体" w:asciiTheme="minorEastAsia" w:hAnsiTheme="minorEastAsia"/>
                <w:color w:val="auto"/>
                <w:kern w:val="0"/>
                <w:sz w:val="24"/>
                <w:szCs w:val="24"/>
                <w:highlight w:val="none"/>
              </w:rPr>
              <w:t>分；</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一般：方案完整、可行性一般，符合招标文件要求，得</w:t>
            </w:r>
            <w:r>
              <w:rPr>
                <w:rFonts w:cs="宋体" w:asciiTheme="minorEastAsia" w:hAnsiTheme="minorEastAsia"/>
                <w:color w:val="auto"/>
                <w:kern w:val="0"/>
                <w:sz w:val="24"/>
                <w:szCs w:val="24"/>
                <w:highlight w:val="none"/>
              </w:rPr>
              <w:t>2</w:t>
            </w:r>
            <w:r>
              <w:rPr>
                <w:rFonts w:hint="eastAsia" w:cs="宋体" w:asciiTheme="minorEastAsia" w:hAnsiTheme="minorEastAsia"/>
                <w:color w:val="auto"/>
                <w:kern w:val="0"/>
                <w:sz w:val="24"/>
                <w:szCs w:val="24"/>
                <w:highlight w:val="none"/>
              </w:rPr>
              <w:t>分；</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差：方案不完整，可行性很差，基本符合招标文件要求，得1分。</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技术</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方案</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5</w:t>
            </w:r>
            <w:r>
              <w:rPr>
                <w:rFonts w:hint="eastAsia" w:cs="宋体" w:asciiTheme="minorEastAsia" w:hAnsiTheme="minorEastAsia"/>
                <w:color w:val="auto"/>
                <w:kern w:val="0"/>
                <w:sz w:val="24"/>
                <w:szCs w:val="24"/>
                <w:highlight w:val="none"/>
              </w:rPr>
              <w:t>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投标人根据项目实际需求，提供满足我方使用需求的云桌面建设技术方案，根据方案的成熟度，合理性，可用性等进行综合评分。优得</w:t>
            </w:r>
            <w:r>
              <w:rPr>
                <w:rFonts w:cs="宋体" w:asciiTheme="minorEastAsia" w:hAnsiTheme="minorEastAsia"/>
                <w:color w:val="auto"/>
                <w:kern w:val="0"/>
                <w:sz w:val="24"/>
                <w:szCs w:val="24"/>
                <w:highlight w:val="none"/>
              </w:rPr>
              <w:t>5</w:t>
            </w:r>
            <w:r>
              <w:rPr>
                <w:rFonts w:hint="eastAsia" w:cs="宋体" w:asciiTheme="minorEastAsia" w:hAnsiTheme="minorEastAsia"/>
                <w:color w:val="auto"/>
                <w:kern w:val="0"/>
                <w:sz w:val="24"/>
                <w:szCs w:val="24"/>
                <w:highlight w:val="none"/>
              </w:rPr>
              <w:t>分，良得</w:t>
            </w: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分，差得</w:t>
            </w:r>
            <w:r>
              <w:rPr>
                <w:rFonts w:cs="宋体" w:asciiTheme="minorEastAsia" w:hAnsiTheme="minorEastAsia"/>
                <w:color w:val="auto"/>
                <w:kern w:val="0"/>
                <w:sz w:val="24"/>
                <w:szCs w:val="24"/>
                <w:highlight w:val="none"/>
              </w:rPr>
              <w:t>1</w:t>
            </w:r>
            <w:r>
              <w:rPr>
                <w:rFonts w:hint="eastAsia" w:cs="宋体" w:asciiTheme="minorEastAsia" w:hAnsiTheme="minorEastAsia"/>
                <w:color w:val="auto"/>
                <w:kern w:val="0"/>
                <w:sz w:val="24"/>
                <w:szCs w:val="24"/>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投标人综合实力</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6</w:t>
            </w:r>
            <w:r>
              <w:rPr>
                <w:rFonts w:hint="eastAsia" w:cs="宋体" w:asciiTheme="minorEastAsia" w:hAnsiTheme="minorEastAsia"/>
                <w:color w:val="auto"/>
                <w:kern w:val="0"/>
                <w:sz w:val="24"/>
                <w:szCs w:val="24"/>
                <w:highlight w:val="none"/>
              </w:rPr>
              <w:t>分）</w:t>
            </w:r>
          </w:p>
        </w:tc>
        <w:tc>
          <w:tcPr>
            <w:tcW w:w="6379" w:type="dxa"/>
            <w:shd w:val="clear" w:color="auto" w:fill="auto"/>
            <w:vAlign w:val="center"/>
          </w:tcPr>
          <w:p>
            <w:pPr>
              <w:widowControl/>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rPr>
              <w:t>投标人</w:t>
            </w:r>
            <w:r>
              <w:rPr>
                <w:rFonts w:hint="eastAsia" w:hAnsi="宋体" w:cs="宋体"/>
                <w:color w:val="auto"/>
                <w:kern w:val="0"/>
                <w:sz w:val="24"/>
                <w:szCs w:val="20"/>
                <w:highlight w:val="none"/>
              </w:rPr>
              <w:t>需提供</w:t>
            </w:r>
            <w:r>
              <w:rPr>
                <w:rFonts w:hint="eastAsia" w:ascii="宋体" w:hAnsi="宋体" w:cs="宋体"/>
                <w:color w:val="auto"/>
                <w:kern w:val="0"/>
                <w:sz w:val="24"/>
                <w:szCs w:val="20"/>
                <w:highlight w:val="none"/>
              </w:rPr>
              <w:t>信息安全服务资质认证一级证书</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信息</w:t>
            </w:r>
            <w:r>
              <w:rPr>
                <w:rFonts w:hint="eastAsia" w:ascii="宋体" w:hAnsi="宋体" w:cs="宋体"/>
                <w:color w:val="auto"/>
                <w:kern w:val="0"/>
                <w:sz w:val="24"/>
                <w:szCs w:val="20"/>
                <w:highlight w:val="none"/>
              </w:rPr>
              <w:t>安全应急处理</w:t>
            </w:r>
            <w:r>
              <w:rPr>
                <w:rFonts w:hint="eastAsia" w:ascii="宋体" w:hAnsi="宋体" w:cs="宋体"/>
                <w:color w:val="auto"/>
                <w:kern w:val="0"/>
                <w:sz w:val="24"/>
                <w:szCs w:val="20"/>
                <w:highlight w:val="none"/>
                <w:lang w:val="en-US" w:eastAsia="zh-CN"/>
              </w:rPr>
              <w:t>服务、</w:t>
            </w:r>
            <w:r>
              <w:rPr>
                <w:rFonts w:hint="eastAsia" w:ascii="宋体" w:hAnsi="宋体" w:cs="宋体"/>
                <w:color w:val="auto"/>
                <w:kern w:val="0"/>
                <w:sz w:val="24"/>
                <w:szCs w:val="20"/>
                <w:highlight w:val="none"/>
              </w:rPr>
              <w:t>信息系统</w:t>
            </w:r>
            <w:r>
              <w:rPr>
                <w:rFonts w:hint="eastAsia" w:ascii="宋体" w:hAnsi="宋体" w:cs="宋体"/>
                <w:color w:val="auto"/>
                <w:kern w:val="0"/>
                <w:sz w:val="24"/>
                <w:szCs w:val="20"/>
                <w:highlight w:val="none"/>
                <w:lang w:val="en-US" w:eastAsia="zh-CN"/>
              </w:rPr>
              <w:t>灾难备份</w:t>
            </w:r>
            <w:r>
              <w:rPr>
                <w:rFonts w:hint="eastAsia" w:ascii="宋体" w:hAnsi="宋体" w:cs="宋体"/>
                <w:color w:val="auto"/>
                <w:kern w:val="0"/>
                <w:sz w:val="24"/>
                <w:szCs w:val="20"/>
                <w:highlight w:val="none"/>
              </w:rPr>
              <w:t>与恢复</w:t>
            </w:r>
            <w:r>
              <w:rPr>
                <w:rFonts w:hint="eastAsia" w:ascii="宋体" w:hAnsi="宋体" w:cs="宋体"/>
                <w:color w:val="auto"/>
                <w:kern w:val="0"/>
                <w:sz w:val="24"/>
                <w:szCs w:val="20"/>
                <w:highlight w:val="none"/>
                <w:lang w:val="en-US" w:eastAsia="zh-CN"/>
              </w:rPr>
              <w:t>服务</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每提供一项</w:t>
            </w:r>
          </w:p>
          <w:p>
            <w:pPr>
              <w:widowControl/>
              <w:rPr>
                <w:rFonts w:hint="eastAsia" w:ascii="宋体" w:hAnsi="宋体" w:cs="宋体" w:eastAsiaTheme="minorEastAsia"/>
                <w:color w:val="auto"/>
                <w:kern w:val="0"/>
                <w:sz w:val="24"/>
                <w:szCs w:val="20"/>
                <w:highlight w:val="none"/>
                <w:lang w:eastAsia="zh-CN"/>
              </w:rPr>
            </w:pPr>
            <w:r>
              <w:rPr>
                <w:rFonts w:hint="eastAsia" w:ascii="宋体" w:hAnsi="宋体" w:cs="宋体"/>
                <w:color w:val="auto"/>
                <w:kern w:val="0"/>
                <w:sz w:val="24"/>
                <w:szCs w:val="20"/>
                <w:highlight w:val="none"/>
                <w:lang w:val="en-US" w:eastAsia="zh-CN"/>
              </w:rPr>
              <w:t>证书得3分</w:t>
            </w:r>
            <w:r>
              <w:rPr>
                <w:rFonts w:hint="eastAsia" w:hAnsi="宋体" w:cs="宋体"/>
                <w:color w:val="auto"/>
                <w:kern w:val="0"/>
                <w:sz w:val="24"/>
                <w:szCs w:val="20"/>
                <w:highlight w:val="none"/>
                <w:lang w:val="en-US" w:eastAsia="zh-CN"/>
              </w:rPr>
              <w:t>，提供证书低于一级的每项证书减1分，最高得6分，</w:t>
            </w:r>
            <w:r>
              <w:rPr>
                <w:rFonts w:hint="eastAsia" w:ascii="宋体" w:hAnsi="宋体" w:cs="宋体"/>
                <w:color w:val="auto"/>
                <w:kern w:val="0"/>
                <w:sz w:val="24"/>
                <w:szCs w:val="20"/>
                <w:highlight w:val="none"/>
              </w:rPr>
              <w:t>不提供不得分</w:t>
            </w:r>
            <w:r>
              <w:rPr>
                <w:rFonts w:hint="eastAsia" w:ascii="宋体" w:hAnsi="宋体" w:cs="宋体"/>
                <w:color w:val="auto"/>
                <w:kern w:val="0"/>
                <w:sz w:val="24"/>
                <w:szCs w:val="20"/>
                <w:highlight w:val="none"/>
                <w:lang w:eastAsia="zh-CN"/>
              </w:rPr>
              <w:t>。</w:t>
            </w:r>
          </w:p>
          <w:p>
            <w:pPr>
              <w:widowControl/>
              <w:jc w:val="left"/>
              <w:rPr>
                <w:rFonts w:cs="宋体" w:asciiTheme="minorEastAsia" w:hAnsiTheme="minorEastAsia"/>
                <w:color w:val="auto"/>
                <w:kern w:val="0"/>
                <w:sz w:val="24"/>
                <w:szCs w:val="24"/>
                <w:highlight w:val="none"/>
              </w:rPr>
            </w:pPr>
            <w:r>
              <w:rPr>
                <w:rFonts w:hint="eastAsia" w:ascii="宋体" w:hAnsi="宋体" w:cs="宋体"/>
                <w:color w:val="auto"/>
                <w:kern w:val="0"/>
                <w:sz w:val="24"/>
                <w:szCs w:val="20"/>
                <w:highlight w:val="none"/>
              </w:rPr>
              <w:t>证书官网可查：网址</w:t>
            </w:r>
            <w:r>
              <w:rPr>
                <w:color w:val="auto"/>
                <w:highlight w:val="none"/>
              </w:rPr>
              <w:fldChar w:fldCharType="begin"/>
            </w:r>
            <w:r>
              <w:rPr>
                <w:color w:val="auto"/>
                <w:highlight w:val="none"/>
              </w:rPr>
              <w:instrText xml:space="preserve"> HYPERLINK "https://www.cnca.gov.cn" </w:instrText>
            </w:r>
            <w:r>
              <w:rPr>
                <w:color w:val="auto"/>
                <w:highlight w:val="none"/>
              </w:rPr>
              <w:fldChar w:fldCharType="separate"/>
            </w:r>
            <w:r>
              <w:rPr>
                <w:rStyle w:val="25"/>
                <w:rFonts w:hint="eastAsia" w:ascii="宋体" w:hAnsi="宋体" w:cs="宋体"/>
                <w:color w:val="auto"/>
                <w:kern w:val="0"/>
                <w:sz w:val="24"/>
                <w:szCs w:val="20"/>
                <w:highlight w:val="none"/>
              </w:rPr>
              <w:t>https://www.cnca.gov.cn</w:t>
            </w:r>
            <w:r>
              <w:rPr>
                <w:rStyle w:val="25"/>
                <w:rFonts w:hint="eastAsia" w:ascii="宋体" w:hAnsi="宋体" w:cs="宋体"/>
                <w:color w:val="auto"/>
                <w:kern w:val="0"/>
                <w:sz w:val="24"/>
                <w:szCs w:val="20"/>
                <w:highlight w:val="none"/>
              </w:rPr>
              <w:fldChar w:fldCharType="end"/>
            </w:r>
            <w:r>
              <w:rPr>
                <w:rFonts w:hint="eastAsia" w:ascii="宋体" w:hAnsi="宋体" w:cs="宋体"/>
                <w:color w:val="auto"/>
                <w:kern w:val="0"/>
                <w:sz w:val="24"/>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w:t>
            </w:r>
          </w:p>
        </w:tc>
        <w:tc>
          <w:tcPr>
            <w:tcW w:w="558"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商务评审</w:t>
            </w:r>
          </w:p>
        </w:tc>
        <w:tc>
          <w:tcPr>
            <w:tcW w:w="465" w:type="dxa"/>
            <w:vMerge w:val="restart"/>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15分</w:t>
            </w:r>
          </w:p>
        </w:tc>
        <w:tc>
          <w:tcPr>
            <w:tcW w:w="1005" w:type="dxa"/>
            <w:shd w:val="clear" w:color="auto" w:fill="auto"/>
            <w:vAlign w:val="center"/>
          </w:tcPr>
          <w:p>
            <w:pPr>
              <w:widowControl/>
              <w:jc w:val="cente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标书</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制作</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（2分）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委根据投标文件对招标文件的响应程度，投标文件的制作、文字、装订等进行计分：完全响应、文件制作规范，易于快速查找评分项，页码连续，无缺项漏项得2分；部分不响应，文件制作一般，有部分缺项漏项得1分，制作粗糙，缺项漏项较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类似</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业绩</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（4分）</w:t>
            </w:r>
          </w:p>
        </w:tc>
        <w:tc>
          <w:tcPr>
            <w:tcW w:w="6379" w:type="dxa"/>
            <w:shd w:val="clear" w:color="auto" w:fill="auto"/>
            <w:vAlign w:val="center"/>
          </w:tcPr>
          <w:p>
            <w:pPr>
              <w:widowControl/>
              <w:rPr>
                <w:rFonts w:asciiTheme="minorEastAsia" w:hAnsiTheme="minorEastAsia"/>
                <w:color w:val="auto"/>
                <w:sz w:val="24"/>
                <w:szCs w:val="24"/>
                <w:highlight w:val="none"/>
              </w:rPr>
            </w:pPr>
            <w:r>
              <w:rPr>
                <w:rFonts w:hint="eastAsia" w:cs="宋体" w:asciiTheme="minorEastAsia" w:hAnsiTheme="minorEastAsia"/>
                <w:color w:val="auto"/>
                <w:kern w:val="0"/>
                <w:sz w:val="24"/>
                <w:szCs w:val="24"/>
                <w:highlight w:val="none"/>
              </w:rPr>
              <w:t>投标人提供近三年（20</w:t>
            </w:r>
            <w:r>
              <w:rPr>
                <w:rFonts w:cs="宋体" w:asciiTheme="minorEastAsia" w:hAnsiTheme="minorEastAsia"/>
                <w:color w:val="auto"/>
                <w:kern w:val="0"/>
                <w:sz w:val="24"/>
                <w:szCs w:val="24"/>
                <w:highlight w:val="none"/>
              </w:rPr>
              <w:t>20</w:t>
            </w:r>
            <w:r>
              <w:rPr>
                <w:rFonts w:hint="eastAsia" w:cs="宋体" w:asciiTheme="minorEastAsia" w:hAnsiTheme="minorEastAsia"/>
                <w:color w:val="auto"/>
                <w:kern w:val="0"/>
                <w:sz w:val="24"/>
                <w:szCs w:val="24"/>
                <w:highlight w:val="none"/>
              </w:rPr>
              <w:t xml:space="preserve"> 年1月至今）的</w:t>
            </w:r>
            <w:r>
              <w:rPr>
                <w:rFonts w:hint="eastAsia" w:cs="宋体" w:asciiTheme="minorEastAsia" w:hAnsiTheme="minorEastAsia"/>
                <w:color w:val="auto"/>
                <w:kern w:val="0"/>
                <w:sz w:val="24"/>
                <w:szCs w:val="24"/>
                <w:highlight w:val="none"/>
                <w:lang w:val="en-US" w:eastAsia="zh-CN"/>
              </w:rPr>
              <w:t>医疗行业云桌面</w:t>
            </w:r>
            <w:r>
              <w:rPr>
                <w:rFonts w:hint="eastAsia" w:cs="宋体" w:asciiTheme="minorEastAsia" w:hAnsiTheme="minorEastAsia"/>
                <w:color w:val="auto"/>
                <w:kern w:val="0"/>
                <w:sz w:val="24"/>
                <w:szCs w:val="24"/>
                <w:highlight w:val="none"/>
              </w:rPr>
              <w:t>类似业绩，每提供一项的</w:t>
            </w:r>
            <w:r>
              <w:rPr>
                <w:rFonts w:cs="宋体" w:asciiTheme="minorEastAsia" w:hAnsiTheme="minorEastAsia"/>
                <w:color w:val="auto"/>
                <w:kern w:val="0"/>
                <w:sz w:val="24"/>
                <w:szCs w:val="24"/>
                <w:highlight w:val="none"/>
              </w:rPr>
              <w:t>1</w:t>
            </w:r>
            <w:r>
              <w:rPr>
                <w:rFonts w:hint="eastAsia" w:cs="宋体" w:asciiTheme="minorEastAsia" w:hAnsiTheme="minorEastAsia"/>
                <w:color w:val="auto"/>
                <w:kern w:val="0"/>
                <w:sz w:val="24"/>
                <w:szCs w:val="24"/>
                <w:highlight w:val="none"/>
              </w:rPr>
              <w:t>分，满分4 分，不提供不得分。</w:t>
            </w:r>
            <w:r>
              <w:rPr>
                <w:rFonts w:hint="eastAsia" w:cs="宋体" w:asciiTheme="minorEastAsia" w:hAnsiTheme="minorEastAsia"/>
                <w:color w:val="auto"/>
                <w:sz w:val="24"/>
                <w:szCs w:val="24"/>
                <w:highlight w:val="none"/>
              </w:rPr>
              <w:t>若投标人为代理商，</w:t>
            </w:r>
            <w:r>
              <w:rPr>
                <w:rFonts w:hint="eastAsia" w:asciiTheme="minorEastAsia" w:hAnsiTheme="minorEastAsia"/>
                <w:color w:val="auto"/>
                <w:sz w:val="24"/>
                <w:szCs w:val="24"/>
                <w:highlight w:val="none"/>
              </w:rPr>
              <w:t>厂家和代理商的业绩均可。</w:t>
            </w:r>
          </w:p>
          <w:p>
            <w:pPr>
              <w:widowControl/>
              <w:rPr>
                <w:rFonts w:cs="宋体" w:asciiTheme="minorEastAsia" w:hAnsiTheme="minorEastAsia"/>
                <w:color w:val="auto"/>
                <w:kern w:val="0"/>
                <w:sz w:val="24"/>
                <w:szCs w:val="24"/>
                <w:highlight w:val="none"/>
              </w:rPr>
            </w:pPr>
            <w:r>
              <w:rPr>
                <w:rFonts w:hint="eastAsia" w:ascii="宋体" w:hAnsi="宋体" w:cs="宋体"/>
                <w:color w:val="auto"/>
                <w:kern w:val="0"/>
                <w:sz w:val="24"/>
                <w:szCs w:val="20"/>
                <w:highlight w:val="none"/>
              </w:rPr>
              <w:t>注：需提供中标通知书或合同复印件。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shd w:val="clear" w:color="auto" w:fill="auto"/>
            <w:vAlign w:val="center"/>
          </w:tcPr>
          <w:p>
            <w:pPr>
              <w:widowControl/>
              <w:jc w:val="center"/>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培训</w:t>
            </w:r>
          </w:p>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方案</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（3分）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投标人提供针对本次项目设有专业的培训人员及培训方案；横向比较投标人的技术培训方案，根据其合理性、可行性、专业性予以打分，优得3分，良得2分，差得1分，不提供不得分。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vMerge w:val="restart"/>
            <w:shd w:val="clear" w:color="auto" w:fill="auto"/>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售后服务承诺及方案</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(6分）</w:t>
            </w: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为了保障服务质量，产品制造厂商售后服务体系须通过符合GB/T27922标准、GB/T16868标准的售后服务完善程度认证，提供证书复印件，全国认证认可信息公共服务平台查询链接及截图并加盖厂商投标专用章。提供10星级得3分，7星级得1分，5星级的0.5分，其余酌情给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673" w:type="dxa"/>
            <w:vMerge w:val="continue"/>
            <w:vAlign w:val="center"/>
          </w:tcPr>
          <w:p>
            <w:pPr>
              <w:widowControl/>
              <w:rPr>
                <w:rFonts w:cs="宋体" w:asciiTheme="minorEastAsia" w:hAnsiTheme="minorEastAsia"/>
                <w:color w:val="auto"/>
                <w:kern w:val="0"/>
                <w:sz w:val="24"/>
                <w:szCs w:val="24"/>
                <w:highlight w:val="none"/>
              </w:rPr>
            </w:pPr>
          </w:p>
        </w:tc>
        <w:tc>
          <w:tcPr>
            <w:tcW w:w="558" w:type="dxa"/>
            <w:vMerge w:val="continue"/>
            <w:vAlign w:val="center"/>
          </w:tcPr>
          <w:p>
            <w:pPr>
              <w:widowControl/>
              <w:rPr>
                <w:rFonts w:cs="宋体" w:asciiTheme="minorEastAsia" w:hAnsiTheme="minorEastAsia"/>
                <w:color w:val="auto"/>
                <w:kern w:val="0"/>
                <w:sz w:val="24"/>
                <w:szCs w:val="24"/>
                <w:highlight w:val="none"/>
              </w:rPr>
            </w:pPr>
          </w:p>
        </w:tc>
        <w:tc>
          <w:tcPr>
            <w:tcW w:w="465" w:type="dxa"/>
            <w:vMerge w:val="continue"/>
            <w:vAlign w:val="center"/>
          </w:tcPr>
          <w:p>
            <w:pPr>
              <w:widowControl/>
              <w:rPr>
                <w:rFonts w:cs="宋体" w:asciiTheme="minorEastAsia" w:hAnsiTheme="minorEastAsia"/>
                <w:color w:val="auto"/>
                <w:kern w:val="0"/>
                <w:sz w:val="24"/>
                <w:szCs w:val="24"/>
                <w:highlight w:val="none"/>
              </w:rPr>
            </w:pPr>
          </w:p>
        </w:tc>
        <w:tc>
          <w:tcPr>
            <w:tcW w:w="1005" w:type="dxa"/>
            <w:vMerge w:val="continue"/>
            <w:vAlign w:val="center"/>
          </w:tcPr>
          <w:p>
            <w:pPr>
              <w:widowControl/>
              <w:rPr>
                <w:rFonts w:cs="宋体" w:asciiTheme="minorEastAsia" w:hAnsiTheme="minorEastAsia"/>
                <w:color w:val="auto"/>
                <w:kern w:val="0"/>
                <w:sz w:val="24"/>
                <w:szCs w:val="24"/>
                <w:highlight w:val="none"/>
              </w:rPr>
            </w:pPr>
          </w:p>
        </w:tc>
        <w:tc>
          <w:tcPr>
            <w:tcW w:w="6379" w:type="dxa"/>
            <w:shd w:val="clear" w:color="auto" w:fill="auto"/>
            <w:vAlign w:val="center"/>
          </w:tcPr>
          <w:p>
            <w:pPr>
              <w:widowControl/>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需提供售后服务承诺及售后服务方案，根据售后服务的及时性（设备发生故障时的响应时间及到达现场的时间等）、可行性，以及维保方案的保障措施、可操作性、等进行综合评分，优得3分，良得2分，差得1分，不提供不得分。</w:t>
            </w:r>
          </w:p>
          <w:p>
            <w:pPr>
              <w:widowControl/>
              <w:rPr>
                <w:rFonts w:hint="eastAsia" w:cs="宋体" w:asciiTheme="minorEastAsia" w:hAnsiTheme="minorEastAsia" w:eastAsiaTheme="minorEastAsia"/>
                <w:color w:val="auto"/>
                <w:kern w:val="0"/>
                <w:sz w:val="24"/>
                <w:szCs w:val="24"/>
                <w:highlight w:val="none"/>
                <w:lang w:eastAsia="zh-CN"/>
              </w:rPr>
            </w:pPr>
            <w:r>
              <w:rPr>
                <w:rFonts w:cs="宋体" w:asciiTheme="minorEastAsia" w:hAnsiTheme="minorEastAsia"/>
                <w:color w:val="auto"/>
                <w:kern w:val="0"/>
                <w:sz w:val="24"/>
                <w:szCs w:val="24"/>
                <w:highlight w:val="none"/>
              </w:rPr>
              <w:t>若代理商投标需提供产品</w:t>
            </w:r>
            <w:r>
              <w:rPr>
                <w:rFonts w:hint="eastAsia" w:cs="宋体" w:asciiTheme="minorEastAsia" w:hAnsiTheme="minorEastAsia"/>
                <w:color w:val="auto"/>
                <w:kern w:val="0"/>
                <w:sz w:val="24"/>
                <w:szCs w:val="24"/>
                <w:highlight w:val="none"/>
                <w:lang w:val="en-US" w:eastAsia="zh-CN"/>
              </w:rPr>
              <w:t>不低于三年的</w:t>
            </w:r>
            <w:r>
              <w:rPr>
                <w:rFonts w:cs="宋体" w:asciiTheme="minorEastAsia" w:hAnsiTheme="minorEastAsia"/>
                <w:color w:val="auto"/>
                <w:kern w:val="0"/>
                <w:sz w:val="24"/>
                <w:szCs w:val="24"/>
                <w:highlight w:val="none"/>
              </w:rPr>
              <w:t>原厂售后服务承诺函</w:t>
            </w:r>
            <w:r>
              <w:rPr>
                <w:rFonts w:hint="eastAsia" w:cs="宋体" w:asciiTheme="minorEastAsia" w:hAnsiTheme="minorEastAsia"/>
                <w:color w:val="auto"/>
                <w:kern w:val="0"/>
                <w:sz w:val="24"/>
                <w:szCs w:val="24"/>
                <w:highlight w:val="none"/>
                <w:lang w:eastAsia="zh-CN"/>
              </w:rPr>
              <w:t>（</w:t>
            </w:r>
            <w:r>
              <w:rPr>
                <w:rFonts w:hint="eastAsia" w:cs="宋体" w:asciiTheme="minorEastAsia" w:hAnsiTheme="minorEastAsia"/>
                <w:color w:val="auto"/>
                <w:kern w:val="0"/>
                <w:sz w:val="24"/>
                <w:szCs w:val="24"/>
                <w:highlight w:val="none"/>
                <w:lang w:val="en-US" w:eastAsia="zh-CN"/>
              </w:rPr>
              <w:t>非人为因素三年包换</w:t>
            </w:r>
            <w:r>
              <w:rPr>
                <w:rFonts w:hint="eastAsia" w:cs="宋体" w:asciiTheme="minorEastAsia" w:hAnsiTheme="minorEastAsia"/>
                <w:color w:val="auto"/>
                <w:kern w:val="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注：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2.评委需要严格按照以上方法赋分，不得超过分数界限赋分。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3.最低报价不是中标的唯一依据。</w:t>
      </w:r>
    </w:p>
    <w:p>
      <w:pPr>
        <w:pStyle w:val="3"/>
        <w:tabs>
          <w:tab w:val="left" w:pos="600"/>
        </w:tabs>
        <w:spacing w:before="240" w:beforeLines="100" w:after="120" w:afterLines="50" w:line="360" w:lineRule="auto"/>
        <w:ind w:firstLine="0"/>
        <w:jc w:val="left"/>
        <w:rPr>
          <w:rFonts w:hint="eastAsia" w:ascii="宋体" w:hAnsi="宋体"/>
          <w:b/>
          <w:color w:val="auto"/>
          <w:sz w:val="30"/>
          <w:szCs w:val="30"/>
          <w:highlight w:val="none"/>
        </w:rPr>
      </w:pPr>
      <w:r>
        <w:rPr>
          <w:rFonts w:hint="eastAsia" w:ascii="宋体" w:hAnsi="宋体"/>
          <w:b/>
          <w:color w:val="auto"/>
          <w:sz w:val="30"/>
          <w:szCs w:val="30"/>
          <w:highlight w:val="none"/>
        </w:rPr>
        <w:t>2.3无效投标的认定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在评标过程中，出现下列情形之一的，投标无效：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（1）投标文件未按照招标文件要求签署、盖章的；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（2）投标文件未按照招标文件规定的格式要求编制的；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（4）投标报价超过了招标文件中规定的预算金额或者最高限价的；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（5）投标内容出现漏项或数量与要求不符的；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（6）投标有效期、交货时间、质保期、售后服务等商务条款不能满足招标文件要求的；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（7）投标文件中附有采购人不能接受的附加条件的；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（8）投标产品的技术规格、技术标准明显不符合招标项目的要求的；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（9）投标货物（产品）不符合强制执行的国家标准、行业标准的；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（10）投标货物（产品）不是国家强制节能产品品目清单中的产品（如有）；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（11）进口货物（产品）未办理正常进口手续的（如有）；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（12）投标文件的关键内容字迹模糊和无法辨认的；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（13）法律法规和招标文件规定的其他情形的。</w:t>
      </w:r>
    </w:p>
    <w:p>
      <w:pPr>
        <w:widowControl/>
        <w:autoSpaceDE w:val="0"/>
        <w:autoSpaceDN w:val="0"/>
        <w:spacing w:before="120" w:beforeLines="50" w:after="120" w:afterLines="50" w:line="360" w:lineRule="auto"/>
        <w:ind w:right="51"/>
        <w:textAlignment w:val="bottom"/>
        <w:rPr>
          <w:rFonts w:hint="eastAsia" w:ascii="宋体" w:hAnsi="宋体"/>
          <w:b/>
          <w:color w:val="auto"/>
          <w:sz w:val="30"/>
          <w:szCs w:val="30"/>
          <w:highlight w:val="none"/>
        </w:rPr>
      </w:pPr>
      <w:r>
        <w:rPr>
          <w:rFonts w:hint="eastAsia" w:ascii="宋体" w:hAnsi="宋体"/>
          <w:b/>
          <w:color w:val="auto"/>
          <w:sz w:val="30"/>
          <w:szCs w:val="30"/>
          <w:highlight w:val="none"/>
        </w:rPr>
        <w:t>2.4 特殊情况的处理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2.4.1 投标文件中如果出现计算错误，可按以下原则进行修正：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（2）投标文件中的总价金额与按单价计算的汇总金额不一致的，以单价计算的汇总金额为准；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（3）投标文件中的单价金额有明显小数点错误的，以总价为准，并修改单价；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（4）投标文件中有关分项表内容与“开标一览表”不一致的，以“开标一览表”为准；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（5）投标文件中图表与文字表述不一致的，以文字表述为准；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）对不同文字文本投标文件的解释发生异议的，以中文文本为准。</w:t>
      </w:r>
    </w:p>
    <w:p>
      <w:pPr>
        <w:widowControl/>
        <w:autoSpaceDE w:val="0"/>
        <w:autoSpaceDN w:val="0"/>
        <w:spacing w:line="360" w:lineRule="auto"/>
        <w:ind w:right="51" w:firstLine="422" w:firstLineChars="200"/>
        <w:textAlignment w:val="bottom"/>
        <w:rPr>
          <w:rFonts w:hint="eastAsia" w:ascii="宋体" w:hAnsi="宋体"/>
          <w:b/>
          <w:color w:val="auto"/>
          <w:szCs w:val="21"/>
          <w:highlight w:val="none"/>
        </w:rPr>
      </w:pPr>
      <w:r>
        <w:rPr>
          <w:rFonts w:hint="eastAsia" w:ascii="宋体" w:hAnsi="宋体"/>
          <w:b/>
          <w:color w:val="auto"/>
          <w:szCs w:val="21"/>
          <w:highlight w:val="none"/>
        </w:rPr>
        <w:t>按上述修正错误的方法调整的投标报价应对投标人具有约束力。如果投标人不接受修正后的价格，其投标将被拒绝。</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2.4.2 投标文件中，若某项有不合理报价（或零报价、漏报价）的，经评标委员会评审后，此项得分为零，不参与投标报价分值的计算。</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2.4.3 评标委员会成员打分超过得分界限或未按本办法赋分时，该评标委员会成员的打分，按废票处理。</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2.4.4 评标过程中，各种数字的计算结果，均保留两位小数，第三位“四舍五入”，但计算百分数时应精确到千分位，万分位“四舍五入”。</w:t>
      </w:r>
    </w:p>
    <w:p>
      <w:pPr>
        <w:widowControl/>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2.4.5 相同品牌的处理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2.4.5.1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2.4.5.2 非单一产品采购项目中，多家投标人提供的核心产品品牌相同的，视为提供相同品牌产品。采购人根据采购项目技术构成、产品价格比重等合理确定核心产品。核心产品的名称见第四章第2.2条款。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2.4.6 评标过程中，若出现本评标办法以外的特殊情况时，将暂停评标，待评委会商榷后，再进行评定。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2.4.7 评标报告签署后，采购人或者采购代理机构发现存在本章第1.5.2条款情形之一的，应当组织原评标委员会进行重新评审，重新评审改变中标结果的，书面报告本级财政部门。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投标人对本章第1.5.2条（1）情形提出质疑的，采购代理机构应当组织原评标委员会进行重新评审，重新评审改变中标结果的，应当书面报告本级财政部门。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2.4.8 评标过程中，若出现合格投标人只有2家时，采购人可以选择以下其中一种方式：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（1）本次招标按废标处理；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（2）按照财政部《货物和服务招标投标管理办法》（87号令）第43条规定，改作竞争性谈判采购方式，继续采购活动。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2.4.9 采购人若选择竞争性谈判采购方式继续采购活动时，应当按下列程序进行：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（1）由评标委员会出具招标文件没有不合理条款、招标程序符合规定的书面意见并签署；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（2）由采购人按规定向财政部门提出申请变更采购方式；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（3）采购代理机构根据财政部门批准的竞争性谈判采购方式，编制竞争性谈判文件，并直接向这2家合格投标人提供竞争性谈判文件；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（4）采购代理机构将根据竞争性谈判文件规定的时间、地点组织竞争性谈判小组直接与这2家合格投标人进行竞争性谈判。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2.4.10 评标争议处理原则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pStyle w:val="4"/>
        <w:numPr>
          <w:ilvl w:val="0"/>
          <w:numId w:val="3"/>
        </w:numPr>
        <w:spacing w:before="0" w:after="240" w:afterLines="100" w:line="360" w:lineRule="auto"/>
        <w:jc w:val="center"/>
        <w:rPr>
          <w:rFonts w:hint="eastAsia" w:ascii="黑体" w:hAnsi="宋体"/>
          <w:color w:val="auto"/>
          <w:sz w:val="44"/>
          <w:szCs w:val="44"/>
          <w:highlight w:val="none"/>
        </w:rPr>
      </w:pPr>
      <w:r>
        <w:rPr>
          <w:rFonts w:ascii="黑体" w:hAnsi="宋体"/>
          <w:color w:val="auto"/>
          <w:sz w:val="44"/>
          <w:szCs w:val="44"/>
          <w:highlight w:val="none"/>
        </w:rPr>
        <w:br w:type="page"/>
      </w:r>
      <w:r>
        <w:rPr>
          <w:rFonts w:hint="eastAsia" w:ascii="黑体" w:hAnsi="宋体"/>
          <w:color w:val="auto"/>
          <w:sz w:val="44"/>
          <w:szCs w:val="44"/>
          <w:highlight w:val="none"/>
        </w:rPr>
        <w:t>采购内容及要求</w:t>
      </w:r>
      <w:bookmarkEnd w:id="108"/>
    </w:p>
    <w:p>
      <w:pPr>
        <w:pStyle w:val="7"/>
        <w:spacing w:after="5"/>
        <w:ind w:right="0"/>
        <w:jc w:val="center"/>
        <w:rPr>
          <w:color w:val="auto"/>
          <w:highlight w:val="none"/>
        </w:rPr>
      </w:pPr>
      <w:bookmarkStart w:id="109" w:name="_Toc217446094"/>
      <w:r>
        <w:rPr>
          <w:color w:val="auto"/>
          <w:highlight w:val="none"/>
        </w:rPr>
        <w:t>采购货物清单及技术参数</w:t>
      </w:r>
    </w:p>
    <w:tbl>
      <w:tblPr>
        <w:tblStyle w:val="21"/>
        <w:tblW w:w="5000" w:type="pct"/>
        <w:tblInd w:w="0" w:type="dxa"/>
        <w:tblLayout w:type="fixed"/>
        <w:tblCellMar>
          <w:top w:w="0" w:type="dxa"/>
          <w:left w:w="108" w:type="dxa"/>
          <w:bottom w:w="0" w:type="dxa"/>
          <w:right w:w="108" w:type="dxa"/>
        </w:tblCellMar>
      </w:tblPr>
      <w:tblGrid>
        <w:gridCol w:w="749"/>
        <w:gridCol w:w="2041"/>
        <w:gridCol w:w="4887"/>
        <w:gridCol w:w="749"/>
        <w:gridCol w:w="749"/>
      </w:tblGrid>
      <w:tr>
        <w:tblPrEx>
          <w:tblCellMar>
            <w:top w:w="0" w:type="dxa"/>
            <w:left w:w="108" w:type="dxa"/>
            <w:bottom w:w="0" w:type="dxa"/>
            <w:right w:w="108" w:type="dxa"/>
          </w:tblCellMar>
        </w:tblPrEx>
        <w:trPr>
          <w:trHeight w:val="20"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45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云服务器</w:t>
            </w:r>
          </w:p>
        </w:tc>
        <w:tc>
          <w:tcPr>
            <w:tcW w:w="4538" w:type="dxa"/>
            <w:tcBorders>
              <w:top w:val="nil"/>
              <w:left w:val="nil"/>
              <w:bottom w:val="single" w:color="auto" w:sz="4" w:space="0"/>
              <w:right w:val="single" w:color="auto" w:sz="4" w:space="0"/>
            </w:tcBorders>
            <w:shd w:val="clear" w:color="auto" w:fill="auto"/>
          </w:tcPr>
          <w:p>
            <w:pPr>
              <w:widowControl/>
              <w:numPr>
                <w:ilvl w:val="0"/>
                <w:numId w:val="0"/>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采用</w:t>
            </w:r>
            <w:r>
              <w:rPr>
                <w:rFonts w:hint="eastAsia" w:ascii="宋体" w:hAnsi="宋体" w:eastAsia="宋体" w:cs="宋体"/>
                <w:color w:val="auto"/>
                <w:kern w:val="0"/>
                <w:sz w:val="24"/>
                <w:szCs w:val="24"/>
                <w:highlight w:val="none"/>
                <w:lang w:val="en-US" w:eastAsia="zh-CN"/>
              </w:rPr>
              <w:t>标准2</w:t>
            </w:r>
            <w:r>
              <w:rPr>
                <w:rFonts w:hint="eastAsia" w:ascii="宋体" w:hAnsi="宋体" w:eastAsia="宋体" w:cs="宋体"/>
                <w:color w:val="auto"/>
                <w:kern w:val="0"/>
                <w:sz w:val="24"/>
                <w:szCs w:val="24"/>
                <w:highlight w:val="none"/>
              </w:rPr>
              <w:t>U机架式服务器</w:t>
            </w:r>
            <w:r>
              <w:rPr>
                <w:rFonts w:hint="eastAsia" w:ascii="宋体" w:hAnsi="宋体" w:eastAsia="宋体" w:cs="宋体"/>
                <w:color w:val="auto"/>
                <w:kern w:val="0"/>
                <w:sz w:val="24"/>
                <w:szCs w:val="24"/>
                <w:highlight w:val="none"/>
                <w:lang w:val="en-US" w:eastAsia="zh-CN"/>
              </w:rPr>
              <w:t>;</w:t>
            </w:r>
          </w:p>
          <w:p>
            <w:pPr>
              <w:widowControl/>
              <w:numPr>
                <w:ilvl w:val="0"/>
                <w:numId w:val="0"/>
              </w:num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★CPU：采用国产化自主品牌CPU，</w:t>
            </w:r>
            <w:r>
              <w:rPr>
                <w:rFonts w:hint="eastAsia" w:ascii="宋体" w:hAnsi="宋体" w:eastAsia="宋体" w:cs="宋体"/>
                <w:color w:val="auto"/>
                <w:kern w:val="0"/>
                <w:sz w:val="24"/>
                <w:szCs w:val="24"/>
                <w:highlight w:val="none"/>
                <w:lang w:val="en-US" w:eastAsia="zh-CN"/>
              </w:rPr>
              <w:t>单核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个物理核心，主频≥</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GHz</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3、内存：实配</w:t>
            </w:r>
            <w:r>
              <w:rPr>
                <w:rFonts w:hint="eastAsia" w:ascii="宋体" w:hAnsi="宋体" w:eastAsia="宋体" w:cs="宋体"/>
                <w:color w:val="auto"/>
                <w:kern w:val="0"/>
                <w:sz w:val="24"/>
                <w:szCs w:val="24"/>
                <w:highlight w:val="none"/>
                <w:lang w:val="en-US" w:eastAsia="zh-CN"/>
              </w:rPr>
              <w:t>DDR4</w:t>
            </w:r>
            <w:r>
              <w:rPr>
                <w:rFonts w:hint="eastAsia" w:ascii="宋体" w:hAnsi="宋体" w:eastAsia="宋体" w:cs="宋体"/>
                <w:color w:val="auto"/>
                <w:kern w:val="0"/>
                <w:sz w:val="24"/>
                <w:szCs w:val="24"/>
                <w:highlight w:val="none"/>
              </w:rPr>
              <w:t>内存≥</w:t>
            </w:r>
            <w:r>
              <w:rPr>
                <w:rFonts w:hint="eastAsia" w:ascii="宋体" w:hAnsi="宋体" w:eastAsia="宋体" w:cs="宋体"/>
                <w:color w:val="auto"/>
                <w:kern w:val="0"/>
                <w:sz w:val="24"/>
                <w:szCs w:val="24"/>
                <w:highlight w:val="none"/>
                <w:lang w:val="en-US" w:eastAsia="zh-CN"/>
              </w:rPr>
              <w:t>128</w:t>
            </w:r>
            <w:r>
              <w:rPr>
                <w:rFonts w:hint="eastAsia" w:ascii="宋体" w:hAnsi="宋体" w:eastAsia="宋体" w:cs="宋体"/>
                <w:color w:val="auto"/>
                <w:kern w:val="0"/>
                <w:sz w:val="24"/>
                <w:szCs w:val="24"/>
                <w:highlight w:val="none"/>
              </w:rPr>
              <w:t>GB</w:t>
            </w:r>
            <w:r>
              <w:rPr>
                <w:rFonts w:hint="eastAsia" w:ascii="宋体" w:hAnsi="宋体" w:eastAsia="宋体" w:cs="宋体"/>
                <w:color w:val="auto"/>
                <w:kern w:val="0"/>
                <w:sz w:val="24"/>
                <w:szCs w:val="24"/>
                <w:highlight w:val="none"/>
                <w:lang w:val="en-US" w:eastAsia="zh-CN"/>
              </w:rPr>
              <w:t>;</w:t>
            </w:r>
          </w:p>
          <w:p>
            <w:pPr>
              <w:widowControl/>
              <w:numPr>
                <w:ilvl w:val="0"/>
                <w:numId w:val="0"/>
              </w:num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SSD：整机配置</w:t>
            </w:r>
            <w:r>
              <w:rPr>
                <w:rFonts w:hint="eastAsia" w:ascii="宋体" w:hAnsi="宋体" w:eastAsia="宋体" w:cs="宋体"/>
                <w:color w:val="auto"/>
                <w:kern w:val="0"/>
                <w:sz w:val="24"/>
                <w:szCs w:val="24"/>
                <w:highlight w:val="none"/>
                <w:lang w:val="en-US" w:eastAsia="zh-CN"/>
              </w:rPr>
              <w:t>不少于2块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480</w:t>
            </w:r>
            <w:r>
              <w:rPr>
                <w:rFonts w:hint="eastAsia" w:ascii="宋体" w:hAnsi="宋体" w:eastAsia="宋体" w:cs="宋体"/>
                <w:color w:val="auto"/>
                <w:kern w:val="0"/>
                <w:sz w:val="24"/>
                <w:szCs w:val="24"/>
                <w:highlight w:val="none"/>
              </w:rPr>
              <w:t>G 固态硬盘</w:t>
            </w:r>
            <w:r>
              <w:rPr>
                <w:rFonts w:hint="eastAsia" w:ascii="宋体" w:hAnsi="宋体" w:eastAsia="宋体" w:cs="宋体"/>
                <w:color w:val="auto"/>
                <w:kern w:val="0"/>
                <w:sz w:val="24"/>
                <w:szCs w:val="24"/>
                <w:highlight w:val="none"/>
                <w:lang w:val="en-US" w:eastAsia="zh-CN"/>
              </w:rPr>
              <w:t xml:space="preserve">; </w:t>
            </w:r>
          </w:p>
          <w:p>
            <w:pPr>
              <w:widowControl/>
              <w:numPr>
                <w:ilvl w:val="0"/>
                <w:numId w:val="0"/>
              </w:num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硬盘：集成SATA硬盘控制器，整机配置硬盘≥2块3.5寸 4TB 7200转硬盘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、网口：提供不少于4个千兆网口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、电源：</w:t>
            </w:r>
            <w:r>
              <w:rPr>
                <w:rFonts w:hint="eastAsia" w:ascii="宋体" w:hAnsi="宋体" w:eastAsia="宋体" w:cs="宋体"/>
                <w:i w:val="0"/>
                <w:iCs w:val="0"/>
                <w:caps w:val="0"/>
                <w:color w:val="333333"/>
                <w:spacing w:val="0"/>
                <w:sz w:val="24"/>
                <w:szCs w:val="24"/>
                <w:highlight w:val="none"/>
              </w:rPr>
              <w:t>提供</w:t>
            </w:r>
            <w:r>
              <w:rPr>
                <w:rFonts w:hint="eastAsia" w:ascii="宋体" w:hAnsi="宋体" w:eastAsia="宋体" w:cs="宋体"/>
                <w:i w:val="0"/>
                <w:iCs w:val="0"/>
                <w:caps w:val="0"/>
                <w:color w:val="333333"/>
                <w:spacing w:val="0"/>
                <w:sz w:val="24"/>
                <w:szCs w:val="24"/>
                <w:highlight w:val="none"/>
                <w:lang w:val="en-US" w:eastAsia="zh-CN"/>
              </w:rPr>
              <w:t>不少于</w:t>
            </w:r>
            <w:r>
              <w:rPr>
                <w:rFonts w:hint="default" w:ascii="Times New Roman" w:hAnsi="Times New Roman" w:eastAsia="宋体" w:cs="Times New Roman"/>
                <w:i w:val="0"/>
                <w:iCs w:val="0"/>
                <w:caps w:val="0"/>
                <w:color w:val="333333"/>
                <w:spacing w:val="0"/>
                <w:sz w:val="24"/>
                <w:szCs w:val="24"/>
                <w:highlight w:val="none"/>
                <w:lang w:val="en-US"/>
              </w:rPr>
              <w:t>2</w:t>
            </w:r>
            <w:r>
              <w:rPr>
                <w:rFonts w:hint="eastAsia" w:ascii="宋体" w:hAnsi="宋体" w:eastAsia="宋体" w:cs="宋体"/>
                <w:i w:val="0"/>
                <w:iCs w:val="0"/>
                <w:caps w:val="0"/>
                <w:color w:val="333333"/>
                <w:spacing w:val="0"/>
                <w:sz w:val="24"/>
                <w:szCs w:val="24"/>
                <w:highlight w:val="none"/>
              </w:rPr>
              <w:t>个</w:t>
            </w:r>
            <w:r>
              <w:rPr>
                <w:rFonts w:hint="eastAsia" w:ascii="宋体" w:hAnsi="宋体" w:eastAsia="宋体" w:cs="宋体"/>
                <w:color w:val="auto"/>
                <w:kern w:val="0"/>
                <w:sz w:val="24"/>
                <w:szCs w:val="24"/>
                <w:highlight w:val="none"/>
              </w:rPr>
              <w:t>≥</w:t>
            </w:r>
            <w:r>
              <w:rPr>
                <w:rFonts w:hint="eastAsia" w:ascii="宋体" w:hAnsi="宋体" w:eastAsia="宋体" w:cs="宋体"/>
                <w:i w:val="0"/>
                <w:iCs w:val="0"/>
                <w:caps w:val="0"/>
                <w:color w:val="333333"/>
                <w:spacing w:val="0"/>
                <w:sz w:val="24"/>
                <w:szCs w:val="24"/>
                <w:highlight w:val="none"/>
                <w:lang w:val="en-US" w:eastAsia="zh-CN"/>
              </w:rPr>
              <w:t>550W</w:t>
            </w:r>
            <w:r>
              <w:rPr>
                <w:rFonts w:hint="eastAsia" w:ascii="宋体" w:hAnsi="宋体" w:eastAsia="宋体" w:cs="宋体"/>
                <w:i w:val="0"/>
                <w:iCs w:val="0"/>
                <w:caps w:val="0"/>
                <w:color w:val="333333"/>
                <w:spacing w:val="0"/>
                <w:sz w:val="24"/>
                <w:szCs w:val="24"/>
                <w:highlight w:val="none"/>
              </w:rPr>
              <w:t>电源模块，支持</w:t>
            </w:r>
            <w:r>
              <w:rPr>
                <w:rFonts w:hint="default" w:ascii="Times New Roman" w:hAnsi="Times New Roman" w:eastAsia="宋体" w:cs="Times New Roman"/>
                <w:i w:val="0"/>
                <w:iCs w:val="0"/>
                <w:caps w:val="0"/>
                <w:color w:val="333333"/>
                <w:spacing w:val="0"/>
                <w:sz w:val="24"/>
                <w:szCs w:val="24"/>
                <w:highlight w:val="none"/>
                <w:lang w:val="en-US"/>
              </w:rPr>
              <w:t>1+1</w:t>
            </w:r>
            <w:r>
              <w:rPr>
                <w:rFonts w:hint="eastAsia" w:ascii="宋体" w:hAnsi="宋体" w:eastAsia="宋体" w:cs="宋体"/>
                <w:i w:val="0"/>
                <w:iCs w:val="0"/>
                <w:caps w:val="0"/>
                <w:color w:val="333333"/>
                <w:spacing w:val="0"/>
                <w:sz w:val="24"/>
                <w:szCs w:val="24"/>
                <w:highlight w:val="none"/>
              </w:rPr>
              <w:t>电源冗余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、为了保证产品质量，所投云服务器需要具备CCC认证并提供证书的复印件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、为了保证产品质量，所投云服务器需要具备节能认证并提供证书的复印件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满足</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2000台终端设备同时满负载运行；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★为保证平台联动时的兼容性和可靠性，统一提供售后服务：要求云服务器、云计算平台、云终端、云终端控制平台、显示器为同一品牌，提供</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官网</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产品截图证明并加盖厂商投标专用章或公章</w:t>
            </w:r>
            <w:r>
              <w:rPr>
                <w:rFonts w:hint="eastAsia" w:ascii="宋体" w:hAnsi="宋体" w:eastAsia="宋体" w:cs="宋体"/>
                <w:color w:val="auto"/>
                <w:kern w:val="0"/>
                <w:sz w:val="24"/>
                <w:szCs w:val="24"/>
                <w:highlight w:val="none"/>
                <w:lang w:eastAsia="zh-CN"/>
              </w:rPr>
              <w:t>；</w:t>
            </w:r>
          </w:p>
          <w:p>
            <w:pPr>
              <w:widowControl/>
              <w:numPr>
                <w:ilvl w:val="0"/>
                <w:numId w:val="0"/>
              </w:numPr>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12、提供三年质保服务。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云计算平台</w:t>
            </w:r>
          </w:p>
        </w:tc>
        <w:tc>
          <w:tcPr>
            <w:tcW w:w="4538" w:type="dxa"/>
            <w:tcBorders>
              <w:top w:val="nil"/>
              <w:left w:val="nil"/>
              <w:bottom w:val="single" w:color="auto" w:sz="4" w:space="0"/>
              <w:right w:val="single" w:color="auto" w:sz="4" w:space="0"/>
            </w:tcBorders>
            <w:shd w:val="clear" w:color="auto" w:fill="auto"/>
          </w:tcPr>
          <w:p>
            <w:pPr>
              <w:widowControl/>
              <w:numPr>
                <w:ilvl w:val="0"/>
                <w:numId w:val="0"/>
              </w:num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要求采用超融合架构，在同一管理平台内至少包含计算资源、存储资源、网络资源等功能管理模块。所有功能模块需要通过一个厂家的一套软件实现超融合部署，不可以使用多套软件或产品叠加实现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2、管理平台为B/S架构，中文界面，同一管理界面中可实现对计算、存储、网络等功能的配置操作</w:t>
            </w:r>
            <w:r>
              <w:rPr>
                <w:rFonts w:hint="eastAsia" w:ascii="宋体" w:hAnsi="宋体" w:eastAsia="宋体" w:cs="宋体"/>
                <w:color w:val="auto"/>
                <w:kern w:val="0"/>
                <w:sz w:val="24"/>
                <w:szCs w:val="24"/>
                <w:highlight w:val="none"/>
                <w:lang w:eastAsia="zh-CN"/>
              </w:rPr>
              <w:t>；</w:t>
            </w:r>
          </w:p>
          <w:p>
            <w:pPr>
              <w:widowControl/>
              <w:numPr>
                <w:ilvl w:val="0"/>
                <w:numId w:val="0"/>
              </w:numPr>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支持向导式添加主机节点，为降低部署难度，支持精简纳管主机节点，仅需输入主机节点名称、主机IP地址即可完成主机节点添加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、支持查询主机节点名称、管理IP、连接状态、描述、创建时间、CPU、内存、硬盘、网卡、主机心跳等信息</w:t>
            </w:r>
            <w:r>
              <w:rPr>
                <w:rFonts w:hint="eastAsia" w:ascii="宋体" w:hAnsi="宋体" w:eastAsia="宋体" w:cs="宋体"/>
                <w:color w:val="auto"/>
                <w:kern w:val="0"/>
                <w:sz w:val="24"/>
                <w:szCs w:val="24"/>
                <w:highlight w:val="none"/>
                <w:lang w:eastAsia="zh-CN"/>
              </w:rPr>
              <w:t>；</w:t>
            </w:r>
          </w:p>
          <w:p>
            <w:pPr>
              <w:widowControl/>
              <w:numPr>
                <w:ilvl w:val="0"/>
                <w:numId w:val="0"/>
              </w:numPr>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支持主机性能状态监控，能以小时、天、周、月、季度、半年、一年维度，对主机CPU使用率、内存使用率、磁盘速率、磁盘IOPS、网卡错误数、丢包率、网卡带宽进行性能监控记录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、支持将服务器主机节点添加为计算集群，为上层业务平台提供统一的计算、存储、网络资源调度，形成基础计算平台支撑</w:t>
            </w:r>
            <w:r>
              <w:rPr>
                <w:rFonts w:hint="eastAsia" w:ascii="宋体" w:hAnsi="宋体" w:eastAsia="宋体" w:cs="宋体"/>
                <w:color w:val="auto"/>
                <w:kern w:val="0"/>
                <w:sz w:val="24"/>
                <w:szCs w:val="24"/>
                <w:highlight w:val="none"/>
                <w:lang w:eastAsia="zh-CN"/>
              </w:rPr>
              <w:t>；</w:t>
            </w:r>
          </w:p>
          <w:p>
            <w:pPr>
              <w:widowControl/>
              <w:numPr>
                <w:ilvl w:val="0"/>
                <w:numId w:val="0"/>
              </w:numPr>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、支持虚拟机性能状态监控，能以小时、天、周、月、季度、半年、一年维度，对主机CPU使用率、内存使用率、磁盘IOPS进行性能监控记录。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、支持多级缓存加速技术，会智能化地预先将热点数据写入数据时指出优先写入闪存盘组成的缓存区，后续调度到HDD磁盘。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、支持数据切片技术，单个文件跨多个存储节点分布存储，支持多节点并发存储读取与写入，提升应用业务响应能力。</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、所投标产品要求服务器后期扩容数据盘时，软件支持插一块硬盘，实现扩容，无需定制化，即插即用。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为避免用户数据外泄，要求分布式存储采用块虚拟化技术，将用户的文件切分成多个小数据块，以裸数据的形式分别保存在不同服务器的不同硬盘上。避免硬盘故障维修时，原故障硬盘被第三方公司/人带走，导致数据外泄。需要提供产品功能截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、支持查询、下载系统管理员的操作日志，日志包括：管理员账号、IP地址，操作时间、操作内容</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、★为保证平台联动时的兼容性和可靠性，统一提供售后服务：要求云服务器、云计算平台、云终端、云终端控制平台、显示器为同一品牌，提供厂商官网</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产品截图证明并加盖厂商投标专用章或公章。</w:t>
            </w:r>
          </w:p>
          <w:p>
            <w:pPr>
              <w:widowControl/>
              <w:numPr>
                <w:ilvl w:val="0"/>
                <w:numId w:val="0"/>
              </w:numPr>
              <w:ind w:leftChars="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14、提供三年质保服务，包含质保期内软件升级更新至最新版本。</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云终端</w:t>
            </w:r>
          </w:p>
        </w:tc>
        <w:tc>
          <w:tcPr>
            <w:tcW w:w="4538" w:type="dxa"/>
            <w:tcBorders>
              <w:top w:val="nil"/>
              <w:left w:val="nil"/>
              <w:bottom w:val="single" w:color="auto" w:sz="4" w:space="0"/>
              <w:right w:val="single" w:color="auto" w:sz="4" w:space="0"/>
            </w:tcBorders>
            <w:shd w:val="clear" w:color="auto" w:fill="auto"/>
          </w:tcPr>
          <w:p>
            <w:pPr>
              <w:widowControl/>
              <w:numPr>
                <w:ilvl w:val="0"/>
                <w:numId w:val="4"/>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终端需采用x86架构，软硬件一体化设备，内置虚拟化系统和软件。提供虚拟化系统软件著作权证书复印件。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 配置≥Intel第十代i5六核十二线程处理器（处理器主频≥2.9GHz）；内存≥8GB，显卡≥Intel UHD 630；本地存储≥256 GB SSD。</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 USB接口≥8个（包含≥4个USB 3.0接口），≥1个千兆网口，≥1个VGA接口，≥1个HDMI接口，≥1对音频输入输出接口，且支持4段式耳机音频输入及输出。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 配置≥1个内存扩展槽。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5、★配置≥2个硬盘扩展槽，提供图片证明。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6、为节约桌面空间，终端体积需小于</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L</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提供产品实拍图片。</w:t>
            </w:r>
          </w:p>
          <w:p>
            <w:pPr>
              <w:widowControl/>
              <w:numPr>
                <w:ilvl w:val="0"/>
                <w:numId w:val="5"/>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产品支持并提供正版授权的各类</w:t>
            </w:r>
            <w:r>
              <w:rPr>
                <w:rFonts w:hint="eastAsia" w:ascii="宋体" w:hAnsi="宋体" w:eastAsia="宋体" w:cs="宋体"/>
                <w:color w:val="auto"/>
                <w:kern w:val="0"/>
                <w:sz w:val="24"/>
                <w:szCs w:val="24"/>
                <w:highlight w:val="none"/>
              </w:rPr>
              <w:t>主流操作系统，包括Windows7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专业版、家庭版、旗舰版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、Windows10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专业版、家庭版、旗舰版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银河麒麟</w:t>
            </w:r>
            <w:r>
              <w:rPr>
                <w:rFonts w:hint="eastAsia" w:ascii="宋体" w:hAnsi="宋体" w:eastAsia="宋体" w:cs="宋体"/>
                <w:color w:val="auto"/>
                <w:kern w:val="0"/>
                <w:sz w:val="24"/>
                <w:szCs w:val="24"/>
                <w:highlight w:val="none"/>
                <w:lang w:val="en-US" w:eastAsia="zh-CN"/>
              </w:rPr>
              <w:t>、UOS等主流国产操作系统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、投标所选终端需提供3C证书及节能证书复印件。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 为防止人体触电，要求所投终端产品满足抗电强度要求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针对此功能需提供国家级权威测试机构出具的证书复印件，证书需具备CNAS标志。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、★为避免设备运行时产生噪声污染，干扰办公、学习人员，要求设备噪声指标不超过16dB，针对此功能需提供国家级权威测试机构出具的证书复印件，证书需具备CNAS标志。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★为保证平台联动时的兼容性和可靠性，统一提供售后服务：要求云服务器、云计算平台、云终端、云终端控制平台、显示器为同一品牌，提供厂商官网</w:t>
            </w:r>
            <w:r>
              <w:rPr>
                <w:rFonts w:hint="eastAsia" w:ascii="宋体" w:hAnsi="宋体" w:eastAsia="宋体" w:cs="宋体"/>
                <w:color w:val="auto"/>
                <w:kern w:val="0"/>
                <w:sz w:val="24"/>
                <w:szCs w:val="24"/>
                <w:highlight w:val="none"/>
                <w:lang w:val="en-US" w:eastAsia="zh-CN"/>
              </w:rPr>
              <w:t>投保</w:t>
            </w:r>
            <w:r>
              <w:rPr>
                <w:rFonts w:hint="eastAsia" w:ascii="宋体" w:hAnsi="宋体" w:eastAsia="宋体" w:cs="宋体"/>
                <w:color w:val="auto"/>
                <w:kern w:val="0"/>
                <w:sz w:val="24"/>
                <w:szCs w:val="24"/>
                <w:highlight w:val="none"/>
              </w:rPr>
              <w:t>产品截图证明并加盖厂商投标专用章或公章。</w:t>
            </w:r>
          </w:p>
          <w:p>
            <w:pPr>
              <w:widowControl/>
              <w:numPr>
                <w:ilvl w:val="0"/>
                <w:numId w:val="0"/>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13、提供三年质保服务。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云终端控制平台</w:t>
            </w:r>
          </w:p>
        </w:tc>
        <w:tc>
          <w:tcPr>
            <w:tcW w:w="4538" w:type="dxa"/>
            <w:tcBorders>
              <w:top w:val="nil"/>
              <w:left w:val="nil"/>
              <w:bottom w:val="single" w:color="auto" w:sz="4" w:space="0"/>
              <w:right w:val="single" w:color="auto" w:sz="4" w:space="0"/>
            </w:tcBorders>
            <w:shd w:val="clear" w:color="auto" w:fill="auto"/>
          </w:tcPr>
          <w:p>
            <w:pPr>
              <w:widowControl/>
              <w:numPr>
                <w:ilvl w:val="0"/>
                <w:numId w:val="6"/>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云桌面控制平台软件，采用B/S架构，提供云桌面管理、镜像管理、用户管理、终端管理、策略管理等功能模块。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支持“个性”、“还原”、“应用分发”等三种类型云桌面。个性桌面：关闭云桌面后系统盘不会还原到初始状态，用户的个性化配置与数据不会丢失；还原桌面：每次关闭云桌面后自动还原系统盘到初始状态；应用分发：系统层+个性层的方式生成操作系统，云桌面运行后生成的个性化数据存放在个性化层中，系统层与云桌面绑定后可以再次编辑，从而不影响云桌面个性层的数据。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支持通过上传操作系统ISO文件、QCOW2格式文件来制作生成镜像。支持镜像基于WEB页面进行编辑，镜像未发布前，支持撤销编辑。支持镜像发布功能，终端编辑镜像上传后需要管理员审核过的镜像才允许发布生效，支持镜像自动快照功能，管理员发布镜像时系统自动生成快照，支持快照恢复。</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、★支持灵活配置多种用户安全访问策略，包括但不限于本地密码安全策略、动态口令认证等。动态口令依托微信小程序，无需额外下载客户端，提供动态口令微信小程序截图。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、★支持无线白名单，通过配置终端无线白名单，确保终端无法接入非法WI-FI SSDI。能够支持添加多条白名单Wi-Fi名称 SSID，提供无线白名单功能操作界面截图。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、★支持云桌面种类策略配置，包含IDV、TCI类型，提供产品功能截图证明。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、支持外设控制策略，包括禁用启用设备、以及读写权限控制，外设设备包括：输入设备、存储设备、摄像设备、办公设备、手机、其他已归类设备，可以控制USB存储设备的只读或者读写。</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、★可配置全局屏幕水印功能。水印显示信息包括：用户名，云桌面名，IP，MAC地址，自定义显示。支持透明度，角度，字体大小和颜色的设置，提供产品功能截图证明。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、支持为管理员自定义精细化配置功能权限，功能权限颗粒度细化到页面的具体功能，提供产品功能截图证明。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提供桌面小助手，桌面小助手可显示“云主机IP”、“本机IP”、“本机MAC”、“硬盘”、“CPU”、“内存”、“操作系统”等信息，提供产品功能截图证明。为了提高工作效率，要求小助手软件支持用户端可以主动报障功能。需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、在管理平台上可高亮显示报障信息，管理员可方便针对故障PC进行远程协助，排除故障，提供产品功能截图证明。</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支持云盘功能，提供个人存储空间，实现个人云盘文件的存储、分享等功能，云盘功能可根据实际情况建立不同的分组，分组由群主进行管理，可删除文件，群组成员可在组内进行资源上传、查看、下载等操作。文件内容可支持文本、图片、PPT、WORD、EXCEL、音频等种文件格式。支持按照用户组织结构自动创建分组。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、★为保证平台联动时的兼容性和可靠性，统一提供售后服务：要求云服务器、云计算平台、云终端、云终端控制平台、显示器为同一品牌，提供厂商官网</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产品截图证明并加盖厂商投标专用章或公章。</w:t>
            </w:r>
          </w:p>
          <w:p>
            <w:pPr>
              <w:widowControl/>
              <w:numPr>
                <w:ilvl w:val="0"/>
                <w:numId w:val="0"/>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14、提供三年原厂质保服务，软件包含质保期内升级更新至最新版本。</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显示器</w:t>
            </w:r>
          </w:p>
        </w:tc>
        <w:tc>
          <w:tcPr>
            <w:tcW w:w="4538" w:type="dxa"/>
            <w:tcBorders>
              <w:top w:val="nil"/>
              <w:left w:val="nil"/>
              <w:bottom w:val="single" w:color="auto" w:sz="4" w:space="0"/>
              <w:right w:val="single" w:color="auto" w:sz="4" w:space="0"/>
            </w:tcBorders>
            <w:shd w:val="clear" w:color="auto" w:fill="auto"/>
          </w:tcPr>
          <w:p>
            <w:pPr>
              <w:widowControl/>
              <w:numPr>
                <w:ilvl w:val="0"/>
                <w:numId w:val="7"/>
              </w:numPr>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配置≥23.8英寸LED，分辨率≥1920×1080，≥1个VGA接口 ，≥1个HDMI接口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刷新率≥60Hz；</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2、硬件形态：为保障使用时的动态清晰度、色彩还原准确、可视角度等方面的体验，需采用IPS屏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3、为了提升用户体验，需内置双扬声器，配置纯金属底座支架增强稳定性。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4、为了保证产品质量，所投设备提供三年质保。</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5、为了保证产品质量，所投设备需要具备国家强制性CCC认证、CECP节能认证、TUV低蓝光认证、并提供证书复印件。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6、为保证平台联动时的兼容性和可靠性，及服务便捷性，得到统一售后和维护服务，要求显示器与云服务器、云终端为同一品牌。</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r>
      <w:tr>
        <w:tblPrEx>
          <w:tblCellMar>
            <w:top w:w="0" w:type="dxa"/>
            <w:left w:w="108" w:type="dxa"/>
            <w:bottom w:w="0" w:type="dxa"/>
            <w:right w:w="108" w:type="dxa"/>
          </w:tblCellMar>
        </w:tblPrEx>
        <w:trPr>
          <w:trHeight w:val="2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键盘鼠标</w:t>
            </w:r>
          </w:p>
        </w:tc>
        <w:tc>
          <w:tcPr>
            <w:tcW w:w="4538"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键盘：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连接方式：有线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键盘接口：USB</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键盘按键数：</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104键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防水功能：防泼溅</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人体工学：支持，键盘水滴字键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线长：1m以上</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鼠标：</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工作方式：光电（针光）</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鼠标分辨率：</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1000DPI</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鼠标接口：USB</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人体工学：鼠标对称设计</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 按键数：3键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 滚轮方向：双向滚轮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 线长：1m以上</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8、提供三年原厂质保服务。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r>
    </w:tbl>
    <w:p>
      <w:pPr>
        <w:rPr>
          <w:highlight w:val="none"/>
        </w:rPr>
      </w:pPr>
    </w:p>
    <w:p>
      <w:pPr>
        <w:rPr>
          <w:highlight w:val="none"/>
        </w:rPr>
      </w:pPr>
    </w:p>
    <w:p>
      <w:pPr>
        <w:pStyle w:val="3"/>
        <w:tabs>
          <w:tab w:val="left" w:pos="600"/>
        </w:tabs>
        <w:spacing w:line="360" w:lineRule="auto"/>
        <w:ind w:firstLine="422" w:firstLineChars="200"/>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lang w:eastAsia="zh-CN"/>
        </w:rPr>
        <w:t>备注：</w:t>
      </w:r>
      <w:r>
        <w:rPr>
          <w:rFonts w:hint="eastAsia" w:ascii="宋体" w:hAnsi="宋体" w:eastAsia="宋体" w:cs="Times New Roman"/>
          <w:b/>
          <w:bCs/>
          <w:color w:val="auto"/>
          <w:sz w:val="21"/>
          <w:szCs w:val="21"/>
          <w:highlight w:val="none"/>
        </w:rPr>
        <w:t>1、通过篡改数据响应的按照无效标处理并追究法律责任。在交货后，发现部分不能实现，甲方有权退货并索取赔偿。</w:t>
      </w:r>
    </w:p>
    <w:p>
      <w:pPr>
        <w:pStyle w:val="3"/>
        <w:tabs>
          <w:tab w:val="left" w:pos="600"/>
        </w:tabs>
        <w:spacing w:line="360" w:lineRule="auto"/>
        <w:ind w:firstLine="422" w:firstLineChars="200"/>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2、产品中标后安装验收过程中如果发现有不满足招标要求的、篡改参数，投标产品与交货产品不一致的，用户可以拒绝付款。</w:t>
      </w:r>
    </w:p>
    <w:p>
      <w:pPr>
        <w:pStyle w:val="3"/>
        <w:tabs>
          <w:tab w:val="left" w:pos="600"/>
        </w:tabs>
        <w:spacing w:line="360" w:lineRule="auto"/>
        <w:ind w:firstLine="422" w:firstLineChars="200"/>
        <w:rPr>
          <w:rFonts w:hint="eastAsia" w:ascii="宋体" w:hAnsi="宋体"/>
          <w:b/>
          <w:bCs/>
          <w:color w:val="auto"/>
          <w:sz w:val="21"/>
          <w:szCs w:val="21"/>
          <w:highlight w:val="none"/>
        </w:rPr>
      </w:pPr>
      <w:r>
        <w:rPr>
          <w:rFonts w:hint="eastAsia" w:ascii="宋体" w:hAnsi="宋体" w:eastAsia="宋体" w:cs="Times New Roman"/>
          <w:b/>
          <w:bCs/>
          <w:color w:val="auto"/>
          <w:sz w:val="21"/>
          <w:szCs w:val="21"/>
          <w:highlight w:val="none"/>
        </w:rPr>
        <w:t>2、产品中标后安装验收过程中如果发现有不满足招标要求的、篡改参数，投标产品与交货产品不一致的，用户可以拒绝付款</w:t>
      </w:r>
      <w:r>
        <w:rPr>
          <w:rFonts w:hint="eastAsia" w:ascii="宋体" w:hAnsi="宋体"/>
          <w:b/>
          <w:bCs/>
          <w:color w:val="auto"/>
          <w:sz w:val="21"/>
          <w:szCs w:val="21"/>
          <w:highlight w:val="none"/>
        </w:rPr>
        <w:t>。</w:t>
      </w:r>
    </w:p>
    <w:p>
      <w:pPr>
        <w:pStyle w:val="3"/>
        <w:tabs>
          <w:tab w:val="left" w:pos="600"/>
        </w:tabs>
        <w:spacing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br w:type="page"/>
      </w:r>
    </w:p>
    <w:bookmarkEnd w:id="109"/>
    <w:p>
      <w:pPr>
        <w:pStyle w:val="27"/>
        <w:numPr>
          <w:ilvl w:val="0"/>
          <w:numId w:val="8"/>
        </w:numPr>
        <w:ind w:firstLine="0" w:firstLineChars="0"/>
        <w:jc w:val="center"/>
        <w:rPr>
          <w:rFonts w:hint="eastAsia" w:ascii="宋体" w:hAnsi="宋体" w:cs="宋体"/>
          <w:b/>
          <w:bCs/>
          <w:color w:val="auto"/>
          <w:sz w:val="28"/>
          <w:szCs w:val="28"/>
          <w:highlight w:val="none"/>
        </w:rPr>
      </w:pP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宋体" w:hAnsi="宋体" w:cs="宋体"/>
          <w:b/>
          <w:bCs/>
          <w:color w:val="auto"/>
          <w:sz w:val="28"/>
          <w:szCs w:val="28"/>
          <w:highlight w:val="none"/>
        </w:rPr>
        <w:t>商务条款</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一、合同履行期限及地点：</w:t>
      </w:r>
      <w:bookmarkStart w:id="110" w:name="_Toc167712839"/>
      <w:bookmarkStart w:id="111" w:name="_Toc167715234"/>
      <w:bookmarkStart w:id="112" w:name="_Toc167714037"/>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eastAsia="宋体" w:cs="宋体"/>
          <w:color w:val="auto"/>
          <w:spacing w:val="3"/>
          <w:sz w:val="24"/>
          <w:highlight w:val="none"/>
          <w:lang w:eastAsia="zh-CN"/>
        </w:rPr>
      </w:pPr>
      <w:r>
        <w:rPr>
          <w:rFonts w:hint="eastAsia" w:ascii="宋体" w:hAnsi="宋体" w:cs="宋体"/>
          <w:color w:val="auto"/>
          <w:spacing w:val="3"/>
          <w:sz w:val="24"/>
          <w:highlight w:val="none"/>
        </w:rPr>
        <w:t>1、合同履行期限：</w:t>
      </w:r>
      <w:bookmarkEnd w:id="110"/>
      <w:bookmarkEnd w:id="111"/>
      <w:bookmarkEnd w:id="112"/>
      <w:r>
        <w:rPr>
          <w:rFonts w:hint="eastAsia" w:ascii="宋体" w:hAnsi="宋体" w:cs="宋体"/>
          <w:color w:val="auto"/>
          <w:spacing w:val="3"/>
          <w:sz w:val="24"/>
          <w:highlight w:val="none"/>
        </w:rPr>
        <w:t>中标之日起30日内到货，到货后7日内完成安装调试；</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2、地 点：采购人指定。</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二、付款方式：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b w:val="0"/>
          <w:bCs/>
          <w:color w:val="auto"/>
          <w:sz w:val="24"/>
          <w:highlight w:val="none"/>
        </w:rPr>
      </w:pPr>
      <w:r>
        <w:rPr>
          <w:rFonts w:hint="eastAsia" w:ascii="宋体" w:hAnsi="宋体"/>
          <w:b w:val="0"/>
          <w:bCs/>
          <w:color w:val="auto"/>
          <w:sz w:val="24"/>
          <w:highlight w:val="none"/>
        </w:rPr>
        <w:t>分三年支付，具体以合同约定为准。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三、报价要求：</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olor w:val="auto"/>
          <w:sz w:val="24"/>
          <w:highlight w:val="none"/>
        </w:rPr>
      </w:pPr>
      <w:r>
        <w:rPr>
          <w:rFonts w:hint="eastAsia" w:ascii="宋体" w:hAnsi="宋体" w:cs="宋体"/>
          <w:color w:val="auto"/>
          <w:spacing w:val="3"/>
          <w:sz w:val="24"/>
          <w:highlight w:val="none"/>
        </w:rPr>
        <w:t>投标报价应是完成招标内容所需设备的全部费用，包括但不限于产品的报价及所发生</w:t>
      </w:r>
      <w:r>
        <w:rPr>
          <w:rFonts w:hint="eastAsia" w:ascii="宋体" w:hAnsi="宋体" w:cs="宋体"/>
          <w:color w:val="auto"/>
          <w:spacing w:val="-4"/>
          <w:sz w:val="24"/>
          <w:highlight w:val="none"/>
        </w:rPr>
        <w:t>的：</w:t>
      </w:r>
      <w:r>
        <w:rPr>
          <w:rFonts w:hint="eastAsia" w:ascii="宋体" w:hAnsi="宋体" w:cs="宋体"/>
          <w:b/>
          <w:bCs/>
          <w:color w:val="auto"/>
          <w:spacing w:val="-4"/>
          <w:sz w:val="24"/>
          <w:highlight w:val="none"/>
        </w:rPr>
        <w:t>包括货物价格、备品备件、包装、运输、仓储、保管、保险、装卸（卸货至甲方指定地点）、安装、调试、售后维护服务、培训、利润、相关税费及市场价格风险在内等一切费用。</w:t>
      </w:r>
      <w:r>
        <w:rPr>
          <w:rFonts w:hint="eastAsia" w:ascii="宋体" w:hAnsi="宋体"/>
          <w:color w:val="auto"/>
          <w:sz w:val="24"/>
          <w:highlight w:val="none"/>
        </w:rPr>
        <w:t>进口设备除应包括要向中华人民共和国政府缴纳的增值税和其它税，还应包括货物在制造或组装时使用的部件和原材料是从关境外进口的已交纳或应交纳的全部关税、增值税和其它税等一切费用。要求的其他相关费用以本招标文件的内容和要求作为投标依据。报价时单价所反映的内容同上，综合考虑在单价中。在供货、安装、调试、培训等工作中出现硬件、软件等的任何遗漏，均由中标人免费提供，采购人将不再支付任何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rPr>
        <w:t>四、售后服务</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eastAsia="宋体" w:cs="宋体"/>
          <w:color w:val="auto"/>
          <w:spacing w:val="3"/>
          <w:sz w:val="24"/>
          <w:highlight w:val="none"/>
          <w:lang w:val="en-US" w:eastAsia="zh-CN"/>
        </w:rPr>
      </w:pPr>
      <w:r>
        <w:rPr>
          <w:rFonts w:hint="eastAsia" w:ascii="宋体" w:hAnsi="宋体" w:eastAsia="宋体" w:cs="宋体"/>
          <w:color w:val="auto"/>
          <w:spacing w:val="3"/>
          <w:sz w:val="24"/>
          <w:highlight w:val="none"/>
          <w:lang w:val="en-US" w:eastAsia="zh-CN"/>
        </w:rPr>
        <w:t>1、质保期间提供网络、电话、传真、现场等形式的7*24小时原厂售后维护，一般性问题1小时之内解决，严重性问题6小时之内解决，特别严重性问题12小时之内解决。</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eastAsia="宋体" w:cs="宋体"/>
          <w:color w:val="auto"/>
          <w:spacing w:val="3"/>
          <w:sz w:val="24"/>
          <w:highlight w:val="none"/>
          <w:lang w:val="en-US" w:eastAsia="zh-CN"/>
        </w:rPr>
      </w:pPr>
      <w:r>
        <w:rPr>
          <w:rFonts w:hint="eastAsia" w:ascii="宋体" w:hAnsi="宋体" w:eastAsia="宋体" w:cs="宋体"/>
          <w:color w:val="auto"/>
          <w:spacing w:val="3"/>
          <w:sz w:val="24"/>
          <w:highlight w:val="none"/>
          <w:lang w:val="en-US" w:eastAsia="zh-CN"/>
        </w:rPr>
        <w:t>2、本项目所含硬件设备需提供不少于三年的原厂质保，非人为故障包换。软件提供原厂质保时间内免费更新至最新版本。</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eastAsia="宋体" w:cs="宋体"/>
          <w:color w:val="auto"/>
          <w:spacing w:val="3"/>
          <w:sz w:val="24"/>
          <w:highlight w:val="none"/>
          <w:lang w:val="en-US" w:eastAsia="zh-CN"/>
        </w:rPr>
      </w:pPr>
      <w:r>
        <w:rPr>
          <w:rFonts w:hint="eastAsia" w:ascii="宋体" w:hAnsi="宋体" w:eastAsia="宋体" w:cs="宋体"/>
          <w:color w:val="auto"/>
          <w:spacing w:val="3"/>
          <w:sz w:val="24"/>
          <w:highlight w:val="none"/>
          <w:lang w:val="en-US" w:eastAsia="zh-CN"/>
        </w:rPr>
        <w:t>3、提供不少于所招终端总数5%的备机（包含终端、显示器、鼠标键盘及相关软件授权），如遇突发故障可及时替换</w:t>
      </w:r>
      <w:r>
        <w:rPr>
          <w:rFonts w:hint="eastAsia" w:ascii="宋体" w:hAnsi="宋体" w:cs="宋体"/>
          <w:color w:val="auto"/>
          <w:spacing w:val="3"/>
          <w:sz w:val="24"/>
          <w:highlight w:val="none"/>
          <w:lang w:val="en-US" w:eastAsia="zh-CN"/>
        </w:rPr>
        <w:t>，备机存放在甲方指定地点</w:t>
      </w:r>
      <w:r>
        <w:rPr>
          <w:rFonts w:hint="eastAsia" w:ascii="宋体" w:hAnsi="宋体" w:eastAsia="宋体" w:cs="宋体"/>
          <w:color w:val="auto"/>
          <w:spacing w:val="3"/>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eastAsia="宋体" w:cs="宋体"/>
          <w:color w:val="auto"/>
          <w:spacing w:val="3"/>
          <w:sz w:val="24"/>
          <w:highlight w:val="none"/>
          <w:lang w:val="en-US" w:eastAsia="zh-CN"/>
        </w:rPr>
      </w:pPr>
      <w:r>
        <w:rPr>
          <w:rFonts w:hint="eastAsia" w:ascii="宋体" w:hAnsi="宋体" w:eastAsia="宋体" w:cs="宋体"/>
          <w:color w:val="auto"/>
          <w:spacing w:val="3"/>
          <w:sz w:val="24"/>
          <w:highlight w:val="none"/>
          <w:lang w:val="en-US" w:eastAsia="zh-CN"/>
        </w:rPr>
        <w:t>4、按照投标报价产品清单价格，产品质保到期后，五年内若出现产品故障，按照</w:t>
      </w:r>
      <w:r>
        <w:rPr>
          <w:rFonts w:hint="eastAsia" w:ascii="宋体" w:hAnsi="宋体" w:cs="宋体"/>
          <w:color w:val="auto"/>
          <w:spacing w:val="3"/>
          <w:sz w:val="24"/>
          <w:highlight w:val="none"/>
          <w:lang w:val="en-US" w:eastAsia="zh-CN"/>
        </w:rPr>
        <w:t>单台设备</w:t>
      </w:r>
      <w:r>
        <w:rPr>
          <w:rFonts w:hint="eastAsia" w:ascii="宋体" w:hAnsi="宋体" w:eastAsia="宋体" w:cs="宋体"/>
          <w:color w:val="auto"/>
          <w:spacing w:val="3"/>
          <w:sz w:val="24"/>
          <w:highlight w:val="none"/>
          <w:lang w:val="en-US" w:eastAsia="zh-CN"/>
        </w:rPr>
        <w:t>最高不超过投标报价百分之70的价格进行维修或更换，五年后视产品硬件当年更新情况另行约定。</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五</w:t>
      </w:r>
      <w:r>
        <w:rPr>
          <w:rFonts w:hint="eastAsia" w:ascii="宋体" w:hAnsi="宋体"/>
          <w:b/>
          <w:color w:val="auto"/>
          <w:sz w:val="24"/>
          <w:highlight w:val="none"/>
        </w:rPr>
        <w:t>、验收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bookmarkStart w:id="113" w:name="_Toc167712846"/>
      <w:bookmarkStart w:id="114" w:name="_Toc167714044"/>
      <w:bookmarkStart w:id="115" w:name="_Toc167715241"/>
      <w:r>
        <w:rPr>
          <w:rFonts w:hint="eastAsia" w:ascii="宋体" w:hAnsi="宋体"/>
          <w:color w:val="auto"/>
          <w:sz w:val="24"/>
          <w:highlight w:val="none"/>
        </w:rPr>
        <w:t>1、项目验收分初验和终验:</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初验：货物到达交货地点后，由使用单位根据合同对货物（设备）的名称、品牌、规格、型号、产地、数量进行检查。</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终验：所有货物(设备)安装、调试完毕，由采购人进行终验（最终验收），合格后签发《终验合格单》。</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2、验收不合格的成交单位，必须在接到通知后7个日历日内确保货物通过验收。如接到通知后7个日历日内验收仍不合格，采购人可提出索赔或取消其供货合同。采购代理机构将把成交资格授予评审排序下一名的成交单位。</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3、验收依据</w:t>
      </w:r>
      <w:bookmarkEnd w:id="113"/>
      <w:bookmarkEnd w:id="114"/>
      <w:bookmarkEnd w:id="115"/>
      <w:bookmarkStart w:id="116" w:name="_Toc167712847"/>
      <w:bookmarkStart w:id="117" w:name="_Toc167714045"/>
      <w:bookmarkStart w:id="118" w:name="_Toc167715242"/>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rPr>
        <w:t>（1）合同文本及合同补充文件（条款）</w:t>
      </w:r>
      <w:bookmarkEnd w:id="116"/>
      <w:bookmarkEnd w:id="117"/>
      <w:bookmarkEnd w:id="118"/>
      <w:r>
        <w:rPr>
          <w:rFonts w:hint="eastAsia" w:ascii="宋体" w:hAnsi="宋体" w:cs="宋体"/>
          <w:color w:val="auto"/>
          <w:spacing w:val="3"/>
          <w:sz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olor w:val="auto"/>
          <w:sz w:val="24"/>
          <w:highlight w:val="none"/>
        </w:rPr>
      </w:pPr>
      <w:r>
        <w:rPr>
          <w:rFonts w:hint="eastAsia" w:ascii="宋体" w:hAnsi="宋体" w:cs="宋体"/>
          <w:color w:val="auto"/>
          <w:spacing w:val="3"/>
          <w:sz w:val="24"/>
          <w:highlight w:val="none"/>
        </w:rPr>
        <w:t>（</w:t>
      </w:r>
      <w:r>
        <w:rPr>
          <w:rFonts w:hint="eastAsia" w:ascii="宋体" w:hAnsi="宋体"/>
          <w:color w:val="auto"/>
          <w:sz w:val="24"/>
          <w:highlight w:val="none"/>
        </w:rPr>
        <w:t>2）产品的合法来源渠道证明文件、响应功能证明材料；</w:t>
      </w:r>
    </w:p>
    <w:p>
      <w:pPr>
        <w:keepNext w:val="0"/>
        <w:keepLines w:val="0"/>
        <w:pageBreakBefore w:val="0"/>
        <w:widowControl w:val="0"/>
        <w:kinsoku/>
        <w:wordWrap/>
        <w:overflowPunct/>
        <w:topLinePunct w:val="0"/>
        <w:autoSpaceDE/>
        <w:autoSpaceDN/>
        <w:bidi w:val="0"/>
        <w:adjustRightInd/>
        <w:snapToGrid/>
        <w:spacing w:line="420" w:lineRule="exact"/>
        <w:ind w:firstLine="492" w:firstLineChars="200"/>
        <w:textAlignment w:val="auto"/>
        <w:rPr>
          <w:rFonts w:hint="eastAsia" w:ascii="宋体" w:hAnsi="宋体" w:cs="宋体"/>
          <w:color w:val="auto"/>
          <w:spacing w:val="3"/>
          <w:sz w:val="24"/>
          <w:highlight w:val="none"/>
        </w:rPr>
      </w:pPr>
      <w:r>
        <w:rPr>
          <w:rFonts w:hint="eastAsia" w:ascii="宋体" w:hAnsi="宋体" w:cs="宋体"/>
          <w:color w:val="auto"/>
          <w:spacing w:val="3"/>
          <w:sz w:val="24"/>
          <w:highlight w:val="none"/>
          <w:lang w:eastAsia="zh-CN"/>
        </w:rPr>
        <w:t>（</w:t>
      </w:r>
      <w:r>
        <w:rPr>
          <w:rFonts w:hint="eastAsia" w:ascii="宋体" w:hAnsi="宋体" w:cs="宋体"/>
          <w:color w:val="auto"/>
          <w:spacing w:val="3"/>
          <w:sz w:val="24"/>
          <w:highlight w:val="none"/>
        </w:rPr>
        <w:t>3</w:t>
      </w:r>
      <w:r>
        <w:rPr>
          <w:rFonts w:hint="eastAsia" w:ascii="宋体" w:hAnsi="宋体" w:cs="宋体"/>
          <w:color w:val="auto"/>
          <w:spacing w:val="3"/>
          <w:sz w:val="24"/>
          <w:highlight w:val="none"/>
          <w:lang w:eastAsia="zh-CN"/>
        </w:rPr>
        <w:t>）</w:t>
      </w:r>
      <w:r>
        <w:rPr>
          <w:rFonts w:hint="eastAsia" w:ascii="宋体" w:hAnsi="宋体" w:cs="宋体"/>
          <w:color w:val="auto"/>
          <w:spacing w:val="3"/>
          <w:sz w:val="24"/>
          <w:highlight w:val="none"/>
        </w:rPr>
        <w:t>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（4）投标文件；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（5）合同货物清单；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（6）生产厂家的企业资质、货物的执行标准。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、质量保证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1、所有设备、软件免费安装调试，并确保所有设备正常使用，包含终端至甲方指定各点位的网络布线，需整齐、美观，符合布线要求（仅到最近信息点位，非综合布线）；</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2、自该项目所含设备投入运行至日起，甲方试运行三个月内，若三个月内非人为故障的设备数量超过1% 或因该项目软、硬件故障导致甲方业务停止超过6小时的，甲方有权废标，所有损失由中标方自行承担。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3、成交供应商保证所供设备是全新、未使用过的原包装产品。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4、所提供操作系统为正版授权操作系统，不得为盗版镜像，且根据甲方需要可随时更换支持列表里的操作系统。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、合同实施：</w:t>
      </w:r>
      <w:bookmarkStart w:id="119" w:name="_Toc167715264"/>
      <w:bookmarkStart w:id="120" w:name="_Toc167712869"/>
      <w:bookmarkStart w:id="121" w:name="_Toc167714067"/>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1 </w:t>
      </w:r>
      <w:bookmarkEnd w:id="119"/>
      <w:bookmarkEnd w:id="120"/>
      <w:bookmarkEnd w:id="121"/>
      <w:r>
        <w:rPr>
          <w:rFonts w:hint="eastAsia" w:ascii="宋体" w:hAnsi="宋体"/>
          <w:color w:val="auto"/>
          <w:sz w:val="24"/>
          <w:highlight w:val="none"/>
        </w:rPr>
        <w:t>、成交单位应在合同签订后30个日历日内安排人员（项目组成人员简历表所列）与使用单位就送货、安装等工作进行安排、部署。</w:t>
      </w:r>
      <w:bookmarkStart w:id="122" w:name="_Toc167715265"/>
      <w:bookmarkStart w:id="123" w:name="_Toc167712870"/>
      <w:bookmarkStart w:id="124" w:name="_Toc167714068"/>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bookmarkEnd w:id="122"/>
      <w:bookmarkEnd w:id="123"/>
      <w:bookmarkEnd w:id="124"/>
      <w:r>
        <w:rPr>
          <w:rFonts w:hint="eastAsia" w:ascii="宋体" w:hAnsi="宋体"/>
          <w:color w:val="auto"/>
          <w:sz w:val="24"/>
          <w:highlight w:val="none"/>
        </w:rPr>
        <w:t xml:space="preserve"> 、若因成交单位原因未能在工期内完成合同规定的义务，由此对采购人造成的延误和一切损失，由成交单位人承担和赔偿。</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1、按《</w:t>
      </w:r>
      <w:r>
        <w:rPr>
          <w:rFonts w:hint="eastAsia" w:ascii="宋体" w:hAnsi="宋体"/>
          <w:color w:val="auto"/>
          <w:sz w:val="24"/>
          <w:highlight w:val="none"/>
          <w:lang w:eastAsia="zh-CN"/>
        </w:rPr>
        <w:t>中华人民共和国民法典</w:t>
      </w:r>
      <w:r>
        <w:rPr>
          <w:rFonts w:hint="eastAsia" w:ascii="宋体" w:hAnsi="宋体"/>
          <w:color w:val="auto"/>
          <w:sz w:val="24"/>
          <w:highlight w:val="none"/>
        </w:rPr>
        <w:t>》中的相关条款执行。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8"/>
          <w:szCs w:val="28"/>
          <w:highlight w:val="none"/>
        </w:rPr>
      </w:pPr>
      <w:r>
        <w:rPr>
          <w:rFonts w:hint="eastAsia" w:ascii="宋体" w:hAnsi="宋体"/>
          <w:color w:val="auto"/>
          <w:sz w:val="24"/>
          <w:highlight w:val="none"/>
        </w:rPr>
        <w:t>2、未按合同要求提供产品或产品质量不能满足技术要求，采购人有权终止合同，并对供方违约行为进行追究，同时按《政府采购法》的有关规定进行处罚。</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注：1、本项目商务条款全部为重要指标（实质性要求），不得负偏离，投标人在投标文件中必须对商务条款进行一一正面响应，若不响应、逃避响应或模糊混淆概念响应，按照负偏离处理（不符合招标文件实质性要求），不能提供证明文件的不予认可。在交货后，发现部分不能实现，甲方有权退货并索取赔偿。</w:t>
      </w:r>
    </w:p>
    <w:p>
      <w:pPr>
        <w:pStyle w:val="26"/>
        <w:rPr>
          <w:highlight w:val="none"/>
        </w:rPr>
      </w:pPr>
      <w:r>
        <w:rPr>
          <w:rFonts w:hint="eastAsia" w:ascii="宋体" w:hAnsi="宋体"/>
          <w:b/>
          <w:color w:val="auto"/>
          <w:sz w:val="24"/>
          <w:highlight w:val="none"/>
        </w:rPr>
        <w:t>2、产品中标后签订合同、安装验收过程中如果发现有不满足招标要求的、篡改商务条款的，用户可以拒绝付款。</w:t>
      </w:r>
    </w:p>
    <w:p>
      <w:pPr>
        <w:pStyle w:val="17"/>
        <w:kinsoku w:val="0"/>
        <w:overflowPunct w:val="0"/>
        <w:jc w:val="center"/>
        <w:rPr>
          <w:rFonts w:hint="eastAsia" w:ascii="仿宋" w:hAnsi="仿宋" w:eastAsia="仿宋" w:cs="仿宋"/>
          <w:color w:val="auto"/>
          <w:sz w:val="24"/>
          <w:szCs w:val="24"/>
          <w:highlight w:val="none"/>
        </w:rPr>
      </w:pPr>
      <w:r>
        <w:rPr>
          <w:rFonts w:ascii="黑体" w:hAnsi="宋体" w:eastAsia="黑体"/>
          <w:b/>
          <w:color w:val="auto"/>
          <w:sz w:val="44"/>
          <w:szCs w:val="44"/>
          <w:highlight w:val="none"/>
        </w:rPr>
        <w:br w:type="page"/>
      </w:r>
      <w:r>
        <w:rPr>
          <w:rFonts w:hint="eastAsia" w:ascii="黑体" w:hAnsi="宋体" w:eastAsia="黑体"/>
          <w:b/>
          <w:color w:val="auto"/>
          <w:sz w:val="44"/>
          <w:szCs w:val="44"/>
          <w:highlight w:val="none"/>
        </w:rPr>
        <w:t>第五章  采购合同格式</w:t>
      </w:r>
    </w:p>
    <w:p>
      <w:pPr>
        <w:spacing w:line="360" w:lineRule="auto"/>
        <w:ind w:firstLine="480" w:firstLineChars="200"/>
        <w:jc w:val="center"/>
        <w:rPr>
          <w:rFonts w:ascii="宋体"/>
          <w:color w:val="auto"/>
          <w:sz w:val="24"/>
        </w:rPr>
      </w:pPr>
      <w:r>
        <w:rPr>
          <w:rFonts w:ascii="宋体" w:hAnsi="宋体"/>
          <w:color w:val="auto"/>
          <w:sz w:val="24"/>
        </w:rPr>
        <w:t>(</w:t>
      </w:r>
      <w:r>
        <w:rPr>
          <w:rFonts w:hint="eastAsia" w:ascii="宋体" w:hAnsi="宋体"/>
          <w:color w:val="auto"/>
          <w:sz w:val="24"/>
        </w:rPr>
        <w:t>此合同样本仅供参考</w:t>
      </w:r>
      <w:r>
        <w:rPr>
          <w:rFonts w:ascii="宋体"/>
          <w:color w:val="auto"/>
          <w:sz w:val="24"/>
        </w:rPr>
        <w:t>,</w:t>
      </w:r>
      <w:r>
        <w:rPr>
          <w:rFonts w:hint="eastAsia" w:ascii="宋体" w:hAnsi="宋体"/>
          <w:color w:val="auto"/>
          <w:sz w:val="24"/>
        </w:rPr>
        <w:t>合同具体细则以成交双方协定为准</w:t>
      </w:r>
      <w:r>
        <w:rPr>
          <w:rFonts w:ascii="宋体" w:hAnsi="宋体"/>
          <w:color w:val="auto"/>
          <w:sz w:val="24"/>
        </w:rPr>
        <w:t>)</w:t>
      </w:r>
    </w:p>
    <w:p>
      <w:pPr>
        <w:widowControl/>
        <w:spacing w:after="240" w:afterLines="100" w:line="400" w:lineRule="atLeast"/>
        <w:jc w:val="center"/>
        <w:rPr>
          <w:rFonts w:hint="eastAsia" w:ascii="黑体" w:hAnsi="宋体" w:eastAsia="黑体"/>
          <w:b/>
          <w:color w:val="auto"/>
          <w:sz w:val="44"/>
          <w:szCs w:val="44"/>
          <w:highlight w:val="none"/>
        </w:rPr>
      </w:pPr>
    </w:p>
    <w:p>
      <w:pPr>
        <w:pStyle w:val="31"/>
        <w:spacing w:before="240" w:beforeLines="100"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合同编号： </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签订地点： </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签订时间:</w:t>
      </w:r>
    </w:p>
    <w:p>
      <w:pPr>
        <w:pStyle w:val="31"/>
        <w:spacing w:line="360" w:lineRule="auto"/>
        <w:ind w:firstLine="420"/>
        <w:rPr>
          <w:rFonts w:hint="eastAsia" w:ascii="宋体" w:hAnsi="宋体"/>
          <w:color w:val="auto"/>
          <w:sz w:val="21"/>
          <w:szCs w:val="21"/>
          <w:highlight w:val="none"/>
        </w:rPr>
      </w:pP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采购人（甲方）：</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投标人（乙方）：</w:t>
      </w:r>
    </w:p>
    <w:p>
      <w:pPr>
        <w:pStyle w:val="31"/>
        <w:spacing w:before="120" w:beforeLines="50"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根据《</w:t>
      </w:r>
      <w:r>
        <w:rPr>
          <w:rFonts w:hint="eastAsia" w:ascii="宋体" w:hAnsi="宋体"/>
          <w:color w:val="auto"/>
          <w:sz w:val="21"/>
          <w:szCs w:val="21"/>
          <w:highlight w:val="none"/>
          <w:lang w:eastAsia="zh-CN"/>
        </w:rPr>
        <w:t>中华人民共和国民法典</w:t>
      </w:r>
      <w:r>
        <w:rPr>
          <w:rFonts w:hint="eastAsia" w:ascii="宋体" w:hAnsi="宋体"/>
          <w:color w:val="auto"/>
          <w:sz w:val="21"/>
          <w:szCs w:val="21"/>
          <w:highlight w:val="none"/>
        </w:rPr>
        <w:t>》和甲方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采购项目（采购项目编号：</w:t>
      </w:r>
      <w:r>
        <w:rPr>
          <w:rFonts w:hint="eastAsia" w:ascii="宋体" w:hAnsi="宋体" w:eastAsia="宋体"/>
          <w:color w:val="auto"/>
          <w:sz w:val="21"/>
          <w:szCs w:val="21"/>
          <w:highlight w:val="none"/>
          <w:lang w:val="en-US" w:eastAsia="zh-CN"/>
        </w:rPr>
        <w:t xml:space="preserve">   </w:t>
      </w:r>
      <w:r>
        <w:rPr>
          <w:rFonts w:hint="eastAsia" w:ascii="宋体" w:hAnsi="宋体"/>
          <w:color w:val="auto"/>
          <w:sz w:val="21"/>
          <w:szCs w:val="21"/>
          <w:highlight w:val="none"/>
        </w:rPr>
        <w:t xml:space="preserve"> ）的招标文件、投标文件等有关规定，为确保甲方采购项目的顺利实施，甲、乙双方在平等自愿原则下签订本合同，并共同遵守如下条款：</w:t>
      </w:r>
    </w:p>
    <w:p>
      <w:pPr>
        <w:pStyle w:val="31"/>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合同标的及数量</w:t>
      </w:r>
    </w:p>
    <w:p>
      <w:pPr>
        <w:pStyle w:val="31"/>
        <w:spacing w:before="120" w:beforeLines="50" w:line="360" w:lineRule="auto"/>
        <w:ind w:firstLine="525" w:firstLineChars="250"/>
        <w:rPr>
          <w:rFonts w:hint="eastAsia" w:ascii="宋体" w:hAnsi="宋体"/>
          <w:b/>
          <w:color w:val="auto"/>
          <w:sz w:val="21"/>
          <w:szCs w:val="21"/>
          <w:highlight w:val="none"/>
        </w:rPr>
      </w:pPr>
      <w:r>
        <w:rPr>
          <w:rFonts w:hint="eastAsia"/>
          <w:color w:val="auto"/>
          <w:sz w:val="21"/>
          <w:szCs w:val="21"/>
          <w:highlight w:val="none"/>
        </w:rPr>
        <w:t>乙方向甲方提供下列货物（产品）：</w:t>
      </w:r>
    </w:p>
    <w:p>
      <w:pPr>
        <w:pStyle w:val="6"/>
        <w:spacing w:before="120" w:beforeLines="50" w:after="120" w:afterLines="50"/>
        <w:ind w:firstLine="0"/>
        <w:jc w:val="center"/>
        <w:rPr>
          <w:rFonts w:hint="eastAsia" w:ascii="宋体" w:hAnsi="宋体"/>
          <w:b/>
          <w:color w:val="auto"/>
          <w:sz w:val="30"/>
          <w:szCs w:val="30"/>
          <w:highlight w:val="none"/>
        </w:rPr>
      </w:pPr>
      <w:r>
        <w:rPr>
          <w:rFonts w:hint="eastAsia" w:ascii="宋体" w:hAnsi="宋体"/>
          <w:b/>
          <w:color w:val="auto"/>
          <w:sz w:val="30"/>
          <w:szCs w:val="30"/>
          <w:highlight w:val="none"/>
        </w:rPr>
        <w:t>供货一览表</w:t>
      </w:r>
    </w:p>
    <w:tbl>
      <w:tblPr>
        <w:tblStyle w:val="21"/>
        <w:tblpPr w:leftFromText="180" w:rightFromText="180" w:vertAnchor="text" w:horzAnchor="margin" w:tblpY="30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3"/>
        <w:gridCol w:w="761"/>
        <w:gridCol w:w="1481"/>
        <w:gridCol w:w="531"/>
        <w:gridCol w:w="717"/>
        <w:gridCol w:w="730"/>
        <w:gridCol w:w="1060"/>
        <w:gridCol w:w="1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33"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货物名称</w:t>
            </w:r>
          </w:p>
        </w:tc>
        <w:tc>
          <w:tcPr>
            <w:tcW w:w="761"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品目代码</w:t>
            </w:r>
          </w:p>
        </w:tc>
        <w:tc>
          <w:tcPr>
            <w:tcW w:w="1481"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品牌/型号</w:t>
            </w:r>
          </w:p>
        </w:tc>
        <w:tc>
          <w:tcPr>
            <w:tcW w:w="531"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717" w:type="dxa"/>
            <w:noWrap w:val="0"/>
            <w:vAlign w:val="center"/>
          </w:tcPr>
          <w:p>
            <w:pPr>
              <w:pStyle w:val="5"/>
              <w:spacing w:before="0" w:after="0" w:line="24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计量单位</w:t>
            </w:r>
          </w:p>
        </w:tc>
        <w:tc>
          <w:tcPr>
            <w:tcW w:w="730"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1060" w:type="dxa"/>
            <w:noWrap w:val="0"/>
            <w:vAlign w:val="center"/>
          </w:tcPr>
          <w:p>
            <w:pPr>
              <w:pStyle w:val="5"/>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单价（元）</w:t>
            </w:r>
          </w:p>
        </w:tc>
        <w:tc>
          <w:tcPr>
            <w:tcW w:w="1461" w:type="dxa"/>
            <w:noWrap w:val="0"/>
            <w:vAlign w:val="center"/>
          </w:tcPr>
          <w:p>
            <w:pPr>
              <w:pStyle w:val="5"/>
              <w:spacing w:before="0" w:after="0"/>
              <w:ind w:left="207" w:hanging="207" w:hangingChars="98"/>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金额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6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8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5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17"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73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060"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461" w:type="dxa"/>
            <w:noWrap w:val="0"/>
            <w:vAlign w:val="top"/>
          </w:tcPr>
          <w:p>
            <w:pPr>
              <w:pStyle w:val="5"/>
              <w:spacing w:before="0" w:after="0" w:line="360" w:lineRule="auto"/>
              <w:rPr>
                <w:rFonts w:hint="eastAsia" w:ascii="宋体" w:hAns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top"/>
          </w:tcPr>
          <w:p>
            <w:pPr>
              <w:pStyle w:val="5"/>
              <w:spacing w:before="0" w:after="0" w:line="360" w:lineRule="auto"/>
              <w:rPr>
                <w:rFonts w:hint="eastAsia" w:ascii="宋体" w:hAnsi="宋体" w:eastAsia="宋体"/>
                <w:color w:val="auto"/>
                <w:sz w:val="24"/>
                <w:szCs w:val="24"/>
                <w:highlight w:val="none"/>
              </w:rPr>
            </w:pPr>
          </w:p>
        </w:tc>
        <w:tc>
          <w:tcPr>
            <w:tcW w:w="1333" w:type="dxa"/>
            <w:noWrap w:val="0"/>
            <w:vAlign w:val="center"/>
          </w:tcPr>
          <w:p>
            <w:pPr>
              <w:pStyle w:val="5"/>
              <w:spacing w:before="0" w:after="0" w:line="240" w:lineRule="auto"/>
              <w:ind w:firstLine="310" w:firstLineChars="147"/>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合计</w:t>
            </w:r>
          </w:p>
        </w:tc>
        <w:tc>
          <w:tcPr>
            <w:tcW w:w="4220" w:type="dxa"/>
            <w:gridSpan w:val="5"/>
            <w:noWrap w:val="0"/>
            <w:vAlign w:val="center"/>
          </w:tcPr>
          <w:p>
            <w:pPr>
              <w:pStyle w:val="5"/>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大写</w:t>
            </w:r>
          </w:p>
        </w:tc>
        <w:tc>
          <w:tcPr>
            <w:tcW w:w="2521" w:type="dxa"/>
            <w:gridSpan w:val="2"/>
            <w:noWrap w:val="0"/>
            <w:vAlign w:val="center"/>
          </w:tcPr>
          <w:p>
            <w:pPr>
              <w:pStyle w:val="5"/>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tc>
      </w:tr>
    </w:tbl>
    <w:p>
      <w:pPr>
        <w:pStyle w:val="5"/>
        <w:spacing w:before="0" w:after="120" w:afterLines="50" w:line="360" w:lineRule="auto"/>
        <w:ind w:firstLine="590" w:firstLineChars="196"/>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第二条 合同价款</w:t>
      </w:r>
    </w:p>
    <w:p>
      <w:pPr>
        <w:pStyle w:val="5"/>
        <w:spacing w:before="0" w:after="0" w:line="360" w:lineRule="auto"/>
        <w:ind w:firstLine="516" w:firstLineChars="24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1.合同总价：人民币（大写）</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 xml:space="preserve"> 元，（￥</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 xml:space="preserve"> ）。</w:t>
      </w:r>
    </w:p>
    <w:p>
      <w:pPr>
        <w:pStyle w:val="5"/>
        <w:spacing w:before="0" w:after="0" w:line="360" w:lineRule="auto"/>
        <w:ind w:firstLine="516" w:firstLineChars="24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2.本合同总价是货物（产品）设计、材料、制造、包装、运输、安装、调试、检测、验收合格交付使用之前及保修期内保修服务与备用物件等其他有关各项的含税费用。</w:t>
      </w:r>
    </w:p>
    <w:p>
      <w:pPr>
        <w:pStyle w:val="5"/>
        <w:spacing w:before="0" w:after="0" w:line="360" w:lineRule="auto"/>
        <w:ind w:firstLine="516" w:firstLineChars="24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3.本合同总价还包含乙方应当提供的伴随服务和售后服务费用。</w:t>
      </w:r>
    </w:p>
    <w:p>
      <w:pPr>
        <w:pStyle w:val="5"/>
        <w:spacing w:before="0" w:after="0" w:line="360" w:lineRule="auto"/>
        <w:ind w:firstLine="516" w:firstLineChars="24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4.本合同执行期间合同总价不变，甲方无须另向乙方支付本合同规定之外的其他任何费用。</w:t>
      </w:r>
    </w:p>
    <w:p>
      <w:pPr>
        <w:pStyle w:val="5"/>
        <w:spacing w:before="120" w:beforeLines="50" w:after="120" w:afterLines="50" w:line="360" w:lineRule="auto"/>
        <w:ind w:firstLine="452" w:firstLineChars="15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第三条 货款支付</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1.货物（产品）按下列比例支付价款：</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2.乙方须向甲方出具合法有效的完税发票，甲方进行支付结算。</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3.结算方式：银行转账。</w:t>
      </w:r>
    </w:p>
    <w:p>
      <w:pPr>
        <w:pStyle w:val="31"/>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第四条 交货时间与地点</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乙方在合同签订生效之日起，按甲方指定时间、地点交货。</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 合同履行期限：</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2.交货地点：甲方指定地点</w:t>
      </w:r>
    </w:p>
    <w:p>
      <w:pPr>
        <w:pStyle w:val="31"/>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第五条 质量保证</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1.乙方须提供全新的、未使用过的合格正品货物（含零部件、配件等），完全符合合同规定的质量、规格和性能的要求。</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2.乙方提供的节能和环保产品必须是列入节能、环保标志产品品目清单中的产品。</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3.质量标准按照最新颁布的国家标准、行业标准或制造商企业标准确定，上述标准不一致的，以严格标准为准。</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4.货物制造质量出现问题，乙方应负责三包（包修、包换、包退），费用由乙方负担，甲方有权到乙方生产场地检查货物质量和生产进度。</w:t>
      </w:r>
    </w:p>
    <w:p>
      <w:pPr>
        <w:pStyle w:val="31"/>
        <w:spacing w:before="120" w:beforeLines="50" w:after="120" w:afterLines="50" w:line="360" w:lineRule="auto"/>
        <w:ind w:firstLine="602"/>
        <w:rPr>
          <w:rFonts w:hint="eastAsia" w:ascii="宋体" w:hAnsi="宋体"/>
          <w:b/>
          <w:color w:val="auto"/>
          <w:sz w:val="30"/>
          <w:szCs w:val="30"/>
          <w:highlight w:val="none"/>
        </w:rPr>
      </w:pPr>
      <w:r>
        <w:rPr>
          <w:rFonts w:hint="eastAsia" w:ascii="宋体" w:hAnsi="宋体"/>
          <w:b/>
          <w:color w:val="auto"/>
          <w:sz w:val="30"/>
          <w:szCs w:val="30"/>
          <w:highlight w:val="none"/>
        </w:rPr>
        <w:t>第六条 权利保证</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1.乙方保证对其出售的货物享有合法的权利。</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2.乙方保证对其出售的货物上不存在任何未曾向甲方透露的担保物权，如抵押权、质押权、留置权。</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3.乙方保证对其出售的货物或其任何一部分没有侵犯第三方的专利权、版权、商标权或其他权利。</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4.如甲方在使用该货物构成上述侵权的，则由乙方承担全部责任。</w:t>
      </w:r>
    </w:p>
    <w:p>
      <w:pPr>
        <w:pStyle w:val="31"/>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 xml:space="preserve">第七条 包装要求与运输方式  </w:t>
      </w:r>
      <w:r>
        <w:rPr>
          <w:rFonts w:hint="eastAsia" w:ascii="宋体" w:hAnsi="宋体"/>
          <w:color w:val="auto"/>
          <w:sz w:val="30"/>
          <w:szCs w:val="30"/>
          <w:highlight w:val="none"/>
        </w:rPr>
        <w:t xml:space="preserve"> </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1.除合同另有规定外，乙方提供的全部货物均应按标准保护措施进行包装，该包装应适应于远距离运输、防潮、防震、防锈和防野蛮装卸，以确保货物安全运抵指定地点。</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2.每一包装单元应附详细的装箱单和质量合格证。</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3.货物（产品）运输方式：             。</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4.乙方负责货物（产品）运输，货物运输的合理损耗及计算方法 /。</w:t>
      </w:r>
    </w:p>
    <w:p>
      <w:pPr>
        <w:pStyle w:val="31"/>
        <w:spacing w:before="120" w:beforeLines="50" w:after="120" w:afterLines="50" w:line="360" w:lineRule="auto"/>
        <w:ind w:firstLine="349" w:firstLineChars="116"/>
        <w:rPr>
          <w:rFonts w:hint="eastAsia" w:ascii="宋体" w:hAnsi="宋体"/>
          <w:color w:val="auto"/>
          <w:sz w:val="30"/>
          <w:szCs w:val="30"/>
          <w:highlight w:val="none"/>
        </w:rPr>
      </w:pPr>
      <w:r>
        <w:rPr>
          <w:rFonts w:hint="eastAsia" w:ascii="宋体" w:hAnsi="宋体"/>
          <w:b/>
          <w:color w:val="auto"/>
          <w:sz w:val="30"/>
          <w:szCs w:val="30"/>
          <w:highlight w:val="none"/>
        </w:rPr>
        <w:t>第八条 货物验收</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1.货物验收由甲方组织，乙方配合，并按下列程序进行：</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交货验收时，乙方须提供质检部门产品抽样检查合格的检测报告（或生产厂家自检报告）及所提供货物（产品）的合格证、装箱清单、配件、随机工具、用户使用手册（产品使用说明书）、保修卡等资料交付给甲方；</w:t>
      </w:r>
    </w:p>
    <w:p>
      <w:pPr>
        <w:pStyle w:val="3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（2）到货验收 ：货物到达后，按合同第一条款的货物清单和装箱单经行逐一核对，同时检查货物外观，是否有划痕或破损的，并做好相应记录；</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（3）货物初验：乙方应在货物到货之日起，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日内全部完成安装调试完毕；乙方安装调试完毕后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日内完成初步验收；初步验收合格后，进入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日试用期；试用期间发生重大质量问题，修复后试用期相应顺延；</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（4）货物终验：试用期结束后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日内完成最终验收；</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（5）质量验收合格，双方签署质量验收报告。</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2.货物验收依据：</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（1）招标文件；</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（2）投标文件；</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（3）采购合同及补充协议；</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（4）质检部门抽样检查货物（产品）合格的检测报告。</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3.货物验收时发现问题的处理办法：</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（1）乙方提供不符合招标文件和本合同规定的货物（产品），甲方有权拒绝接受；</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（3）如货物经乙方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次维修仍不能达到合同约定的质量标准，甲方有权退货，并视作乙方不能交付货物而须支付违约赔偿金给甲方，甲方还可依法追究乙方的违约责任；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（4）货物安装完成后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日内，甲方无故不进行验收工作并已使用货物的，视同已安装调试完成并验收合格；</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（5）乙方不能完整交付货物及本条第一款规定的单证和工具的，必须负责补齐，否则视为未按合同约定交货；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（6）超出合理磅差的处理方法：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31"/>
        <w:spacing w:before="120" w:beforeLines="50" w:after="120" w:afterLines="50" w:line="360" w:lineRule="auto"/>
        <w:ind w:firstLine="500" w:firstLineChars="166"/>
        <w:rPr>
          <w:rFonts w:hint="eastAsia"/>
          <w:b/>
          <w:color w:val="auto"/>
          <w:sz w:val="30"/>
          <w:szCs w:val="30"/>
          <w:highlight w:val="none"/>
        </w:rPr>
      </w:pPr>
      <w:r>
        <w:rPr>
          <w:rFonts w:hint="eastAsia"/>
          <w:b/>
          <w:color w:val="auto"/>
          <w:sz w:val="30"/>
          <w:szCs w:val="30"/>
          <w:highlight w:val="none"/>
        </w:rPr>
        <w:t>第九条 售后服务</w:t>
      </w:r>
    </w:p>
    <w:p>
      <w:pPr>
        <w:pStyle w:val="31"/>
        <w:spacing w:line="360" w:lineRule="auto"/>
        <w:ind w:firstLine="420"/>
        <w:rPr>
          <w:color w:val="auto"/>
          <w:kern w:val="0"/>
          <w:sz w:val="21"/>
          <w:szCs w:val="21"/>
          <w:highlight w:val="none"/>
        </w:rPr>
      </w:pPr>
      <w:r>
        <w:rPr>
          <w:rFonts w:hint="eastAsia"/>
          <w:color w:val="auto"/>
          <w:kern w:val="0"/>
          <w:sz w:val="21"/>
          <w:szCs w:val="21"/>
          <w:highlight w:val="none"/>
        </w:rPr>
        <w:t>质保期</w:t>
      </w:r>
      <w:r>
        <w:rPr>
          <w:rFonts w:hint="eastAsia"/>
          <w:color w:val="auto"/>
          <w:kern w:val="0"/>
          <w:sz w:val="21"/>
          <w:szCs w:val="21"/>
          <w:highlight w:val="none"/>
          <w:lang w:val="en-US" w:eastAsia="zh-CN"/>
        </w:rPr>
        <w:t xml:space="preserve">      </w:t>
      </w:r>
      <w:r>
        <w:rPr>
          <w:rFonts w:hint="eastAsia"/>
          <w:color w:val="auto"/>
          <w:kern w:val="0"/>
          <w:sz w:val="21"/>
          <w:szCs w:val="21"/>
          <w:highlight w:val="none"/>
        </w:rPr>
        <w:t>年。乙方应按照国家有关法律法规和“三包”规定以及招标文件要求和投标文件的“服务承诺”提供服务。</w:t>
      </w:r>
    </w:p>
    <w:p>
      <w:pPr>
        <w:pStyle w:val="31"/>
        <w:spacing w:before="120" w:beforeLines="50" w:after="120" w:afterLines="50" w:line="360" w:lineRule="auto"/>
        <w:ind w:firstLine="500" w:firstLineChars="166"/>
        <w:rPr>
          <w:rFonts w:hint="eastAsia"/>
          <w:b/>
          <w:color w:val="auto"/>
          <w:sz w:val="30"/>
          <w:szCs w:val="30"/>
          <w:highlight w:val="none"/>
        </w:rPr>
      </w:pPr>
      <w:r>
        <w:rPr>
          <w:rFonts w:hint="eastAsia"/>
          <w:b/>
          <w:color w:val="auto"/>
          <w:kern w:val="0"/>
          <w:sz w:val="30"/>
          <w:szCs w:val="30"/>
          <w:highlight w:val="none"/>
        </w:rPr>
        <w:t xml:space="preserve">第十条 </w:t>
      </w:r>
      <w:r>
        <w:rPr>
          <w:rFonts w:hint="eastAsia"/>
          <w:b/>
          <w:color w:val="auto"/>
          <w:sz w:val="30"/>
          <w:szCs w:val="30"/>
          <w:highlight w:val="none"/>
        </w:rPr>
        <w:t>履约保证金</w:t>
      </w:r>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1.乙方在签订本合同之前，向甲方提交履约保证金人民币（大写）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2.履约保证金的有效期为乙方承诺的货物（产品）质保期。</w:t>
      </w:r>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3.如乙方未能履行合同规定的义务，甲方有权从履约保证金中取得补偿。</w:t>
      </w:r>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货物（产品）质保期结束后，甲方财务部门接到甲方确认本合同货物质量与服务等约定事项已经履行完毕的正式书面文件后的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日内，向乙方退还履约保证金。</w:t>
      </w:r>
    </w:p>
    <w:p>
      <w:pPr>
        <w:widowControl/>
        <w:spacing w:line="360" w:lineRule="auto"/>
        <w:ind w:firstLine="525" w:firstLineChars="250"/>
        <w:jc w:val="left"/>
        <w:rPr>
          <w:rFonts w:hint="eastAsia" w:ascii="宋体" w:hAnsi="宋体"/>
          <w:bCs/>
          <w:color w:val="auto"/>
          <w:szCs w:val="21"/>
          <w:highlight w:val="none"/>
        </w:rPr>
      </w:pPr>
      <w:r>
        <w:rPr>
          <w:rFonts w:hint="eastAsia" w:ascii="宋体" w:hAnsi="宋体"/>
          <w:color w:val="auto"/>
          <w:szCs w:val="21"/>
          <w:highlight w:val="none"/>
        </w:rPr>
        <w:t>5.乙方可以履约担保函的形式交纳履约保证金（格式见附件1）。</w:t>
      </w:r>
    </w:p>
    <w:p>
      <w:pPr>
        <w:pStyle w:val="31"/>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第十一条 违约责任</w:t>
      </w:r>
    </w:p>
    <w:p>
      <w:pPr>
        <w:pStyle w:val="31"/>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1.甲方违约责任</w:t>
      </w:r>
    </w:p>
    <w:p>
      <w:pPr>
        <w:pStyle w:val="31"/>
        <w:spacing w:line="360" w:lineRule="auto"/>
        <w:ind w:firstLine="359" w:firstLineChars="171"/>
        <w:rPr>
          <w:rFonts w:hint="eastAsia" w:ascii="宋体" w:hAnsi="宋体"/>
          <w:color w:val="auto"/>
          <w:sz w:val="21"/>
          <w:szCs w:val="21"/>
          <w:highlight w:val="none"/>
        </w:rPr>
      </w:pPr>
      <w:r>
        <w:rPr>
          <w:rFonts w:hint="eastAsia" w:ascii="宋体" w:hAnsi="宋体"/>
          <w:color w:val="auto"/>
          <w:sz w:val="21"/>
          <w:szCs w:val="21"/>
          <w:highlight w:val="none"/>
        </w:rPr>
        <w:t>（1）甲方无正当理由拒收货物的，甲方应偿付合同总价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%的违约金；</w:t>
      </w:r>
    </w:p>
    <w:p>
      <w:pPr>
        <w:pStyle w:val="31"/>
        <w:spacing w:line="360" w:lineRule="auto"/>
        <w:ind w:firstLine="359" w:firstLineChars="171"/>
        <w:rPr>
          <w:rFonts w:hint="eastAsia" w:ascii="宋体" w:hAnsi="宋体"/>
          <w:color w:val="auto"/>
          <w:sz w:val="21"/>
          <w:szCs w:val="21"/>
          <w:highlight w:val="none"/>
        </w:rPr>
      </w:pPr>
      <w:r>
        <w:rPr>
          <w:rFonts w:hint="eastAsia" w:ascii="宋体" w:hAnsi="宋体"/>
          <w:color w:val="auto"/>
          <w:sz w:val="21"/>
          <w:szCs w:val="21"/>
          <w:highlight w:val="none"/>
        </w:rPr>
        <w:t>（2）甲方逾期支付货款的，除应及时付足货款外，应向乙方每天支付欠款总额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‰的滞纳金；但累计滞纳金总额不超过欠款总额的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31"/>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2.乙方违约责任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（1）如乙方不能交付货物，甲方有权扣留全部履约保证金；同时乙方应向甲方支付合同总价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（2）乙方逾期交付货物的，每逾期1天，乙方向甲方偿付逾期交货部分货款总额的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‰的滞纳金。如乙方逾期交货达___天，甲方有权解除合同，解除合同的通知自到达乙方时生效；</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（3）乙方所交付的货物品种、型号、规格不符合合同规定的，甲方有权拒收。甲方拒收的，乙方应向甲方支付货款总额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%的违约金；</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天内无条件更换合格的货物，如逾期不能更换合格的货物，甲方有权终止本合同，乙方应另向甲方支付货款总额的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%的违约金；</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（6）乙方未按本合同第十条的规定向甲方交付履约保证金的，应按应交付履约保证金的</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%向甲方支付违约金，该违约金的支付不影响乙方应承担的其他违约责任；</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（7）乙方未按本合同的规定和“服务承诺”提供伴随服务/售后服务的，应按合同总价款的</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%向甲方承担违约责任；</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（9）乙方偿付的违约金不足以弥补甲方损失的，还应按甲方损失尚未弥补的部分，支付赔偿金给甲方。</w:t>
      </w:r>
    </w:p>
    <w:p>
      <w:pPr>
        <w:widowControl/>
        <w:spacing w:before="120" w:beforeLines="50" w:after="120" w:afterLines="50" w:line="360" w:lineRule="auto"/>
        <w:ind w:firstLine="452" w:firstLineChars="150"/>
        <w:jc w:val="left"/>
        <w:rPr>
          <w:rFonts w:hint="eastAsia" w:ascii="宋体" w:hAnsi="宋体" w:cs="宋体"/>
          <w:color w:val="auto"/>
          <w:kern w:val="0"/>
          <w:sz w:val="30"/>
          <w:szCs w:val="30"/>
          <w:highlight w:val="none"/>
        </w:rPr>
      </w:pPr>
      <w:r>
        <w:rPr>
          <w:rFonts w:hint="eastAsia" w:ascii="宋体" w:hAnsi="宋体"/>
          <w:b/>
          <w:color w:val="auto"/>
          <w:sz w:val="30"/>
          <w:szCs w:val="30"/>
          <w:highlight w:val="none"/>
        </w:rPr>
        <w:t xml:space="preserve">第十二条 </w:t>
      </w:r>
      <w:r>
        <w:rPr>
          <w:rFonts w:hint="eastAsia" w:ascii="宋体" w:hAnsi="宋体" w:cs="宋体"/>
          <w:b/>
          <w:color w:val="auto"/>
          <w:kern w:val="0"/>
          <w:sz w:val="30"/>
          <w:szCs w:val="30"/>
          <w:highlight w:val="none"/>
        </w:rPr>
        <w:t>合同的变更和终止</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除《中华人民共和国政府采购法》第49条、第50条第二款规定的情形外，本合同一经签订，甲乙双方不得擅自变更、中止或终止合同。</w:t>
      </w:r>
    </w:p>
    <w:p>
      <w:pPr>
        <w:widowControl/>
        <w:spacing w:before="120" w:beforeLines="50" w:after="120" w:afterLines="50" w:line="360" w:lineRule="auto"/>
        <w:ind w:firstLine="452" w:firstLineChars="150"/>
        <w:jc w:val="left"/>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第十三条 争议的解决</w:t>
      </w:r>
    </w:p>
    <w:p>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1.因货物的质量问题发生争议，由质量技术监督部门或其指定的质量鉴定机构进行质量鉴定。货物符合标准的，鉴定费由甲方承担；货物不符合质量标准的，鉴定费由乙方承担。</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2.因履行本合同引起的或与本合同有关的争议，甲、乙双方应首先通过友好协商解决，如果协商不成，则采取以下第（1）种方式解决争议：</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（1）向甲方所在地有管辖权的人民法院提起诉讼；</w:t>
      </w:r>
    </w:p>
    <w:p>
      <w:pPr>
        <w:pStyle w:val="31"/>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3.在仲裁期间，本合同应继续履行。</w:t>
      </w:r>
    </w:p>
    <w:p>
      <w:pPr>
        <w:snapToGrid w:val="0"/>
        <w:spacing w:before="120" w:beforeLines="50" w:after="120" w:afterLines="50" w:line="360" w:lineRule="auto"/>
        <w:ind w:firstLine="602" w:firstLineChars="200"/>
        <w:textAlignment w:val="baseline"/>
        <w:rPr>
          <w:rFonts w:hint="eastAsia" w:ascii="宋体" w:hAnsi="宋体"/>
          <w:b/>
          <w:color w:val="auto"/>
          <w:sz w:val="30"/>
          <w:szCs w:val="30"/>
          <w:highlight w:val="none"/>
        </w:rPr>
      </w:pPr>
      <w:r>
        <w:rPr>
          <w:rFonts w:hint="eastAsia" w:ascii="宋体" w:hAnsi="宋体"/>
          <w:b/>
          <w:color w:val="auto"/>
          <w:sz w:val="30"/>
          <w:szCs w:val="30"/>
          <w:highlight w:val="none"/>
        </w:rPr>
        <w:t>第十四条</w:t>
      </w:r>
      <w:r>
        <w:rPr>
          <w:rFonts w:hint="eastAsia" w:ascii="宋体" w:hAnsi="宋体"/>
          <w:color w:val="auto"/>
          <w:sz w:val="30"/>
          <w:szCs w:val="30"/>
          <w:highlight w:val="none"/>
        </w:rPr>
        <w:t xml:space="preserve"> </w:t>
      </w:r>
      <w:r>
        <w:rPr>
          <w:rFonts w:hint="eastAsia" w:ascii="宋体" w:hAnsi="宋体"/>
          <w:b/>
          <w:color w:val="auto"/>
          <w:sz w:val="30"/>
          <w:szCs w:val="30"/>
          <w:highlight w:val="none"/>
        </w:rPr>
        <w:t>合同文件</w:t>
      </w:r>
    </w:p>
    <w:p>
      <w:pPr>
        <w:snapToGrid w:val="0"/>
        <w:spacing w:before="120" w:beforeLines="50" w:after="120" w:afterLines="50" w:line="360" w:lineRule="auto"/>
        <w:ind w:firstLine="420" w:firstLineChars="200"/>
        <w:textAlignment w:val="baseline"/>
        <w:rPr>
          <w:rFonts w:hint="eastAsia" w:ascii="宋体" w:hAnsi="宋体"/>
          <w:color w:val="auto"/>
          <w:szCs w:val="21"/>
          <w:highlight w:val="none"/>
        </w:rPr>
      </w:pPr>
      <w:r>
        <w:rPr>
          <w:rFonts w:hint="eastAsia" w:ascii="宋体" w:hAnsi="宋体"/>
          <w:color w:val="auto"/>
          <w:szCs w:val="21"/>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pPr>
        <w:snapToGrid w:val="0"/>
        <w:spacing w:line="360" w:lineRule="auto"/>
        <w:ind w:firstLine="539"/>
        <w:rPr>
          <w:rFonts w:hint="eastAsia" w:ascii="宋体" w:hAnsi="宋体"/>
          <w:color w:val="auto"/>
          <w:szCs w:val="21"/>
          <w:highlight w:val="none"/>
        </w:rPr>
      </w:pPr>
      <w:r>
        <w:rPr>
          <w:rFonts w:hint="eastAsia" w:ascii="宋体" w:hAnsi="宋体"/>
          <w:color w:val="auto"/>
          <w:szCs w:val="21"/>
          <w:highlight w:val="none"/>
        </w:rPr>
        <w:t>1.本合同书</w:t>
      </w:r>
    </w:p>
    <w:p>
      <w:pPr>
        <w:snapToGrid w:val="0"/>
        <w:spacing w:line="360" w:lineRule="auto"/>
        <w:ind w:firstLine="539"/>
        <w:rPr>
          <w:rFonts w:hint="eastAsia" w:ascii="宋体" w:hAnsi="宋体"/>
          <w:color w:val="auto"/>
          <w:szCs w:val="21"/>
          <w:highlight w:val="none"/>
        </w:rPr>
      </w:pPr>
      <w:r>
        <w:rPr>
          <w:rFonts w:hint="eastAsia" w:ascii="宋体" w:hAnsi="宋体"/>
          <w:color w:val="auto"/>
          <w:szCs w:val="21"/>
          <w:highlight w:val="none"/>
        </w:rPr>
        <w:t>2.中标通知书</w:t>
      </w:r>
      <w:r>
        <w:rPr>
          <w:rFonts w:hint="eastAsia" w:ascii="宋体" w:hAnsi="宋体"/>
          <w:color w:val="auto"/>
          <w:szCs w:val="21"/>
          <w:highlight w:val="none"/>
        </w:rPr>
        <w:tab/>
      </w:r>
    </w:p>
    <w:p>
      <w:pPr>
        <w:snapToGrid w:val="0"/>
        <w:spacing w:line="360" w:lineRule="auto"/>
        <w:ind w:firstLine="539"/>
        <w:rPr>
          <w:rFonts w:hint="eastAsia" w:ascii="宋体" w:hAnsi="宋体"/>
          <w:color w:val="auto"/>
          <w:szCs w:val="21"/>
          <w:highlight w:val="none"/>
        </w:rPr>
      </w:pPr>
      <w:r>
        <w:rPr>
          <w:rFonts w:hint="eastAsia" w:ascii="宋体" w:hAnsi="宋体"/>
          <w:color w:val="auto"/>
          <w:szCs w:val="21"/>
          <w:highlight w:val="none"/>
        </w:rPr>
        <w:t>3.协议</w:t>
      </w:r>
    </w:p>
    <w:p>
      <w:pPr>
        <w:snapToGrid w:val="0"/>
        <w:spacing w:line="360" w:lineRule="auto"/>
        <w:ind w:firstLine="539"/>
        <w:rPr>
          <w:rFonts w:hint="eastAsia" w:ascii="宋体" w:hAnsi="宋体"/>
          <w:color w:val="auto"/>
          <w:szCs w:val="21"/>
          <w:highlight w:val="none"/>
        </w:rPr>
      </w:pPr>
      <w:r>
        <w:rPr>
          <w:rFonts w:hint="eastAsia" w:ascii="宋体" w:hAnsi="宋体"/>
          <w:color w:val="auto"/>
          <w:szCs w:val="21"/>
          <w:highlight w:val="none"/>
        </w:rPr>
        <w:t>4.招标文件(含澄清或者修改文件)</w:t>
      </w:r>
    </w:p>
    <w:p>
      <w:pPr>
        <w:snapToGrid w:val="0"/>
        <w:spacing w:line="360" w:lineRule="auto"/>
        <w:ind w:firstLine="539"/>
        <w:rPr>
          <w:rFonts w:hint="eastAsia" w:ascii="宋体" w:hAnsi="宋体"/>
          <w:color w:val="auto"/>
          <w:szCs w:val="21"/>
          <w:highlight w:val="none"/>
        </w:rPr>
      </w:pPr>
      <w:r>
        <w:rPr>
          <w:rFonts w:hint="eastAsia" w:ascii="宋体" w:hAnsi="宋体"/>
          <w:color w:val="auto"/>
          <w:szCs w:val="21"/>
          <w:highlight w:val="none"/>
        </w:rPr>
        <w:t>5.投标文件</w:t>
      </w:r>
    </w:p>
    <w:p>
      <w:pPr>
        <w:snapToGrid w:val="0"/>
        <w:spacing w:before="120" w:beforeLines="50" w:after="120" w:afterLines="50" w:line="360" w:lineRule="auto"/>
        <w:ind w:firstLine="452" w:firstLineChars="150"/>
        <w:rPr>
          <w:rFonts w:hint="eastAsia"/>
          <w:b/>
          <w:color w:val="auto"/>
          <w:kern w:val="0"/>
          <w:sz w:val="30"/>
          <w:szCs w:val="30"/>
          <w:highlight w:val="none"/>
        </w:rPr>
      </w:pPr>
      <w:r>
        <w:rPr>
          <w:rFonts w:hint="eastAsia"/>
          <w:b/>
          <w:color w:val="auto"/>
          <w:sz w:val="30"/>
          <w:szCs w:val="30"/>
          <w:highlight w:val="none"/>
        </w:rPr>
        <w:t xml:space="preserve">第十五条 </w:t>
      </w:r>
      <w:r>
        <w:rPr>
          <w:rFonts w:hint="eastAsia"/>
          <w:b/>
          <w:color w:val="auto"/>
          <w:kern w:val="0"/>
          <w:sz w:val="30"/>
          <w:szCs w:val="30"/>
          <w:highlight w:val="none"/>
        </w:rPr>
        <w:t>合同生效及其他</w:t>
      </w:r>
    </w:p>
    <w:p>
      <w:pPr>
        <w:snapToGrid w:val="0"/>
        <w:spacing w:line="360" w:lineRule="auto"/>
        <w:ind w:firstLine="539"/>
        <w:rPr>
          <w:rFonts w:hint="eastAsia" w:ascii="宋体" w:hAnsi="宋体"/>
          <w:color w:val="auto"/>
          <w:szCs w:val="21"/>
          <w:highlight w:val="none"/>
        </w:rPr>
      </w:pPr>
      <w:r>
        <w:rPr>
          <w:rFonts w:hint="eastAsia" w:ascii="宋体" w:hAnsi="宋体" w:cs="宋体"/>
          <w:color w:val="auto"/>
          <w:kern w:val="0"/>
          <w:szCs w:val="21"/>
          <w:highlight w:val="none"/>
        </w:rPr>
        <w:t>1.</w:t>
      </w:r>
      <w:r>
        <w:rPr>
          <w:rFonts w:hint="eastAsia" w:ascii="宋体" w:hAnsi="宋体"/>
          <w:color w:val="auto"/>
          <w:szCs w:val="21"/>
          <w:highlight w:val="none"/>
        </w:rPr>
        <w:t>如有未尽事宜，由双方依法订立补充合同。</w:t>
      </w:r>
    </w:p>
    <w:p>
      <w:pPr>
        <w:snapToGrid w:val="0"/>
        <w:spacing w:line="360" w:lineRule="auto"/>
        <w:ind w:firstLine="539"/>
        <w:rPr>
          <w:rFonts w:hint="eastAsia" w:ascii="宋体" w:hAnsi="宋体"/>
          <w:color w:val="auto"/>
          <w:kern w:val="0"/>
          <w:szCs w:val="21"/>
          <w:highlight w:val="none"/>
        </w:rPr>
      </w:pPr>
      <w:r>
        <w:rPr>
          <w:rFonts w:hint="eastAsia" w:ascii="宋体" w:hAnsi="宋体"/>
          <w:color w:val="auto"/>
          <w:kern w:val="0"/>
          <w:szCs w:val="21"/>
          <w:highlight w:val="none"/>
        </w:rPr>
        <w:t>2.本合同自签订之日起生效。</w:t>
      </w:r>
    </w:p>
    <w:p>
      <w:pPr>
        <w:snapToGrid w:val="0"/>
        <w:spacing w:line="360" w:lineRule="auto"/>
        <w:ind w:firstLine="539"/>
        <w:rPr>
          <w:rFonts w:hint="eastAsia" w:ascii="宋体" w:hAnsi="宋体"/>
          <w:color w:val="auto"/>
          <w:szCs w:val="21"/>
          <w:highlight w:val="none"/>
        </w:rPr>
      </w:pPr>
      <w:r>
        <w:rPr>
          <w:rFonts w:hint="eastAsia" w:ascii="宋体" w:hAnsi="宋体"/>
          <w:color w:val="auto"/>
          <w:kern w:val="0"/>
          <w:szCs w:val="21"/>
          <w:highlight w:val="none"/>
        </w:rPr>
        <w:t>3.本合同一式___份，具有同等法律效力，甲乙双方各执____份，___份报送监督管理部门备案，一份采购代理机构存档。</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   （盖章）   </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 xml:space="preserve">   乙方：   （盖章）</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法定代表人/委托代理人：            法定代表人/委托代理人：</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    址：                         地    址：</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                         开户银行：</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号：                         账    号：</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    话：                         电    话：</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传    真：                         传    真：</w:t>
      </w:r>
    </w:p>
    <w:p>
      <w:pPr>
        <w:spacing w:before="120" w:beforeLines="50" w:after="120" w:after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签约日期：    年  月  日           签约日期：    年  月  日</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黑体" w:hAnsi="宋体" w:eastAsia="黑体"/>
          <w:color w:val="auto"/>
          <w:sz w:val="28"/>
          <w:szCs w:val="28"/>
          <w:highlight w:val="none"/>
        </w:rPr>
      </w:pPr>
      <w:r>
        <w:rPr>
          <w:rFonts w:ascii="黑体" w:hAnsi="宋体" w:eastAsia="黑体"/>
          <w:color w:val="auto"/>
          <w:sz w:val="28"/>
          <w:szCs w:val="28"/>
          <w:highlight w:val="none"/>
        </w:rPr>
        <w:br w:type="page"/>
      </w:r>
      <w:r>
        <w:rPr>
          <w:rFonts w:hint="eastAsia" w:ascii="黑体" w:hAnsi="宋体" w:eastAsia="黑体"/>
          <w:color w:val="auto"/>
          <w:sz w:val="28"/>
          <w:szCs w:val="28"/>
          <w:highlight w:val="none"/>
        </w:rPr>
        <w:t>附件1：</w:t>
      </w: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采购履约担保函</w:t>
      </w:r>
    </w:p>
    <w:p>
      <w:pPr>
        <w:rPr>
          <w:rFonts w:hint="eastAsia"/>
          <w:color w:val="auto"/>
          <w:highlight w:val="none"/>
        </w:rPr>
      </w:pPr>
    </w:p>
    <w:p>
      <w:pPr>
        <w:ind w:firstLine="6615" w:firstLineChars="3150"/>
        <w:rPr>
          <w:rFonts w:hint="eastAsia"/>
          <w:color w:val="auto"/>
          <w:szCs w:val="21"/>
          <w:highlight w:val="none"/>
        </w:rPr>
      </w:pPr>
      <w:r>
        <w:rPr>
          <w:rFonts w:hint="eastAsia"/>
          <w:color w:val="auto"/>
          <w:szCs w:val="21"/>
          <w:highlight w:val="none"/>
        </w:rPr>
        <w:t xml:space="preserve"> 编号：</w:t>
      </w:r>
    </w:p>
    <w:p>
      <w:pPr>
        <w:rPr>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pPr>
        <w:spacing w:line="360" w:lineRule="auto"/>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鉴于你方与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（以下简称中标人）于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日签定编号为   的《</w:t>
      </w:r>
      <w:r>
        <w:rPr>
          <w:rFonts w:hint="eastAsia" w:ascii="宋体" w:hAnsi="宋体"/>
          <w:color w:val="auto"/>
          <w:szCs w:val="21"/>
          <w:highlight w:val="none"/>
          <w:u w:val="single"/>
        </w:rPr>
        <w:t xml:space="preserve">           </w:t>
      </w:r>
      <w:r>
        <w:rPr>
          <w:rFonts w:hint="eastAsia" w:ascii="宋体" w:hAnsi="宋体"/>
          <w:color w:val="auto"/>
          <w:szCs w:val="21"/>
          <w:highlight w:val="none"/>
        </w:rPr>
        <w:t>采购合同》（以下简称主合同），且依据该合同的约定，中标人应在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日前向你方交纳履约保证金，且可以履约担保函的形式交纳履约保证金。应中标人的申请，我方以保证的方式向你方提供如下履约保证金担保：</w:t>
      </w:r>
    </w:p>
    <w:p>
      <w:pPr>
        <w:spacing w:before="120" w:beforeLines="50" w:after="120" w:afterLines="50" w:line="360" w:lineRule="auto"/>
        <w:ind w:firstLine="452" w:firstLineChars="150"/>
        <w:rPr>
          <w:rFonts w:hint="eastAsia" w:ascii="宋体" w:hAnsi="宋体"/>
          <w:b/>
          <w:color w:val="auto"/>
          <w:sz w:val="30"/>
          <w:szCs w:val="30"/>
          <w:highlight w:val="none"/>
        </w:rPr>
      </w:pPr>
      <w:r>
        <w:rPr>
          <w:rFonts w:hint="eastAsia" w:ascii="宋体" w:hAnsi="宋体"/>
          <w:b/>
          <w:color w:val="auto"/>
          <w:sz w:val="30"/>
          <w:szCs w:val="30"/>
          <w:highlight w:val="none"/>
        </w:rPr>
        <w:t>一、保证责任的情形及保证金额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（一）在中标人出现下列情形之一时，我方承担保证责任：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1.将中标项目转让给他人，或者在投标文件中未说明，且未经采购招标机构人同意，将中标项目分包给他人的；</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2.主合同约定的应当缴纳履约保证金的情形: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（1）未按主合同约定的质量、数量和期限供应货物/提供服务/完成工程的；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（二）我方的保证范围是主合同约定的合同价款总额的</w:t>
      </w:r>
      <w:r>
        <w:rPr>
          <w:rFonts w:hint="eastAsia" w:ascii="宋体" w:hAnsi="宋体"/>
          <w:color w:val="auto"/>
          <w:szCs w:val="21"/>
          <w:highlight w:val="none"/>
          <w:u w:val="single"/>
        </w:rPr>
        <w:t xml:space="preserve">        </w:t>
      </w:r>
      <w:r>
        <w:rPr>
          <w:rFonts w:hint="eastAsia" w:ascii="宋体" w:hAnsi="宋体"/>
          <w:color w:val="auto"/>
          <w:szCs w:val="21"/>
          <w:highlight w:val="none"/>
        </w:rPr>
        <w:t>%数额为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），币种为</w:t>
      </w:r>
      <w:r>
        <w:rPr>
          <w:rFonts w:hint="eastAsia" w:ascii="宋体" w:hAnsi="宋体"/>
          <w:color w:val="auto"/>
          <w:szCs w:val="21"/>
          <w:highlight w:val="none"/>
          <w:u w:val="single"/>
        </w:rPr>
        <w:t xml:space="preserve">        </w:t>
      </w:r>
      <w:r>
        <w:rPr>
          <w:rFonts w:hint="eastAsia" w:ascii="宋体" w:hAnsi="宋体"/>
          <w:color w:val="auto"/>
          <w:szCs w:val="21"/>
          <w:highlight w:val="none"/>
        </w:rPr>
        <w:t>。（即主合同履约保证金金额）</w:t>
      </w:r>
    </w:p>
    <w:p>
      <w:pPr>
        <w:spacing w:before="120" w:beforeLines="50" w:after="120" w:afterLines="50" w:line="360" w:lineRule="auto"/>
        <w:ind w:firstLine="452" w:firstLineChars="150"/>
        <w:rPr>
          <w:rFonts w:hint="eastAsia" w:ascii="宋体" w:hAnsi="宋体"/>
          <w:b/>
          <w:color w:val="auto"/>
          <w:sz w:val="30"/>
          <w:szCs w:val="30"/>
          <w:highlight w:val="none"/>
        </w:rPr>
      </w:pPr>
      <w:r>
        <w:rPr>
          <w:rFonts w:hint="eastAsia" w:ascii="宋体" w:hAnsi="宋体"/>
          <w:b/>
          <w:color w:val="auto"/>
          <w:sz w:val="30"/>
          <w:szCs w:val="30"/>
          <w:highlight w:val="none"/>
        </w:rPr>
        <w:t>二、保证的方式及保证期间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我方保证的方式为：连带责任保证。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我方保证的期间为：自本合同生效之日起至中标人按照主合同约定的供货/完工期限届满后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如果中标人未按主合同约定向贵方供应货物/提供服务/完成工程的，由我方在保证金额内向你方支付上述款项。</w:t>
      </w:r>
    </w:p>
    <w:p>
      <w:pPr>
        <w:spacing w:before="120" w:beforeLines="50" w:after="120" w:afterLines="50" w:line="360" w:lineRule="auto"/>
        <w:ind w:firstLine="482" w:firstLineChars="150"/>
        <w:rPr>
          <w:rFonts w:hint="eastAsia" w:ascii="宋体" w:hAnsi="宋体"/>
          <w:b/>
          <w:color w:val="auto"/>
          <w:sz w:val="32"/>
          <w:szCs w:val="32"/>
          <w:highlight w:val="none"/>
        </w:rPr>
      </w:pPr>
      <w:r>
        <w:rPr>
          <w:rFonts w:hint="eastAsia" w:ascii="宋体" w:hAnsi="宋体"/>
          <w:b/>
          <w:color w:val="auto"/>
          <w:sz w:val="32"/>
          <w:szCs w:val="32"/>
          <w:highlight w:val="none"/>
        </w:rPr>
        <w:t>三、承担保证责任的程序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1.你方要求我方承担保证责任的，应在本保函保证期间内向我方发出书面索赔通知。索赔通知应写明要求索赔的金额，支付款项应到达的帐号。并附有证明中标人违约事实的证明材料。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如果你方与中标人因货物质量问题产生争议，你方还需同时提供</w:t>
      </w:r>
      <w:r>
        <w:rPr>
          <w:rFonts w:hint="eastAsia" w:ascii="宋体" w:hAnsi="宋体"/>
          <w:color w:val="auto"/>
          <w:szCs w:val="21"/>
          <w:highlight w:val="none"/>
          <w:u w:val="single"/>
        </w:rPr>
        <w:t xml:space="preserve">        </w:t>
      </w:r>
      <w:r>
        <w:rPr>
          <w:rFonts w:hint="eastAsia" w:ascii="宋体" w:hAnsi="宋体"/>
          <w:color w:val="auto"/>
          <w:szCs w:val="21"/>
          <w:highlight w:val="none"/>
        </w:rPr>
        <w:t>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2.我方收到你方的书面索赔通知及相应证明材料，在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pPr>
        <w:spacing w:before="120" w:beforeLines="50" w:after="120" w:afterLines="50" w:line="360" w:lineRule="auto"/>
        <w:ind w:firstLine="452" w:firstLineChars="150"/>
        <w:rPr>
          <w:rFonts w:hint="eastAsia" w:ascii="宋体" w:hAnsi="宋体"/>
          <w:b/>
          <w:color w:val="auto"/>
          <w:sz w:val="30"/>
          <w:szCs w:val="30"/>
          <w:highlight w:val="none"/>
        </w:rPr>
      </w:pPr>
      <w:r>
        <w:rPr>
          <w:rFonts w:hint="eastAsia" w:ascii="宋体" w:hAnsi="宋体"/>
          <w:b/>
          <w:color w:val="auto"/>
          <w:sz w:val="30"/>
          <w:szCs w:val="30"/>
          <w:highlight w:val="none"/>
        </w:rPr>
        <w:t>四、保证责任的终止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2.我方按照本保函向你方履行了保证责任后，自我方向你方支付款项（支付款项从我方账户划出）之日起，保证责任即终止。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3.按照法律法规的规定或出现应终止我方保证责任的其它情形的，我方在本保函项下的保证责任亦终止。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你方与中标人修改主合同，加重我方保证责任的，我方对加重部分不承担保证责任，但该等修改事先经我方书面同意的除外；你方与中标人修改主合同履行期限，我方保证期间仍依修改前的履行期限计算，但该等修改事先经我方书面同意的除外。</w:t>
      </w:r>
    </w:p>
    <w:p>
      <w:pPr>
        <w:spacing w:before="120" w:beforeLines="50" w:after="120" w:afterLines="50" w:line="360" w:lineRule="auto"/>
        <w:ind w:firstLine="425" w:firstLineChars="141"/>
        <w:rPr>
          <w:rFonts w:hint="eastAsia" w:ascii="宋体" w:hAnsi="宋体"/>
          <w:b/>
          <w:color w:val="auto"/>
          <w:sz w:val="30"/>
          <w:szCs w:val="30"/>
          <w:highlight w:val="none"/>
        </w:rPr>
      </w:pPr>
      <w:r>
        <w:rPr>
          <w:rFonts w:hint="eastAsia" w:ascii="宋体" w:hAnsi="宋体"/>
          <w:b/>
          <w:color w:val="auto"/>
          <w:sz w:val="30"/>
          <w:szCs w:val="30"/>
          <w:highlight w:val="none"/>
        </w:rPr>
        <w:t>五、免责条款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1.因你方违反主合同约定致使中标人不能履行义务的，我方不承担保证责任。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2.依照法律法规的规定或你方与中标人的另行约定，全部或者部分免除中标人应缴纳的保证金义务的，我方亦免除相应的保证责任。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3.因不可抗力造成中标人不能履行供货义务的，我方不承担保证责任。</w:t>
      </w:r>
    </w:p>
    <w:p>
      <w:pPr>
        <w:spacing w:before="120" w:beforeLines="50" w:after="120" w:afterLines="50" w:line="360" w:lineRule="auto"/>
        <w:ind w:firstLine="425" w:firstLineChars="141"/>
        <w:rPr>
          <w:rFonts w:hint="eastAsia" w:ascii="宋体" w:hAnsi="宋体"/>
          <w:b/>
          <w:color w:val="auto"/>
          <w:sz w:val="30"/>
          <w:szCs w:val="30"/>
          <w:highlight w:val="none"/>
        </w:rPr>
      </w:pPr>
      <w:r>
        <w:rPr>
          <w:rFonts w:hint="eastAsia" w:ascii="宋体" w:hAnsi="宋体"/>
          <w:b/>
          <w:color w:val="auto"/>
          <w:sz w:val="30"/>
          <w:szCs w:val="30"/>
          <w:highlight w:val="none"/>
        </w:rPr>
        <w:t>六、争议的解决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因本保函发生的纠纷，由你我双方协商解决，协商不成的，通过诉讼程序解决，诉讼管辖地法院为</w:t>
      </w:r>
      <w:r>
        <w:rPr>
          <w:rFonts w:hint="eastAsia" w:ascii="宋体" w:hAnsi="宋体"/>
          <w:color w:val="auto"/>
          <w:szCs w:val="21"/>
          <w:highlight w:val="none"/>
          <w:u w:val="single"/>
        </w:rPr>
        <w:t xml:space="preserve">        </w:t>
      </w:r>
      <w:r>
        <w:rPr>
          <w:rFonts w:hint="eastAsia" w:ascii="宋体" w:hAnsi="宋体"/>
          <w:color w:val="auto"/>
          <w:szCs w:val="21"/>
          <w:highlight w:val="none"/>
        </w:rPr>
        <w:t>法院。</w:t>
      </w:r>
    </w:p>
    <w:p>
      <w:pPr>
        <w:spacing w:before="120" w:beforeLines="50" w:after="120" w:afterLines="50" w:line="360" w:lineRule="auto"/>
        <w:ind w:firstLine="301" w:firstLineChars="100"/>
        <w:rPr>
          <w:rFonts w:hint="eastAsia" w:ascii="宋体" w:hAnsi="宋体"/>
          <w:b/>
          <w:color w:val="auto"/>
          <w:sz w:val="30"/>
          <w:szCs w:val="30"/>
          <w:highlight w:val="none"/>
        </w:rPr>
      </w:pPr>
      <w:r>
        <w:rPr>
          <w:rFonts w:hint="eastAsia" w:ascii="宋体" w:hAnsi="宋体"/>
          <w:b/>
          <w:color w:val="auto"/>
          <w:sz w:val="30"/>
          <w:szCs w:val="30"/>
          <w:highlight w:val="none"/>
        </w:rPr>
        <w:t>七、保函的生效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本保函自我方加盖公章之日起生效。</w:t>
      </w:r>
      <w:r>
        <w:rPr>
          <w:rFonts w:ascii="宋体" w:hAnsi="宋体"/>
          <w:color w:val="auto"/>
          <w:szCs w:val="21"/>
          <w:highlight w:val="none"/>
        </w:rPr>
        <w:t xml:space="preserve">                                 </w:t>
      </w:r>
    </w:p>
    <w:p>
      <w:pPr>
        <w:spacing w:line="360" w:lineRule="auto"/>
        <w:rPr>
          <w:rFonts w:hint="eastAsia" w:ascii="宋体" w:hAnsi="宋体"/>
          <w:color w:val="auto"/>
          <w:szCs w:val="21"/>
          <w:highlight w:val="none"/>
        </w:rPr>
      </w:pPr>
    </w:p>
    <w:p>
      <w:pPr>
        <w:spacing w:line="360" w:lineRule="auto"/>
        <w:ind w:firstLine="5250" w:firstLineChars="2500"/>
        <w:rPr>
          <w:rFonts w:hint="eastAsia" w:ascii="宋体" w:hAnsi="宋体"/>
          <w:color w:val="auto"/>
          <w:szCs w:val="21"/>
          <w:highlight w:val="none"/>
        </w:rPr>
      </w:pPr>
      <w:r>
        <w:rPr>
          <w:rFonts w:hint="eastAsia" w:ascii="宋体" w:hAnsi="宋体"/>
          <w:color w:val="auto"/>
          <w:szCs w:val="21"/>
          <w:highlight w:val="none"/>
        </w:rPr>
        <w:t>保证人：（盖单位章）</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pPr>
        <w:spacing w:before="120" w:beforeLines="50" w:line="520" w:lineRule="exact"/>
        <w:jc w:val="center"/>
        <w:rPr>
          <w:rFonts w:hint="eastAsia" w:ascii="宋体" w:hAnsi="宋体"/>
          <w:b/>
          <w:color w:val="auto"/>
          <w:sz w:val="44"/>
          <w:szCs w:val="44"/>
          <w:highlight w:val="none"/>
        </w:rPr>
      </w:pPr>
    </w:p>
    <w:p>
      <w:pPr>
        <w:spacing w:before="120" w:beforeLines="50" w:line="520" w:lineRule="exact"/>
        <w:jc w:val="center"/>
        <w:rPr>
          <w:rFonts w:hint="eastAsia" w:ascii="黑体" w:hAnsi="宋体" w:eastAsia="黑体"/>
          <w:b/>
          <w:color w:val="auto"/>
          <w:sz w:val="44"/>
          <w:szCs w:val="44"/>
          <w:highlight w:val="none"/>
        </w:rPr>
      </w:pPr>
    </w:p>
    <w:p>
      <w:pPr>
        <w:spacing w:before="120" w:beforeLines="50" w:line="520" w:lineRule="exact"/>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第六章 投标文件格式</w:t>
      </w:r>
      <w:bookmarkEnd w:id="106"/>
    </w:p>
    <w:p>
      <w:pPr>
        <w:spacing w:line="520" w:lineRule="exact"/>
        <w:jc w:val="center"/>
        <w:rPr>
          <w:rFonts w:hint="eastAsia" w:ascii="仿宋_GB2312" w:eastAsia="仿宋_GB2312"/>
          <w:b/>
          <w:color w:val="auto"/>
          <w:sz w:val="32"/>
          <w:szCs w:val="32"/>
          <w:highlight w:val="none"/>
        </w:rPr>
      </w:pPr>
    </w:p>
    <w:p>
      <w:pPr>
        <w:spacing w:line="400" w:lineRule="exact"/>
        <w:jc w:val="center"/>
        <w:rPr>
          <w:rFonts w:hint="eastAsia" w:ascii="仿宋_GB2312" w:eastAsia="仿宋_GB2312"/>
          <w:b/>
          <w:color w:val="auto"/>
          <w:sz w:val="32"/>
          <w:szCs w:val="32"/>
          <w:highlight w:val="none"/>
        </w:rPr>
      </w:pPr>
    </w:p>
    <w:p>
      <w:pPr>
        <w:spacing w:line="360" w:lineRule="auto"/>
        <w:ind w:firstLine="411" w:firstLineChars="196"/>
        <w:rPr>
          <w:rFonts w:hint="eastAsia" w:ascii="仿宋_GB2312" w:hAnsi="宋体" w:eastAsia="仿宋_GB2312"/>
          <w:b/>
          <w:color w:val="auto"/>
          <w:sz w:val="28"/>
          <w:szCs w:val="28"/>
          <w:highlight w:val="none"/>
        </w:rPr>
      </w:pPr>
      <w:r>
        <w:rPr>
          <w:rFonts w:hint="eastAsia" w:ascii="宋体" w:hAnsi="宋体"/>
          <w:color w:val="auto"/>
          <w:szCs w:val="21"/>
          <w:highlight w:val="none"/>
        </w:rPr>
        <w:t>投标文件格式是投标人的部分投标文件格式，投标人应当严格按照这些格式编制投标文件。编制投标文件前，请详细阅读招标文件，理解文件中的每一项要求，做出逐一实质性响应，认为有必要，可做补充说明。</w:t>
      </w: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spacing w:line="400" w:lineRule="exact"/>
        <w:ind w:firstLine="570"/>
        <w:rPr>
          <w:rFonts w:hint="eastAsia" w:ascii="仿宋_GB2312" w:hAnsi="宋体" w:eastAsia="仿宋_GB2312"/>
          <w:b/>
          <w:color w:val="auto"/>
          <w:sz w:val="28"/>
          <w:szCs w:val="28"/>
          <w:highlight w:val="none"/>
        </w:rPr>
      </w:pPr>
    </w:p>
    <w:p>
      <w:pPr>
        <w:pStyle w:val="5"/>
        <w:spacing w:line="400" w:lineRule="exact"/>
        <w:ind w:right="840"/>
        <w:jc w:val="right"/>
        <w:rPr>
          <w:rFonts w:hint="eastAsia" w:ascii="仿宋_GB2312" w:eastAsia="仿宋_GB2312"/>
          <w:color w:val="auto"/>
          <w:szCs w:val="28"/>
          <w:highlight w:val="none"/>
        </w:rPr>
      </w:pPr>
      <w:bookmarkStart w:id="125" w:name="_Toc217446082"/>
    </w:p>
    <w:p>
      <w:pPr>
        <w:pStyle w:val="5"/>
        <w:spacing w:before="120" w:after="120" w:line="400" w:lineRule="exact"/>
        <w:rPr>
          <w:rFonts w:hint="eastAsia" w:ascii="宋体" w:hAnsi="宋体" w:eastAsia="宋体"/>
          <w:color w:val="auto"/>
          <w:szCs w:val="28"/>
          <w:highlight w:val="none"/>
        </w:rPr>
      </w:pPr>
      <w:r>
        <w:rPr>
          <w:rFonts w:hint="eastAsia" w:ascii="宋体" w:hAnsi="宋体" w:eastAsia="宋体"/>
          <w:color w:val="auto"/>
          <w:szCs w:val="28"/>
          <w:highlight w:val="none"/>
        </w:rPr>
        <w:t xml:space="preserve">项目编号： </w:t>
      </w:r>
    </w:p>
    <w:p>
      <w:pPr>
        <w:pStyle w:val="5"/>
        <w:spacing w:line="400" w:lineRule="exact"/>
        <w:rPr>
          <w:rFonts w:hint="eastAsia" w:ascii="仿宋_GB2312" w:eastAsia="仿宋_GB2312"/>
          <w:color w:val="auto"/>
          <w:szCs w:val="28"/>
          <w:highlight w:val="none"/>
        </w:rPr>
      </w:pPr>
      <w:r>
        <w:rPr>
          <w:rFonts w:hint="eastAsia" w:ascii="仿宋_GB2312" w:eastAsia="仿宋_GB2312"/>
          <w:color w:val="auto"/>
          <w:szCs w:val="28"/>
          <w:highlight w:val="none"/>
        </w:rPr>
        <w:t xml:space="preserve">                           </w:t>
      </w:r>
    </w:p>
    <w:p>
      <w:pPr>
        <w:pStyle w:val="6"/>
        <w:jc w:val="center"/>
        <w:rPr>
          <w:rFonts w:hint="eastAsia" w:ascii="宋体" w:hAnsi="宋体" w:eastAsia="宋体"/>
          <w:b w:val="0"/>
          <w:color w:val="auto"/>
          <w:sz w:val="44"/>
          <w:szCs w:val="44"/>
          <w:highlight w:val="none"/>
          <w:lang w:eastAsia="zh-CN"/>
        </w:rPr>
      </w:pPr>
      <w:r>
        <w:rPr>
          <w:rFonts w:hint="eastAsia" w:ascii="宋体" w:hAnsi="宋体"/>
          <w:b/>
          <w:bCs/>
          <w:color w:val="auto"/>
          <w:sz w:val="44"/>
          <w:szCs w:val="44"/>
          <w:highlight w:val="none"/>
          <w:lang w:eastAsia="zh-CN"/>
        </w:rPr>
        <w:t>伊宁市人民医院云桌面采购项目</w:t>
      </w:r>
    </w:p>
    <w:p>
      <w:pPr>
        <w:rPr>
          <w:rFonts w:hint="eastAsia" w:ascii="宋体" w:hAnsi="宋体" w:eastAsia="宋体"/>
          <w:b w:val="0"/>
          <w:color w:val="auto"/>
          <w:sz w:val="44"/>
          <w:szCs w:val="44"/>
          <w:highlight w:val="none"/>
        </w:rPr>
      </w:pPr>
    </w:p>
    <w:p>
      <w:pPr>
        <w:pStyle w:val="26"/>
        <w:rPr>
          <w:rFonts w:hint="eastAsia" w:ascii="宋体" w:hAnsi="宋体" w:eastAsia="宋体"/>
          <w:b w:val="0"/>
          <w:color w:val="auto"/>
          <w:sz w:val="44"/>
          <w:szCs w:val="44"/>
          <w:highlight w:val="none"/>
        </w:rPr>
      </w:pPr>
    </w:p>
    <w:p>
      <w:pPr>
        <w:pStyle w:val="26"/>
        <w:rPr>
          <w:rFonts w:hint="eastAsia" w:ascii="宋体" w:hAnsi="宋体" w:eastAsia="宋体"/>
          <w:b w:val="0"/>
          <w:color w:val="auto"/>
          <w:sz w:val="44"/>
          <w:szCs w:val="44"/>
          <w:highlight w:val="none"/>
        </w:rPr>
      </w:pPr>
    </w:p>
    <w:p>
      <w:pPr>
        <w:pStyle w:val="5"/>
        <w:spacing w:line="400" w:lineRule="exact"/>
        <w:jc w:val="center"/>
        <w:rPr>
          <w:rFonts w:hint="eastAsia" w:ascii="宋体" w:hAnsi="宋体" w:eastAsia="宋体"/>
          <w:color w:val="auto"/>
          <w:sz w:val="44"/>
          <w:szCs w:val="44"/>
          <w:highlight w:val="none"/>
        </w:rPr>
      </w:pPr>
    </w:p>
    <w:p>
      <w:pPr>
        <w:pStyle w:val="5"/>
        <w:spacing w:line="900" w:lineRule="exact"/>
        <w:jc w:val="center"/>
        <w:rPr>
          <w:rFonts w:hint="eastAsia" w:ascii="微软雅黑" w:hAnsi="宋体" w:eastAsia="微软雅黑"/>
          <w:b w:val="0"/>
          <w:color w:val="auto"/>
          <w:sz w:val="84"/>
          <w:szCs w:val="84"/>
          <w:highlight w:val="none"/>
        </w:rPr>
      </w:pPr>
      <w:r>
        <w:rPr>
          <w:rFonts w:hint="eastAsia" w:ascii="微软雅黑" w:hAnsi="宋体" w:eastAsia="微软雅黑"/>
          <w:b w:val="0"/>
          <w:color w:val="auto"/>
          <w:sz w:val="84"/>
          <w:szCs w:val="84"/>
          <w:highlight w:val="none"/>
        </w:rPr>
        <w:t>投标文件</w:t>
      </w:r>
    </w:p>
    <w:p>
      <w:pPr>
        <w:pStyle w:val="6"/>
        <w:ind w:firstLine="0"/>
        <w:jc w:val="center"/>
        <w:rPr>
          <w:rFonts w:hint="eastAsia"/>
          <w:color w:val="auto"/>
          <w:sz w:val="32"/>
          <w:szCs w:val="32"/>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spacing w:before="120" w:beforeLines="50"/>
        <w:ind w:firstLine="0"/>
        <w:rPr>
          <w:rFonts w:hint="eastAsia" w:ascii="宋体" w:hAnsi="宋体"/>
          <w:b/>
          <w:color w:val="auto"/>
          <w:sz w:val="28"/>
          <w:szCs w:val="28"/>
          <w:highlight w:val="none"/>
        </w:rPr>
      </w:pPr>
    </w:p>
    <w:p>
      <w:pPr>
        <w:pStyle w:val="6"/>
        <w:spacing w:before="120" w:beforeLines="50"/>
        <w:ind w:firstLine="0"/>
        <w:rPr>
          <w:rFonts w:hint="eastAsia" w:ascii="宋体" w:hAnsi="宋体"/>
          <w:b/>
          <w:color w:val="auto"/>
          <w:sz w:val="28"/>
          <w:szCs w:val="28"/>
          <w:highlight w:val="none"/>
        </w:rPr>
      </w:pPr>
    </w:p>
    <w:p>
      <w:pPr>
        <w:pStyle w:val="6"/>
        <w:spacing w:before="120" w:beforeLines="50"/>
        <w:ind w:firstLine="1630" w:firstLineChars="580"/>
        <w:rPr>
          <w:rFonts w:hint="eastAsia" w:ascii="宋体" w:hAnsi="宋体"/>
          <w:b/>
          <w:color w:val="auto"/>
          <w:sz w:val="28"/>
          <w:szCs w:val="28"/>
          <w:highlight w:val="none"/>
        </w:rPr>
      </w:pPr>
    </w:p>
    <w:p>
      <w:pPr>
        <w:pStyle w:val="6"/>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rPr>
        <w:t xml:space="preserve">投标人：                        </w:t>
      </w:r>
      <w:r>
        <w:rPr>
          <w:rFonts w:hint="eastAsia" w:ascii="宋体" w:hAnsi="宋体"/>
          <w:color w:val="auto"/>
          <w:sz w:val="28"/>
          <w:szCs w:val="28"/>
          <w:highlight w:val="none"/>
        </w:rPr>
        <w:t>（盖单位章）</w:t>
      </w:r>
    </w:p>
    <w:p>
      <w:pPr>
        <w:pStyle w:val="6"/>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rPr>
        <w:t xml:space="preserve">法定代表人或其委托代理人：        </w:t>
      </w:r>
      <w:r>
        <w:rPr>
          <w:rFonts w:hint="eastAsia" w:ascii="宋体" w:hAnsi="宋体"/>
          <w:color w:val="auto"/>
          <w:sz w:val="28"/>
          <w:szCs w:val="28"/>
          <w:highlight w:val="none"/>
        </w:rPr>
        <w:t>（签字）</w:t>
      </w:r>
    </w:p>
    <w:p>
      <w:pPr>
        <w:pStyle w:val="6"/>
        <w:spacing w:before="120" w:beforeLines="50"/>
        <w:ind w:firstLine="1630" w:firstLineChars="580"/>
        <w:rPr>
          <w:rFonts w:hint="eastAsia" w:ascii="宋体" w:hAnsi="宋体"/>
          <w:color w:val="auto"/>
          <w:sz w:val="28"/>
          <w:szCs w:val="28"/>
          <w:highlight w:val="none"/>
        </w:rPr>
      </w:pPr>
      <w:r>
        <w:rPr>
          <w:rFonts w:hint="eastAsia"/>
          <w:b/>
          <w:color w:val="auto"/>
          <w:sz w:val="28"/>
          <w:szCs w:val="28"/>
          <w:highlight w:val="none"/>
        </w:rPr>
        <w:t xml:space="preserve">时  间：    </w:t>
      </w:r>
      <w:r>
        <w:rPr>
          <w:rFonts w:hint="eastAsia" w:ascii="宋体" w:hAnsi="宋体"/>
          <w:color w:val="auto"/>
          <w:sz w:val="28"/>
          <w:szCs w:val="28"/>
          <w:highlight w:val="none"/>
        </w:rPr>
        <w:t>20    年  月  日</w:t>
      </w:r>
    </w:p>
    <w:p>
      <w:pPr>
        <w:pStyle w:val="6"/>
        <w:spacing w:before="120" w:beforeLines="50" w:after="120" w:afterLines="50"/>
        <w:ind w:firstLine="0"/>
        <w:jc w:val="center"/>
        <w:rPr>
          <w:rFonts w:hint="eastAsia"/>
          <w:color w:val="auto"/>
          <w:sz w:val="32"/>
          <w:szCs w:val="32"/>
          <w:highlight w:val="none"/>
        </w:rPr>
      </w:pPr>
    </w:p>
    <w:p>
      <w:pPr>
        <w:pStyle w:val="6"/>
        <w:spacing w:before="120" w:beforeLines="50" w:after="120" w:afterLines="50"/>
        <w:ind w:firstLine="0"/>
        <w:jc w:val="center"/>
        <w:rPr>
          <w:rFonts w:hint="eastAsia"/>
          <w:b/>
          <w:bCs/>
          <w:color w:val="auto"/>
          <w:sz w:val="32"/>
          <w:szCs w:val="32"/>
          <w:highlight w:val="none"/>
        </w:rPr>
      </w:pPr>
    </w:p>
    <w:p>
      <w:pPr>
        <w:pStyle w:val="6"/>
        <w:spacing w:before="120" w:beforeLines="50" w:after="120" w:afterLines="50"/>
        <w:ind w:firstLine="0"/>
        <w:jc w:val="center"/>
        <w:rPr>
          <w:rFonts w:hint="eastAsia"/>
          <w:b/>
          <w:bCs/>
          <w:color w:val="auto"/>
          <w:sz w:val="32"/>
          <w:szCs w:val="32"/>
          <w:highlight w:val="none"/>
        </w:rPr>
      </w:pPr>
    </w:p>
    <w:p>
      <w:pPr>
        <w:pStyle w:val="6"/>
        <w:spacing w:before="120" w:beforeLines="50" w:after="120" w:afterLines="50"/>
        <w:ind w:firstLine="0"/>
        <w:jc w:val="center"/>
        <w:rPr>
          <w:rFonts w:hint="eastAsia"/>
          <w:b/>
          <w:bCs/>
          <w:color w:val="auto"/>
          <w:sz w:val="32"/>
          <w:szCs w:val="32"/>
          <w:highlight w:val="none"/>
        </w:rPr>
      </w:pPr>
    </w:p>
    <w:p>
      <w:pPr>
        <w:pStyle w:val="6"/>
        <w:spacing w:before="120" w:beforeLines="50" w:after="120" w:afterLines="50"/>
        <w:ind w:firstLine="0"/>
        <w:jc w:val="center"/>
        <w:rPr>
          <w:rFonts w:hint="eastAsia"/>
          <w:b/>
          <w:bCs/>
          <w:color w:val="auto"/>
          <w:sz w:val="32"/>
          <w:szCs w:val="32"/>
          <w:highlight w:val="none"/>
        </w:rPr>
      </w:pPr>
      <w:r>
        <w:rPr>
          <w:rFonts w:hint="eastAsia"/>
          <w:b/>
          <w:bCs/>
          <w:color w:val="auto"/>
          <w:sz w:val="32"/>
          <w:szCs w:val="32"/>
          <w:highlight w:val="none"/>
        </w:rPr>
        <w:t>（资格审查部分）</w:t>
      </w:r>
    </w:p>
    <w:p>
      <w:pPr>
        <w:rPr>
          <w:rFonts w:hint="eastAsia" w:ascii="微软雅黑" w:eastAsia="微软雅黑"/>
          <w:color w:val="auto"/>
          <w:sz w:val="44"/>
          <w:szCs w:val="44"/>
          <w:highlight w:val="none"/>
        </w:rPr>
      </w:pPr>
      <w:r>
        <w:rPr>
          <w:rFonts w:hint="eastAsia" w:ascii="微软雅黑" w:eastAsia="微软雅黑"/>
          <w:color w:val="auto"/>
          <w:sz w:val="44"/>
          <w:szCs w:val="44"/>
          <w:highlight w:val="none"/>
        </w:rPr>
        <w:br w:type="page"/>
      </w:r>
    </w:p>
    <w:p>
      <w:pPr>
        <w:pStyle w:val="6"/>
        <w:spacing w:before="120" w:beforeLines="50" w:after="120" w:afterLines="50"/>
        <w:ind w:firstLine="0"/>
        <w:jc w:val="center"/>
        <w:rPr>
          <w:rFonts w:hint="eastAsia" w:ascii="微软雅黑" w:eastAsia="微软雅黑"/>
          <w:color w:val="auto"/>
          <w:sz w:val="44"/>
          <w:szCs w:val="44"/>
          <w:highlight w:val="none"/>
        </w:rPr>
      </w:pPr>
      <w:r>
        <w:rPr>
          <w:rFonts w:hint="eastAsia" w:ascii="微软雅黑" w:eastAsia="微软雅黑"/>
          <w:color w:val="auto"/>
          <w:sz w:val="44"/>
          <w:szCs w:val="44"/>
          <w:highlight w:val="none"/>
        </w:rPr>
        <w:t>目  录</w:t>
      </w:r>
    </w:p>
    <w:p>
      <w:pPr>
        <w:pStyle w:val="6"/>
        <w:spacing w:before="120" w:beforeLines="50" w:line="360" w:lineRule="auto"/>
        <w:ind w:firstLine="0"/>
        <w:rPr>
          <w:rFonts w:hint="eastAsia"/>
          <w:color w:val="auto"/>
          <w:sz w:val="24"/>
          <w:szCs w:val="24"/>
          <w:highlight w:val="none"/>
        </w:rPr>
      </w:pPr>
    </w:p>
    <w:p>
      <w:pPr>
        <w:rPr>
          <w:rFonts w:hint="eastAsia"/>
          <w:color w:val="auto"/>
          <w:highlight w:val="none"/>
        </w:rPr>
      </w:pP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rPr>
        <w:t>1.投标人基本情况表…………………………………………………………………页码</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2.法定代表人身份证明………………………………………………………………………</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rPr>
        <w:t>3.法定代表人授权书…………………………………………………………………………</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w:t>
      </w:r>
      <w:r>
        <w:rPr>
          <w:rFonts w:hint="eastAsia" w:ascii="宋体" w:hAnsi="宋体"/>
          <w:color w:val="auto"/>
          <w:szCs w:val="21"/>
          <w:highlight w:val="none"/>
          <w:lang w:val="zh-CN"/>
        </w:rPr>
        <w:t>营业执照等证明文件，自然人的身份证明</w:t>
      </w:r>
      <w:r>
        <w:rPr>
          <w:rFonts w:hint="eastAsia" w:ascii="宋体" w:hAnsi="宋体"/>
          <w:color w:val="auto"/>
          <w:szCs w:val="21"/>
          <w:highlight w:val="none"/>
        </w:rPr>
        <w:t>………………………………………</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color w:val="auto"/>
          <w:highlight w:val="none"/>
        </w:rPr>
        <w:t>财务状况报告</w:t>
      </w:r>
      <w:r>
        <w:rPr>
          <w:rFonts w:hint="eastAsia" w:ascii="宋体" w:hAnsi="宋体"/>
          <w:color w:val="auto"/>
          <w:szCs w:val="21"/>
          <w:highlight w:val="none"/>
        </w:rPr>
        <w:t>………………………………………………………………………………</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.税收缴纳证明………………………………………………………………………………</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.社会保障资金缴纳证明……………………………………………………………………</w:t>
      </w:r>
    </w:p>
    <w:p>
      <w:pPr>
        <w:spacing w:line="480" w:lineRule="auto"/>
        <w:ind w:firstLine="525" w:firstLineChars="25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eastAsia="宋体"/>
          <w:color w:val="auto"/>
          <w:szCs w:val="21"/>
          <w:highlight w:val="none"/>
          <w:lang w:val="en-US" w:eastAsia="zh-CN"/>
        </w:rPr>
        <w:t>信用中国和中国政府采购网以及国家企业信用信息公示系统截图</w:t>
      </w:r>
      <w:r>
        <w:rPr>
          <w:rFonts w:hint="eastAsia" w:ascii="宋体" w:hAnsi="宋体"/>
          <w:color w:val="auto"/>
          <w:szCs w:val="21"/>
          <w:highlight w:val="none"/>
        </w:rPr>
        <w:t>…………………</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zh-CN"/>
        </w:rPr>
        <w:t>具备履行合同所必需的设备和专业技术能力的证明</w:t>
      </w:r>
      <w:r>
        <w:rPr>
          <w:rFonts w:hint="eastAsia" w:ascii="宋体" w:hAnsi="宋体"/>
          <w:color w:val="auto"/>
          <w:szCs w:val="21"/>
          <w:highlight w:val="none"/>
        </w:rPr>
        <w:t>……………………………………</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.投标声明书………………………………………………………………………………</w:t>
      </w:r>
    </w:p>
    <w:p>
      <w:pPr>
        <w:spacing w:line="48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11.提供投标人享受政府采购优惠政策的证明材料</w:t>
      </w:r>
      <w:r>
        <w:rPr>
          <w:rFonts w:hint="eastAsia" w:ascii="宋体" w:hAnsi="宋体"/>
          <w:color w:val="auto"/>
          <w:szCs w:val="21"/>
          <w:highlight w:val="none"/>
        </w:rPr>
        <w:t>………………………………………</w:t>
      </w:r>
    </w:p>
    <w:p>
      <w:pPr>
        <w:spacing w:line="480" w:lineRule="auto"/>
        <w:ind w:firstLine="525" w:firstLineChars="250"/>
        <w:rPr>
          <w:rFonts w:hint="eastAsia"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.投标保证金………………………………………………………………………………</w:t>
      </w:r>
    </w:p>
    <w:p>
      <w:pPr>
        <w:pStyle w:val="6"/>
        <w:spacing w:before="120" w:beforeLines="50" w:after="120" w:afterLines="50"/>
        <w:ind w:firstLine="0"/>
        <w:jc w:val="center"/>
        <w:rPr>
          <w:rFonts w:hint="eastAsia"/>
          <w:b/>
          <w:color w:val="auto"/>
          <w:sz w:val="44"/>
          <w:szCs w:val="44"/>
          <w:highlight w:val="none"/>
        </w:rPr>
      </w:pPr>
    </w:p>
    <w:p>
      <w:pPr>
        <w:pStyle w:val="6"/>
        <w:spacing w:before="120" w:beforeLines="50" w:after="120" w:afterLines="50"/>
        <w:ind w:firstLine="0"/>
        <w:jc w:val="center"/>
        <w:rPr>
          <w:rFonts w:hint="eastAsia"/>
          <w:b/>
          <w:color w:val="auto"/>
          <w:sz w:val="44"/>
          <w:szCs w:val="44"/>
          <w:highlight w:val="none"/>
        </w:rPr>
      </w:pPr>
    </w:p>
    <w:p>
      <w:pPr>
        <w:pStyle w:val="6"/>
        <w:spacing w:before="120" w:beforeLines="50" w:after="120" w:afterLines="50"/>
        <w:ind w:firstLine="0"/>
        <w:jc w:val="center"/>
        <w:rPr>
          <w:rFonts w:hint="eastAsia"/>
          <w:b/>
          <w:color w:val="auto"/>
          <w:sz w:val="44"/>
          <w:szCs w:val="44"/>
          <w:highlight w:val="none"/>
        </w:rPr>
      </w:pPr>
    </w:p>
    <w:p>
      <w:pPr>
        <w:pStyle w:val="6"/>
        <w:spacing w:before="120" w:beforeLines="50" w:after="120" w:afterLines="50"/>
        <w:ind w:firstLine="0"/>
        <w:rPr>
          <w:rFonts w:hint="eastAsia" w:ascii="仿宋_GB2312" w:eastAsia="仿宋_GB2312"/>
          <w:b/>
          <w:color w:val="auto"/>
          <w:szCs w:val="21"/>
          <w:highlight w:val="none"/>
        </w:rPr>
      </w:pPr>
    </w:p>
    <w:p>
      <w:pPr>
        <w:pStyle w:val="6"/>
        <w:spacing w:before="120" w:beforeLines="50" w:after="120" w:afterLines="50"/>
        <w:ind w:firstLine="0"/>
        <w:rPr>
          <w:rFonts w:hint="eastAsia" w:ascii="仿宋_GB2312" w:eastAsia="仿宋_GB2312"/>
          <w:b/>
          <w:color w:val="auto"/>
          <w:szCs w:val="21"/>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1.投标人基本情况表</w:t>
      </w:r>
    </w:p>
    <w:tbl>
      <w:tblPr>
        <w:tblStyle w:val="2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名称</w:t>
            </w:r>
          </w:p>
        </w:tc>
        <w:tc>
          <w:tcPr>
            <w:tcW w:w="7016" w:type="dxa"/>
            <w:gridSpan w:val="9"/>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0"/>
            <w:vAlign w:val="center"/>
          </w:tcPr>
          <w:p>
            <w:pPr>
              <w:topLinePunct/>
              <w:spacing w:line="440" w:lineRule="exact"/>
              <w:jc w:val="center"/>
              <w:rPr>
                <w:rFonts w:ascii="宋体" w:hAnsi="宋体"/>
                <w:color w:val="auto"/>
                <w:szCs w:val="21"/>
                <w:highlight w:val="none"/>
              </w:rPr>
            </w:pPr>
          </w:p>
        </w:tc>
        <w:tc>
          <w:tcPr>
            <w:tcW w:w="1419"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0"/>
            <w:vAlign w:val="center"/>
          </w:tcPr>
          <w:p>
            <w:pPr>
              <w:topLinePunct/>
              <w:jc w:val="center"/>
              <w:rPr>
                <w:rFonts w:ascii="宋体" w:hAnsi="宋体"/>
                <w:color w:val="auto"/>
                <w:szCs w:val="21"/>
                <w:highlight w:val="none"/>
              </w:rPr>
            </w:pPr>
          </w:p>
        </w:tc>
        <w:tc>
          <w:tcPr>
            <w:tcW w:w="1381" w:type="dxa"/>
            <w:gridSpan w:val="3"/>
            <w:noWrap w:val="0"/>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0"/>
            <w:vAlign w:val="center"/>
          </w:tcPr>
          <w:p>
            <w:pPr>
              <w:topLinePunct/>
              <w:spacing w:line="440" w:lineRule="exact"/>
              <w:jc w:val="center"/>
              <w:rPr>
                <w:rFonts w:ascii="宋体" w:hAnsi="宋体"/>
                <w:color w:val="auto"/>
                <w:szCs w:val="21"/>
                <w:highlight w:val="none"/>
              </w:rPr>
            </w:pPr>
          </w:p>
        </w:tc>
        <w:tc>
          <w:tcPr>
            <w:tcW w:w="1381" w:type="dxa"/>
            <w:gridSpan w:val="3"/>
            <w:noWrap w:val="0"/>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上年营业额</w:t>
            </w:r>
          </w:p>
        </w:tc>
        <w:tc>
          <w:tcPr>
            <w:tcW w:w="1416" w:type="dxa"/>
            <w:noWrap w:val="0"/>
            <w:vAlign w:val="center"/>
          </w:tcPr>
          <w:p>
            <w:pPr>
              <w:topLinePunct/>
              <w:jc w:val="center"/>
              <w:rPr>
                <w:rFonts w:hint="eastAsia" w:ascii="宋体" w:hAnsi="宋体"/>
                <w:color w:val="auto"/>
                <w:szCs w:val="21"/>
                <w:highlight w:val="none"/>
              </w:rPr>
            </w:pPr>
          </w:p>
        </w:tc>
        <w:tc>
          <w:tcPr>
            <w:tcW w:w="1419"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418" w:type="dxa"/>
            <w:noWrap w:val="0"/>
            <w:vAlign w:val="center"/>
          </w:tcPr>
          <w:p>
            <w:pPr>
              <w:topLinePunct/>
              <w:jc w:val="center"/>
              <w:rPr>
                <w:rFonts w:hint="eastAsia" w:ascii="宋体" w:hAnsi="宋体"/>
                <w:color w:val="auto"/>
                <w:szCs w:val="21"/>
                <w:highlight w:val="none"/>
              </w:rPr>
            </w:pPr>
          </w:p>
        </w:tc>
        <w:tc>
          <w:tcPr>
            <w:tcW w:w="1381" w:type="dxa"/>
            <w:gridSpan w:val="3"/>
            <w:noWrap w:val="0"/>
            <w:vAlign w:val="center"/>
          </w:tcPr>
          <w:p>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企业类型</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法定代表人</w:t>
            </w:r>
          </w:p>
          <w:p>
            <w:pPr>
              <w:topLinePunct/>
              <w:jc w:val="center"/>
              <w:rPr>
                <w:rFonts w:hint="eastAsia"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0"/>
            <w:vAlign w:val="center"/>
          </w:tcPr>
          <w:p>
            <w:pPr>
              <w:topLinePunct/>
              <w:jc w:val="center"/>
              <w:rPr>
                <w:rFonts w:hint="eastAsia" w:ascii="宋体" w:hAnsi="宋体"/>
                <w:color w:val="auto"/>
                <w:szCs w:val="21"/>
                <w:highlight w:val="none"/>
              </w:rPr>
            </w:pPr>
          </w:p>
        </w:tc>
        <w:tc>
          <w:tcPr>
            <w:tcW w:w="1418"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1381" w:type="dxa"/>
            <w:gridSpan w:val="3"/>
            <w:noWrap w:val="0"/>
            <w:vAlign w:val="center"/>
          </w:tcPr>
          <w:p>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手机</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color w:val="auto"/>
                <w:szCs w:val="21"/>
                <w:highlight w:val="none"/>
              </w:rPr>
            </w:pPr>
          </w:p>
        </w:tc>
        <w:tc>
          <w:tcPr>
            <w:tcW w:w="1416" w:type="dxa"/>
            <w:vMerge w:val="continue"/>
            <w:noWrap w:val="0"/>
            <w:vAlign w:val="center"/>
          </w:tcPr>
          <w:p>
            <w:pPr>
              <w:topLinePunct/>
              <w:jc w:val="center"/>
              <w:rPr>
                <w:rFonts w:hint="eastAsia" w:ascii="宋体" w:hAnsi="宋体"/>
                <w:color w:val="auto"/>
                <w:szCs w:val="21"/>
                <w:highlight w:val="none"/>
              </w:rPr>
            </w:pPr>
          </w:p>
        </w:tc>
        <w:tc>
          <w:tcPr>
            <w:tcW w:w="1419" w:type="dxa"/>
            <w:gridSpan w:val="3"/>
            <w:vMerge w:val="continue"/>
            <w:noWrap w:val="0"/>
            <w:vAlign w:val="center"/>
          </w:tcPr>
          <w:p>
            <w:pPr>
              <w:topLinePunct/>
              <w:jc w:val="center"/>
              <w:rPr>
                <w:rFonts w:hint="eastAsia" w:ascii="宋体" w:hAnsi="宋体"/>
                <w:color w:val="auto"/>
                <w:szCs w:val="21"/>
                <w:highlight w:val="none"/>
              </w:rPr>
            </w:pPr>
          </w:p>
        </w:tc>
        <w:tc>
          <w:tcPr>
            <w:tcW w:w="1418" w:type="dxa"/>
            <w:vMerge w:val="continue"/>
            <w:noWrap w:val="0"/>
            <w:vAlign w:val="center"/>
          </w:tcPr>
          <w:p>
            <w:pPr>
              <w:topLinePunct/>
              <w:jc w:val="center"/>
              <w:rPr>
                <w:rFonts w:hint="eastAsia" w:ascii="宋体" w:hAnsi="宋体"/>
                <w:color w:val="auto"/>
                <w:szCs w:val="21"/>
                <w:highlight w:val="none"/>
              </w:rPr>
            </w:pPr>
          </w:p>
        </w:tc>
        <w:tc>
          <w:tcPr>
            <w:tcW w:w="1381" w:type="dxa"/>
            <w:gridSpan w:val="3"/>
            <w:noWrap w:val="0"/>
            <w:vAlign w:val="center"/>
          </w:tcPr>
          <w:p>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办公</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0"/>
            <w:vAlign w:val="center"/>
          </w:tcPr>
          <w:p>
            <w:pPr>
              <w:topLinePunct/>
              <w:jc w:val="center"/>
              <w:rPr>
                <w:rFonts w:hint="eastAsia" w:ascii="宋体" w:hAnsi="宋体"/>
                <w:color w:val="auto"/>
                <w:szCs w:val="21"/>
                <w:highlight w:val="none"/>
              </w:rPr>
            </w:pPr>
          </w:p>
        </w:tc>
        <w:tc>
          <w:tcPr>
            <w:tcW w:w="1418"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2763" w:type="dxa"/>
            <w:gridSpan w:val="4"/>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color w:val="auto"/>
                <w:szCs w:val="21"/>
                <w:highlight w:val="none"/>
              </w:rPr>
            </w:pPr>
          </w:p>
        </w:tc>
        <w:tc>
          <w:tcPr>
            <w:tcW w:w="1416" w:type="dxa"/>
            <w:vMerge w:val="continue"/>
            <w:noWrap w:val="0"/>
            <w:vAlign w:val="center"/>
          </w:tcPr>
          <w:p>
            <w:pPr>
              <w:topLinePunct/>
              <w:jc w:val="center"/>
              <w:rPr>
                <w:rFonts w:hint="eastAsia" w:ascii="宋体" w:hAnsi="宋体"/>
                <w:color w:val="auto"/>
                <w:szCs w:val="21"/>
                <w:highlight w:val="none"/>
              </w:rPr>
            </w:pPr>
          </w:p>
        </w:tc>
        <w:tc>
          <w:tcPr>
            <w:tcW w:w="1419" w:type="dxa"/>
            <w:gridSpan w:val="3"/>
            <w:vMerge w:val="continue"/>
            <w:noWrap w:val="0"/>
            <w:vAlign w:val="center"/>
          </w:tcPr>
          <w:p>
            <w:pPr>
              <w:topLinePunct/>
              <w:jc w:val="center"/>
              <w:rPr>
                <w:rFonts w:hint="eastAsia" w:ascii="宋体" w:hAnsi="宋体"/>
                <w:color w:val="auto"/>
                <w:szCs w:val="21"/>
                <w:highlight w:val="none"/>
              </w:rPr>
            </w:pPr>
          </w:p>
        </w:tc>
        <w:tc>
          <w:tcPr>
            <w:tcW w:w="1418"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邮箱</w:t>
            </w:r>
          </w:p>
        </w:tc>
        <w:tc>
          <w:tcPr>
            <w:tcW w:w="2763" w:type="dxa"/>
            <w:gridSpan w:val="4"/>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基本账户开银行行</w:t>
            </w:r>
          </w:p>
        </w:tc>
        <w:tc>
          <w:tcPr>
            <w:tcW w:w="2835" w:type="dxa"/>
            <w:gridSpan w:val="4"/>
            <w:noWrap w:val="0"/>
            <w:vAlign w:val="center"/>
          </w:tcPr>
          <w:p>
            <w:pPr>
              <w:topLinePunct/>
              <w:spacing w:line="440" w:lineRule="exact"/>
              <w:jc w:val="center"/>
              <w:rPr>
                <w:rFonts w:hint="eastAsia" w:ascii="宋体" w:hAnsi="宋体"/>
                <w:color w:val="auto"/>
                <w:szCs w:val="21"/>
                <w:highlight w:val="none"/>
              </w:rPr>
            </w:pPr>
          </w:p>
        </w:tc>
        <w:tc>
          <w:tcPr>
            <w:tcW w:w="1985" w:type="dxa"/>
            <w:gridSpan w:val="3"/>
            <w:noWrap w:val="0"/>
            <w:vAlign w:val="center"/>
          </w:tcPr>
          <w:p>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pPr>
              <w:topLinePunct/>
              <w:spacing w:line="360" w:lineRule="exact"/>
              <w:rPr>
                <w:rFonts w:hint="eastAsia" w:ascii="宋体" w:hAnsi="宋体"/>
                <w:color w:val="auto"/>
                <w:szCs w:val="21"/>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7016" w:type="dxa"/>
            <w:gridSpan w:val="9"/>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投标人需具有的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0"/>
            <w:vAlign w:val="center"/>
          </w:tcPr>
          <w:p>
            <w:pP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投标产品制造商名称</w:t>
            </w:r>
          </w:p>
        </w:tc>
        <w:tc>
          <w:tcPr>
            <w:tcW w:w="5392" w:type="dxa"/>
            <w:gridSpan w:val="7"/>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投标产品制造商需具有的资质证书</w:t>
            </w:r>
          </w:p>
        </w:tc>
        <w:tc>
          <w:tcPr>
            <w:tcW w:w="1068"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等级</w:t>
            </w:r>
          </w:p>
        </w:tc>
        <w:tc>
          <w:tcPr>
            <w:tcW w:w="170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bl>
    <w:p>
      <w:pPr>
        <w:adjustRightInd w:val="0"/>
        <w:snapToGrid w:val="0"/>
        <w:spacing w:before="120" w:beforeLines="50"/>
        <w:ind w:left="630" w:hanging="630" w:hangingChars="300"/>
        <w:rPr>
          <w:rFonts w:hint="eastAsia" w:ascii="楷体" w:hAnsi="楷体" w:eastAsia="楷体"/>
          <w:color w:val="auto"/>
          <w:szCs w:val="21"/>
          <w:highlight w:val="none"/>
        </w:rPr>
      </w:pPr>
      <w:r>
        <w:rPr>
          <w:rFonts w:hint="eastAsia" w:ascii="楷体" w:hAnsi="楷体" w:eastAsia="楷体"/>
          <w:color w:val="auto"/>
          <w:szCs w:val="21"/>
          <w:highlight w:val="none"/>
        </w:rPr>
        <w:t>说明：企业类型指大型、中型、小型、微型；上年营业收入、资产总额应与财务报表中的数据一致， 金额单位为万元。</w:t>
      </w:r>
    </w:p>
    <w:p>
      <w:pPr>
        <w:adjustRightInd w:val="0"/>
        <w:snapToGrid w:val="0"/>
        <w:spacing w:before="240" w:beforeLines="100" w:line="360" w:lineRule="auto"/>
        <w:ind w:firstLine="388" w:firstLineChars="185"/>
        <w:rPr>
          <w:rFonts w:hint="eastAsia" w:ascii="宋体" w:hAnsi="宋体"/>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adjustRightInd w:val="0"/>
        <w:snapToGrid w:val="0"/>
        <w:spacing w:line="360" w:lineRule="auto"/>
        <w:jc w:val="center"/>
        <w:rPr>
          <w:rFonts w:hint="eastAsia" w:ascii="宋体" w:hAnsi="宋体"/>
          <w:b/>
          <w:color w:val="auto"/>
          <w:sz w:val="36"/>
          <w:szCs w:val="36"/>
          <w:highlight w:val="none"/>
        </w:rPr>
      </w:pPr>
    </w:p>
    <w:p>
      <w:pPr>
        <w:jc w:val="center"/>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2.</w:t>
      </w:r>
      <w:r>
        <w:rPr>
          <w:rFonts w:hint="eastAsia" w:ascii="宋体" w:hAnsi="宋体" w:eastAsia="宋体" w:cs="Times New Roman"/>
          <w:b/>
          <w:color w:val="auto"/>
          <w:sz w:val="36"/>
          <w:szCs w:val="36"/>
          <w:highlight w:val="none"/>
          <w:lang w:val="en-US" w:eastAsia="zh-CN"/>
        </w:rPr>
        <w:t>法定代表人（负责人）身份证明</w:t>
      </w:r>
    </w:p>
    <w:p>
      <w:pPr>
        <w:snapToGrid w:val="0"/>
        <w:spacing w:line="480" w:lineRule="auto"/>
        <w:rPr>
          <w:rFonts w:hint="eastAsia" w:ascii="宋体" w:hAnsi="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统一社会信用代码：</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w:t>
      </w:r>
      <w:r>
        <w:rPr>
          <w:rFonts w:hint="eastAsia" w:ascii="宋体" w:hAnsi="宋体"/>
          <w:color w:val="auto"/>
          <w:szCs w:val="21"/>
          <w:highlight w:val="none"/>
        </w:rPr>
        <w:t>人</w:t>
      </w:r>
      <w:r>
        <w:rPr>
          <w:rFonts w:hint="eastAsia" w:ascii="宋体" w:hAnsi="宋体" w:cs="宋体"/>
          <w:color w:val="auto"/>
          <w:kern w:val="0"/>
          <w:szCs w:val="21"/>
          <w:highlight w:val="none"/>
        </w:rPr>
        <w:t>名称）的法定代表人（单位负责人）。</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附：法定代表人</w:t>
      </w:r>
      <w:r>
        <w:rPr>
          <w:rFonts w:hint="eastAsia" w:ascii="宋体" w:hAnsi="宋体"/>
          <w:color w:val="auto"/>
          <w:szCs w:val="21"/>
          <w:highlight w:val="none"/>
          <w:lang w:eastAsia="zh-CN"/>
        </w:rPr>
        <w:t>（负责人）</w:t>
      </w:r>
      <w:r>
        <w:rPr>
          <w:rFonts w:hint="eastAsia" w:ascii="宋体" w:hAnsi="宋体"/>
          <w:color w:val="auto"/>
          <w:szCs w:val="21"/>
          <w:highlight w:val="none"/>
        </w:rPr>
        <w:t>身份证复印件（正反面）</w:t>
      </w:r>
    </w:p>
    <w:p>
      <w:pPr>
        <w:snapToGrid w:val="0"/>
        <w:spacing w:line="480" w:lineRule="auto"/>
        <w:rPr>
          <w:rFonts w:ascii="宋体" w:hAnsi="宋体"/>
          <w:color w:val="auto"/>
          <w:szCs w:val="21"/>
          <w:highlight w:val="none"/>
        </w:rPr>
      </w:pP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color w:val="auto"/>
                <w:szCs w:val="21"/>
                <w:highlight w:val="none"/>
              </w:rPr>
            </w:pPr>
          </w:p>
          <w:p>
            <w:pPr>
              <w:snapToGrid w:val="0"/>
              <w:spacing w:line="480" w:lineRule="auto"/>
              <w:jc w:val="center"/>
              <w:rPr>
                <w:rFonts w:hint="eastAsia" w:ascii="宋体" w:hAnsi="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cs="宋体"/>
                <w:color w:val="auto"/>
                <w:kern w:val="0"/>
                <w:szCs w:val="21"/>
                <w:highlight w:val="none"/>
              </w:rPr>
            </w:pPr>
            <w:r>
              <w:rPr>
                <w:rFonts w:hint="eastAsia" w:ascii="宋体" w:hAnsi="宋体"/>
                <w:color w:val="auto"/>
                <w:szCs w:val="21"/>
                <w:highlight w:val="none"/>
              </w:rPr>
              <w:t>法定代表人（负责人）身份证复印件粘贴处</w:t>
            </w:r>
          </w:p>
          <w:p>
            <w:pPr>
              <w:snapToGrid w:val="0"/>
              <w:spacing w:line="480" w:lineRule="auto"/>
              <w:jc w:val="center"/>
              <w:rPr>
                <w:rFonts w:hint="eastAsia" w:ascii="宋体" w:hAnsi="宋体"/>
                <w:color w:val="auto"/>
                <w:szCs w:val="21"/>
                <w:highlight w:val="none"/>
              </w:rPr>
            </w:pPr>
          </w:p>
          <w:p>
            <w:pPr>
              <w:snapToGrid w:val="0"/>
              <w:spacing w:line="480" w:lineRule="auto"/>
              <w:jc w:val="center"/>
              <w:rPr>
                <w:rFonts w:hint="eastAsia" w:ascii="宋体" w:hAnsi="宋体"/>
                <w:color w:val="auto"/>
                <w:szCs w:val="21"/>
                <w:highlight w:val="none"/>
              </w:rPr>
            </w:pPr>
          </w:p>
        </w:tc>
      </w:tr>
    </w:tbl>
    <w:p>
      <w:pPr>
        <w:snapToGrid w:val="0"/>
        <w:spacing w:line="480" w:lineRule="auto"/>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ind w:right="420"/>
        <w:rPr>
          <w:rFonts w:hint="eastAsia" w:ascii="宋体" w:hAnsi="宋体"/>
          <w:color w:val="auto"/>
          <w:szCs w:val="21"/>
          <w:highlight w:val="none"/>
        </w:rPr>
      </w:pPr>
    </w:p>
    <w:p>
      <w:pPr>
        <w:adjustRightInd w:val="0"/>
        <w:snapToGrid w:val="0"/>
        <w:spacing w:line="360" w:lineRule="auto"/>
        <w:ind w:right="420"/>
        <w:rPr>
          <w:rFonts w:hint="eastAsia" w:ascii="宋体" w:hAnsi="宋体"/>
          <w:color w:val="auto"/>
          <w:szCs w:val="21"/>
          <w:highlight w:val="none"/>
        </w:rPr>
      </w:pPr>
    </w:p>
    <w:p>
      <w:pPr>
        <w:adjustRightInd w:val="0"/>
        <w:snapToGrid w:val="0"/>
        <w:spacing w:line="360" w:lineRule="auto"/>
        <w:ind w:right="420"/>
        <w:rPr>
          <w:rFonts w:hint="eastAsia" w:ascii="宋体" w:hAnsi="宋体"/>
          <w:color w:val="auto"/>
          <w:szCs w:val="21"/>
          <w:highlight w:val="none"/>
        </w:rPr>
      </w:pPr>
    </w:p>
    <w:p>
      <w:pPr>
        <w:adjustRightInd w:val="0"/>
        <w:snapToGrid w:val="0"/>
        <w:spacing w:line="360" w:lineRule="auto"/>
        <w:ind w:right="420"/>
        <w:rPr>
          <w:rFonts w:hint="eastAsia" w:ascii="宋体" w:hAnsi="宋体"/>
          <w:color w:val="auto"/>
          <w:szCs w:val="21"/>
          <w:highlight w:val="none"/>
        </w:rPr>
      </w:pPr>
    </w:p>
    <w:p>
      <w:pPr>
        <w:adjustRightInd w:val="0"/>
        <w:snapToGrid w:val="0"/>
        <w:spacing w:line="360" w:lineRule="auto"/>
        <w:ind w:right="420" w:firstLine="210" w:firstLineChars="100"/>
        <w:rPr>
          <w:rFonts w:hint="eastAsia" w:ascii="宋体" w:hAnsi="宋体"/>
          <w:color w:val="auto"/>
          <w:szCs w:val="21"/>
          <w:highlight w:val="none"/>
        </w:rPr>
      </w:pPr>
    </w:p>
    <w:p>
      <w:pPr>
        <w:adjustRightInd w:val="0"/>
        <w:snapToGrid w:val="0"/>
        <w:spacing w:line="360" w:lineRule="auto"/>
        <w:ind w:right="420" w:firstLine="3255" w:firstLineChars="1550"/>
        <w:rPr>
          <w:rFonts w:hint="eastAsia" w:ascii="宋体" w:hAnsi="宋体"/>
          <w:color w:val="auto"/>
          <w:szCs w:val="21"/>
          <w:highlight w:val="none"/>
        </w:rPr>
      </w:pPr>
    </w:p>
    <w:p>
      <w:pPr>
        <w:adjustRightInd w:val="0"/>
        <w:snapToGrid w:val="0"/>
        <w:spacing w:line="360" w:lineRule="auto"/>
        <w:ind w:right="420" w:firstLine="3255" w:firstLineChars="155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adjustRightInd w:val="0"/>
        <w:snapToGrid w:val="0"/>
        <w:spacing w:line="360" w:lineRule="auto"/>
        <w:ind w:right="420" w:firstLine="4830" w:firstLineChars="2300"/>
        <w:rPr>
          <w:rFonts w:hint="eastAsia" w:ascii="宋体" w:hAnsi="宋体"/>
          <w:color w:val="auto"/>
          <w:szCs w:val="21"/>
          <w:highlight w:val="none"/>
        </w:rPr>
      </w:pPr>
    </w:p>
    <w:p>
      <w:pPr>
        <w:adjustRightInd w:val="0"/>
        <w:snapToGrid w:val="0"/>
        <w:spacing w:line="360" w:lineRule="auto"/>
        <w:ind w:right="420" w:firstLine="4252" w:firstLineChars="2025"/>
        <w:rPr>
          <w:rFonts w:hint="eastAsia" w:ascii="宋体" w:hAnsi="宋体"/>
          <w:color w:val="auto"/>
          <w:szCs w:val="21"/>
          <w:highlight w:val="none"/>
        </w:rPr>
      </w:pPr>
      <w:r>
        <w:rPr>
          <w:rFonts w:hint="eastAsia" w:ascii="宋体" w:hAnsi="宋体"/>
          <w:color w:val="auto"/>
          <w:szCs w:val="21"/>
          <w:highlight w:val="none"/>
        </w:rPr>
        <w:t>日期：20  年  月  日</w:t>
      </w:r>
    </w:p>
    <w:p>
      <w:pPr>
        <w:adjustRightInd w:val="0"/>
        <w:snapToGrid w:val="0"/>
        <w:spacing w:line="360" w:lineRule="auto"/>
        <w:ind w:right="420" w:firstLine="210" w:firstLineChars="100"/>
        <w:rPr>
          <w:rFonts w:hint="eastAsia" w:ascii="仿宋_GB2312" w:hAnsi="宋体" w:eastAsia="仿宋_GB2312"/>
          <w:color w:val="auto"/>
          <w:szCs w:val="21"/>
          <w:highlight w:val="none"/>
        </w:rPr>
      </w:pPr>
    </w:p>
    <w:p>
      <w:pPr>
        <w:adjustRightInd w:val="0"/>
        <w:snapToGrid w:val="0"/>
        <w:spacing w:line="360" w:lineRule="auto"/>
        <w:ind w:right="420" w:firstLine="210" w:firstLineChars="100"/>
        <w:rPr>
          <w:rFonts w:hint="eastAsia" w:ascii="仿宋_GB2312" w:hAnsi="宋体" w:eastAsia="仿宋_GB2312"/>
          <w:color w:val="auto"/>
          <w:szCs w:val="21"/>
          <w:highlight w:val="none"/>
        </w:rPr>
      </w:pPr>
    </w:p>
    <w:p>
      <w:pPr>
        <w:adjustRightInd w:val="0"/>
        <w:snapToGrid w:val="0"/>
        <w:spacing w:line="360" w:lineRule="auto"/>
        <w:ind w:right="420" w:firstLine="210" w:firstLineChars="100"/>
        <w:rPr>
          <w:rFonts w:hint="eastAsia" w:ascii="仿宋_GB2312" w:hAnsi="宋体" w:eastAsia="仿宋_GB2312"/>
          <w:color w:val="auto"/>
          <w:szCs w:val="21"/>
          <w:highlight w:val="none"/>
        </w:rPr>
      </w:pPr>
    </w:p>
    <w:p>
      <w:pPr>
        <w:adjustRightInd w:val="0"/>
        <w:snapToGrid w:val="0"/>
        <w:spacing w:line="360" w:lineRule="auto"/>
        <w:ind w:right="420" w:firstLine="210" w:firstLineChars="100"/>
        <w:rPr>
          <w:rFonts w:hint="eastAsia" w:ascii="楷体" w:hAnsi="楷体" w:eastAsia="楷体"/>
          <w:color w:val="auto"/>
          <w:szCs w:val="21"/>
          <w:highlight w:val="none"/>
        </w:rPr>
      </w:pPr>
      <w:r>
        <w:rPr>
          <w:rFonts w:hint="eastAsia" w:ascii="楷体" w:hAnsi="楷体" w:eastAsia="楷体"/>
          <w:color w:val="auto"/>
          <w:szCs w:val="21"/>
          <w:highlight w:val="none"/>
        </w:rPr>
        <w:t>说明：仅限法定代表人（负责人）参加投标时提供</w:t>
      </w:r>
    </w:p>
    <w:p>
      <w:pPr>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3.授权委托书</w:t>
      </w:r>
    </w:p>
    <w:p>
      <w:pPr>
        <w:adjustRightInd w:val="0"/>
        <w:snapToGrid w:val="0"/>
        <w:spacing w:line="360" w:lineRule="auto"/>
        <w:jc w:val="center"/>
        <w:rPr>
          <w:rFonts w:hint="eastAsia" w:ascii="黑体" w:hAnsi="华文中宋" w:eastAsia="黑体"/>
          <w:b/>
          <w:color w:val="auto"/>
          <w:sz w:val="28"/>
          <w:szCs w:val="28"/>
          <w:highlight w:val="none"/>
        </w:rPr>
      </w:pPr>
    </w:p>
    <w:p>
      <w:pPr>
        <w:spacing w:line="400" w:lineRule="exact"/>
        <w:ind w:firstLine="560" w:firstLineChars="200"/>
        <w:rPr>
          <w:rFonts w:hint="eastAsia" w:ascii="仿宋_GB2312" w:hAnsi="宋体" w:eastAsia="仿宋_GB2312"/>
          <w:color w:val="auto"/>
          <w:sz w:val="28"/>
          <w:szCs w:val="28"/>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zh-CN"/>
        </w:rPr>
        <w:t>本人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（姓名）系</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（投标人名称）的法定代表人（单位负责人），现委托</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（姓名）为我方代理人。代理人根据授权，以我方的名义签署、澄清确认、递交、撤回、修改</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（采购项目）投标文件、签订合同和全权处理一切与之有关的事宜，</w:t>
      </w:r>
      <w:r>
        <w:rPr>
          <w:rFonts w:hint="eastAsia" w:ascii="宋体" w:hAnsi="宋体" w:cs="宋体"/>
          <w:color w:val="auto"/>
          <w:kern w:val="0"/>
          <w:szCs w:val="21"/>
          <w:highlight w:val="none"/>
        </w:rPr>
        <w:t>其法律后果由我方承担。</w:t>
      </w:r>
    </w:p>
    <w:p>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zh-CN"/>
        </w:rPr>
        <w:t>委托期限</w:t>
      </w:r>
      <w:r>
        <w:rPr>
          <w:rFonts w:hint="eastAsia" w:ascii="宋体" w:hAnsi="宋体"/>
          <w:color w:val="auto"/>
          <w:szCs w:val="21"/>
          <w:highlight w:val="none"/>
        </w:rPr>
        <w:t xml:space="preserve">：    </w:t>
      </w:r>
      <w:r>
        <w:rPr>
          <w:rFonts w:hint="eastAsia" w:ascii="宋体" w:hAnsi="宋体"/>
          <w:color w:val="auto"/>
          <w:szCs w:val="21"/>
          <w:highlight w:val="none"/>
          <w:lang w:val="zh-CN"/>
        </w:rPr>
        <w:t>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日至</w:t>
      </w:r>
      <w:r>
        <w:rPr>
          <w:rFonts w:hint="eastAsia" w:ascii="宋体" w:hAnsi="宋体"/>
          <w:color w:val="auto"/>
          <w:szCs w:val="21"/>
          <w:highlight w:val="none"/>
        </w:rPr>
        <w:t xml:space="preserve">     </w:t>
      </w:r>
      <w:r>
        <w:rPr>
          <w:rFonts w:hint="eastAsia" w:ascii="宋体" w:hAnsi="宋体"/>
          <w:color w:val="auto"/>
          <w:szCs w:val="21"/>
          <w:highlight w:val="none"/>
          <w:lang w:val="zh-CN"/>
        </w:rPr>
        <w:t>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p>
    <w:p>
      <w:pPr>
        <w:spacing w:line="48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代理人无转委托权。</w:t>
      </w: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u w:val="single"/>
        </w:rPr>
      </w:pPr>
      <w:r>
        <w:rPr>
          <w:rFonts w:hint="eastAsia" w:ascii="宋体" w:hAnsi="宋体"/>
          <w:color w:val="auto"/>
          <w:szCs w:val="21"/>
          <w:highlight w:val="none"/>
          <w:lang w:val="zh-CN"/>
        </w:rPr>
        <w:t>附：法定代表人（单位负责人）身份证复印件</w:t>
      </w:r>
      <w:r>
        <w:rPr>
          <w:rFonts w:hint="eastAsia" w:ascii="宋体" w:hAnsi="宋体"/>
          <w:color w:val="auto"/>
          <w:szCs w:val="21"/>
          <w:highlight w:val="none"/>
        </w:rPr>
        <w:t>、</w:t>
      </w:r>
      <w:r>
        <w:rPr>
          <w:rFonts w:hint="eastAsia" w:ascii="宋体" w:hAnsi="宋体"/>
          <w:color w:val="auto"/>
          <w:szCs w:val="21"/>
          <w:highlight w:val="none"/>
          <w:lang w:val="zh-CN"/>
        </w:rPr>
        <w:t>委托代理人身份证复印件</w:t>
      </w:r>
    </w:p>
    <w:tbl>
      <w:tblPr>
        <w:tblStyle w:val="21"/>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olor w:val="auto"/>
                <w:szCs w:val="21"/>
                <w:highlight w:val="none"/>
                <w:u w:val="single"/>
              </w:rPr>
            </w:pPr>
            <w:r>
              <w:rPr>
                <w:rFonts w:hint="eastAsia" w:ascii="宋体" w:hAnsi="宋体"/>
                <w:color w:val="auto"/>
                <w:szCs w:val="21"/>
                <w:highlight w:val="none"/>
                <w:lang w:val="zh-CN"/>
              </w:rPr>
              <w:t>法定代表人（负责人）身份证复印件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olor w:val="auto"/>
                <w:szCs w:val="21"/>
                <w:highlight w:val="none"/>
                <w:u w:val="single"/>
              </w:rPr>
            </w:pPr>
            <w:r>
              <w:rPr>
                <w:rFonts w:hint="eastAsia" w:ascii="宋体" w:hAnsi="宋体"/>
                <w:color w:val="auto"/>
                <w:szCs w:val="21"/>
                <w:highlight w:val="none"/>
                <w:lang w:val="zh-CN"/>
              </w:rPr>
              <w:t>委托代理人身份证复印件</w:t>
            </w:r>
          </w:p>
        </w:tc>
      </w:tr>
    </w:tbl>
    <w:p>
      <w:pPr>
        <w:ind w:firstLine="420" w:firstLineChars="200"/>
        <w:rPr>
          <w:rFonts w:hint="eastAsia" w:ascii="宋体" w:hAnsi="宋体"/>
          <w:color w:val="auto"/>
          <w:szCs w:val="21"/>
          <w:highlight w:val="none"/>
        </w:rPr>
      </w:pPr>
    </w:p>
    <w:p>
      <w:pPr>
        <w:ind w:firstLine="420" w:firstLineChars="200"/>
        <w:rPr>
          <w:rFonts w:hint="eastAsia" w:ascii="宋体" w:hAnsi="宋体"/>
          <w:color w:val="auto"/>
          <w:szCs w:val="21"/>
          <w:highlight w:val="none"/>
        </w:rPr>
      </w:pPr>
    </w:p>
    <w:p>
      <w:pPr>
        <w:ind w:firstLine="420" w:firstLineChars="200"/>
        <w:rPr>
          <w:rFonts w:hint="eastAsia" w:ascii="宋体" w:hAnsi="宋体"/>
          <w:color w:val="auto"/>
          <w:szCs w:val="21"/>
          <w:highlight w:val="none"/>
        </w:rPr>
      </w:pPr>
    </w:p>
    <w:p>
      <w:pPr>
        <w:ind w:firstLine="2835" w:firstLineChars="135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pPr>
        <w:ind w:firstLine="420" w:firstLineChars="200"/>
        <w:rPr>
          <w:rFonts w:hint="eastAsia" w:ascii="宋体" w:hAnsi="宋体"/>
          <w:color w:val="auto"/>
          <w:szCs w:val="21"/>
          <w:highlight w:val="none"/>
        </w:rPr>
      </w:pPr>
    </w:p>
    <w:p>
      <w:pPr>
        <w:ind w:firstLine="2835" w:firstLineChars="1350"/>
        <w:rPr>
          <w:rFonts w:hint="eastAsia" w:ascii="宋体" w:hAnsi="宋体"/>
          <w:color w:val="auto"/>
          <w:szCs w:val="21"/>
          <w:highlight w:val="none"/>
        </w:rPr>
      </w:pPr>
      <w:r>
        <w:rPr>
          <w:rFonts w:hint="eastAsia" w:ascii="宋体" w:hAnsi="宋体"/>
          <w:color w:val="auto"/>
          <w:szCs w:val="21"/>
          <w:highlight w:val="none"/>
        </w:rPr>
        <w:t xml:space="preserve">法定代表人（单位负责人）: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（签字）</w:t>
      </w:r>
    </w:p>
    <w:p>
      <w:pPr>
        <w:ind w:firstLine="3465" w:firstLineChars="1650"/>
        <w:rPr>
          <w:rFonts w:hint="eastAsia" w:ascii="宋体" w:hAnsi="宋体"/>
          <w:color w:val="auto"/>
          <w:szCs w:val="21"/>
          <w:highlight w:val="none"/>
        </w:rPr>
      </w:pPr>
    </w:p>
    <w:p>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ind w:firstLine="3465" w:firstLineChars="1650"/>
        <w:rPr>
          <w:rFonts w:hint="eastAsia" w:ascii="宋体" w:hAnsi="宋体"/>
          <w:color w:val="auto"/>
          <w:szCs w:val="21"/>
          <w:highlight w:val="none"/>
        </w:rPr>
      </w:pPr>
    </w:p>
    <w:p>
      <w:pPr>
        <w:ind w:firstLine="2835" w:firstLineChars="13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（签字）     </w:t>
      </w:r>
    </w:p>
    <w:p>
      <w:pPr>
        <w:ind w:firstLine="2835" w:firstLineChars="1350"/>
        <w:jc w:val="left"/>
        <w:rPr>
          <w:rFonts w:hint="eastAsia" w:ascii="宋体" w:hAnsi="宋体"/>
          <w:color w:val="auto"/>
          <w:szCs w:val="21"/>
          <w:highlight w:val="none"/>
        </w:rPr>
      </w:pPr>
    </w:p>
    <w:p>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ind w:firstLine="420" w:firstLineChars="200"/>
        <w:rPr>
          <w:rFonts w:hint="eastAsia" w:ascii="宋体" w:hAnsi="宋体"/>
          <w:color w:val="auto"/>
          <w:szCs w:val="21"/>
          <w:highlight w:val="none"/>
        </w:rPr>
      </w:pPr>
    </w:p>
    <w:p>
      <w:pPr>
        <w:ind w:firstLine="2730" w:firstLineChars="1300"/>
        <w:rPr>
          <w:rFonts w:hint="eastAsia" w:ascii="仿宋_GB2312" w:eastAsia="仿宋_GB2312"/>
          <w:color w:val="auto"/>
          <w:szCs w:val="21"/>
          <w:highlight w:val="none"/>
          <w:lang w:val="zh-CN"/>
        </w:rPr>
      </w:pPr>
      <w:r>
        <w:rPr>
          <w:rFonts w:hint="eastAsia" w:ascii="宋体" w:hAnsi="宋体"/>
          <w:color w:val="auto"/>
          <w:szCs w:val="21"/>
          <w:highlight w:val="none"/>
        </w:rPr>
        <w:t xml:space="preserve"> 授权委托日期：20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ind w:firstLine="420" w:firstLineChars="200"/>
        <w:rPr>
          <w:rFonts w:hint="eastAsia" w:ascii="仿宋_GB2312" w:eastAsia="仿宋_GB2312"/>
          <w:color w:val="auto"/>
          <w:highlight w:val="none"/>
          <w:lang w:val="zh-CN"/>
        </w:rPr>
      </w:pPr>
    </w:p>
    <w:p>
      <w:pPr>
        <w:ind w:firstLine="420" w:firstLineChars="200"/>
        <w:rPr>
          <w:rFonts w:hint="eastAsia" w:ascii="仿宋_GB2312" w:eastAsia="仿宋_GB2312"/>
          <w:color w:val="auto"/>
          <w:highlight w:val="none"/>
          <w:lang w:val="zh-CN"/>
        </w:rPr>
      </w:pPr>
    </w:p>
    <w:p>
      <w:pPr>
        <w:ind w:firstLine="420" w:firstLineChars="200"/>
        <w:rPr>
          <w:rFonts w:hint="eastAsia" w:ascii="仿宋_GB2312" w:eastAsia="仿宋_GB2312"/>
          <w:color w:val="auto"/>
          <w:highlight w:val="none"/>
          <w:lang w:val="zh-CN"/>
        </w:rPr>
      </w:pPr>
    </w:p>
    <w:p>
      <w:pPr>
        <w:ind w:firstLine="420" w:firstLineChars="200"/>
        <w:rPr>
          <w:rFonts w:hint="eastAsia" w:ascii="仿宋_GB2312" w:eastAsia="仿宋_GB2312"/>
          <w:color w:val="auto"/>
          <w:highlight w:val="none"/>
          <w:lang w:val="zh-CN"/>
        </w:rPr>
      </w:pPr>
    </w:p>
    <w:p>
      <w:pPr>
        <w:rPr>
          <w:rFonts w:hint="eastAsia" w:ascii="楷体" w:hAnsi="楷体" w:eastAsia="楷体"/>
          <w:color w:val="auto"/>
          <w:highlight w:val="none"/>
          <w:lang w:val="zh-CN"/>
        </w:rPr>
      </w:pPr>
      <w:r>
        <w:rPr>
          <w:rFonts w:hint="eastAsia" w:ascii="楷体" w:hAnsi="楷体" w:eastAsia="楷体"/>
          <w:color w:val="auto"/>
          <w:highlight w:val="none"/>
          <w:lang w:val="zh-CN"/>
        </w:rPr>
        <w:t>说明：本授权委托书有效期自开标之日起不得少于</w:t>
      </w:r>
      <w:r>
        <w:rPr>
          <w:rFonts w:hint="eastAsia" w:ascii="楷体" w:hAnsi="楷体" w:eastAsia="楷体"/>
          <w:color w:val="auto"/>
          <w:highlight w:val="none"/>
        </w:rPr>
        <w:t>90</w:t>
      </w:r>
      <w:r>
        <w:rPr>
          <w:rFonts w:hint="eastAsia" w:ascii="楷体" w:hAnsi="楷体" w:eastAsia="楷体"/>
          <w:color w:val="auto"/>
          <w:highlight w:val="none"/>
          <w:lang w:val="zh-CN"/>
        </w:rPr>
        <w:t>天，仅限委托代理人参加投标时提供。</w:t>
      </w:r>
    </w:p>
    <w:p>
      <w:pPr>
        <w:pStyle w:val="13"/>
        <w:adjustRightInd w:val="0"/>
        <w:snapToGrid w:val="0"/>
        <w:spacing w:line="360" w:lineRule="auto"/>
        <w:rPr>
          <w:rFonts w:hint="eastAsia" w:ascii="楷体" w:hAnsi="楷体" w:eastAsia="楷体"/>
          <w:color w:val="auto"/>
          <w:highlight w:val="none"/>
          <w:lang w:val="en-US" w:eastAsia="zh-CN"/>
        </w:rPr>
      </w:pP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楷体" w:hAnsi="楷体" w:eastAsia="楷体"/>
          <w:color w:val="auto"/>
          <w:highlight w:val="none"/>
          <w:lang w:val="en-US" w:eastAsia="zh-CN"/>
        </w:rPr>
      </w:pPr>
    </w:p>
    <w:p>
      <w:pPr>
        <w:ind w:firstLine="723" w:firstLineChars="200"/>
        <w:rPr>
          <w:rFonts w:ascii="宋体" w:hAnsi="宋体"/>
          <w:b/>
          <w:color w:val="auto"/>
          <w:sz w:val="36"/>
          <w:szCs w:val="36"/>
          <w:highlight w:val="none"/>
        </w:rPr>
      </w:pP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rPr>
        <w:t>.</w:t>
      </w:r>
      <w:r>
        <w:rPr>
          <w:rFonts w:hint="eastAsia" w:ascii="宋体" w:hAnsi="宋体" w:cs="宋体"/>
          <w:b/>
          <w:color w:val="auto"/>
          <w:kern w:val="0"/>
          <w:sz w:val="36"/>
          <w:szCs w:val="36"/>
          <w:highlight w:val="none"/>
          <w:lang w:val="zh-CN"/>
        </w:rPr>
        <w:t>投标人的营业执照等证明文件，自然人的身份证明</w:t>
      </w:r>
    </w:p>
    <w:p>
      <w:pPr>
        <w:pStyle w:val="13"/>
        <w:adjustRightInd w:val="0"/>
        <w:snapToGrid w:val="0"/>
        <w:spacing w:line="360" w:lineRule="auto"/>
        <w:jc w:val="left"/>
        <w:rPr>
          <w:rFonts w:hint="eastAsia" w:hAnsi="宋体"/>
          <w:color w:val="auto"/>
          <w:sz w:val="24"/>
          <w:szCs w:val="24"/>
          <w:highlight w:val="none"/>
        </w:rPr>
      </w:pPr>
    </w:p>
    <w:p>
      <w:pPr>
        <w:pStyle w:val="13"/>
        <w:adjustRightInd w:val="0"/>
        <w:snapToGrid w:val="0"/>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说明：</w:t>
      </w:r>
    </w:p>
    <w:p>
      <w:pPr>
        <w:pStyle w:val="13"/>
        <w:adjustRightInd w:val="0"/>
        <w:snapToGrid w:val="0"/>
        <w:spacing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（1）投标人为企业法人应提供合法有效的标识有统一社会信用代码的营业执照；事业法人应提供事业单位法人证书；其他组织应提供合法登记证明文件；</w:t>
      </w:r>
    </w:p>
    <w:p>
      <w:pPr>
        <w:pStyle w:val="13"/>
        <w:adjustRightInd w:val="0"/>
        <w:snapToGrid w:val="0"/>
        <w:spacing w:line="360" w:lineRule="auto"/>
        <w:ind w:firstLine="420" w:firstLineChars="200"/>
        <w:rPr>
          <w:rFonts w:hint="eastAsia" w:ascii="楷体" w:hAnsi="楷体" w:eastAsia="楷体"/>
          <w:color w:val="auto"/>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b/>
          <w:color w:val="auto"/>
          <w:sz w:val="36"/>
          <w:szCs w:val="36"/>
          <w:highlight w:val="none"/>
        </w:rPr>
      </w:pPr>
      <w:r>
        <w:rPr>
          <w:b/>
          <w:color w:val="auto"/>
          <w:sz w:val="36"/>
          <w:szCs w:val="36"/>
          <w:highlight w:val="none"/>
        </w:rPr>
        <w:br w:type="page"/>
      </w:r>
    </w:p>
    <w:p>
      <w:pPr>
        <w:pStyle w:val="13"/>
        <w:adjustRightInd w:val="0"/>
        <w:snapToGrid w:val="0"/>
        <w:spacing w:line="360" w:lineRule="auto"/>
        <w:jc w:val="center"/>
        <w:rPr>
          <w:rFonts w:hint="eastAsia"/>
          <w:b/>
          <w:color w:val="auto"/>
          <w:sz w:val="36"/>
          <w:szCs w:val="36"/>
          <w:highlight w:val="none"/>
        </w:rPr>
      </w:pPr>
      <w:r>
        <w:rPr>
          <w:rFonts w:hint="eastAsia"/>
          <w:b/>
          <w:color w:val="auto"/>
          <w:sz w:val="36"/>
          <w:szCs w:val="36"/>
          <w:highlight w:val="none"/>
          <w:lang w:val="en-US" w:eastAsia="zh-CN"/>
        </w:rPr>
        <w:t>5</w:t>
      </w:r>
      <w:r>
        <w:rPr>
          <w:rFonts w:hint="eastAsia"/>
          <w:b/>
          <w:color w:val="auto"/>
          <w:sz w:val="36"/>
          <w:szCs w:val="36"/>
          <w:highlight w:val="none"/>
        </w:rPr>
        <w:t>.财务状况报告</w:t>
      </w:r>
    </w:p>
    <w:p>
      <w:pPr>
        <w:pStyle w:val="13"/>
        <w:adjustRightInd w:val="0"/>
        <w:snapToGrid w:val="0"/>
        <w:spacing w:line="360" w:lineRule="auto"/>
        <w:jc w:val="left"/>
        <w:rPr>
          <w:rFonts w:hint="eastAsia" w:ascii="楷体" w:hAnsi="楷体" w:eastAsia="楷体"/>
          <w:color w:val="auto"/>
          <w:highlight w:val="none"/>
        </w:rPr>
      </w:pPr>
      <w:r>
        <w:rPr>
          <w:rFonts w:hint="eastAsia" w:ascii="楷体" w:hAnsi="楷体" w:eastAsia="楷体"/>
          <w:color w:val="auto"/>
          <w:highlight w:val="none"/>
        </w:rPr>
        <w:t>说明：</w:t>
      </w:r>
    </w:p>
    <w:p>
      <w:pPr>
        <w:pStyle w:val="13"/>
        <w:adjustRightInd w:val="0"/>
        <w:snapToGrid w:val="0"/>
        <w:spacing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1）投标人提供2022年的财务审计报告（成立时间至提交投标文件截止时间不足一年的可提供成立后任意时段的资产负债表），或其开标前三个月内基本存款账户开户银行出具的资信证明及基本存款账户开户许可证；</w:t>
      </w: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lang w:val="en-US" w:eastAsia="zh-CN"/>
        </w:rPr>
      </w:pPr>
    </w:p>
    <w:p>
      <w:pPr>
        <w:pStyle w:val="13"/>
        <w:adjustRightInd w:val="0"/>
        <w:snapToGrid w:val="0"/>
        <w:spacing w:line="360" w:lineRule="auto"/>
        <w:jc w:val="center"/>
        <w:rPr>
          <w:rFonts w:hint="eastAsia"/>
          <w:b/>
          <w:color w:val="auto"/>
          <w:sz w:val="36"/>
          <w:szCs w:val="36"/>
          <w:highlight w:val="none"/>
        </w:rPr>
      </w:pPr>
      <w:r>
        <w:rPr>
          <w:rFonts w:hint="eastAsia"/>
          <w:b/>
          <w:color w:val="auto"/>
          <w:sz w:val="36"/>
          <w:szCs w:val="36"/>
          <w:highlight w:val="none"/>
          <w:lang w:val="en-US" w:eastAsia="zh-CN"/>
        </w:rPr>
        <w:t>6</w:t>
      </w:r>
      <w:r>
        <w:rPr>
          <w:rFonts w:hint="eastAsia"/>
          <w:b/>
          <w:color w:val="auto"/>
          <w:sz w:val="36"/>
          <w:szCs w:val="36"/>
          <w:highlight w:val="none"/>
        </w:rPr>
        <w:t>.税收缴纳证明</w:t>
      </w:r>
    </w:p>
    <w:p>
      <w:pPr>
        <w:pStyle w:val="13"/>
        <w:adjustRightInd w:val="0"/>
        <w:snapToGrid w:val="0"/>
        <w:spacing w:line="360" w:lineRule="auto"/>
        <w:jc w:val="left"/>
        <w:rPr>
          <w:rFonts w:hint="eastAsia" w:ascii="楷体" w:hAnsi="楷体" w:eastAsia="楷体"/>
          <w:color w:val="auto"/>
          <w:highlight w:val="none"/>
        </w:rPr>
      </w:pPr>
      <w:r>
        <w:rPr>
          <w:rFonts w:hint="eastAsia" w:ascii="楷体" w:hAnsi="楷体" w:eastAsia="楷体"/>
          <w:color w:val="auto"/>
          <w:highlight w:val="none"/>
        </w:rPr>
        <w:t>说明：</w:t>
      </w:r>
    </w:p>
    <w:p>
      <w:pPr>
        <w:pStyle w:val="13"/>
        <w:adjustRightInd w:val="0"/>
        <w:snapToGrid w:val="0"/>
        <w:spacing w:line="360" w:lineRule="auto"/>
        <w:ind w:firstLine="420" w:firstLineChars="200"/>
        <w:rPr>
          <w:rFonts w:hint="eastAsia" w:hAnsi="宋体"/>
          <w:color w:val="auto"/>
          <w:highlight w:val="none"/>
        </w:rPr>
      </w:pPr>
      <w:r>
        <w:rPr>
          <w:rFonts w:hint="eastAsia" w:ascii="楷体" w:hAnsi="楷体" w:eastAsia="楷体"/>
          <w:color w:val="auto"/>
          <w:highlight w:val="none"/>
        </w:rPr>
        <w:t>（1）税收缴纳证明：投标人提供近半年内已缴纳的至少一个月的纳税证明或完税证明，纳税证明或完税证明上应有代收机构或税务机关的公章，依法免税的投标人应提供相关文件证明；</w:t>
      </w:r>
    </w:p>
    <w:p>
      <w:pPr>
        <w:pStyle w:val="13"/>
        <w:adjustRightInd w:val="0"/>
        <w:snapToGrid w:val="0"/>
        <w:spacing w:line="360" w:lineRule="auto"/>
        <w:jc w:val="left"/>
        <w:rPr>
          <w:rFonts w:hint="eastAsia"/>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left"/>
        <w:rPr>
          <w:rFonts w:hint="eastAsia"/>
          <w:b/>
          <w:color w:val="auto"/>
          <w:sz w:val="24"/>
          <w:szCs w:val="24"/>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b/>
          <w:color w:val="auto"/>
          <w:sz w:val="36"/>
          <w:szCs w:val="36"/>
          <w:highlight w:val="none"/>
        </w:rPr>
      </w:pPr>
    </w:p>
    <w:p>
      <w:pPr>
        <w:pStyle w:val="13"/>
        <w:adjustRightInd w:val="0"/>
        <w:snapToGrid w:val="0"/>
        <w:spacing w:line="360" w:lineRule="auto"/>
        <w:jc w:val="center"/>
        <w:rPr>
          <w:rFonts w:hint="eastAsia" w:ascii="宋体" w:hAnsi="宋体" w:eastAsia="宋体"/>
          <w:color w:val="auto"/>
          <w:szCs w:val="21"/>
          <w:highlight w:val="none"/>
          <w:lang w:val="en-US" w:eastAsia="zh-CN"/>
        </w:rPr>
      </w:pPr>
    </w:p>
    <w:p>
      <w:pPr>
        <w:pStyle w:val="13"/>
        <w:adjustRightInd w:val="0"/>
        <w:snapToGrid w:val="0"/>
        <w:spacing w:line="360" w:lineRule="auto"/>
        <w:jc w:val="center"/>
        <w:rPr>
          <w:rFonts w:hint="eastAsia" w:hAnsi="宋体"/>
          <w:b/>
          <w:color w:val="auto"/>
          <w:sz w:val="36"/>
          <w:szCs w:val="36"/>
          <w:highlight w:val="none"/>
        </w:rPr>
      </w:pPr>
      <w:r>
        <w:rPr>
          <w:rFonts w:hint="eastAsia"/>
          <w:b/>
          <w:color w:val="auto"/>
          <w:sz w:val="36"/>
          <w:szCs w:val="36"/>
          <w:highlight w:val="none"/>
          <w:lang w:val="en-US" w:eastAsia="zh-CN"/>
        </w:rPr>
        <w:br w:type="column"/>
      </w:r>
      <w:r>
        <w:rPr>
          <w:rFonts w:hint="eastAsia"/>
          <w:b/>
          <w:color w:val="auto"/>
          <w:sz w:val="36"/>
          <w:szCs w:val="36"/>
          <w:highlight w:val="none"/>
          <w:lang w:val="en-US" w:eastAsia="zh-CN"/>
        </w:rPr>
        <w:t>7</w:t>
      </w:r>
      <w:r>
        <w:rPr>
          <w:rFonts w:hint="eastAsia"/>
          <w:b/>
          <w:color w:val="auto"/>
          <w:sz w:val="36"/>
          <w:szCs w:val="36"/>
          <w:highlight w:val="none"/>
        </w:rPr>
        <w:t>.缴纳社会保障资金证明</w:t>
      </w:r>
    </w:p>
    <w:p>
      <w:pPr>
        <w:pStyle w:val="13"/>
        <w:adjustRightInd w:val="0"/>
        <w:snapToGrid w:val="0"/>
        <w:spacing w:line="360" w:lineRule="auto"/>
        <w:jc w:val="left"/>
        <w:rPr>
          <w:rFonts w:hint="eastAsia" w:ascii="楷体" w:hAnsi="楷体" w:eastAsia="楷体"/>
          <w:color w:val="auto"/>
          <w:highlight w:val="none"/>
        </w:rPr>
      </w:pPr>
      <w:r>
        <w:rPr>
          <w:rFonts w:hint="eastAsia" w:ascii="楷体" w:hAnsi="楷体" w:eastAsia="楷体"/>
          <w:color w:val="auto"/>
          <w:highlight w:val="none"/>
        </w:rPr>
        <w:t>说明：</w:t>
      </w:r>
    </w:p>
    <w:p>
      <w:pPr>
        <w:pStyle w:val="13"/>
        <w:adjustRightInd w:val="0"/>
        <w:snapToGrid w:val="0"/>
        <w:spacing w:line="360" w:lineRule="auto"/>
        <w:ind w:firstLine="482"/>
        <w:rPr>
          <w:rFonts w:hint="eastAsia" w:ascii="楷体" w:hAnsi="楷体" w:eastAsia="楷体"/>
          <w:color w:val="auto"/>
          <w:highlight w:val="none"/>
        </w:rPr>
      </w:pPr>
      <w:r>
        <w:rPr>
          <w:rFonts w:hint="eastAsia" w:ascii="楷体" w:hAnsi="楷体" w:eastAsia="楷体"/>
          <w:color w:val="auto"/>
          <w:highlight w:val="none"/>
        </w:rPr>
        <w:t>（1）社会保障资金缴纳证明：投标人提供近半年内已缴存的至少一个月的社会保障资金缴存单据或社保机构开具的社会保险参保缴费情况证明，依法不需要缴纳社会保障资金的投标人应提供相关文件证明；</w:t>
      </w:r>
    </w:p>
    <w:p>
      <w:pPr>
        <w:pStyle w:val="13"/>
        <w:adjustRightInd w:val="0"/>
        <w:snapToGrid w:val="0"/>
        <w:spacing w:line="360" w:lineRule="auto"/>
        <w:ind w:firstLine="560" w:firstLineChars="200"/>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rPr>
          <w:rFonts w:hint="eastAsia" w:ascii="仿宋_GB2312" w:hAnsi="宋体" w:eastAsia="仿宋_GB2312"/>
          <w:color w:val="auto"/>
          <w:sz w:val="28"/>
          <w:szCs w:val="28"/>
          <w:highlight w:val="none"/>
        </w:rPr>
      </w:pPr>
    </w:p>
    <w:p>
      <w:pPr>
        <w:pStyle w:val="2"/>
        <w:rPr>
          <w:rFonts w:hint="eastAsia" w:ascii="仿宋_GB2312" w:hAnsi="宋体" w:eastAsia="仿宋_GB2312"/>
          <w:color w:val="auto"/>
          <w:sz w:val="28"/>
          <w:szCs w:val="28"/>
          <w:highlight w:val="none"/>
        </w:rPr>
      </w:pPr>
    </w:p>
    <w:p>
      <w:pPr>
        <w:pStyle w:val="13"/>
        <w:adjustRightInd w:val="0"/>
        <w:snapToGrid w:val="0"/>
        <w:spacing w:line="360" w:lineRule="auto"/>
        <w:jc w:val="center"/>
        <w:rPr>
          <w:rFonts w:hint="eastAsia" w:ascii="宋体" w:eastAsia="宋体"/>
          <w:b/>
          <w:color w:val="auto"/>
          <w:sz w:val="36"/>
          <w:szCs w:val="36"/>
          <w:highlight w:val="none"/>
          <w:lang w:val="en-US" w:eastAsia="zh-CN"/>
        </w:rPr>
      </w:pPr>
      <w:r>
        <w:rPr>
          <w:rFonts w:hint="eastAsia"/>
          <w:b/>
          <w:color w:val="auto"/>
          <w:sz w:val="36"/>
          <w:szCs w:val="36"/>
          <w:highlight w:val="none"/>
          <w:lang w:val="en-US" w:eastAsia="zh-CN"/>
        </w:rPr>
        <w:t>8</w:t>
      </w:r>
      <w:r>
        <w:rPr>
          <w:rFonts w:hint="eastAsia" w:ascii="宋体" w:eastAsia="宋体"/>
          <w:b/>
          <w:color w:val="auto"/>
          <w:sz w:val="36"/>
          <w:szCs w:val="36"/>
          <w:highlight w:val="none"/>
          <w:lang w:val="en-US" w:eastAsia="zh-CN"/>
        </w:rPr>
        <w:t>.信用中国和中国政府采购网以及国家企业信用信息公示系统截图</w:t>
      </w:r>
    </w:p>
    <w:p>
      <w:pPr>
        <w:pStyle w:val="13"/>
        <w:adjustRightInd w:val="0"/>
        <w:snapToGrid w:val="0"/>
        <w:spacing w:line="360" w:lineRule="auto"/>
        <w:jc w:val="left"/>
        <w:rPr>
          <w:rFonts w:hint="eastAsia" w:ascii="楷体" w:hAnsi="楷体" w:eastAsia="楷体"/>
          <w:color w:val="auto"/>
          <w:highlight w:val="none"/>
        </w:rPr>
      </w:pPr>
      <w:r>
        <w:rPr>
          <w:rFonts w:hint="eastAsia" w:ascii="楷体" w:hAnsi="楷体" w:eastAsia="楷体"/>
          <w:color w:val="auto"/>
          <w:highlight w:val="none"/>
        </w:rPr>
        <w:t>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楷体" w:hAnsi="楷体" w:eastAsia="楷体" w:cs="Courier New"/>
          <w:color w:val="auto"/>
          <w:kern w:val="2"/>
          <w:sz w:val="21"/>
          <w:szCs w:val="21"/>
          <w:highlight w:val="none"/>
          <w:lang w:val="en-US" w:eastAsia="zh-CN" w:bidi="ar-SA"/>
        </w:rPr>
      </w:pPr>
      <w:r>
        <w:rPr>
          <w:rFonts w:hint="eastAsia" w:ascii="楷体" w:hAnsi="楷体" w:eastAsia="楷体"/>
          <w:color w:val="auto"/>
          <w:highlight w:val="none"/>
        </w:rPr>
        <w:t>（1）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p>
      <w:pPr>
        <w:rPr>
          <w:rFonts w:hint="eastAsia"/>
        </w:rPr>
      </w:pPr>
    </w:p>
    <w:p>
      <w:pPr>
        <w:pStyle w:val="6"/>
        <w:pageBreakBefore/>
        <w:ind w:firstLine="0"/>
        <w:jc w:val="center"/>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9</w:t>
      </w:r>
      <w:r>
        <w:rPr>
          <w:rFonts w:hint="eastAsia" w:ascii="宋体" w:hAnsi="宋体"/>
          <w:b/>
          <w:color w:val="auto"/>
          <w:sz w:val="36"/>
          <w:szCs w:val="36"/>
          <w:highlight w:val="none"/>
        </w:rPr>
        <w:t>.</w:t>
      </w:r>
      <w:r>
        <w:rPr>
          <w:rFonts w:hint="eastAsia" w:ascii="宋体" w:hAnsi="宋体" w:cs="宋体"/>
          <w:b/>
          <w:color w:val="auto"/>
          <w:kern w:val="0"/>
          <w:sz w:val="36"/>
          <w:szCs w:val="36"/>
          <w:highlight w:val="none"/>
          <w:lang w:val="zh-CN"/>
        </w:rPr>
        <w:t>具备履行合同所必需的设备和专业技术能力的证明</w:t>
      </w:r>
    </w:p>
    <w:p>
      <w:pPr>
        <w:pStyle w:val="6"/>
        <w:spacing w:after="240" w:afterLines="100"/>
        <w:ind w:firstLine="0"/>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（一）完成本项目必须的设备清单</w:t>
      </w:r>
    </w:p>
    <w:p>
      <w:pPr>
        <w:pStyle w:val="6"/>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rPr>
        <w:t>投标人：                                           采购项目编号：</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241"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设备名称</w:t>
            </w:r>
          </w:p>
        </w:tc>
        <w:tc>
          <w:tcPr>
            <w:tcW w:w="1445"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992"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2410"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生产企业</w:t>
            </w:r>
          </w:p>
        </w:tc>
        <w:tc>
          <w:tcPr>
            <w:tcW w:w="1270"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pPr>
              <w:pStyle w:val="6"/>
              <w:ind w:firstLine="0"/>
              <w:jc w:val="left"/>
              <w:rPr>
                <w:rFonts w:hint="eastAsia" w:ascii="宋体" w:hAnsi="宋体"/>
                <w:b/>
                <w:color w:val="auto"/>
                <w:sz w:val="28"/>
                <w:szCs w:val="28"/>
                <w:highlight w:val="none"/>
              </w:rPr>
            </w:pPr>
          </w:p>
        </w:tc>
        <w:tc>
          <w:tcPr>
            <w:tcW w:w="2241" w:type="dxa"/>
            <w:noWrap w:val="0"/>
            <w:vAlign w:val="top"/>
          </w:tcPr>
          <w:p>
            <w:pPr>
              <w:pStyle w:val="6"/>
              <w:ind w:firstLine="0"/>
              <w:jc w:val="left"/>
              <w:rPr>
                <w:rFonts w:hint="eastAsia" w:ascii="宋体" w:hAnsi="宋体"/>
                <w:b/>
                <w:color w:val="auto"/>
                <w:sz w:val="28"/>
                <w:szCs w:val="28"/>
                <w:highlight w:val="none"/>
              </w:rPr>
            </w:pPr>
          </w:p>
        </w:tc>
        <w:tc>
          <w:tcPr>
            <w:tcW w:w="1445" w:type="dxa"/>
            <w:noWrap w:val="0"/>
            <w:vAlign w:val="top"/>
          </w:tcPr>
          <w:p>
            <w:pPr>
              <w:pStyle w:val="6"/>
              <w:ind w:firstLine="0"/>
              <w:jc w:val="left"/>
              <w:rPr>
                <w:rFonts w:hint="eastAsia" w:ascii="宋体" w:hAnsi="宋体"/>
                <w:b/>
                <w:color w:val="auto"/>
                <w:sz w:val="28"/>
                <w:szCs w:val="28"/>
                <w:highlight w:val="none"/>
              </w:rPr>
            </w:pPr>
          </w:p>
        </w:tc>
        <w:tc>
          <w:tcPr>
            <w:tcW w:w="992" w:type="dxa"/>
            <w:noWrap w:val="0"/>
            <w:vAlign w:val="top"/>
          </w:tcPr>
          <w:p>
            <w:pPr>
              <w:pStyle w:val="6"/>
              <w:ind w:firstLine="0"/>
              <w:jc w:val="left"/>
              <w:rPr>
                <w:rFonts w:hint="eastAsia" w:ascii="宋体" w:hAnsi="宋体"/>
                <w:b/>
                <w:color w:val="auto"/>
                <w:sz w:val="28"/>
                <w:szCs w:val="28"/>
                <w:highlight w:val="none"/>
              </w:rPr>
            </w:pPr>
          </w:p>
        </w:tc>
        <w:tc>
          <w:tcPr>
            <w:tcW w:w="2410" w:type="dxa"/>
            <w:noWrap w:val="0"/>
            <w:vAlign w:val="top"/>
          </w:tcPr>
          <w:p>
            <w:pPr>
              <w:pStyle w:val="6"/>
              <w:ind w:firstLine="0"/>
              <w:jc w:val="left"/>
              <w:rPr>
                <w:rFonts w:hint="eastAsia" w:ascii="宋体" w:hAnsi="宋体"/>
                <w:b/>
                <w:color w:val="auto"/>
                <w:sz w:val="28"/>
                <w:szCs w:val="28"/>
                <w:highlight w:val="none"/>
              </w:rPr>
            </w:pPr>
          </w:p>
        </w:tc>
        <w:tc>
          <w:tcPr>
            <w:tcW w:w="1270" w:type="dxa"/>
            <w:noWrap w:val="0"/>
            <w:vAlign w:val="top"/>
          </w:tcPr>
          <w:p>
            <w:pPr>
              <w:pStyle w:val="6"/>
              <w:ind w:firstLine="0"/>
              <w:jc w:val="left"/>
              <w:rPr>
                <w:rFonts w:hint="eastAsia" w:ascii="宋体" w:hAnsi="宋体"/>
                <w:b/>
                <w:color w:val="auto"/>
                <w:sz w:val="28"/>
                <w:szCs w:val="28"/>
                <w:highlight w:val="none"/>
              </w:rPr>
            </w:pPr>
          </w:p>
        </w:tc>
      </w:tr>
    </w:tbl>
    <w:p>
      <w:pPr>
        <w:adjustRightInd w:val="0"/>
        <w:spacing w:line="400" w:lineRule="exact"/>
        <w:ind w:firstLine="105" w:firstLineChars="50"/>
        <w:jc w:val="left"/>
        <w:rPr>
          <w:rFonts w:hint="eastAsia" w:ascii="楷体" w:hAnsi="楷体" w:eastAsia="楷体"/>
          <w:color w:val="auto"/>
          <w:szCs w:val="21"/>
          <w:highlight w:val="none"/>
        </w:rPr>
      </w:pPr>
      <w:r>
        <w:rPr>
          <w:rFonts w:hint="eastAsia" w:ascii="楷体" w:hAnsi="楷体" w:eastAsia="楷体"/>
          <w:color w:val="auto"/>
          <w:szCs w:val="21"/>
          <w:highlight w:val="none"/>
        </w:rPr>
        <w:t>说明：设备可以填写单台设备，也可以填写成套设备。</w:t>
      </w:r>
    </w:p>
    <w:p>
      <w:pPr>
        <w:adjustRightInd w:val="0"/>
        <w:spacing w:before="480" w:beforeLines="200" w:line="360" w:lineRule="auto"/>
        <w:ind w:firstLine="105" w:firstLineChars="50"/>
        <w:jc w:val="left"/>
        <w:rPr>
          <w:rFonts w:hint="eastAsia" w:ascii="宋体" w:hAnsi="宋体"/>
          <w:color w:val="auto"/>
          <w:szCs w:val="21"/>
          <w:highlight w:val="none"/>
        </w:rPr>
      </w:pPr>
    </w:p>
    <w:p>
      <w:pPr>
        <w:adjustRightInd w:val="0"/>
        <w:spacing w:before="480" w:beforeLines="200" w:line="360" w:lineRule="auto"/>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pPr>
        <w:spacing w:line="400" w:lineRule="exact"/>
        <w:jc w:val="center"/>
        <w:outlineLvl w:val="1"/>
        <w:rPr>
          <w:rFonts w:hint="eastAsia" w:ascii="宋体" w:hAnsi="宋体"/>
          <w:color w:val="auto"/>
          <w:szCs w:val="21"/>
          <w:highlight w:val="none"/>
        </w:rPr>
      </w:pPr>
    </w:p>
    <w:p>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before="480" w:beforeLines="200"/>
        <w:ind w:firstLine="123" w:firstLineChars="59"/>
        <w:outlineLvl w:val="1"/>
        <w:rPr>
          <w:rFonts w:hint="eastAsia" w:ascii="宋体" w:hAnsi="宋体"/>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pStyle w:val="6"/>
        <w:spacing w:after="240" w:afterLines="100"/>
        <w:ind w:firstLine="0"/>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（二）本项目组织实施人员</w:t>
      </w:r>
    </w:p>
    <w:p>
      <w:pPr>
        <w:pStyle w:val="6"/>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rPr>
        <w:t>投标人：                                     采购项目编号：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当前</w:t>
            </w:r>
          </w:p>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pPr>
              <w:pStyle w:val="6"/>
              <w:ind w:firstLine="0"/>
              <w:jc w:val="left"/>
              <w:rPr>
                <w:rFonts w:hint="eastAsia" w:ascii="宋体" w:hAnsi="宋体"/>
                <w:b/>
                <w:color w:val="auto"/>
                <w:sz w:val="28"/>
                <w:szCs w:val="28"/>
                <w:highlight w:val="none"/>
              </w:rPr>
            </w:pPr>
            <w:r>
              <w:rPr>
                <w:rFonts w:hint="eastAsia" w:ascii="宋体" w:hAnsi="宋体"/>
                <w:b/>
                <w:color w:val="auto"/>
                <w:sz w:val="28"/>
                <w:szCs w:val="28"/>
                <w:highlight w:val="none"/>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当前</w:t>
            </w:r>
          </w:p>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b/>
                <w:color w:val="auto"/>
                <w:sz w:val="28"/>
                <w:szCs w:val="28"/>
                <w:highlight w:val="none"/>
              </w:rPr>
            </w:pPr>
            <w:r>
              <w:rPr>
                <w:rFonts w:hint="eastAsia" w:ascii="宋体" w:hAnsi="宋体"/>
                <w:b/>
                <w:color w:val="auto"/>
                <w:sz w:val="28"/>
                <w:szCs w:val="28"/>
                <w:highlight w:val="none"/>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当前</w:t>
            </w:r>
          </w:p>
          <w:p>
            <w:pPr>
              <w:pStyle w:val="6"/>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noWrap w:val="0"/>
            <w:vAlign w:val="top"/>
          </w:tcPr>
          <w:p>
            <w:pPr>
              <w:pStyle w:val="6"/>
              <w:ind w:firstLine="0"/>
              <w:jc w:val="left"/>
              <w:rPr>
                <w:rFonts w:hint="eastAsia" w:ascii="宋体" w:hAnsi="宋体"/>
                <w:b/>
                <w:color w:val="auto"/>
                <w:sz w:val="28"/>
                <w:szCs w:val="28"/>
                <w:highlight w:val="none"/>
              </w:rPr>
            </w:pPr>
          </w:p>
        </w:tc>
        <w:tc>
          <w:tcPr>
            <w:tcW w:w="1134" w:type="dxa"/>
            <w:noWrap w:val="0"/>
            <w:vAlign w:val="top"/>
          </w:tcPr>
          <w:p>
            <w:pPr>
              <w:pStyle w:val="6"/>
              <w:ind w:firstLine="0"/>
              <w:jc w:val="left"/>
              <w:rPr>
                <w:rFonts w:hint="eastAsia" w:ascii="宋体" w:hAnsi="宋体"/>
                <w:b/>
                <w:color w:val="auto"/>
                <w:sz w:val="28"/>
                <w:szCs w:val="28"/>
                <w:highlight w:val="none"/>
              </w:rPr>
            </w:pPr>
          </w:p>
        </w:tc>
        <w:tc>
          <w:tcPr>
            <w:tcW w:w="1560" w:type="dxa"/>
            <w:noWrap w:val="0"/>
            <w:vAlign w:val="top"/>
          </w:tcPr>
          <w:p>
            <w:pPr>
              <w:pStyle w:val="6"/>
              <w:ind w:firstLine="0"/>
              <w:jc w:val="left"/>
              <w:rPr>
                <w:rFonts w:hint="eastAsia" w:ascii="宋体" w:hAnsi="宋体"/>
                <w:b/>
                <w:color w:val="auto"/>
                <w:sz w:val="28"/>
                <w:szCs w:val="28"/>
                <w:highlight w:val="none"/>
              </w:rPr>
            </w:pPr>
          </w:p>
        </w:tc>
        <w:tc>
          <w:tcPr>
            <w:tcW w:w="1701" w:type="dxa"/>
            <w:noWrap w:val="0"/>
            <w:vAlign w:val="top"/>
          </w:tcPr>
          <w:p>
            <w:pPr>
              <w:pStyle w:val="6"/>
              <w:ind w:firstLine="0"/>
              <w:jc w:val="left"/>
              <w:rPr>
                <w:rFonts w:hint="eastAsia" w:ascii="宋体" w:hAnsi="宋体"/>
                <w:b/>
                <w:color w:val="auto"/>
                <w:sz w:val="28"/>
                <w:szCs w:val="28"/>
                <w:highlight w:val="none"/>
              </w:rPr>
            </w:pPr>
          </w:p>
        </w:tc>
        <w:tc>
          <w:tcPr>
            <w:tcW w:w="1984" w:type="dxa"/>
            <w:noWrap w:val="0"/>
            <w:vAlign w:val="top"/>
          </w:tcPr>
          <w:p>
            <w:pPr>
              <w:pStyle w:val="6"/>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pPr>
              <w:pStyle w:val="6"/>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6"/>
              <w:ind w:firstLine="0"/>
              <w:jc w:val="left"/>
              <w:rPr>
                <w:rFonts w:hint="eastAsia" w:ascii="宋体" w:hAnsi="宋体"/>
                <w:b/>
                <w:color w:val="auto"/>
                <w:sz w:val="28"/>
                <w:szCs w:val="28"/>
                <w:highlight w:val="none"/>
              </w:rPr>
            </w:pPr>
          </w:p>
        </w:tc>
      </w:tr>
    </w:tbl>
    <w:p>
      <w:pPr>
        <w:pStyle w:val="6"/>
        <w:ind w:firstLine="0"/>
        <w:jc w:val="left"/>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pStyle w:val="6"/>
        <w:ind w:firstLine="0"/>
        <w:jc w:val="left"/>
        <w:rPr>
          <w:rFonts w:hint="eastAsia" w:ascii="楷体" w:hAnsi="楷体" w:eastAsia="楷体"/>
          <w:color w:val="auto"/>
          <w:szCs w:val="21"/>
          <w:highlight w:val="none"/>
        </w:rPr>
      </w:pPr>
      <w:r>
        <w:rPr>
          <w:rFonts w:hint="eastAsia" w:ascii="楷体" w:hAnsi="楷体" w:eastAsia="楷体"/>
          <w:color w:val="auto"/>
          <w:szCs w:val="21"/>
          <w:highlight w:val="none"/>
        </w:rPr>
        <w:t>1.职务是指在本单位所担任的职务。2.除表（一）（二）外，需要补充的证明材料可另纸说明。</w:t>
      </w: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pPr>
        <w:spacing w:line="400" w:lineRule="exact"/>
        <w:jc w:val="center"/>
        <w:outlineLvl w:val="1"/>
        <w:rPr>
          <w:rFonts w:hint="eastAsia" w:ascii="宋体" w:hAnsi="宋体"/>
          <w:color w:val="auto"/>
          <w:szCs w:val="21"/>
          <w:highlight w:val="none"/>
        </w:rPr>
      </w:pPr>
    </w:p>
    <w:p>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before="480" w:beforeLines="200"/>
        <w:ind w:firstLine="123" w:firstLineChars="59"/>
        <w:outlineLvl w:val="1"/>
        <w:rPr>
          <w:rFonts w:hint="eastAsia" w:ascii="宋体" w:hAnsi="宋体"/>
          <w:b/>
          <w:color w:val="auto"/>
          <w:sz w:val="36"/>
          <w:szCs w:val="36"/>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6"/>
        <w:ind w:firstLine="0"/>
        <w:jc w:val="center"/>
        <w:rPr>
          <w:rFonts w:hint="eastAsia" w:ascii="宋体" w:hAnsi="宋体"/>
          <w:b/>
          <w:color w:val="auto"/>
          <w:sz w:val="36"/>
          <w:szCs w:val="36"/>
          <w:highlight w:val="none"/>
        </w:rPr>
      </w:pPr>
    </w:p>
    <w:p>
      <w:pPr>
        <w:pStyle w:val="6"/>
        <w:ind w:firstLine="0"/>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lang w:val="en-US" w:eastAsia="zh-CN"/>
        </w:rPr>
        <w:t>10</w:t>
      </w:r>
      <w:r>
        <w:rPr>
          <w:rFonts w:hint="eastAsia" w:ascii="宋体" w:hAnsi="宋体"/>
          <w:b/>
          <w:color w:val="auto"/>
          <w:sz w:val="36"/>
          <w:szCs w:val="36"/>
          <w:highlight w:val="none"/>
        </w:rPr>
        <w:t>.投标声明书</w:t>
      </w:r>
    </w:p>
    <w:p>
      <w:pPr>
        <w:pStyle w:val="6"/>
        <w:ind w:firstLine="0"/>
        <w:jc w:val="center"/>
        <w:rPr>
          <w:rFonts w:hint="eastAsia" w:ascii="仿宋_GB2312" w:eastAsia="仿宋_GB2312"/>
          <w:b/>
          <w:color w:val="auto"/>
          <w:sz w:val="36"/>
          <w:szCs w:val="36"/>
          <w:highlight w:val="none"/>
        </w:rPr>
      </w:pPr>
    </w:p>
    <w:p>
      <w:pPr>
        <w:pStyle w:val="6"/>
        <w:ind w:firstLine="0"/>
        <w:jc w:val="center"/>
        <w:rPr>
          <w:rFonts w:hint="eastAsia" w:ascii="仿宋_GB2312" w:eastAsia="仿宋_GB2312"/>
          <w:b/>
          <w:color w:val="auto"/>
          <w:sz w:val="36"/>
          <w:szCs w:val="36"/>
          <w:highlight w:val="none"/>
        </w:rPr>
      </w:pPr>
    </w:p>
    <w:p>
      <w:pPr>
        <w:pStyle w:val="6"/>
        <w:spacing w:after="120" w:afterLines="50" w:line="360" w:lineRule="auto"/>
        <w:ind w:firstLine="0"/>
        <w:rPr>
          <w:rFonts w:hint="eastAsia" w:ascii="宋体" w:hAnsi="宋体"/>
          <w:b/>
          <w:color w:val="auto"/>
          <w:szCs w:val="21"/>
          <w:highlight w:val="none"/>
        </w:rPr>
      </w:pPr>
      <w:r>
        <w:rPr>
          <w:rFonts w:hint="eastAsia" w:ascii="宋体" w:hAnsi="宋体"/>
          <w:b/>
          <w:color w:val="auto"/>
          <w:szCs w:val="21"/>
          <w:highlight w:val="none"/>
          <w:lang w:eastAsia="zh-CN"/>
        </w:rPr>
        <w:t>新疆华域建设工程项目管理咨询有限公司</w:t>
      </w:r>
      <w:r>
        <w:rPr>
          <w:rFonts w:hint="eastAsia" w:ascii="宋体" w:hAnsi="宋体"/>
          <w:b/>
          <w:color w:val="auto"/>
          <w:szCs w:val="21"/>
          <w:highlight w:val="none"/>
        </w:rPr>
        <w:t>：</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（投标人），就参加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采购项目（采购项目编号：    ）投标事宜，在此郑重声明：</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1.我方所提交的投标文件全部真实有效；</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2.我方近3年来无因安全事故、质量事故、投标违规等不良记录被政府有关部门处罚或仍在处罚期限内的情形存在；</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3.我方近3年来无违规违法经营受到责令停产(或停止经营)、吊销生产许可证（或经营许可证）、较大数额罚款（举行听证会）等行政处罚的情形存在；</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4.我方无企业财产被查封、冻结或处于破产状态或严重亏损状态等情形存在；</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5.我方承诺在投标过程中，保证不予其他单位围标、串标，不出让投标资格，不采取不正当手段诋毁、排挤其他投标人，不向采购人、采购代理机构、评标委员会成员行贿；</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6.我方参加本次政府采购活动近3年内，在经营活动中没有重大违法记录；</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7.我方在投标时未列入政府采购严重违法</w:t>
      </w:r>
      <w:r>
        <w:rPr>
          <w:rFonts w:hint="eastAsia" w:ascii="宋体" w:hAnsi="宋体" w:cs="Arial"/>
          <w:color w:val="auto"/>
          <w:szCs w:val="21"/>
          <w:highlight w:val="none"/>
          <w:shd w:val="clear" w:color="auto" w:fill="FFFFFF"/>
        </w:rPr>
        <w:t>失信行为记录</w:t>
      </w:r>
      <w:r>
        <w:rPr>
          <w:rFonts w:hint="eastAsia" w:ascii="宋体" w:hAnsi="宋体"/>
          <w:color w:val="auto"/>
          <w:szCs w:val="21"/>
          <w:highlight w:val="none"/>
        </w:rPr>
        <w:t>名单、失信被执行人、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w:t>
      </w:r>
    </w:p>
    <w:p>
      <w:pPr>
        <w:pStyle w:val="6"/>
        <w:spacing w:line="360" w:lineRule="auto"/>
        <w:ind w:firstLine="573"/>
        <w:rPr>
          <w:rFonts w:hint="eastAsia"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pPr>
        <w:pStyle w:val="6"/>
        <w:spacing w:line="480" w:lineRule="auto"/>
        <w:ind w:firstLine="570"/>
        <w:rPr>
          <w:rFonts w:hint="eastAsia" w:ascii="宋体" w:hAnsi="宋体"/>
          <w:color w:val="auto"/>
          <w:szCs w:val="21"/>
          <w:highlight w:val="none"/>
        </w:rPr>
      </w:pPr>
    </w:p>
    <w:p>
      <w:pPr>
        <w:pStyle w:val="6"/>
        <w:spacing w:line="480" w:lineRule="auto"/>
        <w:ind w:firstLine="570"/>
        <w:rPr>
          <w:rFonts w:hint="eastAsia" w:ascii="宋体" w:hAnsi="宋体"/>
          <w:color w:val="auto"/>
          <w:szCs w:val="21"/>
          <w:highlight w:val="none"/>
        </w:rPr>
      </w:pPr>
      <w:r>
        <w:rPr>
          <w:rFonts w:hint="eastAsia" w:ascii="宋体" w:hAnsi="宋体"/>
          <w:color w:val="auto"/>
          <w:szCs w:val="21"/>
          <w:highlight w:val="none"/>
        </w:rPr>
        <w:t>特此声明！</w:t>
      </w:r>
    </w:p>
    <w:p>
      <w:pPr>
        <w:pStyle w:val="6"/>
        <w:spacing w:line="480" w:lineRule="auto"/>
        <w:ind w:firstLine="570"/>
        <w:rPr>
          <w:rFonts w:hint="eastAsia" w:ascii="宋体" w:hAnsi="宋体"/>
          <w:color w:val="auto"/>
          <w:szCs w:val="21"/>
          <w:highlight w:val="none"/>
        </w:rPr>
      </w:pPr>
    </w:p>
    <w:p>
      <w:pPr>
        <w:pStyle w:val="6"/>
        <w:spacing w:line="480" w:lineRule="auto"/>
        <w:ind w:firstLine="570"/>
        <w:rPr>
          <w:rFonts w:hint="eastAsia" w:ascii="宋体" w:hAnsi="宋体"/>
          <w:color w:val="auto"/>
          <w:szCs w:val="21"/>
          <w:highlight w:val="none"/>
        </w:rPr>
      </w:pPr>
      <w:r>
        <w:rPr>
          <w:rFonts w:hint="eastAsia" w:ascii="宋体" w:hAnsi="宋体"/>
          <w:color w:val="auto"/>
          <w:szCs w:val="21"/>
          <w:highlight w:val="none"/>
        </w:rPr>
        <w:t>声  明  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pStyle w:val="6"/>
        <w:spacing w:line="480" w:lineRule="auto"/>
        <w:ind w:firstLine="573"/>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pStyle w:val="6"/>
        <w:spacing w:line="480" w:lineRule="auto"/>
        <w:ind w:firstLine="573"/>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p>
    <w:p>
      <w:pPr>
        <w:tabs>
          <w:tab w:val="left" w:pos="3600"/>
        </w:tabs>
        <w:adjustRightInd w:val="0"/>
        <w:snapToGrid w:val="0"/>
        <w:jc w:val="center"/>
        <w:rPr>
          <w:rFonts w:hint="eastAsia" w:ascii="宋体" w:hAnsi="宋体"/>
          <w:b/>
          <w:color w:val="auto"/>
          <w:sz w:val="36"/>
          <w:szCs w:val="36"/>
          <w:highlight w:val="none"/>
        </w:rPr>
      </w:pPr>
    </w:p>
    <w:p>
      <w:pPr>
        <w:tabs>
          <w:tab w:val="left" w:pos="3600"/>
        </w:tabs>
        <w:adjustRightInd w:val="0"/>
        <w:snapToGrid w:val="0"/>
        <w:jc w:val="center"/>
        <w:rPr>
          <w:rFonts w:hint="eastAsia" w:ascii="宋体" w:hAnsi="宋体"/>
          <w:b/>
          <w:color w:val="auto"/>
          <w:sz w:val="36"/>
          <w:szCs w:val="36"/>
          <w:highlight w:val="none"/>
        </w:rPr>
      </w:pPr>
    </w:p>
    <w:p>
      <w:pPr>
        <w:pStyle w:val="26"/>
        <w:rPr>
          <w:rFonts w:hint="eastAsia"/>
          <w:highlight w:val="none"/>
        </w:rPr>
      </w:pPr>
    </w:p>
    <w:p>
      <w:pPr>
        <w:tabs>
          <w:tab w:val="left" w:pos="3600"/>
        </w:tabs>
        <w:adjustRightInd w:val="0"/>
        <w:snapToGrid w:val="0"/>
        <w:jc w:val="center"/>
        <w:rPr>
          <w:rFonts w:hint="eastAsia" w:ascii="宋体" w:hAnsi="宋体"/>
          <w:b/>
          <w:color w:val="auto"/>
          <w:sz w:val="36"/>
          <w:szCs w:val="36"/>
          <w:highlight w:val="none"/>
        </w:rPr>
      </w:pPr>
    </w:p>
    <w:p>
      <w:pPr>
        <w:tabs>
          <w:tab w:val="left" w:pos="3600"/>
        </w:tabs>
        <w:adjustRightInd w:val="0"/>
        <w:snapToGrid w:val="0"/>
        <w:spacing w:before="240" w:beforeLines="100"/>
        <w:jc w:val="center"/>
        <w:rPr>
          <w:rFonts w:hint="eastAsia"/>
          <w:color w:val="auto"/>
          <w:sz w:val="36"/>
          <w:szCs w:val="36"/>
          <w:highlight w:val="none"/>
        </w:rPr>
      </w:pPr>
      <w:r>
        <w:rPr>
          <w:rFonts w:hint="eastAsia"/>
          <w:color w:val="auto"/>
          <w:kern w:val="0"/>
          <w:sz w:val="36"/>
          <w:szCs w:val="36"/>
          <w:highlight w:val="none"/>
          <w:lang w:val="en-US" w:eastAsia="zh-CN"/>
        </w:rPr>
        <w:t>11</w:t>
      </w:r>
      <w:r>
        <w:rPr>
          <w:rFonts w:hint="eastAsia" w:ascii="宋体" w:hAnsi="宋体"/>
          <w:color w:val="auto"/>
          <w:kern w:val="0"/>
          <w:sz w:val="36"/>
          <w:szCs w:val="36"/>
          <w:highlight w:val="none"/>
        </w:rPr>
        <w:t>.</w:t>
      </w:r>
      <w:r>
        <w:rPr>
          <w:rFonts w:hint="eastAsia" w:ascii="黑体" w:hAnsi="宋体" w:eastAsia="黑体"/>
          <w:b/>
          <w:color w:val="auto"/>
          <w:sz w:val="36"/>
          <w:szCs w:val="36"/>
          <w:highlight w:val="none"/>
        </w:rPr>
        <w:t>提供投标人享受政府采购优惠政策的证明材料</w:t>
      </w:r>
    </w:p>
    <w:p>
      <w:pPr>
        <w:adjustRightInd w:val="0"/>
        <w:snapToGrid w:val="0"/>
        <w:spacing w:line="360" w:lineRule="auto"/>
        <w:rPr>
          <w:rFonts w:hint="eastAsia" w:ascii="仿宋_GB2312" w:hAnsi="宋体" w:eastAsia="仿宋_GB2312"/>
          <w:bCs/>
          <w:color w:val="auto"/>
          <w:szCs w:val="21"/>
          <w:highlight w:val="none"/>
        </w:rPr>
      </w:pPr>
    </w:p>
    <w:p>
      <w:pPr>
        <w:pStyle w:val="13"/>
        <w:adjustRightInd w:val="0"/>
        <w:snapToGrid w:val="0"/>
        <w:spacing w:line="360" w:lineRule="auto"/>
        <w:rPr>
          <w:rFonts w:hint="eastAsia" w:ascii="楷体" w:hAnsi="楷体" w:eastAsia="楷体"/>
          <w:color w:val="auto"/>
          <w:highlight w:val="none"/>
        </w:rPr>
      </w:pPr>
      <w:r>
        <w:rPr>
          <w:rFonts w:hint="eastAsia" w:ascii="楷体" w:hAnsi="楷体" w:eastAsia="楷体"/>
          <w:color w:val="auto"/>
          <w:highlight w:val="none"/>
        </w:rPr>
        <w:t>说明：</w:t>
      </w:r>
    </w:p>
    <w:p>
      <w:pPr>
        <w:pStyle w:val="13"/>
        <w:adjustRightInd w:val="0"/>
        <w:snapToGrid w:val="0"/>
        <w:spacing w:line="360" w:lineRule="auto"/>
        <w:ind w:firstLine="630" w:firstLineChars="300"/>
        <w:rPr>
          <w:rFonts w:hint="eastAsia" w:ascii="楷体" w:hAnsi="楷体" w:eastAsia="楷体"/>
          <w:color w:val="auto"/>
          <w:highlight w:val="none"/>
        </w:rPr>
      </w:pPr>
      <w:r>
        <w:rPr>
          <w:rFonts w:hint="eastAsia" w:ascii="楷体" w:hAnsi="楷体" w:eastAsia="楷体"/>
          <w:color w:val="auto"/>
          <w:highlight w:val="none"/>
        </w:rPr>
        <w:t>（1）中小企业声明函格式见附件4；（非</w:t>
      </w:r>
      <w:r>
        <w:rPr>
          <w:rFonts w:hint="eastAsia" w:ascii="楷体" w:hAnsi="楷体" w:eastAsia="楷体"/>
          <w:color w:val="auto"/>
          <w:highlight w:val="none"/>
          <w:lang w:eastAsia="zh-CN"/>
        </w:rPr>
        <w:t>中</w:t>
      </w:r>
      <w:r>
        <w:rPr>
          <w:rFonts w:hint="eastAsia" w:ascii="楷体" w:hAnsi="楷体" w:eastAsia="楷体"/>
          <w:color w:val="auto"/>
          <w:highlight w:val="none"/>
        </w:rPr>
        <w:t>小微企业可不提供该附件）</w:t>
      </w:r>
    </w:p>
    <w:p>
      <w:pPr>
        <w:pStyle w:val="13"/>
        <w:adjustRightInd w:val="0"/>
        <w:snapToGrid w:val="0"/>
        <w:spacing w:line="360" w:lineRule="auto"/>
        <w:ind w:firstLine="630" w:firstLineChars="300"/>
        <w:rPr>
          <w:rFonts w:hint="eastAsia" w:ascii="楷体" w:hAnsi="楷体" w:eastAsia="楷体"/>
          <w:color w:val="auto"/>
          <w:highlight w:val="none"/>
        </w:rPr>
      </w:pPr>
      <w:r>
        <w:rPr>
          <w:rFonts w:hint="eastAsia" w:ascii="楷体" w:hAnsi="楷体" w:eastAsia="楷体"/>
          <w:color w:val="auto"/>
          <w:highlight w:val="none"/>
        </w:rPr>
        <w:t>（2）残疾人福利性单位声明函格式见附件5；（非残疾人福利企业可不提供该附件）</w:t>
      </w:r>
    </w:p>
    <w:p>
      <w:pPr>
        <w:adjustRightInd w:val="0"/>
        <w:snapToGrid w:val="0"/>
        <w:spacing w:line="360" w:lineRule="auto"/>
        <w:ind w:firstLine="630" w:firstLineChars="300"/>
        <w:rPr>
          <w:rFonts w:hint="eastAsia" w:ascii="楷体" w:hAnsi="楷体" w:eastAsia="楷体"/>
          <w:color w:val="auto"/>
          <w:szCs w:val="21"/>
          <w:highlight w:val="none"/>
        </w:rPr>
      </w:pPr>
      <w:r>
        <w:rPr>
          <w:rFonts w:hint="eastAsia" w:ascii="楷体" w:hAnsi="楷体" w:eastAsia="楷体"/>
          <w:color w:val="auto"/>
          <w:szCs w:val="21"/>
          <w:highlight w:val="none"/>
        </w:rPr>
        <w:t>（3）监狱企业证明文件见附件6；</w:t>
      </w:r>
      <w:r>
        <w:rPr>
          <w:rFonts w:hint="eastAsia" w:ascii="楷体" w:hAnsi="楷体" w:eastAsia="楷体"/>
          <w:color w:val="auto"/>
          <w:highlight w:val="none"/>
        </w:rPr>
        <w:t>（非监狱企业可不提供该附件）</w:t>
      </w:r>
    </w:p>
    <w:p>
      <w:pPr>
        <w:adjustRightInd w:val="0"/>
        <w:snapToGrid w:val="0"/>
        <w:spacing w:line="360" w:lineRule="auto"/>
        <w:ind w:firstLine="630" w:firstLineChars="300"/>
        <w:rPr>
          <w:rFonts w:hint="eastAsia" w:ascii="楷体" w:hAnsi="楷体" w:eastAsia="楷体"/>
          <w:b/>
          <w:bCs/>
          <w:color w:val="auto"/>
          <w:szCs w:val="21"/>
          <w:highlight w:val="none"/>
        </w:rPr>
      </w:pPr>
      <w:r>
        <w:rPr>
          <w:rFonts w:hint="eastAsia" w:ascii="楷体" w:hAnsi="楷体" w:eastAsia="楷体"/>
          <w:color w:val="auto"/>
          <w:szCs w:val="21"/>
          <w:highlight w:val="none"/>
        </w:rPr>
        <w:t>（4）“节能</w:t>
      </w:r>
      <w:r>
        <w:rPr>
          <w:rFonts w:hint="eastAsia" w:ascii="楷体" w:hAnsi="楷体" w:eastAsia="楷体"/>
          <w:bCs/>
          <w:color w:val="auto"/>
          <w:szCs w:val="21"/>
          <w:highlight w:val="none"/>
        </w:rPr>
        <w:t>产品</w:t>
      </w:r>
      <w:r>
        <w:rPr>
          <w:rFonts w:hint="eastAsia" w:ascii="楷体" w:hAnsi="楷体" w:eastAsia="楷体"/>
          <w:color w:val="auto"/>
          <w:szCs w:val="21"/>
          <w:highlight w:val="none"/>
        </w:rPr>
        <w:t>”、“环境标志</w:t>
      </w:r>
      <w:r>
        <w:rPr>
          <w:rFonts w:hint="eastAsia" w:ascii="楷体" w:hAnsi="楷体" w:eastAsia="楷体"/>
          <w:bCs/>
          <w:color w:val="auto"/>
          <w:szCs w:val="21"/>
          <w:highlight w:val="none"/>
        </w:rPr>
        <w:t>产品</w:t>
      </w:r>
      <w:r>
        <w:rPr>
          <w:rFonts w:hint="eastAsia" w:ascii="楷体" w:hAnsi="楷体" w:eastAsia="楷体"/>
          <w:color w:val="auto"/>
          <w:szCs w:val="21"/>
          <w:highlight w:val="none"/>
        </w:rPr>
        <w:t>”证明材料格式见附件7。</w:t>
      </w: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宋体" w:hAnsi="宋体"/>
          <w:b/>
          <w:color w:val="auto"/>
          <w:sz w:val="28"/>
          <w:szCs w:val="28"/>
          <w:highlight w:val="none"/>
        </w:rPr>
      </w:pPr>
    </w:p>
    <w:p>
      <w:pPr>
        <w:pStyle w:val="32"/>
        <w:spacing w:line="400" w:lineRule="exact"/>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附件4：</w:t>
      </w:r>
    </w:p>
    <w:p>
      <w:pPr>
        <w:tabs>
          <w:tab w:val="left" w:pos="3600"/>
        </w:tabs>
        <w:adjustRightInd w:val="0"/>
        <w:snapToGrid w:val="0"/>
        <w:spacing w:before="240" w:beforeLines="100"/>
        <w:jc w:val="center"/>
        <w:rPr>
          <w:rFonts w:hint="eastAsia"/>
          <w:color w:val="auto"/>
          <w:kern w:val="0"/>
          <w:sz w:val="36"/>
          <w:szCs w:val="36"/>
          <w:highlight w:val="none"/>
        </w:rPr>
      </w:pPr>
      <w:r>
        <w:rPr>
          <w:rFonts w:hint="eastAsia"/>
          <w:color w:val="auto"/>
          <w:kern w:val="0"/>
          <w:sz w:val="36"/>
          <w:szCs w:val="36"/>
          <w:highlight w:val="none"/>
        </w:rPr>
        <w:t>中小企业声明函</w:t>
      </w:r>
    </w:p>
    <w:p>
      <w:pPr>
        <w:pStyle w:val="8"/>
        <w:rPr>
          <w:rFonts w:hint="eastAsia"/>
          <w:color w:val="auto"/>
          <w:highlight w:val="none"/>
        </w:rPr>
      </w:pPr>
    </w:p>
    <w:p>
      <w:pPr>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本公司郑重声明，根据《政府采购促进中小企业发展管理办法》（财库〔2020〕46 号）的规定，本公司参加 </w:t>
      </w:r>
      <w:r>
        <w:rPr>
          <w:rFonts w:hint="eastAsia" w:asciiTheme="minorEastAsia" w:hAnsiTheme="minorEastAsia" w:eastAsiaTheme="minorEastAsia" w:cstheme="minorEastAsia"/>
          <w:color w:val="auto"/>
          <w:highlight w:val="none"/>
          <w:u w:val="single"/>
        </w:rPr>
        <w:t xml:space="preserve">（单位名称） </w:t>
      </w:r>
      <w:r>
        <w:rPr>
          <w:rFonts w:hint="eastAsia" w:asciiTheme="minorEastAsia" w:hAnsiTheme="minorEastAsia" w:eastAsiaTheme="minorEastAsia" w:cstheme="minorEastAsia"/>
          <w:color w:val="auto"/>
          <w:highlight w:val="none"/>
        </w:rPr>
        <w:t xml:space="preserve">的 </w:t>
      </w:r>
      <w:r>
        <w:rPr>
          <w:rFonts w:hint="eastAsia" w:asciiTheme="minorEastAsia" w:hAnsiTheme="minorEastAsia" w:eastAsiaTheme="minorEastAsia" w:cstheme="minorEastAsia"/>
          <w:color w:val="auto"/>
          <w:highlight w:val="none"/>
          <w:u w:val="single"/>
        </w:rPr>
        <w:t xml:space="preserve">（项目名称） </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p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bookmarkStart w:id="126" w:name="_Toc387658050"/>
      <w:bookmarkStart w:id="127" w:name="_Toc419811733"/>
      <w:bookmarkStart w:id="128" w:name="_Toc413748654"/>
      <w:bookmarkStart w:id="129" w:name="_Toc417911732"/>
      <w:bookmarkStart w:id="130" w:name="_Toc387147344"/>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color w:val="auto"/>
          <w:highlight w:val="none"/>
          <w:u w:val="single"/>
        </w:rPr>
        <w:t xml:space="preserve">（标的名称）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 xml:space="preserve"> （采购文件中明确的所属行业） </w:t>
      </w:r>
      <w:r>
        <w:rPr>
          <w:rFonts w:hint="eastAsia" w:asciiTheme="minorEastAsia" w:hAnsiTheme="minorEastAsia" w:eastAsiaTheme="minorEastAsia" w:cstheme="minorEastAsia"/>
          <w:color w:val="auto"/>
          <w:highlight w:val="none"/>
        </w:rPr>
        <w:t>；制造商为</w:t>
      </w:r>
      <w:r>
        <w:rPr>
          <w:rFonts w:hint="eastAsia" w:asciiTheme="minorEastAsia" w:hAnsiTheme="minorEastAsia" w:eastAsiaTheme="minorEastAsia" w:cstheme="minorEastAsia"/>
          <w:color w:val="auto"/>
          <w:highlight w:val="none"/>
          <w:u w:val="single"/>
        </w:rPr>
        <w:t xml:space="preserve"> （企业名称） </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 xml:space="preserve"> （中型企业、小型企业、微型企业） </w:t>
      </w:r>
      <w:r>
        <w:rPr>
          <w:rFonts w:hint="eastAsia" w:asciiTheme="minorEastAsia" w:hAnsiTheme="minorEastAsia" w:eastAsiaTheme="minorEastAsia" w:cstheme="minorEastAsia"/>
          <w:color w:val="auto"/>
          <w:highlight w:val="none"/>
        </w:rPr>
        <w:t>；</w:t>
      </w:r>
    </w:p>
    <w:p>
      <w:pPr>
        <w:spacing w:line="360" w:lineRule="auto"/>
        <w:ind w:firstLine="525" w:firstLineChars="25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 xml:space="preserve"> （采购文件中明确的所属行业） </w:t>
      </w:r>
      <w:r>
        <w:rPr>
          <w:rFonts w:hint="eastAsia" w:asciiTheme="minorEastAsia" w:hAnsiTheme="minorEastAsia" w:eastAsiaTheme="minorEastAsia" w:cstheme="minorEastAsia"/>
          <w:color w:val="auto"/>
          <w:highlight w:val="none"/>
        </w:rPr>
        <w:t>；制造商为</w:t>
      </w:r>
      <w:r>
        <w:rPr>
          <w:rFonts w:hint="eastAsia" w:asciiTheme="minorEastAsia" w:hAnsiTheme="minorEastAsia" w:eastAsiaTheme="minorEastAsia" w:cstheme="minorEastAsia"/>
          <w:color w:val="auto"/>
          <w:highlight w:val="none"/>
          <w:u w:val="single"/>
        </w:rPr>
        <w:t xml:space="preserve"> （企业名称） </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 xml:space="preserve"> （中型企业、小型企业、微型企业） </w:t>
      </w:r>
      <w:r>
        <w:rPr>
          <w:rFonts w:hint="eastAsia" w:asciiTheme="minorEastAsia" w:hAnsiTheme="minorEastAsia" w:eastAsiaTheme="minorEastAsia" w:cstheme="minorEastAsia"/>
          <w:color w:val="auto"/>
          <w:highlight w:val="none"/>
        </w:rPr>
        <w:t>；</w:t>
      </w:r>
    </w:p>
    <w:p>
      <w:pPr>
        <w:spacing w:line="360" w:lineRule="auto"/>
        <w:ind w:firstLine="525" w:firstLineChars="25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spacing w:line="360" w:lineRule="auto"/>
        <w:ind w:firstLine="525" w:firstLineChars="25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spacing w:line="360" w:lineRule="auto"/>
        <w:ind w:firstLine="525" w:firstLineChars="25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企业名称（盖章）：</w:t>
      </w:r>
    </w:p>
    <w:p>
      <w:pPr>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 期：</w:t>
      </w:r>
    </w:p>
    <w:p>
      <w:pPr>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End w:id="126"/>
      <w:bookmarkEnd w:id="127"/>
      <w:bookmarkEnd w:id="128"/>
      <w:bookmarkEnd w:id="129"/>
      <w:bookmarkEnd w:id="130"/>
      <w:r>
        <w:rPr>
          <w:rFonts w:hint="eastAsia" w:asciiTheme="minorEastAsia" w:hAnsiTheme="minorEastAsia" w:eastAsiaTheme="minorEastAsia" w:cstheme="minorEastAsia"/>
          <w:color w:val="auto"/>
          <w:highlight w:val="none"/>
        </w:rPr>
        <w:t>从业人员、营业收入、资产总额填报上一年度数据，无上一年度数据的新成立企业可不填报。</w:t>
      </w:r>
    </w:p>
    <w:p>
      <w:pPr>
        <w:adjustRightInd w:val="0"/>
        <w:snapToGrid w:val="0"/>
        <w:spacing w:line="360" w:lineRule="auto"/>
        <w:rPr>
          <w:rFonts w:hint="eastAsia" w:ascii="黑体" w:hAnsi="宋体" w:eastAsia="黑体"/>
          <w:color w:val="auto"/>
          <w:sz w:val="28"/>
          <w:szCs w:val="28"/>
          <w:highlight w:val="none"/>
        </w:rPr>
      </w:pPr>
    </w:p>
    <w:p>
      <w:pPr>
        <w:pStyle w:val="9"/>
        <w:rPr>
          <w:rFonts w:hint="eastAsia" w:ascii="黑体" w:hAnsi="宋体" w:eastAsia="黑体"/>
          <w:color w:val="auto"/>
          <w:sz w:val="28"/>
          <w:szCs w:val="28"/>
          <w:highlight w:val="none"/>
        </w:rPr>
      </w:pPr>
    </w:p>
    <w:p>
      <w:pPr>
        <w:rPr>
          <w:rFonts w:hint="eastAsia"/>
          <w:color w:val="auto"/>
          <w:highlight w:val="none"/>
        </w:rPr>
      </w:pPr>
    </w:p>
    <w:p>
      <w:pPr>
        <w:adjustRightInd w:val="0"/>
        <w:snapToGrid w:val="0"/>
        <w:spacing w:line="360" w:lineRule="auto"/>
        <w:rPr>
          <w:rFonts w:hint="eastAsia" w:ascii="黑体" w:hAnsi="宋体" w:eastAsia="黑体"/>
          <w:color w:val="auto"/>
          <w:sz w:val="28"/>
          <w:szCs w:val="28"/>
          <w:highlight w:val="none"/>
        </w:rPr>
      </w:pPr>
    </w:p>
    <w:p>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p>
    <w:p>
      <w:pPr>
        <w:adjustRightInd w:val="0"/>
        <w:snapToGrid w:val="0"/>
        <w:spacing w:line="360" w:lineRule="auto"/>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附件5：</w:t>
      </w:r>
    </w:p>
    <w:p>
      <w:pPr>
        <w:spacing w:line="588" w:lineRule="exact"/>
        <w:jc w:val="center"/>
        <w:rPr>
          <w:rFonts w:ascii="宋体" w:hAnsi="宋体"/>
          <w:b/>
          <w:color w:val="auto"/>
          <w:spacing w:val="6"/>
          <w:sz w:val="36"/>
          <w:szCs w:val="36"/>
          <w:highlight w:val="none"/>
        </w:rPr>
      </w:pPr>
      <w:bookmarkStart w:id="131" w:name="OLE_LINK14"/>
      <w:bookmarkStart w:id="132" w:name="OLE_LINK13"/>
      <w:r>
        <w:rPr>
          <w:rFonts w:hint="eastAsia" w:ascii="宋体" w:hAnsi="宋体"/>
          <w:b/>
          <w:color w:val="auto"/>
          <w:spacing w:val="6"/>
          <w:sz w:val="36"/>
          <w:szCs w:val="36"/>
          <w:highlight w:val="none"/>
        </w:rPr>
        <w:t>残疾人福利性单位声明函</w:t>
      </w:r>
    </w:p>
    <w:bookmarkEnd w:id="131"/>
    <w:bookmarkEnd w:id="132"/>
    <w:p>
      <w:pPr>
        <w:spacing w:line="588" w:lineRule="exact"/>
        <w:rPr>
          <w:rFonts w:ascii="仿宋_GB2312" w:eastAsia="仿宋_GB2312"/>
          <w:b/>
          <w:color w:val="auto"/>
          <w:spacing w:val="6"/>
          <w:sz w:val="30"/>
          <w:szCs w:val="30"/>
          <w:highlight w:val="none"/>
        </w:rPr>
      </w:pP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w:t>
      </w:r>
      <w:r>
        <w:rPr>
          <w:rFonts w:ascii="宋体" w:hAnsi="宋体"/>
          <w:color w:val="auto"/>
          <w:spacing w:val="6"/>
          <w:szCs w:val="21"/>
          <w:highlight w:val="none"/>
        </w:rPr>
        <w:t xml:space="preserve"> </w:t>
      </w:r>
      <w:r>
        <w:rPr>
          <w:rFonts w:hint="eastAsia" w:ascii="宋体" w:hAnsi="宋体"/>
          <w:color w:val="auto"/>
          <w:spacing w:val="6"/>
          <w:szCs w:val="21"/>
          <w:highlight w:val="none"/>
        </w:rPr>
        <w:t>民政部</w:t>
      </w:r>
      <w:r>
        <w:rPr>
          <w:rFonts w:ascii="宋体" w:hAnsi="宋体"/>
          <w:color w:val="auto"/>
          <w:spacing w:val="6"/>
          <w:szCs w:val="21"/>
          <w:highlight w:val="none"/>
        </w:rPr>
        <w:t xml:space="preserve"> </w:t>
      </w:r>
      <w:r>
        <w:rPr>
          <w:rFonts w:hint="eastAsia" w:ascii="宋体" w:hAnsi="宋体"/>
          <w:color w:val="auto"/>
          <w:spacing w:val="6"/>
          <w:szCs w:val="21"/>
          <w:highlight w:val="none"/>
        </w:rPr>
        <w:t>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 xml:space="preserve"> 141</w:t>
      </w:r>
      <w:r>
        <w:rPr>
          <w:rFonts w:hint="eastAsia" w:ascii="宋体" w:hAnsi="宋体"/>
          <w:color w:val="auto"/>
          <w:spacing w:val="6"/>
          <w:szCs w:val="21"/>
          <w:highlight w:val="none"/>
        </w:rPr>
        <w:t>号）的规定，本单位为符合条件的残疾人福利性单位，且本单位参加</w:t>
      </w:r>
      <w:r>
        <w:rPr>
          <w:rFonts w:ascii="宋体" w:hAnsi="宋体"/>
          <w:color w:val="auto"/>
          <w:spacing w:val="6"/>
          <w:szCs w:val="21"/>
          <w:highlight w:val="none"/>
        </w:rPr>
        <w:t>______</w:t>
      </w:r>
      <w:r>
        <w:rPr>
          <w:rFonts w:hint="eastAsia" w:ascii="宋体" w:hAnsi="宋体"/>
          <w:color w:val="auto"/>
          <w:spacing w:val="6"/>
          <w:szCs w:val="21"/>
          <w:highlight w:val="none"/>
        </w:rPr>
        <w:t>单位的</w:t>
      </w:r>
      <w:r>
        <w:rPr>
          <w:rFonts w:ascii="宋体" w:hAnsi="宋体"/>
          <w:color w:val="auto"/>
          <w:spacing w:val="6"/>
          <w:szCs w:val="21"/>
          <w:highlight w:val="none"/>
        </w:rPr>
        <w:t>______</w:t>
      </w:r>
      <w:r>
        <w:rPr>
          <w:rFonts w:hint="eastAsia" w:ascii="宋体" w:hAnsi="宋体"/>
          <w:color w:val="auto"/>
          <w:spacing w:val="6"/>
          <w:szCs w:val="21"/>
          <w:highlight w:val="none"/>
        </w:rPr>
        <w:t>项目采购活动提供本单位制造的货物（由本单位承担工程</w:t>
      </w:r>
      <w:r>
        <w:rPr>
          <w:rFonts w:ascii="宋体" w:hAnsi="宋体"/>
          <w:color w:val="auto"/>
          <w:spacing w:val="6"/>
          <w:szCs w:val="21"/>
          <w:highlight w:val="none"/>
        </w:rPr>
        <w:t>/</w:t>
      </w:r>
      <w:r>
        <w:rPr>
          <w:rFonts w:hint="eastAsia" w:ascii="宋体" w:hAnsi="宋体"/>
          <w:color w:val="auto"/>
          <w:spacing w:val="6"/>
          <w:szCs w:val="21"/>
          <w:highlight w:val="none"/>
        </w:rPr>
        <w:t>提供服务），或者提供其他残疾人福利性单位制造的货物（不包括使用非残疾人福利性单位注册商标的货物）。</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right="1560" w:firstLine="444" w:firstLineChars="200"/>
        <w:jc w:val="center"/>
        <w:rPr>
          <w:rFonts w:ascii="宋体" w:hAnsi="宋体"/>
          <w:color w:val="auto"/>
          <w:spacing w:val="6"/>
          <w:szCs w:val="21"/>
          <w:highlight w:val="none"/>
        </w:rPr>
      </w:pP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pPr>
        <w:tabs>
          <w:tab w:val="left" w:pos="4860"/>
        </w:tabs>
        <w:spacing w:line="360" w:lineRule="auto"/>
        <w:ind w:right="1560" w:firstLine="444" w:firstLineChars="200"/>
        <w:jc w:val="center"/>
        <w:rPr>
          <w:rFonts w:hint="eastAsia" w:ascii="宋体" w:hAnsi="宋体"/>
          <w:color w:val="auto"/>
          <w:spacing w:val="6"/>
          <w:szCs w:val="21"/>
          <w:highlight w:val="none"/>
        </w:rPr>
      </w:pPr>
      <w:r>
        <w:rPr>
          <w:rFonts w:ascii="宋体" w:hAnsi="宋体"/>
          <w:color w:val="auto"/>
          <w:spacing w:val="6"/>
          <w:szCs w:val="21"/>
          <w:highlight w:val="none"/>
        </w:rPr>
        <w:t xml:space="preserve"> </w:t>
      </w:r>
    </w:p>
    <w:p>
      <w:pPr>
        <w:tabs>
          <w:tab w:val="left" w:pos="4860"/>
        </w:tabs>
        <w:spacing w:line="360" w:lineRule="auto"/>
        <w:ind w:right="1560" w:firstLine="444" w:firstLineChars="200"/>
        <w:jc w:val="center"/>
        <w:rPr>
          <w:rFonts w:ascii="宋体" w:hAnsi="宋体"/>
          <w:color w:val="auto"/>
          <w:szCs w:val="21"/>
          <w:highlight w:val="none"/>
        </w:rPr>
      </w:pPr>
      <w:r>
        <w:rPr>
          <w:rFonts w:hint="eastAsia" w:ascii="宋体" w:hAnsi="宋体"/>
          <w:color w:val="auto"/>
          <w:spacing w:val="6"/>
          <w:szCs w:val="21"/>
          <w:highlight w:val="none"/>
        </w:rPr>
        <w:t xml:space="preserve">                   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pPr>
        <w:adjustRightInd w:val="0"/>
        <w:snapToGrid w:val="0"/>
        <w:spacing w:line="360" w:lineRule="auto"/>
        <w:rPr>
          <w:rFonts w:hint="eastAsia" w:ascii="宋体" w:hAnsi="宋体"/>
          <w:b/>
          <w:color w:val="auto"/>
          <w:sz w:val="24"/>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line="360" w:lineRule="exact"/>
        <w:ind w:firstLine="525" w:firstLineChars="250"/>
        <w:rPr>
          <w:rFonts w:hint="eastAsia" w:ascii="楷体" w:hAnsi="楷体" w:eastAsia="楷体"/>
          <w:color w:val="auto"/>
          <w:szCs w:val="21"/>
          <w:highlight w:val="none"/>
        </w:rPr>
      </w:pPr>
      <w:r>
        <w:rPr>
          <w:rFonts w:hint="eastAsia" w:ascii="楷体" w:hAnsi="楷体" w:eastAsia="楷体"/>
          <w:color w:val="auto"/>
          <w:szCs w:val="21"/>
          <w:highlight w:val="none"/>
        </w:rPr>
        <w:t>说明：投标人</w:t>
      </w:r>
      <w:r>
        <w:rPr>
          <w:rFonts w:hint="eastAsia" w:ascii="楷体" w:hAnsi="楷体" w:eastAsia="楷体"/>
          <w:bCs/>
          <w:color w:val="auto"/>
          <w:szCs w:val="21"/>
          <w:highlight w:val="none"/>
        </w:rPr>
        <w:t>未按上述要求提供、</w:t>
      </w:r>
      <w:r>
        <w:rPr>
          <w:rFonts w:hint="eastAsia" w:ascii="楷体" w:hAnsi="楷体" w:eastAsia="楷体"/>
          <w:color w:val="auto"/>
          <w:szCs w:val="21"/>
          <w:highlight w:val="none"/>
        </w:rPr>
        <w:t>填写</w:t>
      </w:r>
      <w:r>
        <w:rPr>
          <w:rFonts w:hint="eastAsia" w:ascii="楷体" w:hAnsi="楷体" w:eastAsia="楷体"/>
          <w:bCs/>
          <w:color w:val="auto"/>
          <w:szCs w:val="21"/>
          <w:highlight w:val="none"/>
        </w:rPr>
        <w:t>的，评审时不视为中小企业。</w:t>
      </w:r>
    </w:p>
    <w:p>
      <w:pPr>
        <w:adjustRightInd w:val="0"/>
        <w:snapToGrid w:val="0"/>
        <w:spacing w:before="50" w:line="360" w:lineRule="auto"/>
        <w:ind w:firstLine="1050" w:firstLineChars="500"/>
        <w:rPr>
          <w:rFonts w:hint="eastAsia" w:ascii="仿宋_GB2312" w:hAnsi="宋体" w:eastAsia="仿宋_GB2312"/>
          <w:color w:val="auto"/>
          <w:szCs w:val="21"/>
          <w:highlight w:val="none"/>
        </w:rPr>
      </w:pPr>
    </w:p>
    <w:p>
      <w:pPr>
        <w:adjustRightInd w:val="0"/>
        <w:snapToGrid w:val="0"/>
        <w:spacing w:line="360" w:lineRule="auto"/>
        <w:rPr>
          <w:rFonts w:hint="eastAsia" w:ascii="宋体" w:hAnsi="宋体"/>
          <w:b/>
          <w:color w:val="auto"/>
          <w:sz w:val="28"/>
          <w:szCs w:val="28"/>
          <w:highlight w:val="none"/>
        </w:rPr>
      </w:pPr>
    </w:p>
    <w:p>
      <w:pPr>
        <w:adjustRightInd w:val="0"/>
        <w:snapToGrid w:val="0"/>
        <w:spacing w:line="360" w:lineRule="auto"/>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附件6：</w:t>
      </w:r>
    </w:p>
    <w:p>
      <w:pPr>
        <w:adjustRightInd w:val="0"/>
        <w:snapToGrid w:val="0"/>
        <w:spacing w:before="50"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监狱企业证明文件</w:t>
      </w: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before="50" w:line="360" w:lineRule="auto"/>
        <w:jc w:val="center"/>
        <w:rPr>
          <w:rFonts w:hint="eastAsia" w:ascii="宋体" w:hAnsi="宋体"/>
          <w:b/>
          <w:color w:val="auto"/>
          <w:sz w:val="36"/>
          <w:szCs w:val="36"/>
          <w:highlight w:val="none"/>
        </w:rPr>
      </w:pPr>
    </w:p>
    <w:p>
      <w:pPr>
        <w:adjustRightInd w:val="0"/>
        <w:snapToGrid w:val="0"/>
        <w:spacing w:line="360" w:lineRule="auto"/>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525"/>
        <w:rPr>
          <w:rFonts w:hint="eastAsia" w:ascii="楷体" w:hAnsi="楷体" w:eastAsia="楷体"/>
          <w:bCs/>
          <w:color w:val="auto"/>
          <w:szCs w:val="21"/>
          <w:highlight w:val="none"/>
        </w:rPr>
      </w:pPr>
      <w:r>
        <w:rPr>
          <w:rFonts w:hint="eastAsia" w:ascii="楷体" w:hAnsi="楷体" w:eastAsia="楷体"/>
          <w:bCs/>
          <w:color w:val="auto"/>
          <w:szCs w:val="21"/>
          <w:highlight w:val="none"/>
        </w:rPr>
        <w:t>1.无格式要求，由出具监狱企业证明的单位自行拟定；</w:t>
      </w:r>
    </w:p>
    <w:p>
      <w:pPr>
        <w:adjustRightInd w:val="0"/>
        <w:snapToGrid w:val="0"/>
        <w:spacing w:line="360" w:lineRule="auto"/>
        <w:ind w:firstLine="525"/>
        <w:rPr>
          <w:rFonts w:hint="eastAsia" w:ascii="楷体" w:hAnsi="楷体" w:eastAsia="楷体"/>
          <w:bCs/>
          <w:color w:val="auto"/>
          <w:szCs w:val="21"/>
          <w:highlight w:val="none"/>
        </w:rPr>
      </w:pPr>
      <w:r>
        <w:rPr>
          <w:rFonts w:hint="eastAsia" w:ascii="楷体" w:hAnsi="楷体" w:eastAsia="楷体"/>
          <w:color w:val="auto"/>
          <w:szCs w:val="21"/>
          <w:highlight w:val="none"/>
        </w:rPr>
        <w:t>2.投标人未提供的，评审时不视为中小企业。</w:t>
      </w:r>
    </w:p>
    <w:p>
      <w:pPr>
        <w:adjustRightInd w:val="0"/>
        <w:snapToGrid w:val="0"/>
        <w:spacing w:before="50" w:line="360" w:lineRule="auto"/>
        <w:jc w:val="left"/>
        <w:rPr>
          <w:rFonts w:hint="eastAsia" w:ascii="宋体" w:hAnsi="宋体"/>
          <w:b/>
          <w:color w:val="auto"/>
          <w:sz w:val="28"/>
          <w:szCs w:val="28"/>
          <w:highlight w:val="none"/>
        </w:rPr>
      </w:pPr>
    </w:p>
    <w:p>
      <w:pPr>
        <w:adjustRightInd w:val="0"/>
        <w:snapToGrid w:val="0"/>
        <w:spacing w:before="50" w:line="360" w:lineRule="auto"/>
        <w:jc w:val="left"/>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附件7</w:t>
      </w:r>
    </w:p>
    <w:p>
      <w:pPr>
        <w:adjustRightInd w:val="0"/>
        <w:snapToGrid w:val="0"/>
        <w:spacing w:before="50" w:line="360" w:lineRule="auto"/>
        <w:jc w:val="center"/>
        <w:rPr>
          <w:rFonts w:hint="eastAsia" w:ascii="宋体" w:hAnsi="宋体"/>
          <w:b/>
          <w:bCs/>
          <w:color w:val="auto"/>
          <w:sz w:val="36"/>
          <w:szCs w:val="36"/>
          <w:highlight w:val="none"/>
        </w:rPr>
      </w:pPr>
      <w:r>
        <w:rPr>
          <w:rFonts w:hint="eastAsia" w:ascii="宋体" w:hAnsi="宋体"/>
          <w:b/>
          <w:color w:val="auto"/>
          <w:sz w:val="36"/>
          <w:szCs w:val="36"/>
          <w:highlight w:val="none"/>
        </w:rPr>
        <w:t>“节能</w:t>
      </w:r>
      <w:r>
        <w:rPr>
          <w:rFonts w:hint="eastAsia" w:ascii="宋体" w:hAnsi="宋体"/>
          <w:b/>
          <w:bCs/>
          <w:color w:val="auto"/>
          <w:sz w:val="36"/>
          <w:szCs w:val="36"/>
          <w:highlight w:val="none"/>
        </w:rPr>
        <w:t>产品</w:t>
      </w:r>
      <w:r>
        <w:rPr>
          <w:rFonts w:hint="eastAsia" w:ascii="宋体" w:hAnsi="宋体"/>
          <w:b/>
          <w:color w:val="auto"/>
          <w:sz w:val="36"/>
          <w:szCs w:val="36"/>
          <w:highlight w:val="none"/>
        </w:rPr>
        <w:t>”、“环境标志</w:t>
      </w:r>
      <w:r>
        <w:rPr>
          <w:rFonts w:hint="eastAsia" w:ascii="宋体" w:hAnsi="宋体"/>
          <w:b/>
          <w:bCs/>
          <w:color w:val="auto"/>
          <w:sz w:val="36"/>
          <w:szCs w:val="36"/>
          <w:highlight w:val="none"/>
        </w:rPr>
        <w:t>产品</w:t>
      </w:r>
      <w:r>
        <w:rPr>
          <w:rFonts w:hint="eastAsia" w:ascii="宋体" w:hAnsi="宋体"/>
          <w:b/>
          <w:color w:val="auto"/>
          <w:sz w:val="36"/>
          <w:szCs w:val="36"/>
          <w:highlight w:val="none"/>
        </w:rPr>
        <w:t>”证明材料</w:t>
      </w:r>
    </w:p>
    <w:p>
      <w:pPr>
        <w:spacing w:line="360" w:lineRule="auto"/>
        <w:rPr>
          <w:rFonts w:hint="eastAsia" w:ascii="黑体" w:eastAsia="黑体"/>
          <w:color w:val="auto"/>
          <w:sz w:val="24"/>
          <w:highlight w:val="none"/>
        </w:rPr>
      </w:pPr>
    </w:p>
    <w:p>
      <w:pPr>
        <w:adjustRightInd w:val="0"/>
        <w:snapToGrid w:val="0"/>
        <w:spacing w:line="360" w:lineRule="auto"/>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525" w:firstLineChars="250"/>
        <w:rPr>
          <w:rFonts w:hint="eastAsia" w:ascii="楷体" w:hAnsi="楷体" w:eastAsia="楷体"/>
          <w:bCs/>
          <w:color w:val="auto"/>
          <w:szCs w:val="21"/>
          <w:highlight w:val="none"/>
        </w:rPr>
      </w:pPr>
      <w:r>
        <w:rPr>
          <w:rFonts w:hint="eastAsia" w:ascii="楷体" w:hAnsi="楷体" w:eastAsia="楷体"/>
          <w:bCs/>
          <w:color w:val="auto"/>
          <w:szCs w:val="21"/>
          <w:highlight w:val="none"/>
        </w:rPr>
        <w:t>1.</w:t>
      </w:r>
      <w:r>
        <w:rPr>
          <w:rFonts w:hint="eastAsia" w:ascii="楷体" w:hAnsi="楷体" w:eastAsia="楷体"/>
          <w:color w:val="auto"/>
          <w:szCs w:val="21"/>
          <w:highlight w:val="none"/>
        </w:rPr>
        <w:t>投标人提供的产品</w:t>
      </w:r>
      <w:r>
        <w:rPr>
          <w:rFonts w:hint="eastAsia" w:ascii="楷体" w:hAnsi="楷体" w:eastAsia="楷体"/>
          <w:bCs/>
          <w:color w:val="auto"/>
          <w:szCs w:val="21"/>
          <w:highlight w:val="none"/>
        </w:rPr>
        <w:t>属于节能产品或环境标志产品的</w:t>
      </w:r>
      <w:r>
        <w:rPr>
          <w:rFonts w:hint="eastAsia" w:ascii="楷体" w:hAnsi="楷体" w:eastAsia="楷体"/>
          <w:color w:val="auto"/>
          <w:szCs w:val="21"/>
          <w:highlight w:val="none"/>
        </w:rPr>
        <w:t>，应按投标人须知第3.4.1项规定提供相关证明材料，并在《货物（产品）分项报价表》中填写相应的证书编号；</w:t>
      </w:r>
    </w:p>
    <w:p>
      <w:pPr>
        <w:adjustRightInd w:val="0"/>
        <w:snapToGrid w:val="0"/>
        <w:spacing w:line="360" w:lineRule="auto"/>
        <w:ind w:firstLine="525" w:firstLineChars="250"/>
        <w:rPr>
          <w:rFonts w:hint="eastAsia" w:ascii="楷体" w:hAnsi="楷体" w:eastAsia="楷体"/>
          <w:bCs/>
          <w:color w:val="auto"/>
          <w:szCs w:val="21"/>
          <w:highlight w:val="none"/>
        </w:rPr>
      </w:pPr>
      <w:r>
        <w:rPr>
          <w:rFonts w:hint="eastAsia" w:ascii="楷体" w:hAnsi="楷体" w:eastAsia="楷体"/>
          <w:bCs/>
          <w:color w:val="auto"/>
          <w:szCs w:val="21"/>
          <w:highlight w:val="none"/>
        </w:rPr>
        <w:t>2.投标人未按上述要求提供、</w:t>
      </w:r>
      <w:r>
        <w:rPr>
          <w:rFonts w:hint="eastAsia" w:ascii="楷体" w:hAnsi="楷体" w:eastAsia="楷体"/>
          <w:color w:val="auto"/>
          <w:szCs w:val="21"/>
          <w:highlight w:val="none"/>
        </w:rPr>
        <w:t>填写</w:t>
      </w:r>
      <w:r>
        <w:rPr>
          <w:rFonts w:hint="eastAsia" w:ascii="楷体" w:hAnsi="楷体" w:eastAsia="楷体"/>
          <w:bCs/>
          <w:color w:val="auto"/>
          <w:szCs w:val="21"/>
          <w:highlight w:val="none"/>
        </w:rPr>
        <w:t>的，评标时不予加分。</w:t>
      </w: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after="120" w:afterLines="50" w:line="360" w:lineRule="auto"/>
        <w:jc w:val="center"/>
        <w:rPr>
          <w:rFonts w:hint="eastAsia" w:ascii="宋体" w:hAnsi="宋体"/>
          <w:b/>
          <w:bCs/>
          <w:color w:val="auto"/>
          <w:sz w:val="36"/>
          <w:szCs w:val="36"/>
          <w:highlight w:val="none"/>
        </w:rPr>
      </w:pPr>
    </w:p>
    <w:p>
      <w:pPr>
        <w:pageBreakBefore/>
        <w:tabs>
          <w:tab w:val="left" w:pos="3600"/>
        </w:tabs>
        <w:adjustRightInd w:val="0"/>
        <w:snapToGrid w:val="0"/>
        <w:jc w:val="center"/>
        <w:rPr>
          <w:rFonts w:hint="eastAsia"/>
          <w:color w:val="auto"/>
          <w:highlight w:val="none"/>
        </w:rPr>
      </w:pPr>
      <w:r>
        <w:rPr>
          <w:rFonts w:hint="eastAsia" w:ascii="宋体" w:hAnsi="宋体"/>
          <w:b/>
          <w:color w:val="auto"/>
          <w:sz w:val="36"/>
          <w:szCs w:val="36"/>
          <w:highlight w:val="none"/>
        </w:rPr>
        <w:t>1</w:t>
      </w:r>
      <w:r>
        <w:rPr>
          <w:rFonts w:hint="eastAsia" w:ascii="宋体" w:hAnsi="宋体"/>
          <w:b/>
          <w:color w:val="auto"/>
          <w:sz w:val="36"/>
          <w:szCs w:val="36"/>
          <w:highlight w:val="none"/>
          <w:lang w:val="en-US" w:eastAsia="zh-CN"/>
        </w:rPr>
        <w:t>2</w:t>
      </w:r>
      <w:r>
        <w:rPr>
          <w:rFonts w:hint="eastAsia" w:ascii="宋体" w:hAnsi="宋体"/>
          <w:b/>
          <w:color w:val="auto"/>
          <w:sz w:val="36"/>
          <w:szCs w:val="36"/>
          <w:highlight w:val="none"/>
        </w:rPr>
        <w:t>.投标保证金</w:t>
      </w:r>
    </w:p>
    <w:p>
      <w:pPr>
        <w:tabs>
          <w:tab w:val="left" w:pos="3600"/>
        </w:tabs>
        <w:adjustRightInd w:val="0"/>
        <w:snapToGrid w:val="0"/>
        <w:jc w:val="center"/>
        <w:rPr>
          <w:rFonts w:hint="eastAsia"/>
          <w:color w:val="auto"/>
          <w:highlight w:val="none"/>
        </w:rPr>
      </w:pPr>
    </w:p>
    <w:p>
      <w:pPr>
        <w:tabs>
          <w:tab w:val="left" w:pos="3600"/>
        </w:tabs>
        <w:adjustRightInd w:val="0"/>
        <w:snapToGrid w:val="0"/>
        <w:rPr>
          <w:rFonts w:hint="eastAsia"/>
          <w:color w:val="auto"/>
          <w:highlight w:val="none"/>
        </w:rPr>
      </w:pPr>
    </w:p>
    <w:p>
      <w:pPr>
        <w:tabs>
          <w:tab w:val="left" w:pos="3600"/>
        </w:tabs>
        <w:adjustRightInd w:val="0"/>
        <w:snapToGrid w:val="0"/>
        <w:rPr>
          <w:rFonts w:hint="eastAsia"/>
          <w:color w:val="auto"/>
          <w:highlight w:val="none"/>
        </w:rPr>
      </w:pPr>
    </w:p>
    <w:p>
      <w:pPr>
        <w:tabs>
          <w:tab w:val="left" w:pos="3600"/>
        </w:tabs>
        <w:adjustRightInd w:val="0"/>
        <w:snapToGrid w:val="0"/>
        <w:rPr>
          <w:rFonts w:hint="eastAsia"/>
          <w:color w:val="auto"/>
          <w:highlight w:val="none"/>
        </w:rPr>
      </w:pPr>
    </w:p>
    <w:p>
      <w:pPr>
        <w:tabs>
          <w:tab w:val="left" w:pos="3600"/>
        </w:tabs>
        <w:adjustRightInd w:val="0"/>
        <w:snapToGrid w:val="0"/>
        <w:rPr>
          <w:rFonts w:hint="eastAsia"/>
          <w:color w:val="auto"/>
          <w:highlight w:val="none"/>
        </w:rPr>
      </w:pPr>
    </w:p>
    <w:p>
      <w:pPr>
        <w:tabs>
          <w:tab w:val="left" w:pos="3600"/>
        </w:tabs>
        <w:adjustRightInd w:val="0"/>
        <w:snapToGrid w:val="0"/>
        <w:jc w:val="left"/>
        <w:rPr>
          <w:rFonts w:hint="eastAsia"/>
          <w:color w:val="auto"/>
          <w:highlight w:val="none"/>
        </w:rPr>
      </w:pPr>
    </w:p>
    <w:p>
      <w:pPr>
        <w:tabs>
          <w:tab w:val="left" w:pos="3600"/>
        </w:tabs>
        <w:adjustRightInd w:val="0"/>
        <w:snapToGrid w:val="0"/>
        <w:jc w:val="left"/>
        <w:rPr>
          <w:rFonts w:hint="eastAsia"/>
          <w:color w:val="auto"/>
          <w:highlight w:val="none"/>
        </w:rPr>
      </w:pPr>
    </w:p>
    <w:p>
      <w:pPr>
        <w:tabs>
          <w:tab w:val="left" w:pos="3600"/>
        </w:tabs>
        <w:adjustRightInd w:val="0"/>
        <w:snapToGrid w:val="0"/>
        <w:jc w:val="left"/>
        <w:rPr>
          <w:rFonts w:hint="eastAsia"/>
          <w:color w:val="auto"/>
          <w:highlight w:val="none"/>
        </w:rPr>
      </w:pPr>
    </w:p>
    <w:p>
      <w:pPr>
        <w:tabs>
          <w:tab w:val="left" w:pos="3600"/>
        </w:tabs>
        <w:adjustRightInd w:val="0"/>
        <w:snapToGrid w:val="0"/>
        <w:jc w:val="left"/>
        <w:rPr>
          <w:rFonts w:hint="eastAsia"/>
          <w:color w:val="auto"/>
          <w:highlight w:val="none"/>
        </w:rPr>
      </w:pPr>
    </w:p>
    <w:p>
      <w:pPr>
        <w:jc w:val="left"/>
        <w:rPr>
          <w:rFonts w:hint="eastAsia" w:ascii="仿宋_GB2312" w:hAnsi="仿宋_GB2312" w:eastAsia="仿宋_GB2312"/>
          <w:b/>
          <w:bCs/>
          <w:color w:val="auto"/>
          <w:sz w:val="36"/>
          <w:szCs w:val="36"/>
          <w:highlight w:val="none"/>
        </w:rPr>
      </w:pPr>
    </w:p>
    <w:p>
      <w:pPr>
        <w:jc w:val="left"/>
        <w:rPr>
          <w:rFonts w:hint="eastAsia" w:ascii="仿宋_GB2312" w:hAnsi="仿宋_GB2312" w:eastAsia="仿宋_GB2312"/>
          <w:b/>
          <w:bCs/>
          <w:color w:val="auto"/>
          <w:sz w:val="36"/>
          <w:szCs w:val="36"/>
          <w:highlight w:val="none"/>
        </w:rPr>
      </w:pPr>
    </w:p>
    <w:p>
      <w:pPr>
        <w:jc w:val="left"/>
        <w:rPr>
          <w:rFonts w:hint="eastAsia" w:ascii="仿宋_GB2312" w:hAnsi="仿宋_GB2312" w:eastAsia="仿宋_GB2312"/>
          <w:b/>
          <w:bCs/>
          <w:color w:val="auto"/>
          <w:sz w:val="36"/>
          <w:szCs w:val="36"/>
          <w:highlight w:val="none"/>
        </w:rPr>
      </w:pPr>
    </w:p>
    <w:p>
      <w:pPr>
        <w:jc w:val="left"/>
        <w:rPr>
          <w:rFonts w:hint="eastAsia" w:ascii="仿宋_GB2312" w:hAnsi="仿宋_GB2312" w:eastAsia="仿宋_GB2312"/>
          <w:b/>
          <w:bCs/>
          <w:color w:val="auto"/>
          <w:sz w:val="36"/>
          <w:szCs w:val="36"/>
          <w:highlight w:val="none"/>
        </w:rPr>
      </w:pPr>
    </w:p>
    <w:p>
      <w:pPr>
        <w:pStyle w:val="32"/>
        <w:spacing w:line="400" w:lineRule="exact"/>
        <w:jc w:val="left"/>
        <w:rPr>
          <w:rFonts w:hint="eastAsia" w:ascii="宋体" w:hAnsi="宋体"/>
          <w:color w:val="auto"/>
          <w:sz w:val="24"/>
          <w:szCs w:val="24"/>
          <w:highlight w:val="none"/>
        </w:rPr>
      </w:pPr>
    </w:p>
    <w:p>
      <w:pPr>
        <w:pStyle w:val="32"/>
        <w:spacing w:line="400" w:lineRule="exact"/>
        <w:jc w:val="left"/>
        <w:rPr>
          <w:rFonts w:hint="eastAsia" w:ascii="宋体" w:hAnsi="宋体"/>
          <w:color w:val="auto"/>
          <w:sz w:val="24"/>
          <w:szCs w:val="24"/>
          <w:highlight w:val="none"/>
        </w:rPr>
      </w:pPr>
    </w:p>
    <w:p>
      <w:pPr>
        <w:pStyle w:val="32"/>
        <w:spacing w:line="400" w:lineRule="exact"/>
        <w:jc w:val="center"/>
        <w:rPr>
          <w:rFonts w:hint="eastAsia" w:ascii="楷体" w:hAnsi="楷体" w:eastAsia="楷体"/>
          <w:color w:val="auto"/>
          <w:highlight w:val="none"/>
          <w:lang w:eastAsia="zh-CN"/>
        </w:rPr>
      </w:pPr>
      <w:r>
        <w:rPr>
          <w:rFonts w:hint="eastAsia" w:ascii="楷体" w:hAnsi="楷体" w:eastAsia="楷体"/>
          <w:color w:val="auto"/>
          <w:highlight w:val="none"/>
        </w:rPr>
        <w:t>投标保证金</w:t>
      </w:r>
      <w:r>
        <w:rPr>
          <w:rFonts w:hint="eastAsia" w:ascii="楷体" w:hAnsi="楷体" w:eastAsia="楷体"/>
          <w:color w:val="auto"/>
          <w:highlight w:val="none"/>
          <w:lang w:eastAsia="zh-CN"/>
        </w:rPr>
        <w:t>凭证</w:t>
      </w:r>
    </w:p>
    <w:p>
      <w:pPr>
        <w:pStyle w:val="32"/>
        <w:spacing w:line="400" w:lineRule="exact"/>
        <w:jc w:val="center"/>
        <w:rPr>
          <w:rFonts w:hint="eastAsia" w:ascii="楷体" w:hAnsi="楷体" w:eastAsia="楷体"/>
          <w:color w:val="auto"/>
          <w:highlight w:val="none"/>
        </w:rPr>
      </w:pPr>
      <w:r>
        <w:rPr>
          <w:rFonts w:hint="eastAsia" w:ascii="楷体" w:hAnsi="楷体" w:eastAsia="楷体"/>
          <w:color w:val="auto"/>
          <w:highlight w:val="none"/>
        </w:rPr>
        <w:t>复印件粘贴处</w:t>
      </w:r>
    </w:p>
    <w:p>
      <w:pPr>
        <w:jc w:val="left"/>
        <w:rPr>
          <w:rFonts w:hint="eastAsia" w:ascii="楷体" w:hAnsi="楷体" w:eastAsia="楷体"/>
          <w:b/>
          <w:bCs/>
          <w:color w:val="auto"/>
          <w:sz w:val="36"/>
          <w:szCs w:val="36"/>
          <w:highlight w:val="none"/>
        </w:rPr>
      </w:pPr>
    </w:p>
    <w:p>
      <w:pPr>
        <w:jc w:val="left"/>
        <w:rPr>
          <w:rFonts w:hint="eastAsia" w:ascii="仿宋_GB2312" w:hAnsi="仿宋_GB2312" w:eastAsia="仿宋_GB2312"/>
          <w:b/>
          <w:bCs/>
          <w:color w:val="auto"/>
          <w:sz w:val="36"/>
          <w:szCs w:val="36"/>
          <w:highlight w:val="none"/>
        </w:rPr>
      </w:pPr>
    </w:p>
    <w:p>
      <w:pPr>
        <w:jc w:val="left"/>
        <w:rPr>
          <w:rFonts w:hint="eastAsia" w:ascii="仿宋_GB2312" w:hAnsi="仿宋_GB2312" w:eastAsia="仿宋_GB2312"/>
          <w:b/>
          <w:bCs/>
          <w:color w:val="auto"/>
          <w:sz w:val="36"/>
          <w:szCs w:val="36"/>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pStyle w:val="6"/>
        <w:spacing w:before="120" w:beforeLines="50" w:after="120" w:afterLines="50"/>
        <w:ind w:firstLine="0"/>
        <w:jc w:val="left"/>
        <w:rPr>
          <w:rFonts w:hint="eastAsia"/>
          <w:b/>
          <w:color w:val="auto"/>
          <w:sz w:val="44"/>
          <w:szCs w:val="44"/>
          <w:highlight w:val="none"/>
        </w:rPr>
      </w:pPr>
    </w:p>
    <w:p>
      <w:pPr>
        <w:spacing w:after="240" w:afterLines="100" w:line="360" w:lineRule="auto"/>
        <w:rPr>
          <w:rFonts w:hint="eastAsia" w:ascii="黑体" w:hAnsi="宋体" w:eastAsia="黑体"/>
          <w:bCs/>
          <w:color w:val="auto"/>
          <w:sz w:val="28"/>
          <w:szCs w:val="28"/>
          <w:highlight w:val="none"/>
        </w:rPr>
      </w:pPr>
    </w:p>
    <w:p>
      <w:pPr>
        <w:pStyle w:val="27"/>
        <w:rPr>
          <w:rFonts w:hint="eastAsia"/>
          <w:color w:val="auto"/>
          <w:highlight w:val="none"/>
        </w:rPr>
      </w:pPr>
    </w:p>
    <w:p>
      <w:pPr>
        <w:spacing w:after="120" w:afterLines="50" w:line="360" w:lineRule="auto"/>
        <w:rPr>
          <w:rFonts w:hint="eastAsia" w:ascii="黑体" w:hAnsi="宋体" w:eastAsia="黑体"/>
          <w:bCs/>
          <w:color w:val="auto"/>
          <w:sz w:val="28"/>
          <w:szCs w:val="28"/>
          <w:highlight w:val="none"/>
        </w:rPr>
      </w:pPr>
      <w:r>
        <w:rPr>
          <w:rFonts w:hint="eastAsia" w:ascii="黑体" w:hAnsi="宋体" w:eastAsia="黑体"/>
          <w:bCs/>
          <w:color w:val="auto"/>
          <w:sz w:val="28"/>
          <w:szCs w:val="28"/>
          <w:highlight w:val="none"/>
        </w:rPr>
        <w:t>附件2：</w:t>
      </w:r>
    </w:p>
    <w:p>
      <w:pPr>
        <w:spacing w:after="240" w:afterLines="100"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提供投标人基本存款账户开户证明</w:t>
      </w:r>
    </w:p>
    <w:p>
      <w:pPr>
        <w:spacing w:line="360" w:lineRule="auto"/>
        <w:rPr>
          <w:rFonts w:hint="eastAsia" w:ascii="楷体" w:hAnsi="楷体" w:eastAsia="楷体"/>
          <w:bCs/>
          <w:color w:val="auto"/>
          <w:szCs w:val="21"/>
          <w:highlight w:val="none"/>
        </w:rPr>
      </w:pPr>
      <w:r>
        <w:rPr>
          <w:rFonts w:hint="eastAsia" w:ascii="楷体" w:hAnsi="楷体" w:eastAsia="楷体"/>
          <w:bCs/>
          <w:color w:val="auto"/>
          <w:szCs w:val="21"/>
          <w:highlight w:val="none"/>
        </w:rPr>
        <w:t>说明：</w:t>
      </w:r>
    </w:p>
    <w:p>
      <w:pPr>
        <w:spacing w:line="360" w:lineRule="auto"/>
        <w:rPr>
          <w:rFonts w:hint="eastAsia" w:ascii="楷体" w:hAnsi="楷体" w:eastAsia="楷体"/>
          <w:bCs/>
          <w:color w:val="auto"/>
          <w:szCs w:val="21"/>
          <w:highlight w:val="none"/>
        </w:rPr>
      </w:pPr>
      <w:r>
        <w:rPr>
          <w:rFonts w:hint="eastAsia" w:ascii="楷体" w:hAnsi="楷体" w:eastAsia="楷体"/>
          <w:bCs/>
          <w:color w:val="auto"/>
          <w:szCs w:val="21"/>
          <w:highlight w:val="none"/>
        </w:rPr>
        <w:t xml:space="preserve">     1.投标人在国家取消基本存款账户开户行政许可之前成立的，提供基本存款账户开户许可证复印件；</w:t>
      </w:r>
    </w:p>
    <w:p>
      <w:pPr>
        <w:spacing w:line="360" w:lineRule="auto"/>
        <w:rPr>
          <w:rFonts w:hint="eastAsia" w:ascii="楷体" w:hAnsi="楷体" w:eastAsia="楷体"/>
          <w:bCs/>
          <w:color w:val="auto"/>
          <w:szCs w:val="21"/>
          <w:highlight w:val="none"/>
        </w:rPr>
      </w:pPr>
      <w:r>
        <w:rPr>
          <w:rFonts w:hint="eastAsia" w:ascii="楷体" w:hAnsi="楷体" w:eastAsia="楷体"/>
          <w:bCs/>
          <w:color w:val="auto"/>
          <w:szCs w:val="21"/>
          <w:highlight w:val="none"/>
        </w:rPr>
        <w:t xml:space="preserve">     2.投标人在国家取消基本存款账户开户行政许可之后成立的，提供基本存款账户编号。</w:t>
      </w:r>
    </w:p>
    <w:p>
      <w:pPr>
        <w:spacing w:line="360" w:lineRule="auto"/>
        <w:rPr>
          <w:rFonts w:hint="eastAsia" w:ascii="楷体" w:hAnsi="楷体" w:eastAsia="楷体"/>
          <w:bCs/>
          <w:color w:val="auto"/>
          <w:szCs w:val="21"/>
          <w:highlight w:val="none"/>
        </w:rPr>
      </w:pPr>
    </w:p>
    <w:p>
      <w:pPr>
        <w:spacing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p>
    <w:p>
      <w:pPr>
        <w:pStyle w:val="27"/>
        <w:ind w:firstLine="562"/>
        <w:rPr>
          <w:rFonts w:hint="eastAsia" w:ascii="宋体" w:hAnsi="宋体"/>
          <w:b/>
          <w:bCs/>
          <w:color w:val="auto"/>
          <w:sz w:val="28"/>
          <w:szCs w:val="28"/>
          <w:highlight w:val="none"/>
        </w:rPr>
      </w:pPr>
    </w:p>
    <w:p>
      <w:pPr>
        <w:pStyle w:val="27"/>
        <w:ind w:firstLine="562"/>
        <w:rPr>
          <w:rFonts w:hint="eastAsia" w:ascii="宋体" w:hAnsi="宋体"/>
          <w:b/>
          <w:bCs/>
          <w:color w:val="auto"/>
          <w:sz w:val="28"/>
          <w:szCs w:val="28"/>
          <w:highlight w:val="none"/>
        </w:rPr>
      </w:pPr>
    </w:p>
    <w:p>
      <w:pPr>
        <w:pStyle w:val="27"/>
        <w:ind w:firstLine="562"/>
        <w:rPr>
          <w:rFonts w:hint="eastAsia" w:ascii="宋体" w:hAnsi="宋体"/>
          <w:b/>
          <w:bCs/>
          <w:color w:val="auto"/>
          <w:sz w:val="28"/>
          <w:szCs w:val="28"/>
          <w:highlight w:val="none"/>
        </w:rPr>
      </w:pPr>
    </w:p>
    <w:p>
      <w:pPr>
        <w:spacing w:after="240" w:afterLines="100" w:line="360" w:lineRule="auto"/>
        <w:rPr>
          <w:rFonts w:hint="eastAsia" w:ascii="宋体" w:hAnsi="宋体"/>
          <w:b/>
          <w:bCs/>
          <w:color w:val="auto"/>
          <w:sz w:val="28"/>
          <w:szCs w:val="28"/>
          <w:highlight w:val="none"/>
        </w:rPr>
      </w:pPr>
      <w:r>
        <w:rPr>
          <w:rFonts w:hint="eastAsia" w:ascii="宋体" w:hAnsi="宋体"/>
          <w:b/>
          <w:bCs/>
          <w:color w:val="auto"/>
          <w:sz w:val="28"/>
          <w:szCs w:val="28"/>
          <w:highlight w:val="none"/>
        </w:rPr>
        <w:t>附件3：</w:t>
      </w:r>
    </w:p>
    <w:p>
      <w:pPr>
        <w:spacing w:after="240" w:afterLines="100" w:line="360" w:lineRule="auto"/>
        <w:rPr>
          <w:rFonts w:hint="eastAsia"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若采用投标担保函，格式如下：</w:t>
      </w:r>
    </w:p>
    <w:p>
      <w:pPr>
        <w:spacing w:after="240" w:afterLines="100" w:line="360" w:lineRule="auto"/>
        <w:jc w:val="center"/>
        <w:rPr>
          <w:rFonts w:hint="eastAsia" w:ascii="宋体" w:hAnsi="宋体"/>
          <w:b/>
          <w:color w:val="auto"/>
          <w:szCs w:val="32"/>
          <w:highlight w:val="none"/>
        </w:rPr>
      </w:pPr>
      <w:r>
        <w:rPr>
          <w:rFonts w:hint="eastAsia" w:ascii="宋体" w:hAnsi="宋体"/>
          <w:b/>
          <w:bCs/>
          <w:color w:val="auto"/>
          <w:sz w:val="36"/>
          <w:szCs w:val="36"/>
          <w:highlight w:val="none"/>
        </w:rPr>
        <w:t>投标担保函</w:t>
      </w:r>
    </w:p>
    <w:p>
      <w:pPr>
        <w:spacing w:line="360" w:lineRule="auto"/>
        <w:ind w:right="1320"/>
        <w:jc w:val="center"/>
        <w:rPr>
          <w:rFonts w:hint="eastAsia" w:ascii="宋体" w:hAnsi="宋体"/>
          <w:color w:val="auto"/>
          <w:szCs w:val="21"/>
          <w:highlight w:val="none"/>
        </w:rPr>
      </w:pPr>
      <w:r>
        <w:rPr>
          <w:rFonts w:hint="eastAsia" w:ascii="宋体" w:hAnsi="宋体"/>
          <w:color w:val="auto"/>
          <w:sz w:val="24"/>
          <w:highlight w:val="none"/>
        </w:rPr>
        <w:t xml:space="preserve">                                            </w:t>
      </w:r>
      <w:r>
        <w:rPr>
          <w:rFonts w:hint="eastAsia" w:ascii="宋体" w:hAnsi="宋体"/>
          <w:color w:val="auto"/>
          <w:szCs w:val="21"/>
          <w:highlight w:val="none"/>
        </w:rPr>
        <w:t xml:space="preserve">        编号：</w:t>
      </w:r>
    </w:p>
    <w:p>
      <w:pPr>
        <w:spacing w:before="480" w:beforeLines="200" w:after="120" w:afterLines="50" w:line="360" w:lineRule="auto"/>
        <w:rPr>
          <w:rFonts w:hint="eastAsia" w:ascii="宋体" w:hAnsi="宋体"/>
          <w:b/>
          <w:color w:val="auto"/>
          <w:szCs w:val="21"/>
          <w:highlight w:val="none"/>
        </w:rPr>
      </w:pPr>
      <w:r>
        <w:rPr>
          <w:rFonts w:hint="eastAsia" w:ascii="宋体" w:hAnsi="宋体"/>
          <w:b/>
          <w:color w:val="auto"/>
          <w:szCs w:val="21"/>
          <w:highlight w:val="none"/>
          <w:lang w:eastAsia="zh-CN"/>
        </w:rPr>
        <w:t>新疆华域建设工程项目管理咨询有限公司</w:t>
      </w:r>
      <w:r>
        <w:rPr>
          <w:rFonts w:hint="eastAsia" w:ascii="宋体" w:hAnsi="宋体"/>
          <w:b/>
          <w:color w:val="auto"/>
          <w:szCs w:val="21"/>
          <w:highlight w:val="none"/>
        </w:rPr>
        <w:t xml:space="preserve">： </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鉴于_____________</w:t>
      </w:r>
      <w:r>
        <w:rPr>
          <w:rFonts w:hint="eastAsia" w:ascii="宋体" w:hAnsi="宋体"/>
          <w:color w:val="auto"/>
          <w:szCs w:val="21"/>
          <w:highlight w:val="none"/>
          <w:u w:val="single"/>
        </w:rPr>
        <w:t xml:space="preserve">        </w:t>
      </w:r>
      <w:r>
        <w:rPr>
          <w:rFonts w:hint="eastAsia" w:ascii="宋体" w:hAnsi="宋体"/>
          <w:color w:val="auto"/>
          <w:szCs w:val="21"/>
          <w:highlight w:val="none"/>
        </w:rPr>
        <w:t>_（以下简称投标人）拟参加编号为___</w:t>
      </w:r>
      <w:r>
        <w:rPr>
          <w:rFonts w:hint="eastAsia" w:ascii="宋体" w:hAnsi="宋体"/>
          <w:color w:val="auto"/>
          <w:szCs w:val="21"/>
          <w:highlight w:val="none"/>
          <w:u w:val="single"/>
        </w:rPr>
        <w:t xml:space="preserve">      </w:t>
      </w:r>
      <w:r>
        <w:rPr>
          <w:rFonts w:hint="eastAsia" w:ascii="宋体" w:hAnsi="宋体"/>
          <w:color w:val="auto"/>
          <w:szCs w:val="21"/>
          <w:highlight w:val="none"/>
        </w:rPr>
        <w:t>_______的___________________________________采购项目（以下简称本项目）投标，根据本项目招标文件，投标人参加投标时应向你方交纳投标保证金，且可以投标担保函的形式交纳投标保证金。应投标人的申请，我方以保证的方式向你方提供如下投标保证金担保：</w:t>
      </w:r>
    </w:p>
    <w:p>
      <w:pPr>
        <w:spacing w:line="360" w:lineRule="auto"/>
        <w:ind w:firstLine="316" w:firstLineChars="15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一、保证责任的情形及保证金额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（一）在投标人出现下列情形之一时，我方承担保证责任：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1．中标后投标人无正当理由不与采购人签订《采购合同》；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2．招标文件规定的投标人应当缴纳保证金的其他情形。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（二）我方承担保证责任的最高金额为人民币______元（大写__________________________），即本项目的投标保证金金额。 </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二、保证的方式及保证期间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我方保证的方式为：连带责任保证。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我方的保证期间为：自本保函生效之日起______个月止。 </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三、承担保证责任的程序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2.我方在收到索赔通知及相关证明材料后，在_____个工作日内进行审查，符合应承担保证责任情形的，我方应按照你方的要求代投标人向你方支付投标保证金。</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四、保证责任的终止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3．按照法律法规的规定或出现我方保证责任终止的其它情形的，我方在本保函项下的保证责任亦终止。</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五、免责条款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1．依照法律规定或你方与投标人的另行约定，全部或者部分免除投标人投标保证金义务时，我方亦免除相应的保证责任。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2．因你方原因致使投标人发生本保函第一条第（一）款约定情形的，我方不承担保证责任。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3．因不可抗力造成投标人发生本保函第一条约定情形的，我方不承担保证责任。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4．你方或其他有权机关对招标文件进行任何澄清或修改，加重我方保证责任的，我方对加重部分不承担保证责任，但该澄清或修改经我方事先书面同意的除外。 </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六、争议的解决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因本保函发生的纠纷，由你我双方协商解决，协商不成的，通过诉讼程序解决，诉讼管辖地法院为________________法院。 </w:t>
      </w:r>
    </w:p>
    <w:p>
      <w:pPr>
        <w:spacing w:line="360" w:lineRule="auto"/>
        <w:ind w:firstLine="422" w:firstLineChars="200"/>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七、保函的生效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本保函自我方加盖公章之日起生效。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right="640" w:firstLine="2940" w:firstLineChars="1400"/>
        <w:rPr>
          <w:rFonts w:hint="eastAsia" w:ascii="宋体" w:hAnsi="宋体"/>
          <w:color w:val="auto"/>
          <w:szCs w:val="21"/>
          <w:highlight w:val="none"/>
        </w:rPr>
      </w:pPr>
      <w:r>
        <w:rPr>
          <w:rFonts w:hint="eastAsia" w:ascii="宋体" w:hAnsi="宋体"/>
          <w:color w:val="auto"/>
          <w:szCs w:val="21"/>
          <w:highlight w:val="none"/>
        </w:rPr>
        <w:t>担  保  人  名  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right="640" w:firstLine="2940" w:firstLineChars="14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（签字）</w:t>
      </w:r>
    </w:p>
    <w:p>
      <w:pPr>
        <w:spacing w:line="360" w:lineRule="auto"/>
        <w:ind w:right="640" w:firstLine="2940" w:firstLineChars="1400"/>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right="640" w:firstLine="2940" w:firstLineChars="1400"/>
        <w:rPr>
          <w:rFonts w:hint="eastAsia" w:ascii="宋体" w:hAnsi="宋体"/>
          <w:color w:val="auto"/>
          <w:szCs w:val="21"/>
          <w:highlight w:val="none"/>
          <w:u w:val="single"/>
        </w:rPr>
      </w:pPr>
      <w:r>
        <w:rPr>
          <w:rFonts w:hint="eastAsia" w:ascii="宋体" w:hAnsi="宋体"/>
          <w:color w:val="auto"/>
          <w:szCs w:val="21"/>
          <w:highlight w:val="none"/>
        </w:rPr>
        <w:t>邮 政 编 码：</w:t>
      </w:r>
      <w:r>
        <w:rPr>
          <w:rFonts w:hint="eastAsia" w:ascii="宋体" w:hAnsi="宋体"/>
          <w:color w:val="auto"/>
          <w:szCs w:val="21"/>
          <w:highlight w:val="none"/>
          <w:u w:val="single"/>
        </w:rPr>
        <w:t xml:space="preserve">                                 </w:t>
      </w:r>
    </w:p>
    <w:p>
      <w:pPr>
        <w:spacing w:line="360" w:lineRule="auto"/>
        <w:ind w:right="640" w:firstLine="2940" w:firstLineChars="14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right="640" w:firstLine="3885" w:firstLineChars="1850"/>
        <w:rPr>
          <w:rFonts w:hint="eastAsia" w:ascii="宋体" w:hAnsi="宋体"/>
          <w:color w:val="auto"/>
          <w:szCs w:val="21"/>
          <w:highlight w:val="none"/>
        </w:rPr>
      </w:pPr>
    </w:p>
    <w:p>
      <w:pPr>
        <w:spacing w:line="360" w:lineRule="auto"/>
        <w:ind w:right="640" w:firstLine="5460" w:firstLineChars="2600"/>
        <w:rPr>
          <w:rFonts w:hint="eastAsia"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pStyle w:val="32"/>
        <w:spacing w:line="340" w:lineRule="exact"/>
        <w:ind w:firstLine="240" w:firstLineChars="100"/>
        <w:rPr>
          <w:rFonts w:hint="eastAsia" w:ascii="仿宋_GB2312" w:hAnsi="仿宋" w:eastAsia="仿宋_GB2312"/>
          <w:color w:val="auto"/>
          <w:sz w:val="24"/>
          <w:szCs w:val="24"/>
          <w:highlight w:val="none"/>
        </w:rPr>
      </w:pPr>
    </w:p>
    <w:p>
      <w:pPr>
        <w:adjustRightInd w:val="0"/>
        <w:snapToGrid w:val="0"/>
        <w:spacing w:before="240" w:beforeLines="100"/>
        <w:rPr>
          <w:rFonts w:hint="eastAsia" w:ascii="仿宋_GB2312" w:hAnsi="宋体" w:eastAsia="仿宋_GB2312"/>
          <w:color w:val="auto"/>
          <w:szCs w:val="21"/>
          <w:highlight w:val="none"/>
        </w:rPr>
      </w:pPr>
    </w:p>
    <w:p>
      <w:pPr>
        <w:pStyle w:val="6"/>
        <w:ind w:firstLine="0"/>
        <w:jc w:val="center"/>
        <w:rPr>
          <w:rFonts w:hint="eastAsia"/>
          <w:color w:val="auto"/>
          <w:sz w:val="32"/>
          <w:szCs w:val="32"/>
          <w:highlight w:val="none"/>
        </w:rPr>
      </w:pPr>
    </w:p>
    <w:p>
      <w:pPr>
        <w:pStyle w:val="6"/>
        <w:ind w:firstLine="0"/>
        <w:jc w:val="center"/>
        <w:rPr>
          <w:rFonts w:hint="eastAsia"/>
          <w:color w:val="auto"/>
          <w:sz w:val="32"/>
          <w:szCs w:val="32"/>
          <w:highlight w:val="none"/>
        </w:rPr>
      </w:pPr>
    </w:p>
    <w:p>
      <w:pPr>
        <w:pStyle w:val="6"/>
        <w:ind w:firstLine="0"/>
        <w:jc w:val="center"/>
        <w:rPr>
          <w:rFonts w:hint="eastAsia"/>
          <w:color w:val="auto"/>
          <w:sz w:val="32"/>
          <w:szCs w:val="32"/>
          <w:highlight w:val="none"/>
        </w:rPr>
      </w:pPr>
    </w:p>
    <w:p>
      <w:pPr>
        <w:pStyle w:val="6"/>
        <w:ind w:firstLine="0"/>
        <w:jc w:val="center"/>
        <w:rPr>
          <w:rFonts w:hint="eastAsia"/>
          <w:color w:val="auto"/>
          <w:sz w:val="32"/>
          <w:szCs w:val="32"/>
          <w:highlight w:val="none"/>
        </w:rPr>
      </w:pPr>
      <w:r>
        <w:rPr>
          <w:rFonts w:hint="eastAsia"/>
          <w:color w:val="auto"/>
          <w:sz w:val="32"/>
          <w:szCs w:val="32"/>
          <w:highlight w:val="none"/>
        </w:rPr>
        <w:t>（商务、技术部分）</w:t>
      </w: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rPr>
          <w:rFonts w:hint="eastAsia"/>
          <w:color w:val="auto"/>
          <w:sz w:val="28"/>
          <w:szCs w:val="28"/>
          <w:highlight w:val="none"/>
        </w:rPr>
      </w:pPr>
    </w:p>
    <w:p>
      <w:pPr>
        <w:pStyle w:val="6"/>
        <w:spacing w:before="120" w:beforeLines="50"/>
        <w:ind w:firstLine="1630" w:firstLineChars="580"/>
        <w:rPr>
          <w:rFonts w:hint="eastAsia" w:ascii="宋体" w:hAnsi="宋体"/>
          <w:b/>
          <w:color w:val="auto"/>
          <w:sz w:val="28"/>
          <w:szCs w:val="28"/>
          <w:highlight w:val="none"/>
        </w:rPr>
      </w:pPr>
    </w:p>
    <w:p>
      <w:pPr>
        <w:pStyle w:val="6"/>
        <w:spacing w:before="120" w:beforeLines="50"/>
        <w:ind w:firstLine="1630" w:firstLineChars="580"/>
        <w:rPr>
          <w:rFonts w:hint="eastAsia" w:ascii="宋体" w:hAnsi="宋体"/>
          <w:b/>
          <w:color w:val="auto"/>
          <w:sz w:val="28"/>
          <w:szCs w:val="28"/>
          <w:highlight w:val="none"/>
        </w:rPr>
      </w:pPr>
    </w:p>
    <w:p>
      <w:pPr>
        <w:pStyle w:val="6"/>
        <w:spacing w:before="120" w:beforeLines="50" w:after="120" w:afterLines="50"/>
        <w:ind w:firstLine="0"/>
        <w:jc w:val="center"/>
        <w:rPr>
          <w:rFonts w:hint="eastAsia"/>
          <w:b/>
          <w:color w:val="auto"/>
          <w:sz w:val="44"/>
          <w:szCs w:val="44"/>
          <w:highlight w:val="none"/>
        </w:rPr>
      </w:pPr>
    </w:p>
    <w:p>
      <w:pPr>
        <w:pStyle w:val="6"/>
        <w:spacing w:before="120" w:beforeLines="50" w:after="120" w:afterLines="50"/>
        <w:ind w:firstLine="0"/>
        <w:jc w:val="center"/>
        <w:rPr>
          <w:rFonts w:hint="eastAsia"/>
          <w:b/>
          <w:color w:val="auto"/>
          <w:sz w:val="44"/>
          <w:szCs w:val="44"/>
          <w:highlight w:val="none"/>
        </w:rPr>
      </w:pPr>
    </w:p>
    <w:p>
      <w:pPr>
        <w:rPr>
          <w:rFonts w:hint="eastAsia" w:ascii="微软雅黑" w:eastAsia="微软雅黑"/>
          <w:color w:val="auto"/>
          <w:sz w:val="44"/>
          <w:szCs w:val="44"/>
          <w:highlight w:val="none"/>
        </w:rPr>
      </w:pPr>
      <w:r>
        <w:rPr>
          <w:rFonts w:hint="eastAsia" w:ascii="微软雅黑" w:eastAsia="微软雅黑"/>
          <w:color w:val="auto"/>
          <w:sz w:val="44"/>
          <w:szCs w:val="44"/>
          <w:highlight w:val="none"/>
        </w:rPr>
        <w:br w:type="page"/>
      </w:r>
    </w:p>
    <w:p>
      <w:pPr>
        <w:pStyle w:val="6"/>
        <w:spacing w:before="120" w:beforeLines="50" w:after="120" w:afterLines="50"/>
        <w:ind w:firstLine="0"/>
        <w:jc w:val="center"/>
        <w:rPr>
          <w:rFonts w:hint="eastAsia" w:ascii="微软雅黑" w:eastAsia="微软雅黑"/>
          <w:color w:val="auto"/>
          <w:sz w:val="44"/>
          <w:szCs w:val="44"/>
          <w:highlight w:val="none"/>
        </w:rPr>
      </w:pPr>
      <w:r>
        <w:rPr>
          <w:rFonts w:hint="eastAsia" w:ascii="微软雅黑" w:eastAsia="微软雅黑"/>
          <w:color w:val="auto"/>
          <w:sz w:val="44"/>
          <w:szCs w:val="44"/>
          <w:highlight w:val="none"/>
        </w:rPr>
        <w:t>目  录</w:t>
      </w:r>
    </w:p>
    <w:p>
      <w:pPr>
        <w:pStyle w:val="6"/>
        <w:spacing w:before="120" w:beforeLines="50" w:line="360" w:lineRule="auto"/>
        <w:ind w:firstLine="1392" w:firstLineChars="580"/>
        <w:rPr>
          <w:rFonts w:hint="eastAsia"/>
          <w:color w:val="auto"/>
          <w:sz w:val="24"/>
          <w:szCs w:val="24"/>
          <w:highlight w:val="none"/>
        </w:rPr>
      </w:pP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一、投标函 ……………………………………………………………页码</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二、开标一览表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三、</w:t>
      </w:r>
      <w:r>
        <w:rPr>
          <w:rFonts w:hint="eastAsia" w:hAnsi="宋体"/>
          <w:bCs/>
          <w:color w:val="auto"/>
          <w:szCs w:val="21"/>
          <w:highlight w:val="none"/>
        </w:rPr>
        <w:t xml:space="preserve">货物（产品）分项报价表 </w:t>
      </w:r>
      <w:r>
        <w:rPr>
          <w:rFonts w:hint="eastAsia"/>
          <w:color w:val="auto"/>
          <w:szCs w:val="21"/>
          <w:highlight w:val="none"/>
        </w:rPr>
        <w:t>………………………………………</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四、</w:t>
      </w:r>
      <w:r>
        <w:rPr>
          <w:rFonts w:hint="eastAsia" w:hAnsi="宋体"/>
          <w:bCs/>
          <w:color w:val="auto"/>
          <w:szCs w:val="21"/>
          <w:highlight w:val="none"/>
        </w:rPr>
        <w:t xml:space="preserve">备选产品配件报价表 </w:t>
      </w:r>
      <w:r>
        <w:rPr>
          <w:rFonts w:hint="eastAsia"/>
          <w:color w:val="auto"/>
          <w:szCs w:val="21"/>
          <w:highlight w:val="none"/>
        </w:rPr>
        <w:t>……………………………………………</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五、</w:t>
      </w:r>
      <w:r>
        <w:rPr>
          <w:rFonts w:hint="eastAsia" w:hAnsi="宋体"/>
          <w:bCs/>
          <w:color w:val="auto"/>
          <w:szCs w:val="21"/>
          <w:highlight w:val="none"/>
        </w:rPr>
        <w:t xml:space="preserve">货物说明一览表 </w:t>
      </w:r>
      <w:r>
        <w:rPr>
          <w:rFonts w:hint="eastAsia"/>
          <w:color w:val="auto"/>
          <w:szCs w:val="21"/>
          <w:highlight w:val="none"/>
        </w:rPr>
        <w:t>…………………………………………………</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六、商务偏离表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七、承诺文件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八、售后服务文件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九、其他证明材料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十、技术文件 …………………………………………………………</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十一、</w:t>
      </w:r>
      <w:r>
        <w:rPr>
          <w:rFonts w:hint="eastAsia" w:hAnsi="宋体"/>
          <w:bCs/>
          <w:color w:val="auto"/>
          <w:kern w:val="0"/>
          <w:szCs w:val="21"/>
          <w:highlight w:val="none"/>
        </w:rPr>
        <w:t xml:space="preserve">技术规格偏离表 </w:t>
      </w:r>
      <w:r>
        <w:rPr>
          <w:rFonts w:hint="eastAsia"/>
          <w:color w:val="auto"/>
          <w:szCs w:val="21"/>
          <w:highlight w:val="none"/>
        </w:rPr>
        <w:t>………………………………………………</w:t>
      </w:r>
    </w:p>
    <w:p>
      <w:pPr>
        <w:pStyle w:val="6"/>
        <w:spacing w:before="120" w:beforeLines="50" w:line="360" w:lineRule="auto"/>
        <w:ind w:firstLine="1218" w:firstLineChars="580"/>
        <w:rPr>
          <w:rFonts w:hint="eastAsia"/>
          <w:color w:val="auto"/>
          <w:szCs w:val="21"/>
          <w:highlight w:val="none"/>
        </w:rPr>
      </w:pPr>
      <w:r>
        <w:rPr>
          <w:rFonts w:hint="eastAsia"/>
          <w:color w:val="auto"/>
          <w:szCs w:val="21"/>
          <w:highlight w:val="none"/>
        </w:rPr>
        <w:t>十二、投标人认为有必要补充说明的事项……………</w:t>
      </w:r>
      <w:bookmarkEnd w:id="125"/>
      <w:r>
        <w:rPr>
          <w:rFonts w:hint="eastAsia"/>
          <w:color w:val="auto"/>
          <w:szCs w:val="21"/>
          <w:highlight w:val="none"/>
        </w:rPr>
        <w:t>………………</w:t>
      </w: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6"/>
        <w:spacing w:before="120" w:beforeLines="50"/>
        <w:ind w:firstLine="1218" w:firstLineChars="580"/>
        <w:rPr>
          <w:rFonts w:hint="eastAsia"/>
          <w:color w:val="auto"/>
          <w:highlight w:val="none"/>
        </w:rPr>
      </w:pPr>
    </w:p>
    <w:p>
      <w:pPr>
        <w:pStyle w:val="14"/>
        <w:numPr>
          <w:ilvl w:val="0"/>
          <w:numId w:val="9"/>
        </w:numPr>
        <w:spacing w:before="240" w:beforeLines="100" w:after="240" w:afterLines="100" w:line="360" w:lineRule="auto"/>
        <w:ind w:firstLine="0"/>
        <w:jc w:val="center"/>
        <w:rPr>
          <w:rFonts w:hint="eastAsia" w:ascii="宋体" w:hAnsi="宋体"/>
          <w:b/>
          <w:color w:val="auto"/>
          <w:sz w:val="36"/>
          <w:szCs w:val="36"/>
          <w:highlight w:val="none"/>
        </w:rPr>
      </w:pPr>
      <w:r>
        <w:rPr>
          <w:rFonts w:hint="eastAsia" w:ascii="宋体" w:hAnsi="宋体"/>
          <w:b/>
          <w:color w:val="auto"/>
          <w:sz w:val="36"/>
          <w:szCs w:val="36"/>
          <w:highlight w:val="none"/>
        </w:rPr>
        <w:t>投 标 函</w:t>
      </w:r>
    </w:p>
    <w:p>
      <w:pPr>
        <w:pStyle w:val="14"/>
        <w:spacing w:before="240" w:beforeLines="100" w:after="240" w:afterLines="100" w:line="300" w:lineRule="atLeast"/>
        <w:ind w:firstLine="0"/>
        <w:rPr>
          <w:rFonts w:hint="eastAsia" w:ascii="宋体" w:hAnsi="宋体"/>
          <w:bCs/>
          <w:color w:val="auto"/>
          <w:sz w:val="21"/>
          <w:szCs w:val="21"/>
          <w:highlight w:val="none"/>
        </w:rPr>
      </w:pPr>
      <w:r>
        <w:rPr>
          <w:rFonts w:hint="eastAsia" w:ascii="宋体" w:hAnsi="宋体"/>
          <w:bCs/>
          <w:color w:val="auto"/>
          <w:sz w:val="21"/>
          <w:szCs w:val="21"/>
          <w:highlight w:val="none"/>
          <w:lang w:eastAsia="zh-CN"/>
        </w:rPr>
        <w:t>新疆华域建设工程项目管理咨询有限公司</w:t>
      </w:r>
      <w:r>
        <w:rPr>
          <w:rFonts w:hint="eastAsia" w:ascii="宋体" w:hAnsi="宋体"/>
          <w:bCs/>
          <w:color w:val="auto"/>
          <w:sz w:val="21"/>
          <w:szCs w:val="21"/>
          <w:highlight w:val="none"/>
        </w:rPr>
        <w:t>：</w:t>
      </w:r>
    </w:p>
    <w:p>
      <w:pPr>
        <w:pStyle w:val="14"/>
        <w:spacing w:line="3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我方已仔细研究了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项目名称)的招标文件（采购项目编号：      ）的全部内容，知悉参加投标的风险，我方承诺接受招标文件的全部条款且无任何异议，</w:t>
      </w:r>
      <w:r>
        <w:rPr>
          <w:rFonts w:hint="eastAsia" w:ascii="宋体" w:hAnsi="宋体"/>
          <w:bCs/>
          <w:color w:val="auto"/>
          <w:sz w:val="21"/>
          <w:szCs w:val="21"/>
          <w:highlight w:val="none"/>
        </w:rPr>
        <w:t>决定参加贵单位组织的本项目招标。</w:t>
      </w:r>
    </w:p>
    <w:p>
      <w:pPr>
        <w:pStyle w:val="13"/>
        <w:adjustRightInd w:val="0"/>
        <w:snapToGrid w:val="0"/>
        <w:spacing w:line="300" w:lineRule="atLeast"/>
        <w:ind w:firstLine="420" w:firstLineChars="200"/>
        <w:rPr>
          <w:rFonts w:hint="eastAsia" w:hAnsi="宋体"/>
          <w:color w:val="auto"/>
          <w:highlight w:val="none"/>
        </w:rPr>
      </w:pPr>
      <w:r>
        <w:rPr>
          <w:rFonts w:hint="eastAsia" w:hAnsi="宋体"/>
          <w:color w:val="auto"/>
          <w:highlight w:val="none"/>
          <w:lang w:eastAsia="zh-CN"/>
        </w:rPr>
        <w:t>一</w:t>
      </w:r>
      <w:r>
        <w:rPr>
          <w:rFonts w:hint="eastAsia" w:hAnsi="宋体"/>
          <w:color w:val="auto"/>
          <w:highlight w:val="none"/>
        </w:rPr>
        <w:t>、我方的投标总报价为人民币（大写）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rPr>
        <w:t>）；合同履行期限为</w:t>
      </w:r>
      <w:r>
        <w:rPr>
          <w:rFonts w:hint="eastAsia" w:hAnsi="宋体"/>
          <w:bCs/>
          <w:color w:val="auto"/>
          <w:highlight w:val="none"/>
          <w:u w:val="single"/>
        </w:rPr>
        <w:t xml:space="preserve">         </w:t>
      </w:r>
      <w:r>
        <w:rPr>
          <w:rFonts w:hint="eastAsia" w:hAnsi="宋体"/>
          <w:bCs/>
          <w:color w:val="auto"/>
          <w:highlight w:val="none"/>
          <w:u w:val="none"/>
          <w:lang w:val="en-US" w:eastAsia="zh-CN"/>
        </w:rPr>
        <w:t>日历</w:t>
      </w:r>
      <w:r>
        <w:rPr>
          <w:rFonts w:hint="eastAsia" w:hAnsi="宋体"/>
          <w:bCs/>
          <w:color w:val="auto"/>
          <w:highlight w:val="none"/>
          <w:u w:val="none"/>
        </w:rPr>
        <w:t>日</w:t>
      </w:r>
      <w:r>
        <w:rPr>
          <w:rFonts w:hint="eastAsia" w:hAnsi="宋体"/>
          <w:bCs/>
          <w:color w:val="auto"/>
          <w:highlight w:val="none"/>
        </w:rPr>
        <w:t>,</w:t>
      </w:r>
      <w:r>
        <w:rPr>
          <w:rFonts w:hint="eastAsia"/>
          <w:color w:val="auto"/>
          <w:highlight w:val="none"/>
        </w:rPr>
        <w:t xml:space="preserve"> </w:t>
      </w:r>
      <w:r>
        <w:rPr>
          <w:rFonts w:hint="eastAsia" w:hAnsi="宋体"/>
          <w:color w:val="auto"/>
          <w:highlight w:val="none"/>
        </w:rPr>
        <w:t>投标有效期为</w:t>
      </w:r>
      <w:r>
        <w:rPr>
          <w:rFonts w:hint="eastAsia"/>
          <w:color w:val="auto"/>
          <w:highlight w:val="none"/>
          <w:lang w:val="zh-CN"/>
        </w:rPr>
        <w:t>投标截止日起90日历</w:t>
      </w:r>
      <w:r>
        <w:rPr>
          <w:rFonts w:hint="eastAsia"/>
          <w:color w:val="auto"/>
          <w:highlight w:val="none"/>
        </w:rPr>
        <w:t>日。</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二</w:t>
      </w:r>
      <w:r>
        <w:rPr>
          <w:rFonts w:hint="eastAsia" w:ascii="宋体" w:hAnsi="宋体"/>
          <w:bCs/>
          <w:color w:val="auto"/>
          <w:sz w:val="21"/>
          <w:szCs w:val="21"/>
          <w:highlight w:val="none"/>
        </w:rPr>
        <w:t>、我方承诺承诺除商务和技术偏差表列出的偏差外，我方响应招标文件的全部要求。</w:t>
      </w:r>
    </w:p>
    <w:p>
      <w:pPr>
        <w:pStyle w:val="13"/>
        <w:adjustRightInd w:val="0"/>
        <w:snapToGrid w:val="0"/>
        <w:spacing w:line="300" w:lineRule="atLeast"/>
        <w:ind w:firstLine="420" w:firstLineChars="200"/>
        <w:rPr>
          <w:rFonts w:hint="eastAsia" w:hAnsi="宋体"/>
          <w:color w:val="auto"/>
          <w:highlight w:val="none"/>
        </w:rPr>
      </w:pPr>
      <w:r>
        <w:rPr>
          <w:rFonts w:hint="eastAsia" w:hAnsi="宋体"/>
          <w:color w:val="auto"/>
          <w:highlight w:val="none"/>
          <w:lang w:eastAsia="zh-CN"/>
        </w:rPr>
        <w:t>三</w:t>
      </w:r>
      <w:r>
        <w:rPr>
          <w:rFonts w:hint="eastAsia" w:hAnsi="宋体"/>
          <w:color w:val="auto"/>
          <w:highlight w:val="none"/>
        </w:rPr>
        <w:t>、我方愿意向贵方提供任何与本项采购有关的样品、数据、情况和技术资料。若贵方需要，我方愿意提供我方作出的一切承诺的证明材料。</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lang w:eastAsia="zh-CN"/>
        </w:rPr>
        <w:t>四</w:t>
      </w:r>
      <w:r>
        <w:rPr>
          <w:rFonts w:hint="eastAsia" w:ascii="宋体" w:hAnsi="宋体"/>
          <w:color w:val="auto"/>
          <w:sz w:val="21"/>
          <w:szCs w:val="21"/>
          <w:highlight w:val="none"/>
        </w:rPr>
        <w:t>、</w:t>
      </w:r>
      <w:r>
        <w:rPr>
          <w:rFonts w:hint="eastAsia" w:ascii="宋体" w:hAnsi="宋体"/>
          <w:bCs/>
          <w:color w:val="auto"/>
          <w:sz w:val="21"/>
          <w:szCs w:val="21"/>
          <w:highlight w:val="none"/>
        </w:rPr>
        <w:t>我方承诺在招标文件规定的投标有效期内不撤销投标文件。</w:t>
      </w:r>
    </w:p>
    <w:p>
      <w:pPr>
        <w:pStyle w:val="13"/>
        <w:adjustRightInd w:val="0"/>
        <w:snapToGrid w:val="0"/>
        <w:spacing w:line="300" w:lineRule="atLeast"/>
        <w:ind w:firstLine="420" w:firstLineChars="200"/>
        <w:rPr>
          <w:rFonts w:hint="eastAsia" w:hAnsi="宋体"/>
          <w:color w:val="auto"/>
          <w:highlight w:val="none"/>
        </w:rPr>
      </w:pPr>
      <w:r>
        <w:rPr>
          <w:rFonts w:hint="eastAsia" w:hAnsi="宋体"/>
          <w:color w:val="auto"/>
          <w:highlight w:val="none"/>
          <w:lang w:eastAsia="zh-CN"/>
        </w:rPr>
        <w:t>五</w:t>
      </w:r>
      <w:r>
        <w:rPr>
          <w:rFonts w:hint="eastAsia" w:hAnsi="宋体"/>
          <w:color w:val="auto"/>
          <w:highlight w:val="none"/>
        </w:rPr>
        <w:t>、我方承诺遵守《中华人民共和国政府采购法》及其实施条例的有关规定，保证在获得中标资格后：</w:t>
      </w:r>
    </w:p>
    <w:p>
      <w:pPr>
        <w:pStyle w:val="14"/>
        <w:spacing w:line="3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1.在收到中标通知书后，在中标通知书规定的期限内与采购人签订合同；</w:t>
      </w:r>
    </w:p>
    <w:p>
      <w:pPr>
        <w:pStyle w:val="14"/>
        <w:spacing w:line="3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pPr>
        <w:pStyle w:val="13"/>
        <w:adjustRightInd w:val="0"/>
        <w:snapToGrid w:val="0"/>
        <w:spacing w:line="300" w:lineRule="atLeast"/>
        <w:ind w:firstLine="420" w:firstLineChars="200"/>
        <w:rPr>
          <w:rFonts w:hint="eastAsia" w:hAnsi="宋体"/>
          <w:bCs/>
          <w:color w:val="auto"/>
          <w:highlight w:val="none"/>
        </w:rPr>
      </w:pPr>
      <w:r>
        <w:rPr>
          <w:rFonts w:hint="eastAsia" w:hAnsi="宋体"/>
          <w:color w:val="auto"/>
          <w:highlight w:val="none"/>
        </w:rPr>
        <w:t>4.</w:t>
      </w:r>
      <w:r>
        <w:rPr>
          <w:rFonts w:hint="eastAsia" w:hAnsi="宋体"/>
          <w:bCs/>
          <w:color w:val="auto"/>
          <w:highlight w:val="none"/>
        </w:rPr>
        <w:t>按照招标文件规定和标准向贵方交纳招标代理服务费；</w:t>
      </w:r>
    </w:p>
    <w:p>
      <w:pPr>
        <w:pStyle w:val="13"/>
        <w:adjustRightInd w:val="0"/>
        <w:snapToGrid w:val="0"/>
        <w:spacing w:line="300" w:lineRule="atLeast"/>
        <w:ind w:firstLine="420" w:firstLineChars="200"/>
        <w:rPr>
          <w:rFonts w:hint="eastAsia" w:hAnsi="宋体"/>
          <w:color w:val="auto"/>
          <w:highlight w:val="none"/>
        </w:rPr>
      </w:pPr>
      <w:r>
        <w:rPr>
          <w:rFonts w:hint="eastAsia" w:hAnsi="宋体"/>
          <w:color w:val="auto"/>
          <w:highlight w:val="none"/>
        </w:rPr>
        <w:t>5.按照招标文件规定提交履约保证金。</w:t>
      </w:r>
    </w:p>
    <w:p>
      <w:pPr>
        <w:pStyle w:val="13"/>
        <w:adjustRightInd w:val="0"/>
        <w:snapToGrid w:val="0"/>
        <w:spacing w:line="300" w:lineRule="atLeast"/>
        <w:ind w:firstLine="420" w:firstLineChars="200"/>
        <w:rPr>
          <w:rFonts w:hint="eastAsia" w:hAnsi="宋体"/>
          <w:color w:val="auto"/>
          <w:highlight w:val="none"/>
        </w:rPr>
      </w:pPr>
      <w:r>
        <w:rPr>
          <w:rFonts w:hint="eastAsia" w:hAnsi="宋体"/>
          <w:color w:val="auto"/>
          <w:highlight w:val="none"/>
          <w:lang w:eastAsia="zh-CN"/>
        </w:rPr>
        <w:t>六</w:t>
      </w:r>
      <w:r>
        <w:rPr>
          <w:rFonts w:hint="eastAsia" w:hAnsi="宋体"/>
          <w:color w:val="auto"/>
          <w:highlight w:val="none"/>
        </w:rPr>
        <w:t>、我方完全理解并同意招标文件中有关不退还投标保证金条款所规定的情形。</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lang w:eastAsia="zh-CN"/>
        </w:rPr>
        <w:t>七</w:t>
      </w:r>
      <w:r>
        <w:rPr>
          <w:rFonts w:hint="eastAsia" w:ascii="宋体" w:hAnsi="宋体"/>
          <w:color w:val="auto"/>
          <w:sz w:val="21"/>
          <w:szCs w:val="21"/>
          <w:highlight w:val="none"/>
        </w:rPr>
        <w:t>、</w:t>
      </w:r>
      <w:r>
        <w:rPr>
          <w:rFonts w:hint="eastAsia" w:ascii="宋体" w:hAnsi="宋体"/>
          <w:bCs/>
          <w:color w:val="auto"/>
          <w:sz w:val="21"/>
          <w:szCs w:val="21"/>
          <w:highlight w:val="none"/>
        </w:rPr>
        <w:t>我方完全理解最低报价不是中标的唯一条件，并尊重评标委员会的评审结论和中标结果。</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八</w:t>
      </w:r>
      <w:r>
        <w:rPr>
          <w:rFonts w:hint="eastAsia" w:ascii="宋体" w:hAnsi="宋体"/>
          <w:bCs/>
          <w:color w:val="auto"/>
          <w:sz w:val="21"/>
          <w:szCs w:val="21"/>
          <w:highlight w:val="none"/>
        </w:rPr>
        <w:t>、</w:t>
      </w:r>
      <w:r>
        <w:rPr>
          <w:rFonts w:hint="eastAsia" w:hAnsi="宋体"/>
          <w:color w:val="auto"/>
          <w:sz w:val="21"/>
          <w:szCs w:val="21"/>
          <w:highlight w:val="none"/>
        </w:rPr>
        <w:t>我方在此声明，所递交的投标文件及有关资料内容完整、真实和准确，且不存在第二章“投标人须知”第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九</w:t>
      </w:r>
      <w:r>
        <w:rPr>
          <w:rFonts w:hint="eastAsia" w:ascii="宋体" w:hAnsi="宋体"/>
          <w:bCs/>
          <w:color w:val="auto"/>
          <w:sz w:val="21"/>
          <w:szCs w:val="21"/>
          <w:highlight w:val="none"/>
        </w:rPr>
        <w:t>、</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（其他补充说明）。</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十、有关本项目的所有函电，请按下列地址联系：</w:t>
      </w:r>
    </w:p>
    <w:p>
      <w:pPr>
        <w:pStyle w:val="14"/>
        <w:spacing w:line="300" w:lineRule="atLeast"/>
        <w:ind w:firstLine="0"/>
        <w:rPr>
          <w:rFonts w:hint="eastAsia" w:ascii="宋体" w:hAnsi="宋体"/>
          <w:bCs/>
          <w:color w:val="auto"/>
          <w:sz w:val="21"/>
          <w:szCs w:val="21"/>
          <w:highlight w:val="none"/>
        </w:rPr>
      </w:pP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投 标 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（盖单位章）</w:t>
      </w:r>
    </w:p>
    <w:p>
      <w:pPr>
        <w:pStyle w:val="14"/>
        <w:spacing w:line="300" w:lineRule="atLeast"/>
        <w:ind w:firstLine="420" w:firstLineChars="200"/>
        <w:rPr>
          <w:rFonts w:hint="eastAsia" w:ascii="宋体" w:hAnsi="宋体"/>
          <w:bCs/>
          <w:color w:val="auto"/>
          <w:sz w:val="21"/>
          <w:szCs w:val="21"/>
          <w:highlight w:val="none"/>
        </w:rPr>
      </w:pP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法定代表人或委托代理人：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（签字）</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通讯地址：</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邮政编码：</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联系电话：</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传    真：</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电子邮件：</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开户银行:</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帐    号：</w:t>
      </w:r>
    </w:p>
    <w:p>
      <w:pPr>
        <w:pStyle w:val="14"/>
        <w:spacing w:line="300" w:lineRule="atLeas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日    期：20   年   月   日</w:t>
      </w:r>
    </w:p>
    <w:p>
      <w:pPr>
        <w:spacing w:line="300" w:lineRule="atLeast"/>
        <w:outlineLvl w:val="1"/>
        <w:rPr>
          <w:rFonts w:hint="eastAsia" w:ascii="仿宋_GB2312" w:hAnsi="宋体" w:eastAsia="仿宋_GB2312"/>
          <w:b/>
          <w:color w:val="auto"/>
          <w:sz w:val="28"/>
          <w:szCs w:val="28"/>
          <w:highlight w:val="none"/>
        </w:rPr>
      </w:pPr>
    </w:p>
    <w:p>
      <w:pPr>
        <w:spacing w:line="400" w:lineRule="exact"/>
        <w:outlineLvl w:val="1"/>
        <w:rPr>
          <w:rFonts w:hint="eastAsia" w:ascii="仿宋_GB2312" w:hAnsi="宋体" w:eastAsia="仿宋_GB2312"/>
          <w:b/>
          <w:color w:val="auto"/>
          <w:sz w:val="28"/>
          <w:szCs w:val="28"/>
          <w:highlight w:val="none"/>
        </w:rPr>
      </w:pPr>
    </w:p>
    <w:p>
      <w:pPr>
        <w:pageBreakBefore/>
        <w:spacing w:after="240" w:afterLines="100" w:line="360" w:lineRule="auto"/>
        <w:jc w:val="center"/>
        <w:outlineLvl w:val="1"/>
        <w:rPr>
          <w:rFonts w:hint="eastAsia" w:ascii="宋体" w:hAnsi="宋体"/>
          <w:b/>
          <w:color w:val="auto"/>
          <w:sz w:val="36"/>
          <w:szCs w:val="36"/>
          <w:highlight w:val="none"/>
        </w:rPr>
      </w:pPr>
      <w:r>
        <w:rPr>
          <w:rFonts w:hint="eastAsia" w:ascii="宋体" w:hAnsi="宋体"/>
          <w:b/>
          <w:color w:val="auto"/>
          <w:sz w:val="36"/>
          <w:szCs w:val="36"/>
          <w:highlight w:val="none"/>
        </w:rPr>
        <w:t>二、开标一览表</w:t>
      </w:r>
    </w:p>
    <w:p>
      <w:pPr>
        <w:spacing w:after="120" w:afterLines="50"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 xml:space="preserve">采购项目编号：                                                    </w:t>
      </w:r>
    </w:p>
    <w:tbl>
      <w:tblPr>
        <w:tblStyle w:val="21"/>
        <w:tblW w:w="9300" w:type="dxa"/>
        <w:tblInd w:w="93" w:type="dxa"/>
        <w:tblLayout w:type="fixed"/>
        <w:tblCellMar>
          <w:top w:w="0" w:type="dxa"/>
          <w:left w:w="108" w:type="dxa"/>
          <w:bottom w:w="0" w:type="dxa"/>
          <w:right w:w="108" w:type="dxa"/>
        </w:tblCellMar>
      </w:tblPr>
      <w:tblGrid>
        <w:gridCol w:w="1149"/>
        <w:gridCol w:w="3119"/>
        <w:gridCol w:w="1276"/>
        <w:gridCol w:w="1726"/>
        <w:gridCol w:w="2030"/>
      </w:tblGrid>
      <w:tr>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投标人名称：</w:t>
            </w:r>
          </w:p>
        </w:tc>
      </w:tr>
      <w:tr>
        <w:tblPrEx>
          <w:tblCellMar>
            <w:top w:w="0" w:type="dxa"/>
            <w:left w:w="108" w:type="dxa"/>
            <w:bottom w:w="0" w:type="dxa"/>
            <w:right w:w="108" w:type="dxa"/>
          </w:tblCellMar>
        </w:tblPrEx>
        <w:trPr>
          <w:trHeight w:val="900" w:hRule="atLeast"/>
        </w:trPr>
        <w:tc>
          <w:tcPr>
            <w:tcW w:w="1149" w:type="dxa"/>
            <w:tcBorders>
              <w:top w:val="nil"/>
              <w:left w:val="single" w:color="auto" w:sz="12" w:space="0"/>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w:t>
            </w:r>
          </w:p>
        </w:tc>
        <w:tc>
          <w:tcPr>
            <w:tcW w:w="3119"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总报价</w:t>
            </w:r>
          </w:p>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（元）</w:t>
            </w:r>
          </w:p>
        </w:tc>
        <w:tc>
          <w:tcPr>
            <w:tcW w:w="172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合同履行期限（</w:t>
            </w:r>
            <w:r>
              <w:rPr>
                <w:rFonts w:hint="eastAsia" w:ascii="宋体" w:hAnsi="宋体" w:cs="宋体"/>
                <w:b/>
                <w:bCs/>
                <w:color w:val="auto"/>
                <w:kern w:val="0"/>
                <w:szCs w:val="21"/>
                <w:highlight w:val="none"/>
                <w:lang w:val="en-US" w:eastAsia="zh-CN"/>
              </w:rPr>
              <w:t>日历日</w:t>
            </w:r>
            <w:r>
              <w:rPr>
                <w:rFonts w:hint="eastAsia" w:ascii="宋体" w:hAnsi="宋体" w:cs="宋体"/>
                <w:b/>
                <w:bCs/>
                <w:color w:val="auto"/>
                <w:kern w:val="0"/>
                <w:szCs w:val="21"/>
                <w:highlight w:val="none"/>
              </w:rPr>
              <w:t>）</w:t>
            </w:r>
          </w:p>
        </w:tc>
        <w:tc>
          <w:tcPr>
            <w:tcW w:w="2030" w:type="dxa"/>
            <w:tcBorders>
              <w:top w:val="nil"/>
              <w:left w:val="nil"/>
              <w:bottom w:val="single" w:color="auto" w:sz="4" w:space="0"/>
              <w:right w:val="single" w:color="auto" w:sz="12"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质保期  </w:t>
            </w:r>
          </w:p>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（年）</w:t>
            </w:r>
          </w:p>
        </w:tc>
      </w:tr>
      <w:tr>
        <w:tblPrEx>
          <w:tblCellMar>
            <w:top w:w="0" w:type="dxa"/>
            <w:left w:w="108" w:type="dxa"/>
            <w:bottom w:w="0" w:type="dxa"/>
            <w:right w:w="108" w:type="dxa"/>
          </w:tblCellMar>
        </w:tblPrEx>
        <w:trPr>
          <w:trHeight w:val="1170" w:hRule="atLeast"/>
        </w:trPr>
        <w:tc>
          <w:tcPr>
            <w:tcW w:w="1149" w:type="dxa"/>
            <w:tcBorders>
              <w:top w:val="nil"/>
              <w:left w:val="single" w:color="auto" w:sz="12"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p>
        </w:tc>
        <w:tc>
          <w:tcPr>
            <w:tcW w:w="31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p>
        </w:tc>
        <w:tc>
          <w:tcPr>
            <w:tcW w:w="172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p>
        </w:tc>
        <w:tc>
          <w:tcPr>
            <w:tcW w:w="2030" w:type="dxa"/>
            <w:tcBorders>
              <w:top w:val="nil"/>
              <w:left w:val="nil"/>
              <w:bottom w:val="single" w:color="auto" w:sz="4" w:space="0"/>
              <w:right w:val="single" w:color="auto" w:sz="12" w:space="0"/>
            </w:tcBorders>
            <w:noWrap/>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12" w:space="0"/>
              <w:right w:val="single" w:color="auto" w:sz="12" w:space="0"/>
            </w:tcBorders>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总报价（大写）：                                           </w:t>
            </w:r>
          </w:p>
        </w:tc>
      </w:tr>
    </w:tbl>
    <w:p>
      <w:pPr>
        <w:spacing w:before="120" w:beforeLines="50" w:line="200" w:lineRule="exact"/>
        <w:ind w:left="413" w:hanging="413" w:hangingChars="196"/>
        <w:jc w:val="left"/>
        <w:rPr>
          <w:rFonts w:hint="eastAsia" w:ascii="仿宋_GB2312" w:hAnsi="宋体" w:eastAsia="仿宋_GB2312"/>
          <w:b/>
          <w:color w:val="auto"/>
          <w:szCs w:val="21"/>
          <w:highlight w:val="none"/>
        </w:rPr>
      </w:pPr>
    </w:p>
    <w:p>
      <w:pPr>
        <w:spacing w:before="120" w:beforeLines="50" w:line="200" w:lineRule="exact"/>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说明</w:t>
      </w:r>
      <w:r>
        <w:rPr>
          <w:rFonts w:hint="eastAsia" w:ascii="楷体" w:hAnsi="楷体" w:eastAsia="楷体"/>
          <w:b/>
          <w:color w:val="auto"/>
          <w:szCs w:val="21"/>
          <w:highlight w:val="none"/>
        </w:rPr>
        <w:t>：</w:t>
      </w:r>
      <w:r>
        <w:rPr>
          <w:rFonts w:hint="eastAsia" w:ascii="楷体" w:hAnsi="楷体" w:eastAsia="楷体"/>
          <w:color w:val="auto"/>
          <w:szCs w:val="21"/>
          <w:highlight w:val="none"/>
        </w:rPr>
        <w:t>1.报价应按总报价填写，精确到小数点后两位，大小写不一致时，以大写为准；</w:t>
      </w:r>
    </w:p>
    <w:p>
      <w:pPr>
        <w:spacing w:before="120" w:beforeLines="50" w:line="200" w:lineRule="exact"/>
        <w:ind w:left="412" w:leftChars="196" w:firstLine="210" w:firstLineChars="100"/>
        <w:jc w:val="left"/>
        <w:rPr>
          <w:rFonts w:hint="eastAsia" w:ascii="楷体" w:hAnsi="楷体" w:eastAsia="楷体"/>
          <w:color w:val="auto"/>
          <w:szCs w:val="21"/>
          <w:highlight w:val="none"/>
        </w:rPr>
      </w:pPr>
      <w:r>
        <w:rPr>
          <w:rFonts w:hint="eastAsia" w:ascii="楷体" w:hAnsi="楷体" w:eastAsia="楷体"/>
          <w:color w:val="auto"/>
          <w:szCs w:val="21"/>
          <w:highlight w:val="none"/>
        </w:rPr>
        <w:t>2.“开标一览表表”以包为单位填写；</w:t>
      </w:r>
    </w:p>
    <w:p>
      <w:pPr>
        <w:spacing w:before="120" w:beforeLines="50" w:line="200" w:lineRule="exact"/>
        <w:ind w:firstLine="630" w:firstLineChars="300"/>
        <w:jc w:val="left"/>
        <w:rPr>
          <w:rFonts w:hint="eastAsia" w:ascii="楷体" w:hAnsi="楷体" w:eastAsia="楷体"/>
          <w:color w:val="auto"/>
          <w:szCs w:val="21"/>
          <w:highlight w:val="none"/>
        </w:rPr>
      </w:pPr>
      <w:r>
        <w:rPr>
          <w:rFonts w:hint="eastAsia" w:ascii="楷体" w:hAnsi="楷体" w:eastAsia="楷体"/>
          <w:color w:val="auto"/>
          <w:szCs w:val="21"/>
          <w:highlight w:val="none"/>
        </w:rPr>
        <w:t>3.有分包的，项目名称填写分包的项目名称，无分包的填写采购项目名称；</w:t>
      </w:r>
    </w:p>
    <w:p>
      <w:pPr>
        <w:spacing w:before="120" w:beforeLines="50" w:line="200" w:lineRule="exact"/>
        <w:ind w:firstLine="630" w:firstLineChars="300"/>
        <w:jc w:val="left"/>
        <w:rPr>
          <w:rFonts w:hint="eastAsia" w:ascii="楷体" w:hAnsi="楷体" w:eastAsia="楷体"/>
          <w:color w:val="auto"/>
          <w:szCs w:val="21"/>
          <w:highlight w:val="none"/>
        </w:rPr>
      </w:pPr>
      <w:r>
        <w:rPr>
          <w:rFonts w:hint="eastAsia" w:ascii="楷体" w:hAnsi="楷体" w:eastAsia="楷体"/>
          <w:color w:val="auto"/>
          <w:szCs w:val="21"/>
          <w:highlight w:val="none"/>
        </w:rPr>
        <w:t>4.本表所列各项数据与投标文件其他地方表述不一致时，以本表为准；</w:t>
      </w:r>
    </w:p>
    <w:p>
      <w:pPr>
        <w:spacing w:line="400" w:lineRule="exact"/>
        <w:jc w:val="left"/>
        <w:rPr>
          <w:rFonts w:hint="eastAsia" w:ascii="仿宋_GB2312" w:hAnsi="宋体" w:eastAsia="仿宋_GB2312"/>
          <w:color w:val="auto"/>
          <w:sz w:val="28"/>
          <w:szCs w:val="28"/>
          <w:highlight w:val="none"/>
        </w:rPr>
      </w:pPr>
    </w:p>
    <w:p>
      <w:pPr>
        <w:adjustRightInd w:val="0"/>
        <w:spacing w:line="400" w:lineRule="exact"/>
        <w:jc w:val="left"/>
        <w:rPr>
          <w:rFonts w:hint="eastAsia" w:ascii="仿宋_GB2312" w:hAnsi="宋体" w:eastAsia="仿宋_GB2312"/>
          <w:color w:val="auto"/>
          <w:sz w:val="28"/>
          <w:szCs w:val="28"/>
          <w:highlight w:val="none"/>
        </w:rPr>
      </w:pPr>
    </w:p>
    <w:p>
      <w:pPr>
        <w:adjustRightInd w:val="0"/>
        <w:spacing w:line="400" w:lineRule="exact"/>
        <w:jc w:val="left"/>
        <w:rPr>
          <w:rFonts w:hint="eastAsia" w:ascii="仿宋_GB2312" w:hAnsi="宋体" w:eastAsia="仿宋_GB2312"/>
          <w:color w:val="auto"/>
          <w:sz w:val="28"/>
          <w:szCs w:val="28"/>
          <w:highlight w:val="none"/>
        </w:rPr>
      </w:pPr>
    </w:p>
    <w:p>
      <w:pPr>
        <w:adjustRightInd w:val="0"/>
        <w:spacing w:line="400" w:lineRule="exact"/>
        <w:ind w:firstLine="120" w:firstLineChars="50"/>
        <w:jc w:val="left"/>
        <w:rPr>
          <w:rFonts w:hint="eastAsia" w:ascii="宋体" w:hAnsi="宋体"/>
          <w:color w:val="auto"/>
          <w:sz w:val="24"/>
          <w:highlight w:val="none"/>
        </w:rPr>
      </w:pPr>
      <w:r>
        <w:rPr>
          <w:rFonts w:hint="eastAsia" w:ascii="宋体" w:hAnsi="宋体"/>
          <w:color w:val="auto"/>
          <w:sz w:val="24"/>
          <w:highlight w:val="none"/>
        </w:rPr>
        <w:t xml:space="preserve"> </w:t>
      </w:r>
    </w:p>
    <w:p>
      <w:pPr>
        <w:adjustRightInd w:val="0"/>
        <w:spacing w:line="400" w:lineRule="exact"/>
        <w:ind w:firstLine="120" w:firstLineChars="50"/>
        <w:jc w:val="left"/>
        <w:rPr>
          <w:rFonts w:hint="eastAsia" w:ascii="宋体" w:hAnsi="宋体"/>
          <w:color w:val="auto"/>
          <w:sz w:val="24"/>
          <w:highlight w:val="none"/>
        </w:rPr>
      </w:pPr>
    </w:p>
    <w:p>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jc w:val="center"/>
        <w:outlineLvl w:val="1"/>
        <w:rPr>
          <w:rFonts w:hint="eastAsia" w:ascii="宋体" w:hAnsi="宋体"/>
          <w:color w:val="auto"/>
          <w:szCs w:val="21"/>
          <w:highlight w:val="none"/>
        </w:rPr>
      </w:pPr>
    </w:p>
    <w:p>
      <w:pPr>
        <w:spacing w:line="400" w:lineRule="exact"/>
        <w:ind w:firstLine="105" w:firstLineChars="50"/>
        <w:outlineLvl w:val="1"/>
        <w:rPr>
          <w:rFonts w:hint="eastAsia" w:ascii="宋体" w:hAnsi="宋体"/>
          <w:color w:val="auto"/>
          <w:szCs w:val="21"/>
          <w:highlight w:val="none"/>
        </w:rPr>
      </w:pPr>
    </w:p>
    <w:p>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400" w:lineRule="exact"/>
        <w:ind w:firstLine="105" w:firstLineChars="50"/>
        <w:outlineLvl w:val="1"/>
        <w:rPr>
          <w:rFonts w:hint="eastAsia" w:ascii="仿宋_GB2312" w:hAnsi="宋体" w:eastAsia="仿宋_GB2312"/>
          <w:color w:val="auto"/>
          <w:szCs w:val="21"/>
          <w:highlight w:val="none"/>
        </w:rPr>
      </w:pPr>
    </w:p>
    <w:p>
      <w:pPr>
        <w:spacing w:line="400" w:lineRule="exact"/>
        <w:ind w:firstLine="105" w:firstLineChars="50"/>
        <w:outlineLvl w:val="1"/>
        <w:rPr>
          <w:rFonts w:hint="eastAsia" w:ascii="仿宋_GB2312" w:hAnsi="宋体" w:eastAsia="仿宋_GB2312"/>
          <w:color w:val="auto"/>
          <w:szCs w:val="21"/>
          <w:highlight w:val="none"/>
        </w:rPr>
      </w:pPr>
    </w:p>
    <w:p>
      <w:pPr>
        <w:spacing w:line="400" w:lineRule="exact"/>
        <w:ind w:firstLine="105" w:firstLineChars="50"/>
        <w:outlineLvl w:val="1"/>
        <w:rPr>
          <w:rFonts w:hint="eastAsia" w:ascii="仿宋_GB2312" w:hAnsi="宋体" w:eastAsia="仿宋_GB2312"/>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00" w:lineRule="exact"/>
        <w:outlineLvl w:val="1"/>
        <w:rPr>
          <w:rFonts w:ascii="仿宋_GB2312" w:hAnsi="宋体" w:eastAsia="仿宋_GB2312"/>
          <w:b/>
          <w:color w:val="auto"/>
          <w:sz w:val="36"/>
          <w:szCs w:val="36"/>
          <w:highlight w:val="none"/>
        </w:rPr>
        <w:sectPr>
          <w:footerReference r:id="rId16" w:type="default"/>
          <w:pgSz w:w="11907" w:h="16840"/>
          <w:pgMar w:top="1440" w:right="1474" w:bottom="1440" w:left="1474" w:header="851" w:footer="992" w:gutter="0"/>
          <w:pgNumType w:fmt="decimal" w:start="1"/>
          <w:cols w:space="720" w:num="1"/>
        </w:sectPr>
      </w:pPr>
    </w:p>
    <w:p>
      <w:pPr>
        <w:spacing w:after="240" w:afterLines="100"/>
        <w:jc w:val="center"/>
        <w:rPr>
          <w:rFonts w:hint="eastAsia" w:ascii="宋体" w:hAnsi="宋体"/>
          <w:b/>
          <w:color w:val="auto"/>
          <w:sz w:val="36"/>
          <w:szCs w:val="36"/>
          <w:highlight w:val="none"/>
        </w:rPr>
      </w:pPr>
      <w:bookmarkStart w:id="133" w:name="_Toc217446086"/>
      <w:r>
        <w:rPr>
          <w:rFonts w:hint="eastAsia" w:ascii="宋体" w:hAnsi="宋体"/>
          <w:b/>
          <w:bCs/>
          <w:color w:val="auto"/>
          <w:sz w:val="36"/>
          <w:szCs w:val="36"/>
          <w:highlight w:val="none"/>
        </w:rPr>
        <w:t>三、货物（产品）分项报价表</w:t>
      </w:r>
    </w:p>
    <w:p>
      <w:pPr>
        <w:spacing w:after="120" w:afterLines="50" w:line="360" w:lineRule="exact"/>
        <w:ind w:firstLine="210" w:firstLineChars="100"/>
        <w:rPr>
          <w:rFonts w:hint="eastAsia" w:ascii="宋体" w:hAnsi="宋体"/>
          <w:color w:val="auto"/>
          <w:highlight w:val="none"/>
        </w:rPr>
      </w:pPr>
      <w:r>
        <w:rPr>
          <w:rFonts w:hint="eastAsia" w:ascii="宋体" w:hAnsi="宋体"/>
          <w:color w:val="auto"/>
          <w:highlight w:val="none"/>
        </w:rPr>
        <w:t>投标人名称：                                                                                      采购项目编码：</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43"/>
        <w:gridCol w:w="1924"/>
        <w:gridCol w:w="1240"/>
        <w:gridCol w:w="2422"/>
        <w:gridCol w:w="1346"/>
        <w:gridCol w:w="818"/>
        <w:gridCol w:w="1162"/>
        <w:gridCol w:w="638"/>
        <w:gridCol w:w="1080"/>
        <w:gridCol w:w="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1"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843"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货物名称</w:t>
            </w:r>
          </w:p>
        </w:tc>
        <w:tc>
          <w:tcPr>
            <w:tcW w:w="1924"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240"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型号规格</w:t>
            </w:r>
          </w:p>
        </w:tc>
        <w:tc>
          <w:tcPr>
            <w:tcW w:w="2422"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1346"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数量/单位</w:t>
            </w:r>
          </w:p>
        </w:tc>
        <w:tc>
          <w:tcPr>
            <w:tcW w:w="818"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单价（元）</w:t>
            </w:r>
          </w:p>
        </w:tc>
        <w:tc>
          <w:tcPr>
            <w:tcW w:w="1162"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报价（元）</w:t>
            </w:r>
          </w:p>
        </w:tc>
        <w:tc>
          <w:tcPr>
            <w:tcW w:w="638"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小微 企业</w:t>
            </w:r>
          </w:p>
        </w:tc>
        <w:tc>
          <w:tcPr>
            <w:tcW w:w="1080"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政策功能编码</w:t>
            </w:r>
          </w:p>
        </w:tc>
        <w:tc>
          <w:tcPr>
            <w:tcW w:w="818" w:type="dxa"/>
            <w:noWrap w:val="0"/>
            <w:vAlign w:val="center"/>
          </w:tcPr>
          <w:p>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843"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924" w:type="dxa"/>
            <w:noWrap w:val="0"/>
            <w:vAlign w:val="top"/>
          </w:tcPr>
          <w:p>
            <w:pPr>
              <w:adjustRightInd w:val="0"/>
              <w:snapToGrid w:val="0"/>
              <w:spacing w:line="360" w:lineRule="auto"/>
              <w:jc w:val="center"/>
              <w:rPr>
                <w:rFonts w:hint="eastAsia" w:ascii="宋体" w:hAnsi="宋体"/>
                <w:color w:val="auto"/>
                <w:szCs w:val="21"/>
                <w:highlight w:val="none"/>
              </w:rPr>
            </w:pPr>
          </w:p>
        </w:tc>
        <w:tc>
          <w:tcPr>
            <w:tcW w:w="1240" w:type="dxa"/>
            <w:noWrap w:val="0"/>
            <w:vAlign w:val="top"/>
          </w:tcPr>
          <w:p>
            <w:pPr>
              <w:adjustRightInd w:val="0"/>
              <w:snapToGrid w:val="0"/>
              <w:spacing w:line="360" w:lineRule="auto"/>
              <w:jc w:val="center"/>
              <w:rPr>
                <w:rFonts w:hint="eastAsia" w:ascii="宋体" w:hAnsi="宋体"/>
                <w:color w:val="auto"/>
                <w:szCs w:val="21"/>
                <w:highlight w:val="none"/>
              </w:rPr>
            </w:pPr>
          </w:p>
        </w:tc>
        <w:tc>
          <w:tcPr>
            <w:tcW w:w="2422" w:type="dxa"/>
            <w:noWrap w:val="0"/>
            <w:vAlign w:val="top"/>
          </w:tcPr>
          <w:p>
            <w:pPr>
              <w:adjustRightInd w:val="0"/>
              <w:snapToGrid w:val="0"/>
              <w:spacing w:line="360" w:lineRule="auto"/>
              <w:jc w:val="center"/>
              <w:rPr>
                <w:rFonts w:hint="eastAsia" w:ascii="宋体" w:hAnsi="宋体"/>
                <w:color w:val="auto"/>
                <w:szCs w:val="21"/>
                <w:highlight w:val="none"/>
              </w:rPr>
            </w:pPr>
          </w:p>
        </w:tc>
        <w:tc>
          <w:tcPr>
            <w:tcW w:w="1346" w:type="dxa"/>
            <w:noWrap w:val="0"/>
            <w:vAlign w:val="top"/>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162" w:type="dxa"/>
            <w:noWrap w:val="0"/>
            <w:vAlign w:val="top"/>
          </w:tcPr>
          <w:p>
            <w:pPr>
              <w:adjustRightInd w:val="0"/>
              <w:snapToGrid w:val="0"/>
              <w:spacing w:line="360" w:lineRule="auto"/>
              <w:jc w:val="center"/>
              <w:rPr>
                <w:rFonts w:hint="eastAsia" w:ascii="宋体" w:hAnsi="宋体"/>
                <w:color w:val="auto"/>
                <w:szCs w:val="21"/>
                <w:highlight w:val="none"/>
              </w:rPr>
            </w:pPr>
          </w:p>
        </w:tc>
        <w:tc>
          <w:tcPr>
            <w:tcW w:w="638" w:type="dxa"/>
            <w:noWrap w:val="0"/>
            <w:vAlign w:val="top"/>
          </w:tcPr>
          <w:p>
            <w:pPr>
              <w:adjustRightInd w:val="0"/>
              <w:snapToGrid w:val="0"/>
              <w:spacing w:line="360" w:lineRule="auto"/>
              <w:jc w:val="center"/>
              <w:rPr>
                <w:rFonts w:hint="eastAsia" w:ascii="宋体" w:hAnsi="宋体"/>
                <w:color w:val="auto"/>
                <w:szCs w:val="21"/>
                <w:highlight w:val="none"/>
              </w:rPr>
            </w:pPr>
          </w:p>
        </w:tc>
        <w:tc>
          <w:tcPr>
            <w:tcW w:w="1080"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843"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924" w:type="dxa"/>
            <w:noWrap w:val="0"/>
            <w:vAlign w:val="top"/>
          </w:tcPr>
          <w:p>
            <w:pPr>
              <w:adjustRightInd w:val="0"/>
              <w:snapToGrid w:val="0"/>
              <w:spacing w:line="360" w:lineRule="auto"/>
              <w:jc w:val="center"/>
              <w:rPr>
                <w:rFonts w:hint="eastAsia" w:ascii="宋体" w:hAnsi="宋体"/>
                <w:color w:val="auto"/>
                <w:szCs w:val="21"/>
                <w:highlight w:val="none"/>
              </w:rPr>
            </w:pPr>
          </w:p>
        </w:tc>
        <w:tc>
          <w:tcPr>
            <w:tcW w:w="1240" w:type="dxa"/>
            <w:noWrap w:val="0"/>
            <w:vAlign w:val="top"/>
          </w:tcPr>
          <w:p>
            <w:pPr>
              <w:adjustRightInd w:val="0"/>
              <w:snapToGrid w:val="0"/>
              <w:spacing w:line="360" w:lineRule="auto"/>
              <w:jc w:val="center"/>
              <w:rPr>
                <w:rFonts w:hint="eastAsia" w:ascii="宋体" w:hAnsi="宋体"/>
                <w:color w:val="auto"/>
                <w:szCs w:val="21"/>
                <w:highlight w:val="none"/>
              </w:rPr>
            </w:pPr>
          </w:p>
        </w:tc>
        <w:tc>
          <w:tcPr>
            <w:tcW w:w="2422" w:type="dxa"/>
            <w:noWrap w:val="0"/>
            <w:vAlign w:val="top"/>
          </w:tcPr>
          <w:p>
            <w:pPr>
              <w:adjustRightInd w:val="0"/>
              <w:snapToGrid w:val="0"/>
              <w:spacing w:line="360" w:lineRule="auto"/>
              <w:jc w:val="center"/>
              <w:rPr>
                <w:rFonts w:hint="eastAsia" w:ascii="宋体" w:hAnsi="宋体"/>
                <w:color w:val="auto"/>
                <w:szCs w:val="21"/>
                <w:highlight w:val="none"/>
              </w:rPr>
            </w:pPr>
          </w:p>
        </w:tc>
        <w:tc>
          <w:tcPr>
            <w:tcW w:w="1346" w:type="dxa"/>
            <w:noWrap w:val="0"/>
            <w:vAlign w:val="top"/>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162" w:type="dxa"/>
            <w:noWrap w:val="0"/>
            <w:vAlign w:val="top"/>
          </w:tcPr>
          <w:p>
            <w:pPr>
              <w:adjustRightInd w:val="0"/>
              <w:snapToGrid w:val="0"/>
              <w:spacing w:line="360" w:lineRule="auto"/>
              <w:jc w:val="center"/>
              <w:rPr>
                <w:rFonts w:hint="eastAsia" w:ascii="宋体" w:hAnsi="宋体"/>
                <w:color w:val="auto"/>
                <w:szCs w:val="21"/>
                <w:highlight w:val="none"/>
              </w:rPr>
            </w:pPr>
          </w:p>
        </w:tc>
        <w:tc>
          <w:tcPr>
            <w:tcW w:w="638" w:type="dxa"/>
            <w:noWrap w:val="0"/>
            <w:vAlign w:val="top"/>
          </w:tcPr>
          <w:p>
            <w:pPr>
              <w:adjustRightInd w:val="0"/>
              <w:snapToGrid w:val="0"/>
              <w:spacing w:line="360" w:lineRule="auto"/>
              <w:jc w:val="center"/>
              <w:rPr>
                <w:rFonts w:hint="eastAsia" w:ascii="宋体" w:hAnsi="宋体"/>
                <w:color w:val="auto"/>
                <w:szCs w:val="21"/>
                <w:highlight w:val="none"/>
              </w:rPr>
            </w:pPr>
          </w:p>
        </w:tc>
        <w:tc>
          <w:tcPr>
            <w:tcW w:w="1080"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1"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843"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924" w:type="dxa"/>
            <w:noWrap w:val="0"/>
            <w:vAlign w:val="top"/>
          </w:tcPr>
          <w:p>
            <w:pPr>
              <w:adjustRightInd w:val="0"/>
              <w:snapToGrid w:val="0"/>
              <w:spacing w:line="360" w:lineRule="auto"/>
              <w:jc w:val="center"/>
              <w:rPr>
                <w:rFonts w:hint="eastAsia" w:ascii="宋体" w:hAnsi="宋体"/>
                <w:color w:val="auto"/>
                <w:szCs w:val="21"/>
                <w:highlight w:val="none"/>
              </w:rPr>
            </w:pPr>
          </w:p>
        </w:tc>
        <w:tc>
          <w:tcPr>
            <w:tcW w:w="1240" w:type="dxa"/>
            <w:noWrap w:val="0"/>
            <w:vAlign w:val="top"/>
          </w:tcPr>
          <w:p>
            <w:pPr>
              <w:adjustRightInd w:val="0"/>
              <w:snapToGrid w:val="0"/>
              <w:spacing w:line="360" w:lineRule="auto"/>
              <w:jc w:val="center"/>
              <w:rPr>
                <w:rFonts w:hint="eastAsia" w:ascii="宋体" w:hAnsi="宋体"/>
                <w:color w:val="auto"/>
                <w:szCs w:val="21"/>
                <w:highlight w:val="none"/>
              </w:rPr>
            </w:pPr>
          </w:p>
        </w:tc>
        <w:tc>
          <w:tcPr>
            <w:tcW w:w="2422" w:type="dxa"/>
            <w:noWrap w:val="0"/>
            <w:vAlign w:val="top"/>
          </w:tcPr>
          <w:p>
            <w:pPr>
              <w:adjustRightInd w:val="0"/>
              <w:snapToGrid w:val="0"/>
              <w:spacing w:line="360" w:lineRule="auto"/>
              <w:jc w:val="center"/>
              <w:rPr>
                <w:rFonts w:hint="eastAsia" w:ascii="宋体" w:hAnsi="宋体"/>
                <w:color w:val="auto"/>
                <w:szCs w:val="21"/>
                <w:highlight w:val="none"/>
              </w:rPr>
            </w:pPr>
          </w:p>
        </w:tc>
        <w:tc>
          <w:tcPr>
            <w:tcW w:w="1346" w:type="dxa"/>
            <w:noWrap w:val="0"/>
            <w:vAlign w:val="top"/>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162" w:type="dxa"/>
            <w:noWrap w:val="0"/>
            <w:vAlign w:val="top"/>
          </w:tcPr>
          <w:p>
            <w:pPr>
              <w:adjustRightInd w:val="0"/>
              <w:snapToGrid w:val="0"/>
              <w:spacing w:line="360" w:lineRule="auto"/>
              <w:jc w:val="center"/>
              <w:rPr>
                <w:rFonts w:hint="eastAsia" w:ascii="宋体" w:hAnsi="宋体"/>
                <w:color w:val="auto"/>
                <w:szCs w:val="21"/>
                <w:highlight w:val="none"/>
              </w:rPr>
            </w:pPr>
          </w:p>
        </w:tc>
        <w:tc>
          <w:tcPr>
            <w:tcW w:w="638" w:type="dxa"/>
            <w:noWrap w:val="0"/>
            <w:vAlign w:val="top"/>
          </w:tcPr>
          <w:p>
            <w:pPr>
              <w:adjustRightInd w:val="0"/>
              <w:snapToGrid w:val="0"/>
              <w:spacing w:line="360" w:lineRule="auto"/>
              <w:jc w:val="center"/>
              <w:rPr>
                <w:rFonts w:hint="eastAsia" w:ascii="宋体" w:hAnsi="宋体"/>
                <w:color w:val="auto"/>
                <w:szCs w:val="21"/>
                <w:highlight w:val="none"/>
              </w:rPr>
            </w:pPr>
          </w:p>
        </w:tc>
        <w:tc>
          <w:tcPr>
            <w:tcW w:w="1080"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843"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924" w:type="dxa"/>
            <w:noWrap w:val="0"/>
            <w:vAlign w:val="top"/>
          </w:tcPr>
          <w:p>
            <w:pPr>
              <w:adjustRightInd w:val="0"/>
              <w:snapToGrid w:val="0"/>
              <w:spacing w:line="360" w:lineRule="auto"/>
              <w:jc w:val="center"/>
              <w:rPr>
                <w:rFonts w:hint="eastAsia" w:ascii="宋体" w:hAnsi="宋体"/>
                <w:color w:val="auto"/>
                <w:szCs w:val="21"/>
                <w:highlight w:val="none"/>
              </w:rPr>
            </w:pPr>
          </w:p>
        </w:tc>
        <w:tc>
          <w:tcPr>
            <w:tcW w:w="1240" w:type="dxa"/>
            <w:noWrap w:val="0"/>
            <w:vAlign w:val="top"/>
          </w:tcPr>
          <w:p>
            <w:pPr>
              <w:adjustRightInd w:val="0"/>
              <w:snapToGrid w:val="0"/>
              <w:spacing w:line="360" w:lineRule="auto"/>
              <w:jc w:val="center"/>
              <w:rPr>
                <w:rFonts w:hint="eastAsia" w:ascii="宋体" w:hAnsi="宋体"/>
                <w:color w:val="auto"/>
                <w:szCs w:val="21"/>
                <w:highlight w:val="none"/>
              </w:rPr>
            </w:pPr>
          </w:p>
        </w:tc>
        <w:tc>
          <w:tcPr>
            <w:tcW w:w="2422" w:type="dxa"/>
            <w:noWrap w:val="0"/>
            <w:vAlign w:val="top"/>
          </w:tcPr>
          <w:p>
            <w:pPr>
              <w:adjustRightInd w:val="0"/>
              <w:snapToGrid w:val="0"/>
              <w:spacing w:line="360" w:lineRule="auto"/>
              <w:jc w:val="center"/>
              <w:rPr>
                <w:rFonts w:hint="eastAsia" w:ascii="宋体" w:hAnsi="宋体"/>
                <w:color w:val="auto"/>
                <w:szCs w:val="21"/>
                <w:highlight w:val="none"/>
              </w:rPr>
            </w:pPr>
          </w:p>
        </w:tc>
        <w:tc>
          <w:tcPr>
            <w:tcW w:w="1346" w:type="dxa"/>
            <w:noWrap w:val="0"/>
            <w:vAlign w:val="top"/>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162" w:type="dxa"/>
            <w:noWrap w:val="0"/>
            <w:vAlign w:val="top"/>
          </w:tcPr>
          <w:p>
            <w:pPr>
              <w:adjustRightInd w:val="0"/>
              <w:snapToGrid w:val="0"/>
              <w:spacing w:line="360" w:lineRule="auto"/>
              <w:jc w:val="center"/>
              <w:rPr>
                <w:rFonts w:hint="eastAsia" w:ascii="宋体" w:hAnsi="宋体"/>
                <w:color w:val="auto"/>
                <w:szCs w:val="21"/>
                <w:highlight w:val="none"/>
              </w:rPr>
            </w:pPr>
          </w:p>
        </w:tc>
        <w:tc>
          <w:tcPr>
            <w:tcW w:w="638" w:type="dxa"/>
            <w:noWrap w:val="0"/>
            <w:vAlign w:val="top"/>
          </w:tcPr>
          <w:p>
            <w:pPr>
              <w:adjustRightInd w:val="0"/>
              <w:snapToGrid w:val="0"/>
              <w:spacing w:line="360" w:lineRule="auto"/>
              <w:jc w:val="center"/>
              <w:rPr>
                <w:rFonts w:hint="eastAsia" w:ascii="宋体" w:hAnsi="宋体"/>
                <w:color w:val="auto"/>
                <w:szCs w:val="21"/>
                <w:highlight w:val="none"/>
              </w:rPr>
            </w:pPr>
          </w:p>
        </w:tc>
        <w:tc>
          <w:tcPr>
            <w:tcW w:w="1080"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818" w:type="dxa"/>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color w:val="auto"/>
                <w:szCs w:val="21"/>
                <w:highlight w:val="none"/>
              </w:rPr>
            </w:pPr>
          </w:p>
        </w:tc>
        <w:tc>
          <w:tcPr>
            <w:tcW w:w="1843" w:type="dxa"/>
            <w:noWrap w:val="0"/>
            <w:vAlign w:val="center"/>
          </w:tcPr>
          <w:p>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合计报价（大写）</w:t>
            </w:r>
          </w:p>
        </w:tc>
        <w:tc>
          <w:tcPr>
            <w:tcW w:w="7750" w:type="dxa"/>
            <w:gridSpan w:val="5"/>
            <w:noWrap w:val="0"/>
            <w:vAlign w:val="top"/>
          </w:tcPr>
          <w:p>
            <w:pPr>
              <w:adjustRightInd w:val="0"/>
              <w:snapToGrid w:val="0"/>
              <w:spacing w:line="360" w:lineRule="auto"/>
              <w:jc w:val="center"/>
              <w:rPr>
                <w:rFonts w:hint="eastAsia" w:ascii="宋体" w:hAnsi="宋体"/>
                <w:color w:val="auto"/>
                <w:szCs w:val="21"/>
                <w:highlight w:val="none"/>
              </w:rPr>
            </w:pPr>
          </w:p>
        </w:tc>
        <w:tc>
          <w:tcPr>
            <w:tcW w:w="3698" w:type="dxa"/>
            <w:gridSpan w:val="4"/>
            <w:noWrap w:val="0"/>
            <w:vAlign w:val="center"/>
          </w:tcPr>
          <w:p>
            <w:pPr>
              <w:adjustRightInd w:val="0"/>
              <w:snapToGrid w:val="0"/>
              <w:spacing w:line="240" w:lineRule="exact"/>
              <w:rPr>
                <w:rFonts w:hint="eastAsia" w:ascii="宋体" w:hAnsi="宋体"/>
                <w:color w:val="auto"/>
                <w:szCs w:val="21"/>
                <w:highlight w:val="none"/>
              </w:rPr>
            </w:pPr>
            <w:r>
              <w:rPr>
                <w:rFonts w:hint="eastAsia" w:ascii="宋体" w:hAnsi="宋体"/>
                <w:color w:val="auto"/>
                <w:szCs w:val="21"/>
                <w:highlight w:val="none"/>
              </w:rPr>
              <w:t>￥</w:t>
            </w:r>
          </w:p>
        </w:tc>
      </w:tr>
    </w:tbl>
    <w:p>
      <w:pPr>
        <w:adjustRightInd w:val="0"/>
        <w:snapToGrid w:val="0"/>
        <w:spacing w:before="120" w:beforeLines="50"/>
        <w:ind w:left="-88" w:leftChars="-42" w:firstLine="210" w:firstLineChars="100"/>
        <w:rPr>
          <w:rFonts w:hint="eastAsia" w:ascii="楷体" w:hAnsi="楷体" w:eastAsia="楷体"/>
          <w:color w:val="auto"/>
          <w:szCs w:val="21"/>
          <w:highlight w:val="none"/>
        </w:rPr>
      </w:pPr>
      <w:r>
        <w:rPr>
          <w:rFonts w:hint="eastAsia" w:ascii="楷体" w:hAnsi="楷体" w:eastAsia="楷体"/>
          <w:color w:val="auto"/>
          <w:szCs w:val="21"/>
          <w:highlight w:val="none"/>
        </w:rPr>
        <w:t xml:space="preserve">说明： </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1.品牌和制造商指产品的品牌和生产厂商；小微企业是指制造商为</w:t>
      </w:r>
      <w:r>
        <w:rPr>
          <w:rFonts w:hint="eastAsia" w:ascii="楷体" w:hAnsi="楷体" w:eastAsia="楷体"/>
          <w:color w:val="auto"/>
          <w:kern w:val="0"/>
          <w:szCs w:val="21"/>
          <w:highlight w:val="none"/>
        </w:rPr>
        <w:t xml:space="preserve"> “小型、微型</w:t>
      </w:r>
      <w:r>
        <w:rPr>
          <w:rFonts w:hint="eastAsia" w:ascii="楷体" w:hAnsi="楷体" w:eastAsia="楷体"/>
          <w:color w:val="auto"/>
          <w:szCs w:val="21"/>
          <w:highlight w:val="none"/>
        </w:rPr>
        <w:t>企业</w:t>
      </w:r>
      <w:r>
        <w:rPr>
          <w:rFonts w:hint="eastAsia" w:ascii="楷体" w:hAnsi="楷体" w:eastAsia="楷体"/>
          <w:color w:val="auto"/>
          <w:kern w:val="0"/>
          <w:szCs w:val="21"/>
          <w:highlight w:val="none"/>
        </w:rPr>
        <w:t>”；</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2.政策功能编码是指产品的中国环境标志认证证书编号、节能产品认证证书编号；</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3.投标人必须按“货物（产品）</w:t>
      </w:r>
      <w:r>
        <w:rPr>
          <w:rFonts w:hint="eastAsia" w:ascii="楷体" w:hAnsi="楷体" w:eastAsia="楷体"/>
          <w:bCs/>
          <w:color w:val="auto"/>
          <w:szCs w:val="21"/>
          <w:highlight w:val="none"/>
        </w:rPr>
        <w:t>分项报价表”的格式</w:t>
      </w:r>
      <w:r>
        <w:rPr>
          <w:rFonts w:hint="eastAsia" w:ascii="楷体" w:hAnsi="楷体" w:eastAsia="楷体"/>
          <w:color w:val="auto"/>
          <w:szCs w:val="21"/>
          <w:highlight w:val="none"/>
        </w:rPr>
        <w:t>详细报出投标总价的各个组成部分的报价，否则作无效投标处理；报价精确到小数点后两位；</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4.本</w:t>
      </w:r>
      <w:r>
        <w:rPr>
          <w:rFonts w:hint="eastAsia" w:ascii="楷体" w:hAnsi="楷体" w:eastAsia="楷体"/>
          <w:bCs/>
          <w:color w:val="auto"/>
          <w:szCs w:val="21"/>
          <w:highlight w:val="none"/>
        </w:rPr>
        <w:t>表各分项报价合计应当与“开标一览表”总报价相等；</w:t>
      </w:r>
      <w:r>
        <w:rPr>
          <w:rFonts w:hint="eastAsia" w:ascii="楷体" w:hAnsi="楷体" w:eastAsia="楷体"/>
          <w:color w:val="auto"/>
          <w:szCs w:val="21"/>
          <w:highlight w:val="none"/>
        </w:rPr>
        <w:t>如果按单价计算的结果与报价不一致时，以单价为准修正报价与合计报价；</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5.本表为多页的，每页均需由法定代表人或委托代理人签字并盖投标人单位章；</w:t>
      </w:r>
    </w:p>
    <w:p>
      <w:pPr>
        <w:adjustRightInd w:val="0"/>
        <w:snapToGrid w:val="0"/>
        <w:ind w:left="-88" w:leftChars="-42" w:firstLine="840" w:firstLineChars="400"/>
        <w:rPr>
          <w:rFonts w:hint="eastAsia" w:ascii="楷体" w:hAnsi="楷体" w:eastAsia="楷体"/>
          <w:color w:val="auto"/>
          <w:szCs w:val="21"/>
          <w:highlight w:val="none"/>
        </w:rPr>
      </w:pPr>
      <w:r>
        <w:rPr>
          <w:rFonts w:hint="eastAsia" w:ascii="楷体" w:hAnsi="楷体" w:eastAsia="楷体"/>
          <w:color w:val="auto"/>
          <w:szCs w:val="21"/>
          <w:highlight w:val="none"/>
        </w:rPr>
        <w:t>6.属于小微企业的，不填报的，在评标时不予价格折扣；属于节能、环保产品的、不填报的，在评标时不予加分。</w:t>
      </w:r>
    </w:p>
    <w:p>
      <w:pPr>
        <w:adjustRightInd w:val="0"/>
        <w:spacing w:before="360" w:beforeLines="1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pPr>
        <w:adjustRightInd w:val="0"/>
        <w:spacing w:before="360" w:beforeLines="1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w:t>
      </w:r>
    </w:p>
    <w:p>
      <w:pPr>
        <w:adjustRightInd w:val="0"/>
        <w:spacing w:before="360" w:beforeLines="1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133"/>
    <w:p>
      <w:pPr>
        <w:spacing w:before="240" w:beforeLines="100" w:after="240" w:afterLines="100" w:line="400" w:lineRule="exact"/>
        <w:jc w:val="center"/>
        <w:rPr>
          <w:rFonts w:hint="eastAsia" w:ascii="宋体" w:hAnsi="宋体"/>
          <w:b/>
          <w:color w:val="auto"/>
          <w:sz w:val="36"/>
          <w:szCs w:val="36"/>
          <w:highlight w:val="none"/>
        </w:rPr>
      </w:pPr>
      <w:bookmarkStart w:id="134" w:name="_Toc217446087"/>
      <w:r>
        <w:rPr>
          <w:rFonts w:hint="eastAsia" w:ascii="宋体" w:hAnsi="宋体"/>
          <w:b/>
          <w:bCs/>
          <w:color w:val="auto"/>
          <w:sz w:val="36"/>
          <w:szCs w:val="36"/>
          <w:highlight w:val="none"/>
        </w:rPr>
        <w:t>四、备选产品配件报价表</w:t>
      </w:r>
    </w:p>
    <w:p>
      <w:pPr>
        <w:spacing w:line="400" w:lineRule="exact"/>
        <w:rPr>
          <w:rFonts w:hint="eastAsia" w:ascii="宋体" w:hAnsi="宋体"/>
          <w:color w:val="auto"/>
          <w:szCs w:val="21"/>
          <w:highlight w:val="none"/>
        </w:rPr>
      </w:pPr>
      <w:r>
        <w:rPr>
          <w:rFonts w:hint="eastAsia" w:ascii="宋体" w:hAnsi="宋体"/>
          <w:color w:val="auto"/>
          <w:sz w:val="28"/>
          <w:highlight w:val="none"/>
        </w:rPr>
        <w:t xml:space="preserve">        </w:t>
      </w:r>
      <w:r>
        <w:rPr>
          <w:rFonts w:hint="eastAsia" w:ascii="宋体" w:hAnsi="宋体"/>
          <w:color w:val="auto"/>
          <w:szCs w:val="21"/>
          <w:highlight w:val="none"/>
        </w:rPr>
        <w:t xml:space="preserve">投标人名称：                                                                </w:t>
      </w:r>
      <w:r>
        <w:rPr>
          <w:rFonts w:hint="eastAsia" w:ascii="宋体" w:hAnsi="宋体"/>
          <w:color w:val="auto"/>
          <w:sz w:val="28"/>
          <w:highlight w:val="none"/>
        </w:rPr>
        <w:t xml:space="preserve">     </w:t>
      </w:r>
      <w:r>
        <w:rPr>
          <w:rFonts w:hint="eastAsia" w:ascii="宋体" w:hAnsi="宋体"/>
          <w:color w:val="auto"/>
          <w:szCs w:val="21"/>
          <w:highlight w:val="none"/>
        </w:rPr>
        <w:t>采购项目编号：</w:t>
      </w:r>
    </w:p>
    <w:tbl>
      <w:tblPr>
        <w:tblStyle w:val="21"/>
        <w:tblpPr w:leftFromText="180" w:rightFromText="180" w:vertAnchor="text" w:horzAnchor="page" w:tblpXSpec="center" w:tblpY="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015"/>
        <w:gridCol w:w="1341"/>
        <w:gridCol w:w="2259"/>
        <w:gridCol w:w="860"/>
        <w:gridCol w:w="840"/>
        <w:gridCol w:w="1280"/>
        <w:gridCol w:w="123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83" w:type="dxa"/>
            <w:tcBorders>
              <w:top w:val="single" w:color="auto" w:sz="12" w:space="0"/>
              <w:left w:val="single" w:color="auto" w:sz="12" w:space="0"/>
              <w:bottom w:val="single" w:color="auto" w:sz="4" w:space="0"/>
              <w:right w:val="single" w:color="auto" w:sz="4" w:space="0"/>
            </w:tcBorders>
            <w:noWrap w:val="0"/>
            <w:vAlign w:val="center"/>
          </w:tcPr>
          <w:p>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015"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341"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型号规格</w:t>
            </w:r>
          </w:p>
        </w:tc>
        <w:tc>
          <w:tcPr>
            <w:tcW w:w="2259"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86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单位</w:t>
            </w:r>
          </w:p>
        </w:tc>
        <w:tc>
          <w:tcPr>
            <w:tcW w:w="84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128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单价（元）</w:t>
            </w:r>
          </w:p>
        </w:tc>
        <w:tc>
          <w:tcPr>
            <w:tcW w:w="1236"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报价（元）</w:t>
            </w:r>
          </w:p>
        </w:tc>
        <w:tc>
          <w:tcPr>
            <w:tcW w:w="1544" w:type="dxa"/>
            <w:tcBorders>
              <w:top w:val="single" w:color="auto" w:sz="12" w:space="0"/>
              <w:left w:val="single" w:color="auto" w:sz="4" w:space="0"/>
              <w:bottom w:val="single" w:color="auto" w:sz="4" w:space="0"/>
              <w:right w:val="single" w:color="auto" w:sz="12" w:space="0"/>
            </w:tcBorders>
            <w:noWrap w:val="0"/>
            <w:vAlign w:val="center"/>
          </w:tcPr>
          <w:p>
            <w:pPr>
              <w:snapToGrid w:val="0"/>
              <w:spacing w:line="400" w:lineRule="exact"/>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18"/>
                <w:szCs w:val="18"/>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25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683" w:type="dxa"/>
            <w:tcBorders>
              <w:top w:val="single" w:color="auto" w:sz="4" w:space="0"/>
              <w:left w:val="single" w:color="auto" w:sz="12"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18"/>
                <w:szCs w:val="18"/>
                <w:highlight w:val="none"/>
              </w:rPr>
            </w:pPr>
          </w:p>
        </w:tc>
        <w:tc>
          <w:tcPr>
            <w:tcW w:w="1015"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341"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259"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860"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12"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bl>
    <w:p>
      <w:pPr>
        <w:spacing w:line="400" w:lineRule="exact"/>
        <w:rPr>
          <w:rFonts w:hint="eastAsia" w:ascii="仿宋_GB2312" w:hAnsi="宋体" w:eastAsia="仿宋_GB2312"/>
          <w:b/>
          <w:bCs/>
          <w:color w:val="auto"/>
          <w:sz w:val="24"/>
          <w:highlight w:val="none"/>
        </w:rPr>
      </w:pPr>
      <w:r>
        <w:rPr>
          <w:rFonts w:hint="eastAsia" w:ascii="仿宋_GB2312" w:hAnsi="宋体" w:eastAsia="仿宋_GB2312"/>
          <w:color w:val="auto"/>
          <w:sz w:val="24"/>
          <w:highlight w:val="none"/>
        </w:rPr>
        <w:t xml:space="preserve">                                        </w:t>
      </w: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400" w:lineRule="exact"/>
        <w:ind w:left="840" w:hanging="840" w:hangingChars="350"/>
        <w:rPr>
          <w:rFonts w:hint="eastAsia" w:ascii="仿宋_GB2312" w:eastAsia="仿宋_GB2312"/>
          <w:color w:val="auto"/>
          <w:sz w:val="24"/>
          <w:highlight w:val="none"/>
        </w:rPr>
      </w:pPr>
    </w:p>
    <w:p>
      <w:pPr>
        <w:spacing w:line="260" w:lineRule="exact"/>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p>
    <w:p>
      <w:pPr>
        <w:spacing w:before="120" w:beforeLines="50"/>
        <w:ind w:left="779" w:leftChars="371" w:firstLine="210" w:firstLineChars="100"/>
        <w:rPr>
          <w:rFonts w:hint="eastAsia" w:ascii="楷体" w:hAnsi="楷体" w:eastAsia="楷体"/>
          <w:color w:val="auto"/>
          <w:szCs w:val="21"/>
          <w:highlight w:val="none"/>
        </w:rPr>
      </w:pPr>
      <w:r>
        <w:rPr>
          <w:rFonts w:hint="eastAsia" w:ascii="楷体" w:hAnsi="楷体" w:eastAsia="楷体"/>
          <w:color w:val="auto"/>
          <w:highlight w:val="none"/>
        </w:rPr>
        <w:t>说明：</w:t>
      </w:r>
      <w:r>
        <w:rPr>
          <w:rFonts w:hint="eastAsia" w:ascii="楷体" w:hAnsi="楷体" w:eastAsia="楷体"/>
          <w:color w:val="auto"/>
          <w:szCs w:val="21"/>
          <w:highlight w:val="none"/>
        </w:rPr>
        <w:t>1.“备选产品</w:t>
      </w:r>
      <w:r>
        <w:rPr>
          <w:rFonts w:hint="eastAsia" w:ascii="楷体" w:hAnsi="楷体" w:eastAsia="楷体"/>
          <w:bCs/>
          <w:color w:val="auto"/>
          <w:szCs w:val="21"/>
          <w:highlight w:val="none"/>
        </w:rPr>
        <w:t>配件报价表</w:t>
      </w:r>
      <w:r>
        <w:rPr>
          <w:rFonts w:hint="eastAsia" w:ascii="楷体" w:hAnsi="楷体" w:eastAsia="楷体"/>
          <w:color w:val="auto"/>
          <w:szCs w:val="21"/>
          <w:highlight w:val="none"/>
        </w:rPr>
        <w:t>”以包为单位填写，报价精确到元，不保留小数；</w:t>
      </w:r>
    </w:p>
    <w:p>
      <w:pPr>
        <w:spacing w:line="320" w:lineRule="exact"/>
        <w:ind w:left="779" w:leftChars="371" w:firstLine="840" w:firstLineChars="400"/>
        <w:rPr>
          <w:rFonts w:hint="eastAsia" w:ascii="楷体" w:hAnsi="楷体" w:eastAsia="楷体"/>
          <w:bCs/>
          <w:color w:val="auto"/>
          <w:szCs w:val="21"/>
          <w:highlight w:val="none"/>
        </w:rPr>
      </w:pPr>
      <w:r>
        <w:rPr>
          <w:rFonts w:hint="eastAsia" w:ascii="楷体" w:hAnsi="楷体" w:eastAsia="楷体"/>
          <w:color w:val="auto"/>
          <w:szCs w:val="21"/>
          <w:highlight w:val="none"/>
        </w:rPr>
        <w:t>2.备选产品</w:t>
      </w:r>
      <w:r>
        <w:rPr>
          <w:rFonts w:hint="eastAsia" w:ascii="楷体" w:hAnsi="楷体" w:eastAsia="楷体"/>
          <w:bCs/>
          <w:color w:val="auto"/>
          <w:szCs w:val="21"/>
          <w:highlight w:val="none"/>
        </w:rPr>
        <w:t>配件，仅作为采购人后期选择购买，其报价不包含在本次投标总价内。</w:t>
      </w:r>
    </w:p>
    <w:p>
      <w:pPr>
        <w:adjustRightInd w:val="0"/>
        <w:spacing w:line="400" w:lineRule="exact"/>
        <w:ind w:firstLine="1050" w:firstLineChars="500"/>
        <w:jc w:val="left"/>
        <w:rPr>
          <w:rFonts w:hint="eastAsia" w:ascii="楷体" w:hAnsi="楷体" w:eastAsia="楷体"/>
          <w:bCs/>
          <w:color w:val="auto"/>
          <w:szCs w:val="21"/>
          <w:highlight w:val="none"/>
        </w:rPr>
      </w:pPr>
    </w:p>
    <w:p>
      <w:pPr>
        <w:adjustRightInd w:val="0"/>
        <w:spacing w:after="240" w:afterLines="100" w:line="400" w:lineRule="exact"/>
        <w:ind w:firstLine="1050" w:firstLineChars="5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after="240" w:afterLines="100" w:line="400" w:lineRule="exact"/>
        <w:ind w:firstLine="1050" w:firstLineChars="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w:t>
      </w:r>
    </w:p>
    <w:p>
      <w:pPr>
        <w:spacing w:line="40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00" w:lineRule="exact"/>
        <w:ind w:firstLine="945" w:firstLineChars="450"/>
        <w:rPr>
          <w:rFonts w:hint="eastAsia" w:ascii="宋体" w:hAnsi="宋体"/>
          <w:color w:val="auto"/>
          <w:szCs w:val="21"/>
          <w:highlight w:val="none"/>
        </w:rPr>
      </w:pPr>
    </w:p>
    <w:p>
      <w:pPr>
        <w:spacing w:after="360" w:afterLines="150" w:line="400" w:lineRule="exact"/>
        <w:ind w:left="777" w:leftChars="86" w:hanging="596" w:hangingChars="165"/>
        <w:jc w:val="center"/>
        <w:rPr>
          <w:rFonts w:hint="eastAsia"/>
          <w:b/>
          <w:bCs/>
          <w:color w:val="auto"/>
          <w:sz w:val="36"/>
          <w:szCs w:val="36"/>
          <w:highlight w:val="none"/>
        </w:rPr>
      </w:pPr>
    </w:p>
    <w:p>
      <w:pPr>
        <w:spacing w:after="360" w:afterLines="150" w:line="400" w:lineRule="exact"/>
        <w:ind w:left="777" w:leftChars="86" w:hanging="596" w:hangingChars="165"/>
        <w:jc w:val="center"/>
        <w:rPr>
          <w:rFonts w:hint="eastAsia" w:ascii="仿宋_GB2312" w:hAnsi="宋体" w:eastAsia="仿宋_GB2312"/>
          <w:color w:val="auto"/>
          <w:sz w:val="28"/>
          <w:szCs w:val="28"/>
          <w:highlight w:val="none"/>
        </w:rPr>
      </w:pPr>
      <w:r>
        <w:rPr>
          <w:rFonts w:hint="eastAsia"/>
          <w:b/>
          <w:bCs/>
          <w:color w:val="auto"/>
          <w:sz w:val="36"/>
          <w:szCs w:val="36"/>
          <w:highlight w:val="none"/>
        </w:rPr>
        <w:t>五、货物（产品）说明一览表</w:t>
      </w:r>
    </w:p>
    <w:p>
      <w:pPr>
        <w:pStyle w:val="6"/>
        <w:ind w:firstLine="840" w:firstLineChars="400"/>
        <w:rPr>
          <w:rFonts w:hint="eastAsia"/>
          <w:color w:val="auto"/>
          <w:highlight w:val="none"/>
        </w:rPr>
      </w:pPr>
      <w:r>
        <w:rPr>
          <w:rFonts w:hint="eastAsia" w:ascii="宋体" w:hAnsi="宋体"/>
          <w:color w:val="auto"/>
          <w:highlight w:val="none"/>
        </w:rPr>
        <w:t>投标人名称:                                                                    采购项目编号：</w:t>
      </w:r>
    </w:p>
    <w:tbl>
      <w:tblPr>
        <w:tblStyle w:val="21"/>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2356"/>
        <w:gridCol w:w="3119"/>
        <w:gridCol w:w="2380"/>
        <w:gridCol w:w="97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683" w:type="dxa"/>
            <w:tcBorders>
              <w:top w:val="single" w:color="auto" w:sz="12" w:space="0"/>
              <w:left w:val="single" w:color="auto" w:sz="12" w:space="0"/>
              <w:bottom w:val="single" w:color="auto" w:sz="4" w:space="0"/>
              <w:right w:val="single" w:color="auto" w:sz="4" w:space="0"/>
            </w:tcBorders>
            <w:noWrap w:val="0"/>
            <w:vAlign w:val="center"/>
          </w:tcPr>
          <w:p>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2356"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ind w:firstLine="517" w:firstLineChars="245"/>
              <w:rPr>
                <w:rFonts w:hint="eastAsia" w:ascii="宋体" w:hAnsi="宋体"/>
                <w:b/>
                <w:color w:val="auto"/>
                <w:szCs w:val="21"/>
                <w:highlight w:val="none"/>
              </w:rPr>
            </w:pPr>
            <w:r>
              <w:rPr>
                <w:rFonts w:hint="eastAsia" w:ascii="宋体" w:hAnsi="宋体"/>
                <w:b/>
                <w:color w:val="auto"/>
                <w:szCs w:val="21"/>
                <w:highlight w:val="none"/>
              </w:rPr>
              <w:t>品牌/型号</w:t>
            </w:r>
          </w:p>
        </w:tc>
        <w:tc>
          <w:tcPr>
            <w:tcW w:w="3119"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规格、配置及主要技术参数</w:t>
            </w:r>
          </w:p>
        </w:tc>
        <w:tc>
          <w:tcPr>
            <w:tcW w:w="2380"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976" w:type="dxa"/>
            <w:tcBorders>
              <w:top w:val="single" w:color="auto" w:sz="12"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2024" w:type="dxa"/>
            <w:tcBorders>
              <w:top w:val="single" w:color="auto" w:sz="12" w:space="0"/>
              <w:left w:val="single" w:color="auto" w:sz="4" w:space="0"/>
              <w:bottom w:val="single" w:color="auto" w:sz="4" w:space="0"/>
              <w:right w:val="single" w:color="auto" w:sz="12" w:space="0"/>
            </w:tcBorders>
            <w:noWrap w:val="0"/>
            <w:vAlign w:val="center"/>
          </w:tcPr>
          <w:p>
            <w:pPr>
              <w:snapToGrid w:val="0"/>
              <w:spacing w:line="400" w:lineRule="exact"/>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合同履行期限（</w:t>
            </w:r>
            <w:r>
              <w:rPr>
                <w:rFonts w:hint="eastAsia" w:ascii="宋体" w:hAnsi="宋体"/>
                <w:b/>
                <w:color w:val="auto"/>
                <w:szCs w:val="21"/>
                <w:highlight w:val="none"/>
                <w:lang w:val="en-US" w:eastAsia="zh-CN"/>
              </w:rPr>
              <w:t>日历日</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仿宋_GB2312" w:hAnsi="宋体" w:eastAsia="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24"/>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3" w:type="dxa"/>
            <w:tcBorders>
              <w:top w:val="single" w:color="auto" w:sz="4" w:space="0"/>
              <w:left w:val="single" w:color="auto" w:sz="12"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hint="eastAsia" w:ascii="仿宋_GB2312" w:hAnsi="宋体" w:eastAsia="仿宋_GB2312"/>
                <w:color w:val="auto"/>
                <w:sz w:val="18"/>
                <w:szCs w:val="18"/>
                <w:highlight w:val="none"/>
              </w:rPr>
            </w:pPr>
          </w:p>
        </w:tc>
        <w:tc>
          <w:tcPr>
            <w:tcW w:w="2356"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3119"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ascii="宋体" w:hAnsi="宋体"/>
                <w:color w:val="auto"/>
                <w:sz w:val="24"/>
                <w:highlight w:val="none"/>
              </w:rPr>
            </w:pPr>
          </w:p>
        </w:tc>
        <w:tc>
          <w:tcPr>
            <w:tcW w:w="2024" w:type="dxa"/>
            <w:tcBorders>
              <w:top w:val="single" w:color="auto" w:sz="4" w:space="0"/>
              <w:left w:val="single" w:color="auto" w:sz="4" w:space="0"/>
              <w:bottom w:val="single" w:color="auto" w:sz="12" w:space="0"/>
              <w:right w:val="single" w:color="auto" w:sz="12" w:space="0"/>
            </w:tcBorders>
            <w:noWrap w:val="0"/>
            <w:vAlign w:val="center"/>
          </w:tcPr>
          <w:p>
            <w:pPr>
              <w:snapToGrid w:val="0"/>
              <w:spacing w:line="400" w:lineRule="exact"/>
              <w:jc w:val="center"/>
              <w:rPr>
                <w:rFonts w:ascii="宋体" w:hAnsi="宋体"/>
                <w:color w:val="auto"/>
                <w:sz w:val="24"/>
                <w:highlight w:val="none"/>
              </w:rPr>
            </w:pPr>
          </w:p>
        </w:tc>
      </w:tr>
    </w:tbl>
    <w:p>
      <w:pPr>
        <w:pStyle w:val="6"/>
        <w:rPr>
          <w:rFonts w:hint="eastAsia"/>
          <w:color w:val="auto"/>
          <w:highlight w:val="none"/>
        </w:rPr>
      </w:pPr>
    </w:p>
    <w:p>
      <w:pPr>
        <w:pStyle w:val="6"/>
        <w:spacing w:before="120" w:beforeLines="50"/>
        <w:ind w:firstLine="1050" w:firstLineChars="500"/>
        <w:rPr>
          <w:rFonts w:hint="eastAsia" w:ascii="楷体" w:hAnsi="楷体" w:eastAsia="楷体"/>
          <w:color w:val="auto"/>
          <w:highlight w:val="none"/>
        </w:rPr>
      </w:pPr>
      <w:r>
        <w:rPr>
          <w:rFonts w:hint="eastAsia" w:ascii="楷体" w:hAnsi="楷体" w:eastAsia="楷体"/>
          <w:color w:val="auto"/>
          <w:highlight w:val="none"/>
        </w:rPr>
        <w:t>说明：1.本表须逐项填写，不得空缺；如空缺将视为没有实质性响应招标文件；</w:t>
      </w:r>
    </w:p>
    <w:p>
      <w:pPr>
        <w:pStyle w:val="6"/>
        <w:ind w:firstLine="1680" w:firstLineChars="800"/>
        <w:rPr>
          <w:rFonts w:hint="eastAsia" w:ascii="楷体" w:hAnsi="楷体" w:eastAsia="楷体"/>
          <w:color w:val="auto"/>
          <w:highlight w:val="none"/>
        </w:rPr>
      </w:pPr>
      <w:r>
        <w:rPr>
          <w:rFonts w:hint="eastAsia" w:ascii="楷体" w:hAnsi="楷体" w:eastAsia="楷体"/>
          <w:color w:val="auto"/>
          <w:highlight w:val="none"/>
        </w:rPr>
        <w:t>2.货物各项详细技术性能可另页描述；若货物没有注册商标和具体型号须注明。</w:t>
      </w:r>
    </w:p>
    <w:p>
      <w:pPr>
        <w:adjustRightInd w:val="0"/>
        <w:spacing w:after="240" w:afterLines="100" w:line="400" w:lineRule="exact"/>
        <w:ind w:firstLine="840" w:firstLineChars="4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adjustRightInd w:val="0"/>
        <w:spacing w:after="240" w:afterLines="100" w:line="400" w:lineRule="exact"/>
        <w:ind w:firstLine="840" w:firstLineChars="400"/>
        <w:jc w:val="left"/>
        <w:rPr>
          <w:rFonts w:hint="eastAsia"/>
          <w:color w:val="auto"/>
          <w:szCs w:val="21"/>
          <w:highlight w:val="none"/>
        </w:rPr>
      </w:pPr>
      <w:r>
        <w:rPr>
          <w:rFonts w:hint="eastAsia"/>
          <w:color w:val="auto"/>
          <w:szCs w:val="21"/>
          <w:highlight w:val="none"/>
        </w:rPr>
        <w:t>法定代表人或委托代理人：</w:t>
      </w:r>
      <w:r>
        <w:rPr>
          <w:rFonts w:hint="eastAsia"/>
          <w:color w:val="auto"/>
          <w:szCs w:val="21"/>
          <w:highlight w:val="none"/>
          <w:u w:val="single"/>
        </w:rPr>
        <w:t xml:space="preserve">                  </w:t>
      </w:r>
      <w:r>
        <w:rPr>
          <w:rFonts w:hint="eastAsia"/>
          <w:color w:val="auto"/>
          <w:szCs w:val="21"/>
          <w:highlight w:val="none"/>
        </w:rPr>
        <w:t xml:space="preserve">（签字） </w:t>
      </w:r>
    </w:p>
    <w:p>
      <w:pPr>
        <w:adjustRightInd w:val="0"/>
        <w:spacing w:line="400" w:lineRule="exact"/>
        <w:ind w:firstLine="840" w:firstLineChars="400"/>
        <w:jc w:val="left"/>
        <w:rPr>
          <w:rFonts w:hint="eastAsia"/>
          <w:color w:val="auto"/>
          <w:szCs w:val="21"/>
          <w:highlight w:val="none"/>
        </w:rPr>
      </w:pPr>
      <w:r>
        <w:rPr>
          <w:rFonts w:hint="eastAsia"/>
          <w:color w:val="auto"/>
          <w:szCs w:val="21"/>
          <w:highlight w:val="none"/>
        </w:rPr>
        <w:t>日    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adjustRightInd w:val="0"/>
        <w:spacing w:line="400" w:lineRule="exact"/>
        <w:ind w:firstLine="840" w:firstLineChars="400"/>
        <w:jc w:val="left"/>
        <w:rPr>
          <w:rFonts w:ascii="仿宋_GB2312" w:eastAsia="仿宋_GB2312"/>
          <w:bCs/>
          <w:color w:val="auto"/>
          <w:szCs w:val="28"/>
          <w:highlight w:val="none"/>
        </w:rPr>
        <w:sectPr>
          <w:pgSz w:w="16840" w:h="11907" w:orient="landscape"/>
          <w:pgMar w:top="1474" w:right="1440" w:bottom="1474" w:left="1440" w:header="851" w:footer="992" w:gutter="0"/>
          <w:pgNumType w:fmt="decimal"/>
          <w:cols w:space="720" w:num="1"/>
          <w:docGrid w:linePitch="312" w:charSpace="0"/>
        </w:sectPr>
      </w:pPr>
    </w:p>
    <w:bookmarkEnd w:id="134"/>
    <w:p>
      <w:pPr>
        <w:pStyle w:val="6"/>
        <w:spacing w:after="240" w:afterLines="100" w:line="360" w:lineRule="auto"/>
        <w:ind w:firstLine="0"/>
        <w:jc w:val="center"/>
        <w:rPr>
          <w:rFonts w:hint="eastAsia" w:ascii="宋体" w:hAnsi="宋体"/>
          <w:b/>
          <w:color w:val="auto"/>
          <w:sz w:val="36"/>
          <w:szCs w:val="36"/>
          <w:highlight w:val="none"/>
        </w:rPr>
      </w:pPr>
      <w:r>
        <w:rPr>
          <w:rFonts w:hint="eastAsia" w:ascii="宋体" w:hAnsi="宋体"/>
          <w:b/>
          <w:bCs/>
          <w:color w:val="auto"/>
          <w:sz w:val="36"/>
          <w:szCs w:val="36"/>
          <w:highlight w:val="none"/>
        </w:rPr>
        <w:t>六、商务条款偏离表</w:t>
      </w:r>
    </w:p>
    <w:p>
      <w:pPr>
        <w:pStyle w:val="6"/>
        <w:spacing w:after="120" w:afterLines="50"/>
        <w:ind w:firstLine="105" w:firstLineChars="50"/>
        <w:rPr>
          <w:rFonts w:hint="eastAsia" w:ascii="宋体" w:hAnsi="宋体"/>
          <w:color w:val="auto"/>
          <w:highlight w:val="none"/>
        </w:rPr>
      </w:pPr>
      <w:r>
        <w:rPr>
          <w:rFonts w:hint="eastAsia" w:ascii="宋体" w:hAnsi="宋体"/>
          <w:color w:val="auto"/>
          <w:highlight w:val="none"/>
        </w:rPr>
        <w:t>投标人名称：                               采购项目编号：</w:t>
      </w:r>
    </w:p>
    <w:tbl>
      <w:tblPr>
        <w:tblStyle w:val="2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29"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600"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采购商务要求</w:t>
            </w:r>
          </w:p>
        </w:tc>
        <w:tc>
          <w:tcPr>
            <w:tcW w:w="2180"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响应文件商务响应</w:t>
            </w:r>
          </w:p>
        </w:tc>
        <w:tc>
          <w:tcPr>
            <w:tcW w:w="1040"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2020"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60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18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04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bl>
    <w:p>
      <w:pPr>
        <w:spacing w:before="120" w:beforeLines="50" w:line="400" w:lineRule="exact"/>
        <w:ind w:left="735" w:leftChars="50" w:hanging="630" w:hangingChars="300"/>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spacing w:line="500" w:lineRule="exact"/>
        <w:ind w:firstLine="361" w:firstLineChars="200"/>
        <w:jc w:val="left"/>
        <w:rPr>
          <w:rFonts w:hint="eastAsia" w:ascii="宋体" w:hAnsi="宋体"/>
          <w:b/>
          <w:color w:val="auto"/>
          <w:sz w:val="18"/>
          <w:szCs w:val="18"/>
          <w:highlight w:val="none"/>
        </w:rPr>
      </w:pPr>
      <w:r>
        <w:rPr>
          <w:rFonts w:hint="eastAsia" w:ascii="宋体" w:hAnsi="宋体"/>
          <w:b/>
          <w:color w:val="auto"/>
          <w:sz w:val="18"/>
          <w:szCs w:val="18"/>
          <w:highlight w:val="none"/>
        </w:rPr>
        <w:t>1、本项目商务条款全部为重要指标（实质性要求），不得负偏离，投标人在投标文件中必须对商务条款进行一一正面响应，若不响应、逃避响应或模糊混淆概念响应，按照负偏离处理（不符合招标文件实质性要求），不能提供证明文件的不予认可。在交货后，发现部分不能实现，甲方有权退货并索取赔偿。</w:t>
      </w:r>
    </w:p>
    <w:p>
      <w:pPr>
        <w:spacing w:line="500" w:lineRule="exact"/>
        <w:ind w:firstLine="361" w:firstLineChars="200"/>
        <w:jc w:val="left"/>
        <w:rPr>
          <w:rFonts w:hint="eastAsia" w:ascii="宋体" w:hAnsi="宋体"/>
          <w:b/>
          <w:color w:val="auto"/>
          <w:sz w:val="18"/>
          <w:szCs w:val="18"/>
          <w:highlight w:val="none"/>
        </w:rPr>
      </w:pPr>
      <w:r>
        <w:rPr>
          <w:rFonts w:hint="eastAsia" w:ascii="宋体" w:hAnsi="宋体"/>
          <w:b/>
          <w:color w:val="auto"/>
          <w:sz w:val="18"/>
          <w:szCs w:val="18"/>
          <w:highlight w:val="none"/>
        </w:rPr>
        <w:t>2、投标人必须据实填写，不得虚假响应，否则将取消其投标或中标资格，并按有关规定进行处罚。</w:t>
      </w:r>
    </w:p>
    <w:p>
      <w:pPr>
        <w:adjustRightInd w:val="0"/>
        <w:spacing w:line="400" w:lineRule="exact"/>
        <w:ind w:firstLine="560" w:firstLineChars="200"/>
        <w:jc w:val="left"/>
        <w:rPr>
          <w:rFonts w:hint="eastAsia" w:ascii="仿宋_GB2312" w:hAnsi="宋体" w:eastAsia="仿宋_GB2312"/>
          <w:bCs/>
          <w:color w:val="auto"/>
          <w:sz w:val="28"/>
          <w:szCs w:val="28"/>
          <w:highlight w:val="none"/>
        </w:rPr>
      </w:pPr>
    </w:p>
    <w:p>
      <w:pPr>
        <w:adjustRightIn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line="400" w:lineRule="exact"/>
        <w:ind w:firstLine="367" w:firstLineChars="175"/>
        <w:jc w:val="left"/>
        <w:rPr>
          <w:rFonts w:hint="eastAsia" w:ascii="宋体" w:hAnsi="宋体"/>
          <w:color w:val="auto"/>
          <w:szCs w:val="21"/>
          <w:highlight w:val="none"/>
        </w:rPr>
      </w:pPr>
    </w:p>
    <w:p>
      <w:pPr>
        <w:adjustRightInd w:val="0"/>
        <w:spacing w:line="400" w:lineRule="exact"/>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r>
        <w:rPr>
          <w:rFonts w:hint="eastAsia" w:ascii="宋体" w:hAnsi="宋体"/>
          <w:bCs/>
          <w:color w:val="auto"/>
          <w:szCs w:val="21"/>
          <w:highlight w:val="none"/>
        </w:rPr>
        <w:t xml:space="preserve">                </w:t>
      </w:r>
    </w:p>
    <w:p>
      <w:pPr>
        <w:adjustRightInd w:val="0"/>
        <w:spacing w:before="240" w:beforeLines="10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日    期: 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adjustRightInd w:val="0"/>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七、承诺文件</w:t>
      </w:r>
    </w:p>
    <w:p>
      <w:pPr>
        <w:adjustRightInd w:val="0"/>
        <w:spacing w:line="400" w:lineRule="exact"/>
        <w:jc w:val="left"/>
        <w:rPr>
          <w:rFonts w:hint="eastAsia"/>
          <w:b/>
          <w:color w:val="auto"/>
          <w:sz w:val="36"/>
          <w:szCs w:val="36"/>
          <w:highlight w:val="none"/>
        </w:rPr>
      </w:pPr>
    </w:p>
    <w:p>
      <w:pPr>
        <w:adjustRightInd w:val="0"/>
        <w:spacing w:line="400" w:lineRule="exact"/>
        <w:jc w:val="left"/>
        <w:rPr>
          <w:rFonts w:hint="eastAsia" w:ascii="楷体" w:hAnsi="楷体" w:eastAsia="楷体"/>
          <w:color w:val="auto"/>
          <w:szCs w:val="21"/>
          <w:highlight w:val="none"/>
        </w:rPr>
      </w:pPr>
      <w:r>
        <w:rPr>
          <w:rFonts w:hint="eastAsia"/>
          <w:b/>
          <w:color w:val="auto"/>
          <w:sz w:val="36"/>
          <w:szCs w:val="36"/>
          <w:highlight w:val="none"/>
        </w:rPr>
        <w:t xml:space="preserve"> </w:t>
      </w:r>
      <w:r>
        <w:rPr>
          <w:rFonts w:hint="eastAsia" w:ascii="楷体" w:hAnsi="楷体" w:eastAsia="楷体"/>
          <w:color w:val="auto"/>
          <w:szCs w:val="21"/>
          <w:highlight w:val="none"/>
        </w:rPr>
        <w:t>说明：</w:t>
      </w:r>
    </w:p>
    <w:p>
      <w:pPr>
        <w:adjustRightInd w:val="0"/>
        <w:spacing w:line="400" w:lineRule="exact"/>
        <w:ind w:firstLine="630" w:firstLineChars="300"/>
        <w:jc w:val="left"/>
        <w:rPr>
          <w:rFonts w:hint="eastAsia" w:ascii="楷体" w:hAnsi="楷体" w:eastAsia="楷体"/>
          <w:color w:val="auto"/>
          <w:szCs w:val="21"/>
          <w:highlight w:val="none"/>
        </w:rPr>
      </w:pPr>
      <w:r>
        <w:rPr>
          <w:rFonts w:hint="eastAsia" w:ascii="楷体" w:hAnsi="楷体" w:eastAsia="楷体"/>
          <w:color w:val="auto"/>
          <w:szCs w:val="21"/>
          <w:highlight w:val="none"/>
        </w:rPr>
        <w:t>格式自定。投标人根据招标文件要求和采购需求，作出质量保证承诺和质保期服务计划。</w:t>
      </w: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after="240" w:afterLines="100" w:line="400" w:lineRule="exact"/>
        <w:jc w:val="center"/>
        <w:rPr>
          <w:rFonts w:hint="eastAsia"/>
          <w:b/>
          <w:color w:val="auto"/>
          <w:kern w:val="0"/>
          <w:sz w:val="36"/>
          <w:szCs w:val="36"/>
          <w:highlight w:val="none"/>
        </w:rPr>
      </w:pPr>
      <w:r>
        <w:rPr>
          <w:b/>
          <w:color w:val="auto"/>
          <w:kern w:val="0"/>
          <w:sz w:val="36"/>
          <w:szCs w:val="36"/>
          <w:highlight w:val="none"/>
        </w:rPr>
        <w:br w:type="page"/>
      </w:r>
      <w:r>
        <w:rPr>
          <w:rFonts w:hint="eastAsia"/>
          <w:b/>
          <w:color w:val="auto"/>
          <w:kern w:val="0"/>
          <w:sz w:val="36"/>
          <w:szCs w:val="36"/>
          <w:highlight w:val="none"/>
        </w:rPr>
        <w:t>八、售后服务文件</w:t>
      </w:r>
    </w:p>
    <w:p>
      <w:pPr>
        <w:spacing w:before="360" w:beforeLines="1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投标人依据产品特性和需求，按招标文件要求自拟售后服务方案和培训计划。</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投标人应提供在售后服务中心证明材料或与合作方的协议书，这些服务中心和特约维修服务点的名称、地址、电话、联系人应在投标文件中一一列出（参考样式如下）。</w:t>
      </w:r>
    </w:p>
    <w:p>
      <w:pPr>
        <w:spacing w:after="120" w:afterLines="50"/>
        <w:jc w:val="center"/>
        <w:rPr>
          <w:rFonts w:hint="eastAsia" w:ascii="宋体" w:hAnsi="宋体"/>
          <w:b/>
          <w:color w:val="auto"/>
          <w:sz w:val="36"/>
          <w:szCs w:val="36"/>
          <w:highlight w:val="none"/>
        </w:rPr>
      </w:pPr>
    </w:p>
    <w:p>
      <w:pPr>
        <w:spacing w:after="120" w:afterLines="50"/>
        <w:jc w:val="center"/>
        <w:rPr>
          <w:rFonts w:hint="eastAsia" w:ascii="宋体" w:hAnsi="宋体"/>
          <w:b/>
          <w:color w:val="auto"/>
          <w:sz w:val="36"/>
          <w:szCs w:val="36"/>
          <w:highlight w:val="none"/>
        </w:rPr>
      </w:pPr>
      <w:r>
        <w:rPr>
          <w:rFonts w:hint="eastAsia" w:ascii="宋体" w:hAnsi="宋体"/>
          <w:b/>
          <w:color w:val="auto"/>
          <w:sz w:val="36"/>
          <w:szCs w:val="36"/>
          <w:highlight w:val="none"/>
        </w:rPr>
        <w:t>货物（产品）售后服务点联系表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服务机构名称</w:t>
            </w:r>
          </w:p>
        </w:tc>
        <w:tc>
          <w:tcPr>
            <w:tcW w:w="1080"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所在地</w:t>
            </w:r>
          </w:p>
        </w:tc>
        <w:tc>
          <w:tcPr>
            <w:tcW w:w="1260"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联系人</w:t>
            </w:r>
          </w:p>
        </w:tc>
        <w:tc>
          <w:tcPr>
            <w:tcW w:w="1516"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联系电话</w:t>
            </w:r>
          </w:p>
        </w:tc>
        <w:tc>
          <w:tcPr>
            <w:tcW w:w="2548"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地 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bl>
    <w:p>
      <w:pPr>
        <w:spacing w:before="240" w:beforeLines="100" w:line="360" w:lineRule="auto"/>
        <w:ind w:firstLine="409" w:firstLineChars="195"/>
        <w:rPr>
          <w:rFonts w:hint="eastAsia" w:ascii="楷体" w:hAnsi="楷体" w:eastAsia="楷体"/>
          <w:bCs/>
          <w:iCs/>
          <w:color w:val="auto"/>
          <w:highlight w:val="none"/>
        </w:rPr>
      </w:pPr>
      <w:r>
        <w:rPr>
          <w:rFonts w:hint="eastAsia" w:ascii="楷体" w:hAnsi="楷体" w:eastAsia="楷体"/>
          <w:bCs/>
          <w:iCs/>
          <w:color w:val="auto"/>
          <w:highlight w:val="none"/>
        </w:rPr>
        <w:t>注：采购人将核实中标人承诺的售后服务机构，如果不属实，则从扣除合同总额的2％作为违约处罚。</w:t>
      </w:r>
    </w:p>
    <w:p>
      <w:pPr>
        <w:spacing w:before="240" w:beforeLines="100" w:line="360" w:lineRule="auto"/>
        <w:ind w:firstLine="409" w:firstLineChars="195"/>
        <w:rPr>
          <w:rFonts w:hint="eastAsia" w:ascii="仿宋_GB2312" w:hAnsi="宋体" w:eastAsia="仿宋_GB2312"/>
          <w:bCs/>
          <w:iCs/>
          <w:color w:val="auto"/>
          <w:highlight w:val="none"/>
        </w:rPr>
      </w:pPr>
    </w:p>
    <w:p>
      <w:pPr>
        <w:spacing w:before="240" w:beforeLines="100" w:line="360" w:lineRule="auto"/>
        <w:ind w:firstLine="409" w:firstLineChars="195"/>
        <w:rPr>
          <w:rFonts w:hint="eastAsia" w:ascii="仿宋_GB2312" w:hAnsi="宋体" w:eastAsia="仿宋_GB2312"/>
          <w:bCs/>
          <w:iCs/>
          <w:color w:val="auto"/>
          <w:highlight w:val="none"/>
        </w:rPr>
      </w:pPr>
    </w:p>
    <w:p>
      <w:pPr>
        <w:pageBreakBefore/>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九、其他证明材料</w:t>
      </w:r>
    </w:p>
    <w:p>
      <w:pPr>
        <w:spacing w:line="360" w:lineRule="auto"/>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spacing w:line="360" w:lineRule="auto"/>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lang w:val="en-US" w:eastAsia="zh-CN"/>
        </w:rPr>
        <w:t>1</w:t>
      </w:r>
      <w:r>
        <w:rPr>
          <w:rFonts w:hint="eastAsia" w:ascii="楷体" w:hAnsi="楷体" w:eastAsia="楷体"/>
          <w:color w:val="auto"/>
          <w:szCs w:val="21"/>
          <w:highlight w:val="none"/>
        </w:rPr>
        <w:t>.提供投标人近3年完成的类似业绩证明材料；</w:t>
      </w:r>
    </w:p>
    <w:p>
      <w:pPr>
        <w:tabs>
          <w:tab w:val="left" w:pos="3600"/>
        </w:tabs>
        <w:adjustRightInd w:val="0"/>
        <w:snapToGrid w:val="0"/>
        <w:ind w:firstLine="444" w:firstLineChars="200"/>
        <w:rPr>
          <w:rFonts w:hint="eastAsia" w:ascii="楷体" w:hAnsi="楷体" w:eastAsia="楷体" w:cs="宋体"/>
          <w:bCs/>
          <w:color w:val="auto"/>
          <w:spacing w:val="6"/>
          <w:kern w:val="0"/>
          <w:szCs w:val="21"/>
          <w:highlight w:val="none"/>
        </w:rPr>
      </w:pPr>
      <w:r>
        <w:rPr>
          <w:rFonts w:hint="eastAsia" w:ascii="楷体" w:hAnsi="楷体" w:eastAsia="楷体" w:cs="宋体"/>
          <w:bCs/>
          <w:color w:val="auto"/>
          <w:spacing w:val="6"/>
          <w:kern w:val="0"/>
          <w:szCs w:val="21"/>
          <w:highlight w:val="none"/>
          <w:lang w:val="en-US" w:eastAsia="zh-CN"/>
        </w:rPr>
        <w:t>2</w:t>
      </w:r>
      <w:r>
        <w:rPr>
          <w:rFonts w:hint="eastAsia" w:ascii="楷体" w:hAnsi="楷体" w:eastAsia="楷体" w:cs="宋体"/>
          <w:bCs/>
          <w:color w:val="auto"/>
          <w:spacing w:val="6"/>
          <w:kern w:val="0"/>
          <w:szCs w:val="21"/>
          <w:highlight w:val="none"/>
        </w:rPr>
        <w:t>.其他条件证明材料，非投标人必备证明材料，仅作为评审的因素。</w:t>
      </w:r>
    </w:p>
    <w:p>
      <w:pPr>
        <w:spacing w:line="360" w:lineRule="auto"/>
        <w:ind w:firstLine="420" w:firstLineChars="200"/>
        <w:rPr>
          <w:rFonts w:hint="eastAsia" w:ascii="宋体" w:hAnsi="宋体"/>
          <w:color w:val="auto"/>
          <w:szCs w:val="21"/>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tabs>
          <w:tab w:val="left" w:pos="3600"/>
        </w:tabs>
        <w:adjustRightInd w:val="0"/>
        <w:snapToGrid w:val="0"/>
        <w:ind w:firstLine="493" w:firstLineChars="196"/>
        <w:rPr>
          <w:rFonts w:hint="eastAsia" w:ascii="宋体" w:hAnsi="宋体" w:cs="宋体"/>
          <w:bCs/>
          <w:color w:val="auto"/>
          <w:spacing w:val="6"/>
          <w:kern w:val="0"/>
          <w:sz w:val="24"/>
          <w:highlight w:val="none"/>
        </w:rPr>
      </w:pPr>
    </w:p>
    <w:p>
      <w:pPr>
        <w:pStyle w:val="27"/>
        <w:ind w:firstLine="504"/>
        <w:rPr>
          <w:rFonts w:hint="eastAsia" w:ascii="宋体" w:hAnsi="宋体" w:cs="宋体"/>
          <w:bCs/>
          <w:color w:val="auto"/>
          <w:spacing w:val="6"/>
          <w:kern w:val="0"/>
          <w:sz w:val="24"/>
          <w:highlight w:val="none"/>
        </w:rPr>
      </w:pPr>
    </w:p>
    <w:p>
      <w:pPr>
        <w:pStyle w:val="27"/>
        <w:ind w:firstLine="504"/>
        <w:rPr>
          <w:rFonts w:hint="eastAsia" w:ascii="宋体" w:hAnsi="宋体" w:cs="宋体"/>
          <w:bCs/>
          <w:color w:val="auto"/>
          <w:spacing w:val="6"/>
          <w:kern w:val="0"/>
          <w:sz w:val="24"/>
          <w:highlight w:val="none"/>
        </w:rPr>
      </w:pPr>
    </w:p>
    <w:p>
      <w:pPr>
        <w:tabs>
          <w:tab w:val="left" w:pos="3600"/>
        </w:tabs>
        <w:adjustRightInd w:val="0"/>
        <w:snapToGrid w:val="0"/>
        <w:rPr>
          <w:rFonts w:hint="eastAsia" w:ascii="仿宋_GB2312" w:hAnsi="宋体" w:eastAsia="仿宋_GB2312" w:cs="宋体"/>
          <w:bCs/>
          <w:color w:val="auto"/>
          <w:spacing w:val="6"/>
          <w:kern w:val="0"/>
          <w:szCs w:val="21"/>
          <w:highlight w:val="none"/>
        </w:rPr>
      </w:pPr>
    </w:p>
    <w:p>
      <w:pPr>
        <w:pageBreakBefore/>
        <w:adjustRightInd w:val="0"/>
        <w:snapToGrid w:val="0"/>
        <w:spacing w:after="120" w:afterLines="50" w:line="36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.投标人完成的类似业绩证明材料</w:t>
      </w:r>
    </w:p>
    <w:p>
      <w:pPr>
        <w:pStyle w:val="5"/>
        <w:spacing w:before="240" w:beforeLines="100" w:line="400" w:lineRule="exact"/>
        <w:jc w:val="center"/>
        <w:rPr>
          <w:rFonts w:hint="eastAsia" w:ascii="宋体" w:hAnsi="宋体" w:eastAsia="宋体" w:cs="Arial"/>
          <w:bCs/>
          <w:color w:val="auto"/>
          <w:sz w:val="36"/>
          <w:szCs w:val="36"/>
          <w:highlight w:val="none"/>
        </w:rPr>
      </w:pPr>
      <w:r>
        <w:rPr>
          <w:rFonts w:hint="eastAsia" w:ascii="宋体" w:hAnsi="宋体" w:eastAsia="宋体" w:cs="Arial"/>
          <w:bCs/>
          <w:color w:val="auto"/>
          <w:sz w:val="36"/>
          <w:szCs w:val="36"/>
          <w:highlight w:val="none"/>
        </w:rPr>
        <w:t>类似项目业绩一览表</w:t>
      </w:r>
    </w:p>
    <w:p>
      <w:pPr>
        <w:pStyle w:val="5"/>
        <w:spacing w:after="120" w:line="400" w:lineRule="exact"/>
        <w:ind w:firstLine="210" w:firstLineChars="100"/>
        <w:rPr>
          <w:rFonts w:hint="eastAsia" w:ascii="宋体" w:hAnsi="宋体" w:eastAsia="宋体" w:cs="Arial"/>
          <w:b w:val="0"/>
          <w:bCs/>
          <w:color w:val="auto"/>
          <w:sz w:val="21"/>
          <w:szCs w:val="21"/>
          <w:highlight w:val="none"/>
        </w:rPr>
      </w:pPr>
      <w:r>
        <w:rPr>
          <w:rFonts w:hint="eastAsia" w:ascii="宋体" w:hAnsi="宋体" w:eastAsia="宋体" w:cs="Arial"/>
          <w:b w:val="0"/>
          <w:bCs/>
          <w:color w:val="auto"/>
          <w:sz w:val="21"/>
          <w:szCs w:val="21"/>
          <w:highlight w:val="none"/>
        </w:rPr>
        <w:t>投标人名称：                                                  单位：万元</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259"/>
        <w:gridCol w:w="1701"/>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年份</w:t>
            </w:r>
          </w:p>
        </w:tc>
        <w:tc>
          <w:tcPr>
            <w:tcW w:w="1620"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用户名称</w:t>
            </w:r>
          </w:p>
        </w:tc>
        <w:tc>
          <w:tcPr>
            <w:tcW w:w="1596"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288"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1259"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完成时间</w:t>
            </w:r>
          </w:p>
        </w:tc>
        <w:tc>
          <w:tcPr>
            <w:tcW w:w="1701"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是否通过验收</w:t>
            </w:r>
          </w:p>
        </w:tc>
        <w:tc>
          <w:tcPr>
            <w:tcW w:w="904" w:type="dxa"/>
            <w:noWrap w:val="0"/>
            <w:vAlign w:val="center"/>
          </w:tcPr>
          <w:p>
            <w:pPr>
              <w:pStyle w:val="6"/>
              <w:ind w:firstLine="0"/>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0" w:type="dxa"/>
            <w:noWrap w:val="0"/>
            <w:vAlign w:val="top"/>
          </w:tcPr>
          <w:p>
            <w:pPr>
              <w:pStyle w:val="6"/>
              <w:ind w:firstLine="0"/>
              <w:rPr>
                <w:rFonts w:hint="eastAsia"/>
                <w:color w:val="auto"/>
                <w:sz w:val="24"/>
                <w:szCs w:val="24"/>
                <w:highlight w:val="none"/>
              </w:rPr>
            </w:pPr>
          </w:p>
        </w:tc>
        <w:tc>
          <w:tcPr>
            <w:tcW w:w="1620" w:type="dxa"/>
            <w:noWrap w:val="0"/>
            <w:vAlign w:val="top"/>
          </w:tcPr>
          <w:p>
            <w:pPr>
              <w:pStyle w:val="6"/>
              <w:ind w:firstLine="0"/>
              <w:rPr>
                <w:rFonts w:hint="eastAsia"/>
                <w:color w:val="auto"/>
                <w:sz w:val="24"/>
                <w:szCs w:val="24"/>
                <w:highlight w:val="none"/>
              </w:rPr>
            </w:pPr>
          </w:p>
        </w:tc>
        <w:tc>
          <w:tcPr>
            <w:tcW w:w="1596" w:type="dxa"/>
            <w:noWrap w:val="0"/>
            <w:vAlign w:val="top"/>
          </w:tcPr>
          <w:p>
            <w:pPr>
              <w:pStyle w:val="6"/>
              <w:ind w:firstLine="0"/>
              <w:rPr>
                <w:rFonts w:hint="eastAsia"/>
                <w:color w:val="auto"/>
                <w:sz w:val="24"/>
                <w:szCs w:val="24"/>
                <w:highlight w:val="none"/>
              </w:rPr>
            </w:pPr>
          </w:p>
        </w:tc>
        <w:tc>
          <w:tcPr>
            <w:tcW w:w="1288" w:type="dxa"/>
            <w:noWrap w:val="0"/>
            <w:vAlign w:val="top"/>
          </w:tcPr>
          <w:p>
            <w:pPr>
              <w:pStyle w:val="6"/>
              <w:ind w:firstLine="0"/>
              <w:rPr>
                <w:rFonts w:hint="eastAsia"/>
                <w:color w:val="auto"/>
                <w:sz w:val="24"/>
                <w:szCs w:val="24"/>
                <w:highlight w:val="none"/>
              </w:rPr>
            </w:pPr>
          </w:p>
        </w:tc>
        <w:tc>
          <w:tcPr>
            <w:tcW w:w="1259" w:type="dxa"/>
            <w:noWrap w:val="0"/>
            <w:vAlign w:val="top"/>
          </w:tcPr>
          <w:p>
            <w:pPr>
              <w:pStyle w:val="6"/>
              <w:ind w:firstLine="0"/>
              <w:rPr>
                <w:rFonts w:hint="eastAsia"/>
                <w:color w:val="auto"/>
                <w:sz w:val="24"/>
                <w:szCs w:val="24"/>
                <w:highlight w:val="none"/>
              </w:rPr>
            </w:pPr>
          </w:p>
        </w:tc>
        <w:tc>
          <w:tcPr>
            <w:tcW w:w="1701" w:type="dxa"/>
            <w:noWrap w:val="0"/>
            <w:vAlign w:val="top"/>
          </w:tcPr>
          <w:p>
            <w:pPr>
              <w:pStyle w:val="6"/>
              <w:ind w:firstLine="0"/>
              <w:rPr>
                <w:rFonts w:hint="eastAsia"/>
                <w:color w:val="auto"/>
                <w:sz w:val="24"/>
                <w:szCs w:val="24"/>
                <w:highlight w:val="none"/>
              </w:rPr>
            </w:pPr>
          </w:p>
        </w:tc>
        <w:tc>
          <w:tcPr>
            <w:tcW w:w="904" w:type="dxa"/>
            <w:noWrap w:val="0"/>
            <w:vAlign w:val="top"/>
          </w:tcPr>
          <w:p>
            <w:pPr>
              <w:pStyle w:val="6"/>
              <w:ind w:firstLine="0"/>
              <w:rPr>
                <w:rFonts w:hint="eastAsia"/>
                <w:color w:val="auto"/>
                <w:sz w:val="24"/>
                <w:szCs w:val="24"/>
                <w:highlight w:val="none"/>
              </w:rPr>
            </w:pPr>
          </w:p>
        </w:tc>
      </w:tr>
    </w:tbl>
    <w:p>
      <w:pPr>
        <w:pStyle w:val="6"/>
        <w:rPr>
          <w:rFonts w:hint="eastAsia"/>
          <w:color w:val="auto"/>
          <w:highlight w:val="none"/>
        </w:rPr>
      </w:pPr>
    </w:p>
    <w:p>
      <w:pPr>
        <w:autoSpaceDE w:val="0"/>
        <w:autoSpaceDN w:val="0"/>
        <w:spacing w:line="360" w:lineRule="auto"/>
        <w:rPr>
          <w:rFonts w:hint="eastAsia" w:ascii="楷体" w:hAnsi="楷体" w:eastAsia="楷体"/>
          <w:bCs/>
          <w:color w:val="auto"/>
          <w:szCs w:val="21"/>
          <w:highlight w:val="none"/>
        </w:rPr>
      </w:pPr>
      <w:r>
        <w:rPr>
          <w:rFonts w:hint="eastAsia" w:ascii="楷体" w:hAnsi="楷体" w:eastAsia="楷体" w:cs="Arial"/>
          <w:color w:val="auto"/>
          <w:szCs w:val="21"/>
          <w:highlight w:val="none"/>
        </w:rPr>
        <w:t>说明：1.</w:t>
      </w:r>
      <w:r>
        <w:rPr>
          <w:rFonts w:hint="eastAsia" w:ascii="楷体" w:hAnsi="楷体" w:eastAsia="楷体" w:cs="宋体"/>
          <w:color w:val="auto"/>
          <w:kern w:val="0"/>
          <w:highlight w:val="none"/>
          <w:lang w:val="zh-CN"/>
        </w:rPr>
        <w:t>提供自</w:t>
      </w:r>
      <w:r>
        <w:rPr>
          <w:rFonts w:hint="eastAsia" w:ascii="楷体" w:hAnsi="楷体" w:eastAsia="楷体" w:cs="宋体"/>
          <w:color w:val="auto"/>
          <w:kern w:val="0"/>
          <w:highlight w:val="none"/>
          <w:u w:val="single"/>
          <w:lang w:val="zh-CN"/>
        </w:rPr>
        <w:t xml:space="preserve">   </w:t>
      </w:r>
      <w:r>
        <w:rPr>
          <w:rFonts w:hint="eastAsia" w:ascii="楷体" w:hAnsi="楷体" w:eastAsia="楷体" w:cs="宋体"/>
          <w:color w:val="auto"/>
          <w:kern w:val="0"/>
          <w:highlight w:val="none"/>
          <w:u w:val="single"/>
        </w:rPr>
        <w:t>3</w:t>
      </w:r>
      <w:r>
        <w:rPr>
          <w:rFonts w:hint="eastAsia" w:ascii="楷体" w:hAnsi="楷体" w:eastAsia="楷体" w:cs="宋体"/>
          <w:color w:val="auto"/>
          <w:kern w:val="0"/>
          <w:highlight w:val="none"/>
          <w:u w:val="single"/>
          <w:lang w:val="zh-CN"/>
        </w:rPr>
        <w:t xml:space="preserve"> </w:t>
      </w:r>
      <w:r>
        <w:rPr>
          <w:rFonts w:hint="eastAsia" w:ascii="楷体" w:hAnsi="楷体" w:eastAsia="楷体" w:cs="宋体"/>
          <w:color w:val="auto"/>
          <w:kern w:val="0"/>
          <w:highlight w:val="none"/>
          <w:lang w:val="zh-CN"/>
        </w:rPr>
        <w:t>年以来的类似业绩证明材料。类似业绩是指与采购项目在产品类型、使用功能等方面相同或相近的项目；2.</w:t>
      </w:r>
      <w:r>
        <w:rPr>
          <w:rFonts w:hint="eastAsia" w:ascii="楷体" w:hAnsi="楷体" w:eastAsia="楷体" w:cs="Arial"/>
          <w:color w:val="auto"/>
          <w:szCs w:val="21"/>
          <w:highlight w:val="none"/>
        </w:rPr>
        <w:t>“合同金额”需提供合同复印件。3.投标人</w:t>
      </w:r>
      <w:r>
        <w:rPr>
          <w:rFonts w:hint="eastAsia" w:ascii="楷体" w:hAnsi="楷体" w:eastAsia="楷体"/>
          <w:bCs/>
          <w:color w:val="auto"/>
          <w:szCs w:val="21"/>
          <w:highlight w:val="none"/>
        </w:rPr>
        <w:t>未按上述要求提供、</w:t>
      </w:r>
      <w:r>
        <w:rPr>
          <w:rFonts w:hint="eastAsia" w:ascii="楷体" w:hAnsi="楷体" w:eastAsia="楷体"/>
          <w:color w:val="auto"/>
          <w:szCs w:val="21"/>
          <w:highlight w:val="none"/>
        </w:rPr>
        <w:t>填写</w:t>
      </w:r>
      <w:r>
        <w:rPr>
          <w:rFonts w:hint="eastAsia" w:ascii="楷体" w:hAnsi="楷体" w:eastAsia="楷体"/>
          <w:bCs/>
          <w:color w:val="auto"/>
          <w:szCs w:val="21"/>
          <w:highlight w:val="none"/>
        </w:rPr>
        <w:t>的，评标时不予加分。</w:t>
      </w:r>
    </w:p>
    <w:p>
      <w:pPr>
        <w:adjustRightInd w:val="0"/>
        <w:spacing w:before="360" w:beforeLines="150" w:line="360" w:lineRule="auto"/>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pStyle w:val="32"/>
        <w:spacing w:before="360" w:beforeLines="150" w:line="360" w:lineRule="auto"/>
        <w:ind w:firstLine="105" w:firstLineChars="50"/>
        <w:rPr>
          <w:rFonts w:hint="eastAsia" w:ascii="宋体" w:hAnsi="宋体"/>
          <w:bCs/>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（签字）</w:t>
      </w:r>
    </w:p>
    <w:p>
      <w:pPr>
        <w:pStyle w:val="32"/>
        <w:spacing w:before="360" w:beforeLines="150" w:line="360" w:lineRule="auto"/>
        <w:rPr>
          <w:rFonts w:hint="eastAsia" w:ascii="宋体" w:hAnsi="宋体"/>
          <w:b/>
          <w:bCs/>
          <w:color w:val="auto"/>
          <w:highlight w:val="none"/>
        </w:rPr>
      </w:pPr>
      <w:r>
        <w:rPr>
          <w:rFonts w:hint="eastAsia" w:ascii="宋体" w:hAnsi="宋体"/>
          <w:bCs/>
          <w:color w:val="auto"/>
          <w:highlight w:val="none"/>
        </w:rPr>
        <w:t xml:space="preserve"> 日    期:  20</w:t>
      </w:r>
      <w:r>
        <w:rPr>
          <w:rFonts w:hint="eastAsia" w:ascii="宋体" w:hAnsi="宋体"/>
          <w:bCs/>
          <w:color w:val="auto"/>
          <w:highlight w:val="none"/>
          <w:u w:val="single"/>
        </w:rPr>
        <w:t xml:space="preserve">  </w:t>
      </w:r>
      <w:r>
        <w:rPr>
          <w:rFonts w:hint="eastAsia" w:ascii="宋体" w:hAnsi="宋体"/>
          <w:bCs/>
          <w:color w:val="auto"/>
          <w:highlight w:val="none"/>
        </w:rPr>
        <w:t xml:space="preserve"> 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 xml:space="preserve">日   </w:t>
      </w:r>
    </w:p>
    <w:p>
      <w:pPr>
        <w:adjustRightInd w:val="0"/>
        <w:spacing w:after="480" w:afterLines="200" w:line="360" w:lineRule="auto"/>
        <w:jc w:val="center"/>
        <w:rPr>
          <w:rFonts w:hint="eastAsia" w:ascii="宋体" w:hAnsi="宋体"/>
          <w:b/>
          <w:bCs/>
          <w:color w:val="auto"/>
          <w:sz w:val="36"/>
          <w:szCs w:val="36"/>
          <w:highlight w:val="none"/>
        </w:rPr>
      </w:pPr>
    </w:p>
    <w:p>
      <w:pPr>
        <w:adjustRightInd w:val="0"/>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十、技术文件</w:t>
      </w:r>
    </w:p>
    <w:p>
      <w:pPr>
        <w:adjustRightInd w:val="0"/>
        <w:spacing w:line="400" w:lineRule="exact"/>
        <w:jc w:val="left"/>
        <w:rPr>
          <w:rFonts w:hint="eastAsia" w:ascii="宋体" w:hAnsi="宋体"/>
          <w:bCs/>
          <w:color w:val="auto"/>
          <w:sz w:val="24"/>
          <w:highlight w:val="none"/>
        </w:rPr>
      </w:pPr>
    </w:p>
    <w:p>
      <w:pPr>
        <w:spacing w:line="360" w:lineRule="auto"/>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spacing w:line="360" w:lineRule="auto"/>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rPr>
        <w:t>格式自定。应当包括（但不限于）投标人须知第4.2.4条款规定的内容。</w:t>
      </w: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pStyle w:val="5"/>
        <w:spacing w:before="0" w:after="480" w:afterLines="200" w:line="240" w:lineRule="auto"/>
        <w:jc w:val="center"/>
        <w:rPr>
          <w:rFonts w:hint="eastAsia" w:ascii="宋体" w:hAnsi="宋体" w:eastAsia="宋体"/>
          <w:bCs/>
          <w:color w:val="auto"/>
          <w:kern w:val="0"/>
          <w:sz w:val="36"/>
          <w:szCs w:val="36"/>
          <w:highlight w:val="none"/>
        </w:rPr>
      </w:pPr>
      <w:r>
        <w:rPr>
          <w:rFonts w:hint="eastAsia" w:ascii="宋体" w:hAnsi="宋体" w:eastAsia="宋体"/>
          <w:bCs/>
          <w:color w:val="auto"/>
          <w:kern w:val="0"/>
          <w:sz w:val="36"/>
          <w:szCs w:val="36"/>
          <w:highlight w:val="none"/>
        </w:rPr>
        <w:t>十一、技术参数偏离表</w:t>
      </w:r>
    </w:p>
    <w:p>
      <w:pPr>
        <w:pStyle w:val="6"/>
        <w:spacing w:before="120" w:beforeLines="50" w:after="120" w:afterLines="50"/>
        <w:ind w:firstLine="0"/>
        <w:rPr>
          <w:rFonts w:hint="eastAsia"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项目编号：</w:t>
      </w:r>
    </w:p>
    <w:tbl>
      <w:tblPr>
        <w:tblStyle w:val="21"/>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0"/>
            <w:vAlign w:val="center"/>
          </w:tcPr>
          <w:p>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采购规格及</w:t>
            </w:r>
          </w:p>
          <w:p>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技术需求</w:t>
            </w:r>
          </w:p>
        </w:tc>
        <w:tc>
          <w:tcPr>
            <w:tcW w:w="2542" w:type="dxa"/>
            <w:noWrap w:val="0"/>
            <w:vAlign w:val="center"/>
          </w:tcPr>
          <w:p>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投标文件规格及</w:t>
            </w:r>
          </w:p>
          <w:p>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技术参数</w:t>
            </w:r>
          </w:p>
        </w:tc>
        <w:tc>
          <w:tcPr>
            <w:tcW w:w="84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bl>
    <w:p>
      <w:pPr>
        <w:pStyle w:val="3"/>
        <w:tabs>
          <w:tab w:val="left" w:pos="600"/>
        </w:tabs>
        <w:spacing w:line="360" w:lineRule="auto"/>
        <w:ind w:firstLine="361" w:firstLineChars="200"/>
        <w:rPr>
          <w:rFonts w:hint="eastAsia" w:ascii="宋体" w:hAnsi="宋体"/>
          <w:b/>
          <w:bCs/>
          <w:color w:val="auto"/>
          <w:sz w:val="18"/>
          <w:szCs w:val="18"/>
          <w:highlight w:val="none"/>
        </w:rPr>
      </w:pPr>
      <w:r>
        <w:rPr>
          <w:rFonts w:hint="eastAsia" w:ascii="宋体" w:hAnsi="宋体"/>
          <w:b/>
          <w:bCs/>
          <w:color w:val="auto"/>
          <w:sz w:val="18"/>
          <w:szCs w:val="18"/>
          <w:highlight w:val="none"/>
        </w:rPr>
        <w:t>注：1、加</w:t>
      </w: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宋体" w:hAnsi="宋体"/>
          <w:b/>
          <w:bCs/>
          <w:color w:val="auto"/>
          <w:sz w:val="18"/>
          <w:szCs w:val="18"/>
          <w:highlight w:val="none"/>
        </w:rPr>
        <w:t>号的条款为重要指标，投标人在投标文件技术偏离表中必须对技术条款进行一一正面响应，若不响应、逃避响应或模糊混淆概念响应，按照重要指标负偏离处理，不能提供证明文件的不予认可</w:t>
      </w:r>
      <w:r>
        <w:rPr>
          <w:rFonts w:hint="eastAsia" w:ascii="宋体" w:hAnsi="宋体"/>
          <w:b/>
          <w:bCs/>
          <w:color w:val="auto"/>
          <w:sz w:val="18"/>
          <w:szCs w:val="18"/>
          <w:highlight w:val="none"/>
          <w:lang w:eastAsia="zh-CN"/>
        </w:rPr>
        <w:t>，给予扣分处理</w:t>
      </w:r>
      <w:r>
        <w:rPr>
          <w:rFonts w:hint="eastAsia" w:ascii="宋体" w:hAnsi="宋体"/>
          <w:b/>
          <w:bCs/>
          <w:color w:val="auto"/>
          <w:sz w:val="18"/>
          <w:szCs w:val="18"/>
          <w:highlight w:val="none"/>
        </w:rPr>
        <w:t>。通过篡改数据响应的按照无效标处理并追究法律责任。在交货后，发现部分不能实现，甲方有权退货并索取赔偿。</w:t>
      </w:r>
    </w:p>
    <w:p>
      <w:pPr>
        <w:pStyle w:val="3"/>
        <w:tabs>
          <w:tab w:val="left" w:pos="600"/>
        </w:tabs>
        <w:spacing w:line="360" w:lineRule="auto"/>
        <w:ind w:firstLine="361" w:firstLineChars="200"/>
        <w:rPr>
          <w:rFonts w:hint="eastAsia" w:ascii="仿宋_GB2312" w:hAnsi="宋体" w:eastAsia="仿宋_GB2312"/>
          <w:bCs/>
          <w:color w:val="auto"/>
          <w:sz w:val="18"/>
          <w:szCs w:val="18"/>
          <w:highlight w:val="none"/>
        </w:rPr>
      </w:pPr>
      <w:r>
        <w:rPr>
          <w:rFonts w:hint="eastAsia" w:ascii="宋体" w:hAnsi="宋体"/>
          <w:b/>
          <w:bCs/>
          <w:color w:val="auto"/>
          <w:sz w:val="18"/>
          <w:szCs w:val="18"/>
          <w:highlight w:val="none"/>
        </w:rPr>
        <w:t>2、投标人必须据实填写，不得虚假响应，否则将取消其投标或中标资格，并按有关规定进行处罚。</w:t>
      </w:r>
    </w:p>
    <w:p>
      <w:pPr>
        <w:adjustRightInd w:val="0"/>
        <w:spacing w:after="240" w:afterLines="100" w:line="400" w:lineRule="exact"/>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w:t>
      </w:r>
      <w:bookmarkStart w:id="135" w:name="_Toc217446088"/>
      <w:r>
        <w:rPr>
          <w:rFonts w:hint="eastAsia" w:ascii="宋体" w:hAnsi="宋体"/>
          <w:bCs/>
          <w:color w:val="auto"/>
          <w:szCs w:val="21"/>
          <w:highlight w:val="none"/>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27"/>
        <w:rPr>
          <w:rFonts w:hint="eastAsia" w:ascii="宋体" w:hAnsi="宋体"/>
          <w:bCs/>
          <w:color w:val="auto"/>
          <w:szCs w:val="21"/>
          <w:highlight w:val="none"/>
        </w:rPr>
      </w:pPr>
    </w:p>
    <w:p>
      <w:pPr>
        <w:pStyle w:val="27"/>
        <w:rPr>
          <w:rFonts w:hint="eastAsia" w:ascii="宋体" w:hAnsi="宋体"/>
          <w:bCs/>
          <w:color w:val="auto"/>
          <w:szCs w:val="21"/>
          <w:highlight w:val="none"/>
        </w:rPr>
      </w:pPr>
    </w:p>
    <w:p>
      <w:pPr>
        <w:pStyle w:val="27"/>
        <w:rPr>
          <w:rFonts w:hint="eastAsia" w:ascii="宋体" w:hAnsi="宋体"/>
          <w:bCs/>
          <w:color w:val="auto"/>
          <w:szCs w:val="21"/>
          <w:highlight w:val="none"/>
        </w:rPr>
      </w:pPr>
    </w:p>
    <w:p>
      <w:pPr>
        <w:pStyle w:val="27"/>
        <w:rPr>
          <w:rFonts w:hint="eastAsia" w:ascii="宋体" w:hAnsi="宋体"/>
          <w:bCs/>
          <w:color w:val="auto"/>
          <w:szCs w:val="21"/>
          <w:highlight w:val="none"/>
        </w:rPr>
      </w:pPr>
    </w:p>
    <w:bookmarkEnd w:id="135"/>
    <w:p>
      <w:pPr>
        <w:pStyle w:val="32"/>
        <w:spacing w:line="4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十二、投标人认为有必要补充说明的事项</w:t>
      </w:r>
    </w:p>
    <w:p>
      <w:pPr>
        <w:pStyle w:val="32"/>
        <w:spacing w:line="400" w:lineRule="exact"/>
        <w:rPr>
          <w:rFonts w:hint="eastAsia"/>
          <w:color w:val="auto"/>
          <w:highlight w:val="none"/>
        </w:rPr>
      </w:pPr>
    </w:p>
    <w:p>
      <w:pPr>
        <w:pStyle w:val="32"/>
        <w:spacing w:line="400" w:lineRule="exact"/>
        <w:rPr>
          <w:rFonts w:hint="eastAsia" w:ascii="楷体" w:hAnsi="楷体" w:eastAsia="楷体"/>
          <w:color w:val="auto"/>
          <w:highlight w:val="none"/>
        </w:rPr>
      </w:pPr>
      <w:r>
        <w:rPr>
          <w:rFonts w:hint="eastAsia" w:ascii="楷体" w:hAnsi="楷体" w:eastAsia="楷体"/>
          <w:color w:val="auto"/>
          <w:highlight w:val="none"/>
        </w:rPr>
        <w:t>说明：</w:t>
      </w:r>
    </w:p>
    <w:p>
      <w:pPr>
        <w:pStyle w:val="32"/>
        <w:spacing w:line="400" w:lineRule="exact"/>
        <w:rPr>
          <w:rFonts w:ascii="楷体" w:hAnsi="楷体" w:eastAsia="楷体"/>
          <w:color w:val="auto"/>
          <w:highlight w:val="none"/>
        </w:rPr>
      </w:pPr>
      <w:r>
        <w:rPr>
          <w:rFonts w:hint="eastAsia" w:ascii="楷体" w:hAnsi="楷体" w:eastAsia="楷体"/>
          <w:color w:val="auto"/>
          <w:highlight w:val="none"/>
        </w:rPr>
        <w:t xml:space="preserve">     格式自定。</w:t>
      </w:r>
    </w:p>
    <w:p>
      <w:pPr>
        <w:rPr>
          <w:color w:val="auto"/>
          <w:highlight w:val="none"/>
        </w:rPr>
      </w:pPr>
    </w:p>
    <w:sectPr>
      <w:pgSz w:w="11907" w:h="16840"/>
      <w:pgMar w:top="1440" w:right="1474" w:bottom="1440"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2C3607-C18C-4A91-8017-7E9CE8B54BF2}"/>
  </w:font>
  <w:font w:name="黑体">
    <w:panose1 w:val="02010609060101010101"/>
    <w:charset w:val="86"/>
    <w:family w:val="auto"/>
    <w:pitch w:val="default"/>
    <w:sig w:usb0="800002BF" w:usb1="38CF7CFA" w:usb2="00000016" w:usb3="00000000" w:csb0="00040001" w:csb1="00000000"/>
    <w:embedRegular r:id="rId2" w:fontKey="{E9CA973B-4483-4AC5-8974-F3027932D06A}"/>
  </w:font>
  <w:font w:name="Courier New">
    <w:panose1 w:val="02070309020205020404"/>
    <w:charset w:val="01"/>
    <w:family w:val="modern"/>
    <w:pitch w:val="default"/>
    <w:sig w:usb0="E0002EFF" w:usb1="C0007843" w:usb2="00000009" w:usb3="00000000" w:csb0="400001FF" w:csb1="FFFF0000"/>
    <w:embedRegular r:id="rId3" w:fontKey="{F9618A31-9349-4831-8B05-22CF9CE5C4D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4" w:fontKey="{E1824A60-2976-4084-B370-8E73BE70507D}"/>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5" w:fontKey="{594C9844-0281-4637-8351-B750300FCC68}"/>
  </w:font>
  <w:font w:name="楷体_GB2312">
    <w:panose1 w:val="02010609030101010101"/>
    <w:charset w:val="86"/>
    <w:family w:val="modern"/>
    <w:pitch w:val="default"/>
    <w:sig w:usb0="00000001" w:usb1="080E0000" w:usb2="00000000" w:usb3="00000000" w:csb0="00040000" w:csb1="00000000"/>
    <w:embedRegular r:id="rId6" w:fontKey="{779FC672-EB2D-4FE8-8573-C6C988AA264A}"/>
  </w:font>
  <w:font w:name="Wingdings 2">
    <w:panose1 w:val="05020102010507070707"/>
    <w:charset w:val="02"/>
    <w:family w:val="decorative"/>
    <w:pitch w:val="default"/>
    <w:sig w:usb0="00000000" w:usb1="00000000" w:usb2="00000000" w:usb3="00000000" w:csb0="80000000" w:csb1="00000000"/>
    <w:embedRegular r:id="rId7" w:fontKey="{BA2E288E-06CB-4E4B-9A47-186D7ADFC6EE}"/>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8" w:fontKey="{DDF9CC94-6CCA-41FD-805E-32DFCEA135A8}"/>
  </w:font>
  <w:font w:name="仿宋_GB2312">
    <w:panose1 w:val="02010609030101010101"/>
    <w:charset w:val="86"/>
    <w:family w:val="modern"/>
    <w:pitch w:val="default"/>
    <w:sig w:usb0="00000001" w:usb1="080E0000" w:usb2="00000000" w:usb3="00000000" w:csb0="00040000" w:csb1="00000000"/>
    <w:embedRegular r:id="rId9" w:fontKey="{674D6A19-52BB-409E-865B-AAA17BB99103}"/>
  </w:font>
  <w:font w:name="楷体">
    <w:panose1 w:val="02010609060101010101"/>
    <w:charset w:val="86"/>
    <w:family w:val="auto"/>
    <w:pitch w:val="default"/>
    <w:sig w:usb0="800002BF" w:usb1="38CF7CFA" w:usb2="00000016" w:usb3="00000000" w:csb0="00040001" w:csb1="00000000"/>
    <w:embedRegular r:id="rId10" w:fontKey="{3ABF89D0-1063-43A5-9397-6FBF27FF22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4</w:t>
    </w:r>
    <w:r>
      <w:fldChar w:fldCharType="end"/>
    </w:r>
  </w:p>
  <w:p>
    <w:pPr>
      <w:pStyle w:val="15"/>
      <w:pBdr>
        <w:bottom w:val="single" w:color="auto" w:sz="6" w:space="1"/>
      </w:pBdr>
      <w:ind w:right="360"/>
      <w:rPr>
        <w:rFonts w:hint="eastAsia"/>
        <w:kern w:val="0"/>
        <w:szCs w:val="21"/>
      </w:rPr>
    </w:pPr>
  </w:p>
  <w:p>
    <w:pPr>
      <w:pStyle w:val="15"/>
      <w:jc w:val="center"/>
      <w:rPr>
        <w:rFonts w:hint="eastAsia"/>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100</w:t>
    </w:r>
    <w:r>
      <w:rPr>
        <w:kern w:val="0"/>
        <w:szCs w:val="21"/>
      </w:rPr>
      <w:fldChar w:fldCharType="end"/>
    </w:r>
    <w:r>
      <w:rPr>
        <w:rFonts w:hint="eastAsia"/>
        <w:kern w:val="0"/>
        <w:szCs w:val="21"/>
      </w:rPr>
      <w:t xml:space="preserve"> 页</w:t>
    </w:r>
  </w:p>
  <w:p>
    <w:pPr>
      <w:pStyle w:val="15"/>
      <w:jc w:val="both"/>
    </w:pPr>
    <w:r>
      <w:rPr>
        <w:rFonts w:hint="eastAsia"/>
        <w:kern w:val="0"/>
        <w:szCs w:val="21"/>
      </w:rPr>
      <w:t>联系电话：029-88472386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rPr>
        <w:rFonts w:hint="default"/>
        <w:sz w:val="20"/>
        <w:szCs w:val="21"/>
        <w:lang w:val="en-US"/>
      </w:rPr>
    </w:pPr>
    <w:r>
      <w:rPr>
        <w:rFonts w:hint="eastAsia"/>
        <w:sz w:val="20"/>
        <w:szCs w:val="21"/>
        <w:lang w:eastAsia="zh-CN"/>
      </w:rPr>
      <w:t>伊宁市人民医院云桌面采购项目</w:t>
    </w:r>
    <w:r>
      <w:rPr>
        <w:rFonts w:hint="eastAsia"/>
        <w:sz w:val="20"/>
        <w:szCs w:val="21"/>
      </w:rPr>
      <w:t xml:space="preserve">  </w:t>
    </w:r>
    <w:r>
      <w:rPr>
        <w:rFonts w:hint="eastAsia"/>
        <w:sz w:val="20"/>
        <w:szCs w:val="21"/>
        <w:lang w:val="en-US" w:eastAsia="zh-CN"/>
      </w:rPr>
      <w:t xml:space="preserve">                             项目编号：HYYL-2023-050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pPr>
    <w:r>
      <w:rPr>
        <w:rFonts w:hint="eastAsia"/>
        <w:sz w:val="20"/>
        <w:szCs w:val="21"/>
        <w:lang w:eastAsia="zh-CN"/>
      </w:rPr>
      <w:t>伊宁市人民医院云桌面采购项目</w:t>
    </w:r>
    <w:r>
      <w:rPr>
        <w:rFonts w:hint="eastAsia"/>
        <w:sz w:val="20"/>
        <w:szCs w:val="21"/>
      </w:rPr>
      <w:t xml:space="preserve">  </w:t>
    </w:r>
    <w:r>
      <w:rPr>
        <w:rFonts w:hint="eastAsia"/>
        <w:sz w:val="20"/>
        <w:szCs w:val="21"/>
        <w:lang w:val="en-US" w:eastAsia="zh-CN"/>
      </w:rPr>
      <w:t xml:space="preserve">                                           项目编号：HYYL-2023-050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rPr>
        <w:rFonts w:hint="default"/>
        <w:lang w:val="en-US" w:eastAsia="zh-CN"/>
      </w:rPr>
    </w:pPr>
    <w:r>
      <w:rPr>
        <w:rFonts w:hint="eastAsia"/>
        <w:sz w:val="20"/>
        <w:szCs w:val="21"/>
        <w:lang w:eastAsia="zh-CN"/>
      </w:rPr>
      <w:t>伊宁市人民医院云桌面采购项目</w:t>
    </w:r>
    <w:r>
      <w:rPr>
        <w:rFonts w:hint="eastAsia"/>
        <w:sz w:val="20"/>
        <w:szCs w:val="21"/>
      </w:rPr>
      <w:t xml:space="preserve">  </w:t>
    </w:r>
    <w:r>
      <w:rPr>
        <w:rFonts w:hint="eastAsia"/>
        <w:sz w:val="20"/>
        <w:szCs w:val="21"/>
        <w:lang w:val="en-US" w:eastAsia="zh-CN"/>
      </w:rPr>
      <w:t xml:space="preserve">                                    项目编号：HYYL-2023-050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楷体_GB2312" w:eastAsia="楷体_GB2312"/>
      </w:rPr>
    </w:pPr>
    <w:r>
      <w:rPr>
        <w:rFonts w:hint="eastAsia"/>
      </w:rPr>
      <w:t xml:space="preserve"> xxxxxxxxxxxxxxxxxxxxxxx</w:t>
    </w:r>
    <w:r>
      <w:rPr>
        <w:rFonts w:hint="eastAsia" w:ascii="楷体_GB2312" w:eastAsia="楷体_GB2312"/>
      </w:rPr>
      <w:t>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PowerPlusWaterMarkObject132083" o:spid="_x0000_s4097" o:spt="136" type="#_x0000_t136" style="position:absolute;left:0pt;height:27.15pt;width:560.1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伊宁市人民医院发热隔离点医院购置多排螺旋CT设备采购项目" style="font-family:微软雅黑;font-size:36pt;v-same-letter-heights:f;v-text-align:center;"/>
        </v:shape>
      </w:pic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708015" cy="4172585"/>
          <wp:effectExtent l="0" t="0" r="6985" b="18415"/>
          <wp:wrapNone/>
          <wp:docPr id="2" name="WordPictureWatermark57197" descr="877abdbd13e0fbaca766b3ca764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7197" descr="877abdbd13e0fbaca766b3ca7643509"/>
                  <pic:cNvPicPr>
                    <a:picLocks noChangeAspect="1"/>
                  </pic:cNvPicPr>
                </pic:nvPicPr>
                <pic:blipFill>
                  <a:blip r:embed="rId1">
                    <a:lum bright="69998" contrast="-70001"/>
                  </a:blip>
                  <a:stretch>
                    <a:fillRect/>
                  </a:stretch>
                </pic:blipFill>
                <pic:spPr>
                  <a:xfrm>
                    <a:off x="0" y="0"/>
                    <a:ext cx="5708015" cy="41725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F0DA"/>
    <w:multiLevelType w:val="singleLevel"/>
    <w:tmpl w:val="83AEF0DA"/>
    <w:lvl w:ilvl="0" w:tentative="0">
      <w:start w:val="1"/>
      <w:numFmt w:val="decimal"/>
      <w:suff w:val="space"/>
      <w:lvlText w:val="%1、"/>
      <w:lvlJc w:val="left"/>
    </w:lvl>
  </w:abstractNum>
  <w:abstractNum w:abstractNumId="1">
    <w:nsid w:val="9DAC7D7D"/>
    <w:multiLevelType w:val="singleLevel"/>
    <w:tmpl w:val="9DAC7D7D"/>
    <w:lvl w:ilvl="0" w:tentative="0">
      <w:start w:val="2"/>
      <w:numFmt w:val="chineseCounting"/>
      <w:suff w:val="nothing"/>
      <w:lvlText w:val="%1、"/>
      <w:lvlJc w:val="left"/>
      <w:rPr>
        <w:rFonts w:hint="eastAsia"/>
      </w:rPr>
    </w:lvl>
  </w:abstractNum>
  <w:abstractNum w:abstractNumId="2">
    <w:nsid w:val="BDCA9B01"/>
    <w:multiLevelType w:val="singleLevel"/>
    <w:tmpl w:val="BDCA9B01"/>
    <w:lvl w:ilvl="0" w:tentative="0">
      <w:start w:val="1"/>
      <w:numFmt w:val="chineseCounting"/>
      <w:suff w:val="nothing"/>
      <w:lvlText w:val="%1、"/>
      <w:lvlJc w:val="left"/>
      <w:rPr>
        <w:rFonts w:hint="eastAsia"/>
      </w:rPr>
    </w:lvl>
  </w:abstractNum>
  <w:abstractNum w:abstractNumId="3">
    <w:nsid w:val="F2464EB2"/>
    <w:multiLevelType w:val="singleLevel"/>
    <w:tmpl w:val="F2464EB2"/>
    <w:lvl w:ilvl="0" w:tentative="0">
      <w:start w:val="1"/>
      <w:numFmt w:val="decimal"/>
      <w:suff w:val="nothing"/>
      <w:lvlText w:val="%1、"/>
      <w:lvlJc w:val="left"/>
    </w:lvl>
  </w:abstractNum>
  <w:abstractNum w:abstractNumId="4">
    <w:nsid w:val="1FC8788D"/>
    <w:multiLevelType w:val="singleLevel"/>
    <w:tmpl w:val="1FC8788D"/>
    <w:lvl w:ilvl="0" w:tentative="0">
      <w:start w:val="1"/>
      <w:numFmt w:val="decimal"/>
      <w:suff w:val="nothing"/>
      <w:lvlText w:val="%1、"/>
      <w:lvlJc w:val="left"/>
    </w:lvl>
  </w:abstractNum>
  <w:abstractNum w:abstractNumId="5">
    <w:nsid w:val="2B16DCA2"/>
    <w:multiLevelType w:val="singleLevel"/>
    <w:tmpl w:val="2B16DCA2"/>
    <w:lvl w:ilvl="0" w:tentative="0">
      <w:start w:val="7"/>
      <w:numFmt w:val="decimal"/>
      <w:suff w:val="nothing"/>
      <w:lvlText w:val="%1、"/>
      <w:lvlJc w:val="left"/>
    </w:lvl>
  </w:abstractNum>
  <w:abstractNum w:abstractNumId="6">
    <w:nsid w:val="51D1A6BA"/>
    <w:multiLevelType w:val="singleLevel"/>
    <w:tmpl w:val="51D1A6BA"/>
    <w:lvl w:ilvl="0" w:tentative="0">
      <w:start w:val="4"/>
      <w:numFmt w:val="chineseCounting"/>
      <w:suff w:val="space"/>
      <w:lvlText w:val="第%1章"/>
      <w:lvlJc w:val="left"/>
      <w:rPr>
        <w:rFonts w:hint="eastAsia"/>
      </w:rPr>
    </w:lvl>
  </w:abstractNum>
  <w:abstractNum w:abstractNumId="7">
    <w:nsid w:val="73E27F09"/>
    <w:multiLevelType w:val="singleLevel"/>
    <w:tmpl w:val="73E27F09"/>
    <w:lvl w:ilvl="0" w:tentative="0">
      <w:start w:val="1"/>
      <w:numFmt w:val="decimal"/>
      <w:suff w:val="nothing"/>
      <w:lvlText w:val="%1、"/>
      <w:lvlJc w:val="left"/>
    </w:lvl>
  </w:abstractNum>
  <w:abstractNum w:abstractNumId="8">
    <w:nsid w:val="7E98108A"/>
    <w:multiLevelType w:val="singleLevel"/>
    <w:tmpl w:val="7E98108A"/>
    <w:lvl w:ilvl="0" w:tentative="0">
      <w:start w:val="1"/>
      <w:numFmt w:val="decimal"/>
      <w:suff w:val="nothing"/>
      <w:lvlText w:val="（%1）"/>
      <w:lvlJc w:val="left"/>
    </w:lvl>
  </w:abstractNum>
  <w:num w:numId="1">
    <w:abstractNumId w:val="8"/>
  </w:num>
  <w:num w:numId="2">
    <w:abstractNumId w:val="7"/>
  </w:num>
  <w:num w:numId="3">
    <w:abstractNumId w:val="6"/>
  </w:num>
  <w:num w:numId="4">
    <w:abstractNumId w:val="0"/>
  </w:num>
  <w:num w:numId="5">
    <w:abstractNumId w:val="5"/>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MWQ3NzEwY2RmNzE5ZGYyMTk2Mzc2ZTZhNzdkMTEifQ=="/>
  </w:docVars>
  <w:rsids>
    <w:rsidRoot w:val="0BD46CE0"/>
    <w:rsid w:val="00FE3786"/>
    <w:rsid w:val="010F737D"/>
    <w:rsid w:val="028B4F54"/>
    <w:rsid w:val="038274A1"/>
    <w:rsid w:val="043C26F7"/>
    <w:rsid w:val="048D2BD8"/>
    <w:rsid w:val="051675BB"/>
    <w:rsid w:val="05175173"/>
    <w:rsid w:val="05687253"/>
    <w:rsid w:val="05D26E3A"/>
    <w:rsid w:val="06081635"/>
    <w:rsid w:val="060C1E02"/>
    <w:rsid w:val="062537E8"/>
    <w:rsid w:val="06F26EE0"/>
    <w:rsid w:val="089B4494"/>
    <w:rsid w:val="0A0E5ECB"/>
    <w:rsid w:val="0A1C3158"/>
    <w:rsid w:val="0A70536D"/>
    <w:rsid w:val="0BD46CE0"/>
    <w:rsid w:val="0C055274"/>
    <w:rsid w:val="0C8C21A0"/>
    <w:rsid w:val="0D7C3D12"/>
    <w:rsid w:val="0E6909BA"/>
    <w:rsid w:val="0E952516"/>
    <w:rsid w:val="100D1BA1"/>
    <w:rsid w:val="122A544F"/>
    <w:rsid w:val="126D730B"/>
    <w:rsid w:val="13505E38"/>
    <w:rsid w:val="13F7291D"/>
    <w:rsid w:val="14C15977"/>
    <w:rsid w:val="15E81C52"/>
    <w:rsid w:val="15ED48A2"/>
    <w:rsid w:val="163A54B3"/>
    <w:rsid w:val="168D5B19"/>
    <w:rsid w:val="173018FC"/>
    <w:rsid w:val="17832501"/>
    <w:rsid w:val="179E2135"/>
    <w:rsid w:val="17AD352F"/>
    <w:rsid w:val="181F7A9C"/>
    <w:rsid w:val="19E531E6"/>
    <w:rsid w:val="1C5618EE"/>
    <w:rsid w:val="1DCF16F9"/>
    <w:rsid w:val="1F6720A1"/>
    <w:rsid w:val="1FE305D3"/>
    <w:rsid w:val="1FF16DF7"/>
    <w:rsid w:val="21334C4D"/>
    <w:rsid w:val="21B922AD"/>
    <w:rsid w:val="22123EBE"/>
    <w:rsid w:val="223676C5"/>
    <w:rsid w:val="22BF098E"/>
    <w:rsid w:val="23326894"/>
    <w:rsid w:val="235220FF"/>
    <w:rsid w:val="24E06E24"/>
    <w:rsid w:val="24E10731"/>
    <w:rsid w:val="275D069A"/>
    <w:rsid w:val="2AF36273"/>
    <w:rsid w:val="2B230A70"/>
    <w:rsid w:val="2B941E9C"/>
    <w:rsid w:val="2C064050"/>
    <w:rsid w:val="2D2F4203"/>
    <w:rsid w:val="2D307DF6"/>
    <w:rsid w:val="2E9C71BB"/>
    <w:rsid w:val="2EBF6EA3"/>
    <w:rsid w:val="3016134E"/>
    <w:rsid w:val="303E7AE9"/>
    <w:rsid w:val="305A03B0"/>
    <w:rsid w:val="30C3032E"/>
    <w:rsid w:val="31311FAB"/>
    <w:rsid w:val="337575FD"/>
    <w:rsid w:val="33BF6367"/>
    <w:rsid w:val="3446549C"/>
    <w:rsid w:val="345A1178"/>
    <w:rsid w:val="348736CE"/>
    <w:rsid w:val="38E95A5F"/>
    <w:rsid w:val="39E211C3"/>
    <w:rsid w:val="3ADA5CA7"/>
    <w:rsid w:val="3B5B1018"/>
    <w:rsid w:val="3D8B25E5"/>
    <w:rsid w:val="3FC95AB0"/>
    <w:rsid w:val="3FEF42F6"/>
    <w:rsid w:val="409B4E23"/>
    <w:rsid w:val="41F47C4C"/>
    <w:rsid w:val="422616C6"/>
    <w:rsid w:val="43170B42"/>
    <w:rsid w:val="441227E2"/>
    <w:rsid w:val="45D747E8"/>
    <w:rsid w:val="45F02A41"/>
    <w:rsid w:val="46DE1C38"/>
    <w:rsid w:val="481E1BB0"/>
    <w:rsid w:val="4854143E"/>
    <w:rsid w:val="49350B6D"/>
    <w:rsid w:val="494B7380"/>
    <w:rsid w:val="4958113E"/>
    <w:rsid w:val="498D7BA6"/>
    <w:rsid w:val="4A57558D"/>
    <w:rsid w:val="4B2B2811"/>
    <w:rsid w:val="4C665CE7"/>
    <w:rsid w:val="4C687066"/>
    <w:rsid w:val="4C7156E0"/>
    <w:rsid w:val="4CA918DF"/>
    <w:rsid w:val="4CDD4969"/>
    <w:rsid w:val="4D185151"/>
    <w:rsid w:val="4F927E03"/>
    <w:rsid w:val="4F976877"/>
    <w:rsid w:val="55B41BBF"/>
    <w:rsid w:val="575760F4"/>
    <w:rsid w:val="57852DEC"/>
    <w:rsid w:val="59690E36"/>
    <w:rsid w:val="5AD247E3"/>
    <w:rsid w:val="5AD51772"/>
    <w:rsid w:val="5B340CC6"/>
    <w:rsid w:val="5C746021"/>
    <w:rsid w:val="5C9A53A1"/>
    <w:rsid w:val="5CE72F5C"/>
    <w:rsid w:val="5E046458"/>
    <w:rsid w:val="5E9B3DDB"/>
    <w:rsid w:val="5ECE307B"/>
    <w:rsid w:val="5FDC0F0C"/>
    <w:rsid w:val="6008036D"/>
    <w:rsid w:val="601230BB"/>
    <w:rsid w:val="613300E3"/>
    <w:rsid w:val="61A51218"/>
    <w:rsid w:val="64B27B6D"/>
    <w:rsid w:val="660E1203"/>
    <w:rsid w:val="663521C0"/>
    <w:rsid w:val="66E326F8"/>
    <w:rsid w:val="672F11F1"/>
    <w:rsid w:val="67312590"/>
    <w:rsid w:val="674C453A"/>
    <w:rsid w:val="6880464C"/>
    <w:rsid w:val="691864A1"/>
    <w:rsid w:val="6A72672B"/>
    <w:rsid w:val="6ABD4C02"/>
    <w:rsid w:val="6B1E3BA6"/>
    <w:rsid w:val="6EEA3010"/>
    <w:rsid w:val="6F0937A0"/>
    <w:rsid w:val="6F14385C"/>
    <w:rsid w:val="70011985"/>
    <w:rsid w:val="70083ED5"/>
    <w:rsid w:val="704B23C1"/>
    <w:rsid w:val="707D7D60"/>
    <w:rsid w:val="71CF3E29"/>
    <w:rsid w:val="721003C5"/>
    <w:rsid w:val="73191889"/>
    <w:rsid w:val="736A17B3"/>
    <w:rsid w:val="740A2536"/>
    <w:rsid w:val="747C102B"/>
    <w:rsid w:val="750D6F2C"/>
    <w:rsid w:val="76273BFB"/>
    <w:rsid w:val="766D1417"/>
    <w:rsid w:val="769C41AB"/>
    <w:rsid w:val="7BB11B26"/>
    <w:rsid w:val="7BF045C5"/>
    <w:rsid w:val="7C9428A4"/>
    <w:rsid w:val="7CC80851"/>
    <w:rsid w:val="7D27455C"/>
    <w:rsid w:val="7DBA3683"/>
    <w:rsid w:val="7F48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qFormat/>
    <w:uiPriority w:val="0"/>
    <w:pPr>
      <w:keepNext/>
      <w:keepLines/>
      <w:spacing w:before="260" w:after="260" w:line="500" w:lineRule="exact"/>
      <w:outlineLvl w:val="1"/>
    </w:pPr>
    <w:rPr>
      <w:rFonts w:ascii="Arial" w:hAnsi="Arial" w:eastAsia="黑体"/>
      <w:b/>
      <w:sz w:val="28"/>
      <w:szCs w:val="20"/>
    </w:rPr>
  </w:style>
  <w:style w:type="paragraph" w:styleId="7">
    <w:name w:val="heading 3"/>
    <w:basedOn w:val="1"/>
    <w:next w:val="1"/>
    <w:qFormat/>
    <w:uiPriority w:val="0"/>
    <w:pPr>
      <w:keepNext/>
      <w:keepLines/>
      <w:spacing w:before="260" w:after="260" w:line="412" w:lineRule="auto"/>
      <w:outlineLvl w:val="2"/>
    </w:pPr>
    <w:rPr>
      <w:b/>
      <w:sz w:val="32"/>
      <w:szCs w:val="20"/>
    </w:rPr>
  </w:style>
  <w:style w:type="paragraph" w:styleId="8">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3">
    <w:name w:val="Body Text Indent"/>
    <w:basedOn w:val="1"/>
    <w:next w:val="2"/>
    <w:qFormat/>
    <w:uiPriority w:val="0"/>
    <w:pPr>
      <w:ind w:firstLine="630"/>
    </w:pPr>
    <w:rPr>
      <w:sz w:val="32"/>
      <w:szCs w:val="20"/>
    </w:rPr>
  </w:style>
  <w:style w:type="paragraph" w:styleId="6">
    <w:name w:val="Normal Indent"/>
    <w:basedOn w:val="1"/>
    <w:next w:val="1"/>
    <w:qFormat/>
    <w:uiPriority w:val="0"/>
    <w:pPr>
      <w:ind w:firstLine="420"/>
    </w:pPr>
    <w:rPr>
      <w:szCs w:val="20"/>
    </w:rPr>
  </w:style>
  <w:style w:type="paragraph" w:styleId="9">
    <w:name w:val="table of authorities"/>
    <w:basedOn w:val="1"/>
    <w:next w:val="1"/>
    <w:qFormat/>
    <w:uiPriority w:val="0"/>
    <w:pPr>
      <w:ind w:left="420" w:leftChars="200"/>
    </w:p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qFormat/>
    <w:uiPriority w:val="0"/>
    <w:pPr>
      <w:jc w:val="left"/>
    </w:pPr>
  </w:style>
  <w:style w:type="paragraph" w:styleId="12">
    <w:name w:val="Body Text"/>
    <w:basedOn w:val="1"/>
    <w:next w:val="1"/>
    <w:semiHidden/>
    <w:qFormat/>
    <w:uiPriority w:val="0"/>
    <w:pPr>
      <w:spacing w:before="100" w:beforeAutospacing="1" w:after="100" w:afterAutospacing="1" w:line="600" w:lineRule="auto"/>
    </w:pPr>
    <w:rPr>
      <w:kern w:val="0"/>
      <w:sz w:val="20"/>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ind w:firstLine="630"/>
    </w:pPr>
    <w:rPr>
      <w:sz w:val="32"/>
      <w:szCs w:val="20"/>
    </w:rPr>
  </w:style>
  <w:style w:type="paragraph" w:styleId="15">
    <w:name w:val="footer"/>
    <w:basedOn w:val="1"/>
    <w:qFormat/>
    <w:uiPriority w:val="0"/>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footnote text"/>
    <w:basedOn w:val="1"/>
    <w:qFormat/>
    <w:uiPriority w:val="99"/>
    <w:pPr>
      <w:snapToGrid w:val="0"/>
      <w:jc w:val="left"/>
    </w:pPr>
    <w:rPr>
      <w:rFonts w:asciiTheme="minorHAnsi" w:hAnsiTheme="minorHAnsi" w:eastAsiaTheme="minorEastAsia" w:cstheme="minorBidi"/>
      <w:sz w:val="18"/>
      <w:szCs w:val="22"/>
    </w:rPr>
  </w:style>
  <w:style w:type="paragraph" w:styleId="18">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136EC2"/>
      <w:u w:val="single"/>
    </w:rPr>
  </w:style>
  <w:style w:type="paragraph" w:customStyle="1" w:styleId="26">
    <w:name w:val="正文（缩进）"/>
    <w:basedOn w:val="1"/>
    <w:qFormat/>
    <w:uiPriority w:val="0"/>
    <w:pPr>
      <w:spacing w:beforeLines="50" w:afterLines="50"/>
      <w:ind w:firstLine="480"/>
    </w:pPr>
    <w:rPr>
      <w:sz w:val="24"/>
    </w:rPr>
  </w:style>
  <w:style w:type="paragraph" w:customStyle="1" w:styleId="27">
    <w:name w:val="正文缩进1"/>
    <w:basedOn w:val="1"/>
    <w:qFormat/>
    <w:uiPriority w:val="0"/>
    <w:pPr>
      <w:ind w:firstLine="42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Table Paragraph"/>
    <w:basedOn w:val="1"/>
    <w:qFormat/>
    <w:uiPriority w:val="1"/>
    <w:rPr>
      <w:rFonts w:ascii="宋体" w:hAnsi="宋体" w:eastAsia="宋体" w:cs="宋体"/>
      <w:lang w:val="zh-CN" w:eastAsia="zh-CN" w:bidi="zh-CN"/>
    </w:rPr>
  </w:style>
  <w:style w:type="paragraph" w:customStyle="1" w:styleId="30">
    <w:name w:val="p0"/>
    <w:basedOn w:val="1"/>
    <w:qFormat/>
    <w:uiPriority w:val="0"/>
    <w:pPr>
      <w:widowControl/>
    </w:pPr>
    <w:rPr>
      <w:kern w:val="0"/>
      <w:szCs w:val="21"/>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customStyle="1" w:styleId="32">
    <w:name w:val="Char1"/>
    <w:basedOn w:val="1"/>
    <w:qFormat/>
    <w:uiPriority w:val="0"/>
    <w:rPr>
      <w:szCs w:val="21"/>
    </w:rPr>
  </w:style>
  <w:style w:type="paragraph" w:styleId="33">
    <w:name w:val="List Paragraph"/>
    <w:basedOn w:val="1"/>
    <w:qFormat/>
    <w:uiPriority w:val="34"/>
    <w:pPr>
      <w:ind w:firstLine="420" w:firstLineChars="200"/>
    </w:pPr>
  </w:style>
  <w:style w:type="paragraph" w:customStyle="1" w:styleId="34">
    <w:name w:val="Other|1"/>
    <w:basedOn w:val="1"/>
    <w:qFormat/>
    <w:uiPriority w:val="0"/>
    <w:rPr>
      <w:rFonts w:ascii="宋体" w:hAnsi="宋体" w:eastAsia="宋体" w:cs="宋体"/>
      <w:sz w:val="17"/>
      <w:szCs w:val="17"/>
      <w:lang w:val="zh-CN" w:eastAsia="zh-CN" w:bidi="zh-CN"/>
    </w:rPr>
  </w:style>
  <w:style w:type="paragraph" w:customStyle="1" w:styleId="35">
    <w:name w:val="Body text|1"/>
    <w:basedOn w:val="1"/>
    <w:qFormat/>
    <w:uiPriority w:val="0"/>
    <w:rPr>
      <w:rFonts w:ascii="宋体" w:hAnsi="宋体" w:eastAsia="宋体" w:cs="宋体"/>
      <w:sz w:val="19"/>
      <w:szCs w:val="19"/>
      <w:lang w:val="zh-CN" w:eastAsia="zh-CN" w:bidi="zh-CN"/>
    </w:rPr>
  </w:style>
  <w:style w:type="character" w:customStyle="1" w:styleId="36">
    <w:name w:val="font71"/>
    <w:basedOn w:val="23"/>
    <w:qFormat/>
    <w:uiPriority w:val="0"/>
    <w:rPr>
      <w:rFonts w:hint="eastAsia" w:ascii="宋体" w:hAnsi="宋体" w:eastAsia="宋体" w:cs="宋体"/>
      <w:color w:val="000000"/>
      <w:sz w:val="21"/>
      <w:szCs w:val="21"/>
      <w:u w:val="none"/>
    </w:rPr>
  </w:style>
  <w:style w:type="character" w:customStyle="1" w:styleId="37">
    <w:name w:val="font61"/>
    <w:basedOn w:val="23"/>
    <w:qFormat/>
    <w:uiPriority w:val="0"/>
    <w:rPr>
      <w:rFonts w:hint="default" w:ascii="Arial" w:hAnsi="Arial" w:cs="Arial"/>
      <w:color w:val="000000"/>
      <w:sz w:val="22"/>
      <w:szCs w:val="22"/>
      <w:u w:val="none"/>
    </w:rPr>
  </w:style>
  <w:style w:type="character" w:customStyle="1" w:styleId="38">
    <w:name w:val="font11"/>
    <w:basedOn w:val="23"/>
    <w:qFormat/>
    <w:uiPriority w:val="0"/>
    <w:rPr>
      <w:rFonts w:hint="eastAsia" w:ascii="宋体" w:hAnsi="宋体" w:eastAsia="宋体" w:cs="宋体"/>
      <w:color w:val="000000"/>
      <w:sz w:val="22"/>
      <w:szCs w:val="22"/>
      <w:u w:val="none"/>
    </w:rPr>
  </w:style>
  <w:style w:type="paragraph" w:customStyle="1" w:styleId="39">
    <w:name w:val="Default"/>
    <w:qFormat/>
    <w:uiPriority w:val="0"/>
    <w:pPr>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40">
    <w:name w:val="UP正文"/>
    <w:basedOn w:val="1"/>
    <w:qFormat/>
    <w:uiPriority w:val="0"/>
    <w:pPr>
      <w:spacing w:line="360" w:lineRule="auto"/>
      <w:ind w:left="420" w:leftChars="200" w:firstLine="420" w:firstLineChars="200"/>
    </w:pPr>
    <w:rPr>
      <w:rFonts w:ascii="Tahoma" w:hAnsi="Calibri"/>
      <w:szCs w:val="20"/>
    </w:rPr>
  </w:style>
  <w:style w:type="character" w:customStyle="1" w:styleId="41">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2">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43">
    <w:name w:val="font51"/>
    <w:basedOn w:val="23"/>
    <w:qFormat/>
    <w:uiPriority w:val="0"/>
    <w:rPr>
      <w:rFonts w:hint="eastAsia" w:ascii="宋体" w:hAnsi="宋体" w:eastAsia="宋体" w:cs="宋体"/>
      <w:color w:val="000000"/>
      <w:sz w:val="20"/>
      <w:szCs w:val="20"/>
      <w:u w:val="none"/>
    </w:rPr>
  </w:style>
  <w:style w:type="character" w:customStyle="1" w:styleId="44">
    <w:name w:val="font41"/>
    <w:basedOn w:val="23"/>
    <w:qFormat/>
    <w:uiPriority w:val="0"/>
    <w:rPr>
      <w:rFonts w:hint="eastAsia" w:ascii="宋体" w:hAnsi="宋体" w:eastAsia="宋体" w:cs="宋体"/>
      <w:color w:val="000000"/>
      <w:sz w:val="20"/>
      <w:szCs w:val="20"/>
      <w:u w:val="none"/>
    </w:rPr>
  </w:style>
  <w:style w:type="paragraph" w:customStyle="1" w:styleId="45">
    <w:name w:val="列出段落1"/>
    <w:basedOn w:val="1"/>
    <w:qFormat/>
    <w:uiPriority w:val="34"/>
    <w:pPr>
      <w:ind w:firstLine="420" w:firstLineChars="200"/>
    </w:pPr>
    <w:rPr>
      <w:rFonts w:ascii="Calibri" w:hAnsi="Calibri"/>
      <w:szCs w:val="21"/>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标题 3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51359</Words>
  <Characters>54531</Characters>
  <Lines>0</Lines>
  <Paragraphs>0</Paragraphs>
  <TotalTime>28</TotalTime>
  <ScaleCrop>false</ScaleCrop>
  <LinksUpToDate>false</LinksUpToDate>
  <CharactersWithSpaces>58069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2020-12-22T10:25:00Z</dcterms:created>
  <dc:creator>吴涛</dc:creator>
  <cp:lastModifiedBy>李小na</cp:lastModifiedBy>
  <cp:lastPrinted>2021-12-02T05:18:00Z</cp:lastPrinted>
  <dcterms:modified xsi:type="dcterms:W3CDTF">2023-08-02T08:35:12Z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0274C9E4F0AA4FB2B97DE6DE712E5834_13</vt:lpwstr>
  </property>
</Properties>
</file>