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b/>
          <w:bCs/>
          <w:color w:val="auto"/>
          <w:sz w:val="52"/>
          <w:szCs w:val="52"/>
          <w:lang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b/>
          <w:bCs/>
          <w:color w:val="auto"/>
          <w:sz w:val="52"/>
          <w:szCs w:val="52"/>
          <w:lang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仿宋" w:hAnsi="仿宋" w:eastAsia="仿宋" w:cs="仿宋"/>
          <w:b/>
          <w:bCs/>
          <w:color w:val="auto"/>
          <w:sz w:val="56"/>
          <w:szCs w:val="56"/>
          <w:lang w:val="en-US" w:eastAsia="zh-CN"/>
        </w:rPr>
      </w:pPr>
      <w:r>
        <w:rPr>
          <w:rFonts w:hint="eastAsia" w:ascii="仿宋" w:hAnsi="仿宋" w:eastAsia="仿宋" w:cs="仿宋"/>
          <w:b/>
          <w:bCs/>
          <w:color w:val="auto"/>
          <w:sz w:val="56"/>
          <w:szCs w:val="56"/>
          <w:lang w:val="en-US" w:eastAsia="zh-CN"/>
        </w:rPr>
        <w:t xml:space="preserve">   呼图壁县第三中学教学设备及生活设施设备采购(第一标段)</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仿宋" w:hAnsi="仿宋" w:eastAsia="仿宋" w:cs="仿宋"/>
          <w:b/>
          <w:color w:val="auto"/>
          <w:kern w:val="0"/>
          <w:sz w:val="32"/>
          <w:szCs w:val="32"/>
          <w:lang w:val="en-US"/>
        </w:rPr>
      </w:pPr>
      <w:r>
        <w:rPr>
          <w:rFonts w:hint="eastAsia" w:ascii="仿宋" w:hAnsi="仿宋" w:eastAsia="仿宋" w:cs="仿宋"/>
          <w:b/>
          <w:bCs/>
          <w:color w:val="auto"/>
          <w:sz w:val="32"/>
          <w:szCs w:val="32"/>
          <w:lang w:eastAsia="zh-CN"/>
        </w:rPr>
        <w:t>项目编号：</w:t>
      </w:r>
      <w:r>
        <w:rPr>
          <w:rFonts w:hint="eastAsia" w:ascii="仿宋" w:hAnsi="仿宋" w:eastAsia="仿宋"/>
          <w:b/>
          <w:color w:val="auto"/>
          <w:sz w:val="28"/>
          <w:szCs w:val="22"/>
          <w:lang w:eastAsia="zh-CN"/>
        </w:rPr>
        <w:t>CSFLZB-2023-156-HW</w:t>
      </w:r>
    </w:p>
    <w:p>
      <w:pPr>
        <w:pStyle w:val="33"/>
        <w:rPr>
          <w:rFonts w:hint="eastAsia" w:ascii="仿宋" w:hAnsi="仿宋" w:eastAsia="仿宋" w:cs="仿宋"/>
          <w:color w:val="auto"/>
        </w:rPr>
      </w:pPr>
    </w:p>
    <w:p>
      <w:pPr>
        <w:pStyle w:val="33"/>
        <w:rPr>
          <w:rFonts w:hint="eastAsia" w:ascii="仿宋" w:hAnsi="仿宋" w:eastAsia="仿宋" w:cs="仿宋"/>
          <w:color w:val="auto"/>
        </w:rPr>
      </w:pPr>
    </w:p>
    <w:p>
      <w:pPr>
        <w:pStyle w:val="33"/>
        <w:rPr>
          <w:rFonts w:hint="eastAsia" w:ascii="仿宋" w:hAnsi="仿宋" w:eastAsia="仿宋" w:cs="仿宋"/>
          <w:color w:val="auto"/>
        </w:rPr>
      </w:pPr>
    </w:p>
    <w:p>
      <w:pPr>
        <w:pStyle w:val="33"/>
        <w:jc w:val="center"/>
        <w:rPr>
          <w:rFonts w:hint="eastAsia" w:ascii="仿宋" w:hAnsi="仿宋" w:eastAsia="仿宋" w:cs="仿宋"/>
          <w:color w:val="auto"/>
          <w:lang w:eastAsia="zh-CN"/>
        </w:rPr>
      </w:pPr>
    </w:p>
    <w:p>
      <w:pPr>
        <w:pStyle w:val="33"/>
        <w:jc w:val="center"/>
        <w:rPr>
          <w:rFonts w:hint="default" w:ascii="仿宋" w:hAnsi="仿宋" w:eastAsia="仿宋" w:cs="仿宋"/>
          <w:b/>
          <w:bCs/>
          <w:color w:val="auto"/>
          <w:sz w:val="72"/>
          <w:szCs w:val="72"/>
          <w:lang w:val="en-US" w:eastAsia="zh-CN"/>
        </w:rPr>
      </w:pPr>
      <w:r>
        <w:rPr>
          <w:rFonts w:hint="eastAsia" w:ascii="仿宋" w:hAnsi="仿宋" w:eastAsia="仿宋" w:cs="仿宋"/>
          <w:b/>
          <w:bCs/>
          <w:color w:val="auto"/>
          <w:sz w:val="72"/>
          <w:szCs w:val="72"/>
          <w:lang w:val="en-US" w:eastAsia="zh-CN"/>
        </w:rPr>
        <w:t>招标文件</w:t>
      </w:r>
    </w:p>
    <w:p>
      <w:pPr>
        <w:pStyle w:val="33"/>
        <w:rPr>
          <w:rFonts w:hint="eastAsia" w:ascii="仿宋" w:hAnsi="仿宋" w:eastAsia="仿宋" w:cs="仿宋"/>
          <w:color w:val="auto"/>
        </w:rPr>
      </w:pPr>
    </w:p>
    <w:p>
      <w:pPr>
        <w:pStyle w:val="33"/>
        <w:rPr>
          <w:rFonts w:hint="eastAsia" w:ascii="仿宋" w:hAnsi="仿宋" w:eastAsia="仿宋" w:cs="仿宋"/>
          <w:color w:val="auto"/>
        </w:rPr>
      </w:pPr>
    </w:p>
    <w:p>
      <w:pPr>
        <w:pStyle w:val="33"/>
        <w:rPr>
          <w:rFonts w:hint="eastAsia" w:ascii="仿宋" w:hAnsi="仿宋" w:eastAsia="仿宋" w:cs="仿宋"/>
          <w:color w:val="auto"/>
        </w:rPr>
      </w:pPr>
    </w:p>
    <w:p>
      <w:pPr>
        <w:pStyle w:val="33"/>
        <w:rPr>
          <w:rFonts w:hint="eastAsia" w:ascii="仿宋" w:hAnsi="仿宋" w:eastAsia="仿宋" w:cs="仿宋"/>
          <w:color w:val="auto"/>
        </w:rPr>
      </w:pPr>
    </w:p>
    <w:p>
      <w:pPr>
        <w:pStyle w:val="33"/>
        <w:rPr>
          <w:rFonts w:hint="eastAsia" w:ascii="仿宋" w:hAnsi="仿宋" w:eastAsia="仿宋" w:cs="仿宋"/>
          <w:color w:val="auto"/>
        </w:rPr>
      </w:pPr>
    </w:p>
    <w:p>
      <w:pPr>
        <w:pStyle w:val="33"/>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采购单位：</w:t>
      </w:r>
      <w:r>
        <w:rPr>
          <w:rFonts w:hint="eastAsia" w:ascii="仿宋" w:hAnsi="仿宋" w:eastAsia="仿宋" w:cs="仿宋"/>
          <w:color w:val="auto"/>
          <w:sz w:val="32"/>
          <w:szCs w:val="32"/>
          <w:lang w:eastAsia="zh-CN"/>
        </w:rPr>
        <w:t>呼图壁县第三中学</w:t>
      </w: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 系 人：周先生</w:t>
      </w: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联系电话：15559314203</w:t>
      </w: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sz w:val="32"/>
          <w:szCs w:val="32"/>
        </w:rPr>
        <w:t>代理机构：</w:t>
      </w:r>
      <w:r>
        <w:rPr>
          <w:rFonts w:hint="eastAsia" w:ascii="仿宋" w:hAnsi="仿宋" w:eastAsia="仿宋" w:cs="仿宋"/>
          <w:color w:val="auto"/>
          <w:sz w:val="32"/>
          <w:szCs w:val="32"/>
          <w:lang w:val="en-US" w:eastAsia="zh-CN"/>
        </w:rPr>
        <w:t>新疆昌盛方略项目管理有限公司</w:t>
      </w: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w:t>
      </w:r>
      <w:r>
        <w:rPr>
          <w:rFonts w:hint="eastAsia" w:ascii="仿宋" w:hAnsi="仿宋" w:eastAsia="仿宋" w:cs="仿宋"/>
          <w:color w:val="auto"/>
          <w:sz w:val="32"/>
          <w:szCs w:val="32"/>
        </w:rPr>
        <w:t xml:space="preserve"> 系 人：</w:t>
      </w:r>
      <w:r>
        <w:rPr>
          <w:rFonts w:hint="eastAsia" w:ascii="仿宋" w:hAnsi="仿宋" w:eastAsia="仿宋" w:cs="仿宋"/>
          <w:color w:val="auto"/>
          <w:sz w:val="32"/>
          <w:szCs w:val="32"/>
          <w:lang w:val="en-US" w:eastAsia="zh-CN"/>
        </w:rPr>
        <w:t>努女士、冯女士</w:t>
      </w: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联系电话:</w:t>
      </w:r>
      <w:r>
        <w:rPr>
          <w:rFonts w:hint="eastAsia" w:ascii="仿宋" w:hAnsi="仿宋" w:eastAsia="仿宋" w:cs="仿宋"/>
          <w:color w:val="auto"/>
          <w:kern w:val="0"/>
          <w:sz w:val="28"/>
          <w:szCs w:val="28"/>
          <w:lang w:val="en-US" w:eastAsia="zh-CN" w:bidi="ar-SA"/>
        </w:rPr>
        <w:t>18699479057、15886906116　</w:t>
      </w:r>
    </w:p>
    <w:p>
      <w:pPr>
        <w:pStyle w:val="5"/>
        <w:jc w:val="center"/>
        <w:rPr>
          <w:rFonts w:hint="eastAsia" w:ascii="仿宋" w:hAnsi="仿宋" w:eastAsia="仿宋" w:cs="仿宋"/>
          <w:color w:val="auto"/>
        </w:rPr>
      </w:pPr>
      <w:r>
        <w:rPr>
          <w:rFonts w:hint="eastAsia" w:ascii="仿宋" w:hAnsi="仿宋" w:eastAsia="仿宋" w:cs="仿宋"/>
          <w:color w:val="auto"/>
        </w:rPr>
        <w:t>日  期：20</w:t>
      </w:r>
      <w:r>
        <w:rPr>
          <w:rFonts w:hint="eastAsia" w:ascii="仿宋" w:hAnsi="仿宋" w:eastAsia="仿宋" w:cs="仿宋"/>
          <w:color w:val="auto"/>
          <w:lang w:val="en-US" w:eastAsia="zh-CN"/>
        </w:rPr>
        <w:t>23</w:t>
      </w:r>
      <w:r>
        <w:rPr>
          <w:rFonts w:hint="eastAsia" w:ascii="仿宋" w:hAnsi="仿宋" w:eastAsia="仿宋" w:cs="仿宋"/>
          <w:color w:val="auto"/>
        </w:rPr>
        <w:t>年</w:t>
      </w:r>
      <w:r>
        <w:rPr>
          <w:rFonts w:hint="eastAsia" w:ascii="仿宋" w:hAnsi="仿宋" w:eastAsia="仿宋" w:cs="仿宋"/>
          <w:color w:val="auto"/>
          <w:lang w:val="en-US" w:eastAsia="zh-CN"/>
        </w:rPr>
        <w:t>8</w:t>
      </w:r>
      <w:r>
        <w:rPr>
          <w:rFonts w:hint="eastAsia" w:ascii="仿宋" w:hAnsi="仿宋" w:eastAsia="仿宋" w:cs="仿宋"/>
          <w:color w:val="auto"/>
        </w:rPr>
        <w:t>月</w:t>
      </w:r>
    </w:p>
    <w:p>
      <w:pPr>
        <w:jc w:val="center"/>
        <w:rPr>
          <w:rFonts w:hint="eastAsia" w:ascii="仿宋" w:hAnsi="仿宋" w:eastAsia="仿宋" w:cs="仿宋"/>
          <w:b/>
          <w:color w:val="auto"/>
          <w:sz w:val="36"/>
          <w:szCs w:val="36"/>
        </w:rPr>
      </w:pPr>
    </w:p>
    <w:p>
      <w:pPr>
        <w:jc w:val="center"/>
        <w:rPr>
          <w:rFonts w:hint="eastAsia" w:ascii="仿宋" w:hAnsi="仿宋" w:eastAsia="仿宋" w:cs="仿宋"/>
          <w:b/>
          <w:color w:val="auto"/>
          <w:sz w:val="36"/>
          <w:szCs w:val="36"/>
        </w:rPr>
        <w:sectPr>
          <w:footerReference r:id="rId5" w:type="default"/>
          <w:pgSz w:w="11906" w:h="16838"/>
          <w:pgMar w:top="1440" w:right="1080" w:bottom="1440" w:left="1080" w:header="851" w:footer="992" w:gutter="0"/>
          <w:pgNumType w:fmt="decimal" w:start="1"/>
          <w:cols w:space="720" w:num="1"/>
          <w:docGrid w:type="linesAndChars" w:linePitch="312" w:charSpace="0"/>
        </w:sectPr>
      </w:pPr>
    </w:p>
    <w:p>
      <w:pPr>
        <w:rPr>
          <w:rFonts w:hint="eastAsia" w:ascii="仿宋" w:hAnsi="仿宋" w:eastAsia="仿宋" w:cs="仿宋"/>
          <w:color w:val="auto"/>
          <w:lang w:val="zh-CN"/>
        </w:rPr>
      </w:pPr>
    </w:p>
    <w:p>
      <w:pPr>
        <w:pStyle w:val="30"/>
        <w:spacing w:before="0" w:line="360" w:lineRule="auto"/>
        <w:jc w:val="center"/>
        <w:rPr>
          <w:rFonts w:ascii="仿宋" w:hAnsi="仿宋" w:eastAsia="仿宋" w:cs="仿宋"/>
          <w:color w:val="auto"/>
          <w:sz w:val="30"/>
          <w:szCs w:val="30"/>
        </w:rPr>
      </w:pPr>
      <w:r>
        <w:rPr>
          <w:rFonts w:hint="eastAsia" w:ascii="仿宋" w:hAnsi="仿宋" w:eastAsia="仿宋" w:cs="仿宋"/>
          <w:color w:val="auto"/>
          <w:sz w:val="44"/>
          <w:szCs w:val="44"/>
          <w:lang w:val="zh-CN"/>
        </w:rPr>
        <w:t>目    录</w:t>
      </w:r>
    </w:p>
    <w:p>
      <w:pPr>
        <w:widowControl/>
        <w:rPr>
          <w:rFonts w:ascii="仿宋" w:hAnsi="仿宋" w:eastAsia="仿宋" w:cs="仿宋"/>
          <w:color w:val="auto"/>
          <w:sz w:val="30"/>
          <w:szCs w:val="30"/>
        </w:rPr>
      </w:pPr>
    </w:p>
    <w:p>
      <w:pPr>
        <w:pStyle w:val="17"/>
        <w:tabs>
          <w:tab w:val="right" w:leader="dot" w:pos="9746"/>
        </w:tabs>
        <w:spacing w:line="360" w:lineRule="auto"/>
      </w:pPr>
      <w:r>
        <w:rPr>
          <w:rFonts w:ascii="仿宋" w:hAnsi="仿宋" w:eastAsia="仿宋" w:cs="仿宋"/>
          <w:color w:val="auto"/>
          <w:lang w:eastAsia="zh-CN"/>
        </w:rPr>
        <w:fldChar w:fldCharType="begin"/>
      </w:r>
      <w:r>
        <w:rPr>
          <w:rFonts w:ascii="仿宋" w:hAnsi="仿宋" w:eastAsia="仿宋" w:cs="仿宋"/>
          <w:color w:val="auto"/>
          <w:lang w:eastAsia="zh-CN"/>
        </w:rPr>
        <w:instrText xml:space="preserve">TOC \o "1-1" \h \u </w:instrText>
      </w:r>
      <w:r>
        <w:rPr>
          <w:rFonts w:ascii="仿宋" w:hAnsi="仿宋" w:eastAsia="仿宋" w:cs="仿宋"/>
          <w:color w:val="auto"/>
          <w:lang w:eastAsia="zh-CN"/>
        </w:rPr>
        <w:fldChar w:fldCharType="separate"/>
      </w:r>
      <w:r>
        <w:rPr>
          <w:rFonts w:ascii="仿宋" w:hAnsi="仿宋" w:eastAsia="仿宋" w:cs="仿宋"/>
          <w:color w:val="auto"/>
          <w:lang w:eastAsia="zh-CN"/>
        </w:rPr>
        <w:fldChar w:fldCharType="begin"/>
      </w:r>
      <w:r>
        <w:rPr>
          <w:rFonts w:ascii="仿宋" w:hAnsi="仿宋" w:eastAsia="仿宋" w:cs="仿宋"/>
          <w:lang w:eastAsia="zh-CN"/>
        </w:rPr>
        <w:instrText xml:space="preserve"> HYPERLINK \l _Toc18162 </w:instrText>
      </w:r>
      <w:r>
        <w:rPr>
          <w:rFonts w:ascii="仿宋" w:hAnsi="仿宋" w:eastAsia="仿宋" w:cs="仿宋"/>
          <w:lang w:eastAsia="zh-CN"/>
        </w:rPr>
        <w:fldChar w:fldCharType="separate"/>
      </w:r>
      <w:r>
        <w:rPr>
          <w:rFonts w:hint="eastAsia"/>
        </w:rPr>
        <w:t>第一</w:t>
      </w:r>
      <w:r>
        <w:rPr>
          <w:rFonts w:hint="eastAsia"/>
          <w:lang w:eastAsia="zh-CN"/>
        </w:rPr>
        <w:t>章</w:t>
      </w:r>
      <w:r>
        <w:rPr>
          <w:rFonts w:hint="eastAsia"/>
          <w:lang w:val="en-US" w:eastAsia="zh-CN"/>
        </w:rPr>
        <w:t xml:space="preserve">  </w:t>
      </w:r>
      <w:r>
        <w:rPr>
          <w:rFonts w:hint="eastAsia"/>
          <w:lang w:eastAsia="zh-CN"/>
        </w:rPr>
        <w:t>招标公告</w:t>
      </w:r>
      <w:r>
        <w:tab/>
      </w:r>
      <w:r>
        <w:fldChar w:fldCharType="begin"/>
      </w:r>
      <w:r>
        <w:instrText xml:space="preserve"> PAGEREF _Toc18162 \h </w:instrText>
      </w:r>
      <w:r>
        <w:fldChar w:fldCharType="separate"/>
      </w:r>
      <w:r>
        <w:t>1</w:t>
      </w:r>
      <w:r>
        <w:fldChar w:fldCharType="end"/>
      </w:r>
      <w:r>
        <w:rPr>
          <w:rFonts w:ascii="仿宋" w:hAnsi="仿宋" w:eastAsia="仿宋" w:cs="仿宋"/>
          <w:color w:val="auto"/>
          <w:lang w:eastAsia="zh-CN"/>
        </w:rPr>
        <w:fldChar w:fldCharType="end"/>
      </w:r>
    </w:p>
    <w:p>
      <w:pPr>
        <w:pStyle w:val="17"/>
        <w:tabs>
          <w:tab w:val="right" w:leader="dot" w:pos="9746"/>
        </w:tabs>
        <w:spacing w:line="360" w:lineRule="auto"/>
      </w:pPr>
      <w:r>
        <w:rPr>
          <w:rFonts w:ascii="仿宋" w:hAnsi="仿宋" w:eastAsia="仿宋" w:cs="仿宋"/>
          <w:color w:val="auto"/>
          <w:lang w:eastAsia="zh-CN"/>
        </w:rPr>
        <w:fldChar w:fldCharType="begin"/>
      </w:r>
      <w:r>
        <w:rPr>
          <w:rFonts w:ascii="仿宋" w:hAnsi="仿宋" w:eastAsia="仿宋" w:cs="仿宋"/>
          <w:lang w:eastAsia="zh-CN"/>
        </w:rPr>
        <w:instrText xml:space="preserve"> HYPERLINK \l _Toc30394 </w:instrText>
      </w:r>
      <w:r>
        <w:rPr>
          <w:rFonts w:ascii="仿宋" w:hAnsi="仿宋" w:eastAsia="仿宋" w:cs="仿宋"/>
          <w:lang w:eastAsia="zh-CN"/>
        </w:rPr>
        <w:fldChar w:fldCharType="separate"/>
      </w:r>
      <w:r>
        <w:rPr>
          <w:rFonts w:hint="eastAsia"/>
        </w:rPr>
        <w:t>第二</w:t>
      </w:r>
      <w:r>
        <w:rPr>
          <w:rFonts w:hint="eastAsia"/>
          <w:lang w:eastAsia="zh-CN"/>
        </w:rPr>
        <w:t>章</w:t>
      </w:r>
      <w:r>
        <w:rPr>
          <w:rFonts w:hint="eastAsia"/>
          <w:lang w:val="en-US" w:eastAsia="zh-CN"/>
        </w:rPr>
        <w:t xml:space="preserve">  </w:t>
      </w:r>
      <w:r>
        <w:rPr>
          <w:rFonts w:hint="eastAsia"/>
        </w:rPr>
        <w:t>供应商须知</w:t>
      </w:r>
      <w:r>
        <w:tab/>
      </w:r>
      <w:r>
        <w:fldChar w:fldCharType="begin"/>
      </w:r>
      <w:r>
        <w:instrText xml:space="preserve"> PAGEREF _Toc30394 \h </w:instrText>
      </w:r>
      <w:r>
        <w:fldChar w:fldCharType="separate"/>
      </w:r>
      <w:r>
        <w:t>4</w:t>
      </w:r>
      <w:r>
        <w:fldChar w:fldCharType="end"/>
      </w:r>
      <w:r>
        <w:rPr>
          <w:rFonts w:ascii="仿宋" w:hAnsi="仿宋" w:eastAsia="仿宋" w:cs="仿宋"/>
          <w:color w:val="auto"/>
          <w:lang w:eastAsia="zh-CN"/>
        </w:rPr>
        <w:fldChar w:fldCharType="end"/>
      </w:r>
    </w:p>
    <w:p>
      <w:pPr>
        <w:pStyle w:val="17"/>
        <w:tabs>
          <w:tab w:val="right" w:leader="dot" w:pos="9746"/>
        </w:tabs>
        <w:spacing w:line="360" w:lineRule="auto"/>
      </w:pPr>
      <w:r>
        <w:rPr>
          <w:rFonts w:ascii="仿宋" w:hAnsi="仿宋" w:eastAsia="仿宋" w:cs="仿宋"/>
          <w:color w:val="auto"/>
          <w:lang w:eastAsia="zh-CN"/>
        </w:rPr>
        <w:fldChar w:fldCharType="begin"/>
      </w:r>
      <w:r>
        <w:rPr>
          <w:rFonts w:ascii="仿宋" w:hAnsi="仿宋" w:eastAsia="仿宋" w:cs="仿宋"/>
          <w:lang w:eastAsia="zh-CN"/>
        </w:rPr>
        <w:instrText xml:space="preserve"> HYPERLINK \l _Toc2060 </w:instrText>
      </w:r>
      <w:r>
        <w:rPr>
          <w:rFonts w:ascii="仿宋" w:hAnsi="仿宋" w:eastAsia="仿宋" w:cs="仿宋"/>
          <w:lang w:eastAsia="zh-CN"/>
        </w:rPr>
        <w:fldChar w:fldCharType="separate"/>
      </w:r>
      <w:r>
        <w:rPr>
          <w:rFonts w:hint="eastAsia"/>
        </w:rPr>
        <w:t>第三</w:t>
      </w:r>
      <w:r>
        <w:rPr>
          <w:rFonts w:hint="eastAsia"/>
          <w:lang w:eastAsia="zh-CN"/>
        </w:rPr>
        <w:t>章</w:t>
      </w:r>
      <w:r>
        <w:rPr>
          <w:rFonts w:hint="eastAsia"/>
        </w:rPr>
        <w:t xml:space="preserve">  评标办法</w:t>
      </w:r>
      <w:r>
        <w:tab/>
      </w:r>
      <w:r>
        <w:fldChar w:fldCharType="begin"/>
      </w:r>
      <w:r>
        <w:instrText xml:space="preserve"> PAGEREF _Toc2060 \h </w:instrText>
      </w:r>
      <w:r>
        <w:fldChar w:fldCharType="separate"/>
      </w:r>
      <w:r>
        <w:t>32</w:t>
      </w:r>
      <w:r>
        <w:fldChar w:fldCharType="end"/>
      </w:r>
      <w:r>
        <w:rPr>
          <w:rFonts w:ascii="仿宋" w:hAnsi="仿宋" w:eastAsia="仿宋" w:cs="仿宋"/>
          <w:color w:val="auto"/>
          <w:lang w:eastAsia="zh-CN"/>
        </w:rPr>
        <w:fldChar w:fldCharType="end"/>
      </w:r>
    </w:p>
    <w:p>
      <w:pPr>
        <w:pStyle w:val="17"/>
        <w:tabs>
          <w:tab w:val="right" w:leader="dot" w:pos="9746"/>
        </w:tabs>
        <w:spacing w:line="360" w:lineRule="auto"/>
      </w:pPr>
      <w:r>
        <w:rPr>
          <w:rFonts w:ascii="仿宋" w:hAnsi="仿宋" w:eastAsia="仿宋" w:cs="仿宋"/>
          <w:color w:val="auto"/>
          <w:lang w:eastAsia="zh-CN"/>
        </w:rPr>
        <w:fldChar w:fldCharType="begin"/>
      </w:r>
      <w:r>
        <w:rPr>
          <w:rFonts w:ascii="仿宋" w:hAnsi="仿宋" w:eastAsia="仿宋" w:cs="仿宋"/>
          <w:lang w:eastAsia="zh-CN"/>
        </w:rPr>
        <w:instrText xml:space="preserve"> HYPERLINK \l _Toc7366 </w:instrText>
      </w:r>
      <w:r>
        <w:rPr>
          <w:rFonts w:ascii="仿宋" w:hAnsi="仿宋" w:eastAsia="仿宋" w:cs="仿宋"/>
          <w:lang w:eastAsia="zh-CN"/>
        </w:rPr>
        <w:fldChar w:fldCharType="separate"/>
      </w:r>
      <w:r>
        <w:rPr>
          <w:rFonts w:hint="eastAsia"/>
          <w:lang w:eastAsia="zh-CN"/>
        </w:rPr>
        <w:t>第四章</w:t>
      </w:r>
      <w:r>
        <w:rPr>
          <w:rFonts w:hint="eastAsia"/>
          <w:lang w:val="en-US" w:eastAsia="zh-CN"/>
        </w:rPr>
        <w:t xml:space="preserve">  </w:t>
      </w:r>
      <w:r>
        <w:rPr>
          <w:rFonts w:hint="eastAsia"/>
          <w:color w:val="auto"/>
          <w:lang w:val="en-US" w:eastAsia="zh-CN"/>
        </w:rPr>
        <w:t>采购货物清单</w:t>
      </w:r>
      <w:r>
        <w:tab/>
      </w:r>
      <w:r>
        <w:fldChar w:fldCharType="begin"/>
      </w:r>
      <w:r>
        <w:instrText xml:space="preserve"> PAGEREF _Toc7366 \h </w:instrText>
      </w:r>
      <w:r>
        <w:fldChar w:fldCharType="separate"/>
      </w:r>
      <w:r>
        <w:t>12</w:t>
      </w:r>
      <w:r>
        <w:fldChar w:fldCharType="end"/>
      </w:r>
      <w:r>
        <w:rPr>
          <w:rFonts w:ascii="仿宋" w:hAnsi="仿宋" w:eastAsia="仿宋" w:cs="仿宋"/>
          <w:color w:val="auto"/>
          <w:lang w:eastAsia="zh-CN"/>
        </w:rPr>
        <w:fldChar w:fldCharType="end"/>
      </w:r>
    </w:p>
    <w:p>
      <w:pPr>
        <w:pStyle w:val="17"/>
        <w:tabs>
          <w:tab w:val="right" w:leader="dot" w:pos="9746"/>
        </w:tabs>
        <w:spacing w:line="360" w:lineRule="auto"/>
      </w:pPr>
      <w:r>
        <w:rPr>
          <w:rFonts w:ascii="仿宋" w:hAnsi="仿宋" w:eastAsia="仿宋" w:cs="仿宋"/>
          <w:color w:val="auto"/>
          <w:lang w:eastAsia="zh-CN"/>
        </w:rPr>
        <w:fldChar w:fldCharType="begin"/>
      </w:r>
      <w:r>
        <w:rPr>
          <w:rFonts w:ascii="仿宋" w:hAnsi="仿宋" w:eastAsia="仿宋" w:cs="仿宋"/>
          <w:lang w:eastAsia="zh-CN"/>
        </w:rPr>
        <w:instrText xml:space="preserve"> HYPERLINK \l _Toc17529 </w:instrText>
      </w:r>
      <w:r>
        <w:rPr>
          <w:rFonts w:ascii="仿宋" w:hAnsi="仿宋" w:eastAsia="仿宋" w:cs="仿宋"/>
          <w:lang w:eastAsia="zh-CN"/>
        </w:rPr>
        <w:fldChar w:fldCharType="separate"/>
      </w:r>
      <w:r>
        <w:rPr>
          <w:rFonts w:hint="eastAsia"/>
          <w:lang w:eastAsia="zh-CN"/>
        </w:rPr>
        <w:t>第五章</w:t>
      </w:r>
      <w:r>
        <w:rPr>
          <w:rFonts w:hint="eastAsia"/>
          <w:lang w:val="en-US" w:eastAsia="zh-CN"/>
        </w:rPr>
        <w:t xml:space="preserve">  合同条款及格式</w:t>
      </w:r>
      <w:r>
        <w:tab/>
      </w:r>
      <w:r>
        <w:fldChar w:fldCharType="begin"/>
      </w:r>
      <w:r>
        <w:instrText xml:space="preserve"> PAGEREF _Toc17529 \h </w:instrText>
      </w:r>
      <w:r>
        <w:fldChar w:fldCharType="separate"/>
      </w:r>
      <w:r>
        <w:t>62</w:t>
      </w:r>
      <w:r>
        <w:fldChar w:fldCharType="end"/>
      </w:r>
      <w:r>
        <w:rPr>
          <w:rFonts w:ascii="仿宋" w:hAnsi="仿宋" w:eastAsia="仿宋" w:cs="仿宋"/>
          <w:color w:val="auto"/>
          <w:lang w:eastAsia="zh-CN"/>
        </w:rPr>
        <w:fldChar w:fldCharType="end"/>
      </w:r>
    </w:p>
    <w:p>
      <w:pPr>
        <w:pStyle w:val="17"/>
        <w:tabs>
          <w:tab w:val="right" w:leader="dot" w:pos="9746"/>
        </w:tabs>
        <w:spacing w:line="360" w:lineRule="auto"/>
      </w:pPr>
      <w:r>
        <w:rPr>
          <w:rFonts w:ascii="仿宋" w:hAnsi="仿宋" w:eastAsia="仿宋" w:cs="仿宋"/>
          <w:color w:val="auto"/>
          <w:lang w:eastAsia="zh-CN"/>
        </w:rPr>
        <w:fldChar w:fldCharType="begin"/>
      </w:r>
      <w:r>
        <w:rPr>
          <w:rFonts w:ascii="仿宋" w:hAnsi="仿宋" w:eastAsia="仿宋" w:cs="仿宋"/>
          <w:lang w:eastAsia="zh-CN"/>
        </w:rPr>
        <w:instrText xml:space="preserve"> HYPERLINK \l _Toc7146 </w:instrText>
      </w:r>
      <w:r>
        <w:rPr>
          <w:rFonts w:ascii="仿宋" w:hAnsi="仿宋" w:eastAsia="仿宋" w:cs="仿宋"/>
          <w:lang w:eastAsia="zh-CN"/>
        </w:rPr>
        <w:fldChar w:fldCharType="separate"/>
      </w:r>
      <w:r>
        <w:rPr>
          <w:rFonts w:hint="eastAsia"/>
        </w:rPr>
        <w:t>第</w:t>
      </w:r>
      <w:r>
        <w:rPr>
          <w:rFonts w:hint="eastAsia"/>
          <w:lang w:eastAsia="zh-CN"/>
        </w:rPr>
        <w:t>六章</w:t>
      </w:r>
      <w:r>
        <w:rPr>
          <w:rFonts w:hint="eastAsia"/>
          <w:lang w:val="en-US" w:eastAsia="zh-CN"/>
        </w:rPr>
        <w:t xml:space="preserve">  </w:t>
      </w:r>
      <w:r>
        <w:rPr>
          <w:rFonts w:hint="eastAsia"/>
        </w:rPr>
        <w:t>投标文件格式</w:t>
      </w:r>
      <w:r>
        <w:tab/>
      </w:r>
      <w:r>
        <w:fldChar w:fldCharType="begin"/>
      </w:r>
      <w:r>
        <w:instrText xml:space="preserve"> PAGEREF _Toc7146 \h </w:instrText>
      </w:r>
      <w:r>
        <w:fldChar w:fldCharType="separate"/>
      </w:r>
      <w:r>
        <w:t>67</w:t>
      </w:r>
      <w:r>
        <w:fldChar w:fldCharType="end"/>
      </w:r>
      <w:r>
        <w:rPr>
          <w:rFonts w:ascii="仿宋" w:hAnsi="仿宋" w:eastAsia="仿宋" w:cs="仿宋"/>
          <w:color w:val="auto"/>
          <w:lang w:eastAsia="zh-CN"/>
        </w:rPr>
        <w:fldChar w:fldCharType="end"/>
      </w:r>
    </w:p>
    <w:p>
      <w:pPr>
        <w:pStyle w:val="11"/>
        <w:numPr>
          <w:ilvl w:val="0"/>
          <w:numId w:val="0"/>
        </w:numPr>
        <w:spacing w:line="360" w:lineRule="auto"/>
        <w:rPr>
          <w:rFonts w:ascii="仿宋" w:hAnsi="仿宋" w:eastAsia="仿宋" w:cs="仿宋"/>
          <w:color w:val="auto"/>
          <w:lang w:eastAsia="zh-CN"/>
        </w:rPr>
      </w:pPr>
      <w:r>
        <w:rPr>
          <w:rFonts w:ascii="仿宋" w:hAnsi="仿宋" w:eastAsia="仿宋" w:cs="仿宋"/>
          <w:color w:val="auto"/>
          <w:lang w:eastAsia="zh-CN"/>
        </w:rPr>
        <w:fldChar w:fldCharType="end"/>
      </w:r>
    </w:p>
    <w:p>
      <w:pPr>
        <w:spacing w:line="480" w:lineRule="auto"/>
        <w:rPr>
          <w:rFonts w:ascii="仿宋" w:hAnsi="仿宋" w:eastAsia="仿宋" w:cs="仿宋"/>
          <w:color w:val="auto"/>
          <w:lang w:eastAsia="zh-CN"/>
        </w:rPr>
      </w:pPr>
    </w:p>
    <w:p>
      <w:pPr>
        <w:rPr>
          <w:rFonts w:hint="eastAsia" w:ascii="仿宋" w:hAnsi="仿宋" w:eastAsia="仿宋" w:cs="仿宋"/>
          <w:color w:val="auto"/>
        </w:rPr>
      </w:pPr>
    </w:p>
    <w:p>
      <w:pPr>
        <w:pStyle w:val="5"/>
        <w:rPr>
          <w:rFonts w:hint="eastAsia" w:ascii="仿宋" w:hAnsi="仿宋" w:eastAsia="仿宋" w:cs="仿宋"/>
          <w:color w:val="auto"/>
        </w:rPr>
      </w:pPr>
    </w:p>
    <w:p>
      <w:pPr>
        <w:rPr>
          <w:rFonts w:hint="eastAsia" w:ascii="仿宋" w:hAnsi="仿宋" w:eastAsia="仿宋" w:cs="仿宋"/>
          <w:color w:val="auto"/>
        </w:rPr>
      </w:pPr>
    </w:p>
    <w:p>
      <w:pPr>
        <w:pStyle w:val="5"/>
        <w:rPr>
          <w:rFonts w:hint="eastAsia" w:ascii="仿宋" w:hAnsi="仿宋" w:eastAsia="仿宋" w:cs="仿宋"/>
          <w:color w:val="auto"/>
        </w:rPr>
      </w:pPr>
    </w:p>
    <w:p>
      <w:pPr>
        <w:rPr>
          <w:rFonts w:hint="eastAsia" w:ascii="仿宋" w:hAnsi="仿宋" w:eastAsia="仿宋" w:cs="仿宋"/>
          <w:color w:val="auto"/>
        </w:rPr>
      </w:pPr>
    </w:p>
    <w:p>
      <w:pPr>
        <w:pStyle w:val="5"/>
        <w:rPr>
          <w:rFonts w:hint="eastAsia" w:ascii="仿宋" w:hAnsi="仿宋" w:eastAsia="仿宋" w:cs="仿宋"/>
          <w:color w:val="auto"/>
        </w:rPr>
      </w:pPr>
    </w:p>
    <w:p>
      <w:pPr>
        <w:rPr>
          <w:rFonts w:hint="eastAsia" w:ascii="仿宋" w:hAnsi="仿宋" w:eastAsia="仿宋" w:cs="仿宋"/>
          <w:color w:val="auto"/>
        </w:rPr>
      </w:pPr>
    </w:p>
    <w:p>
      <w:pPr>
        <w:pStyle w:val="34"/>
        <w:keepNext/>
        <w:keepLines/>
        <w:widowControl w:val="0"/>
        <w:shd w:val="clear" w:color="auto" w:fill="auto"/>
        <w:bidi w:val="0"/>
        <w:spacing w:before="120" w:after="300" w:line="240" w:lineRule="auto"/>
        <w:ind w:left="0" w:right="0" w:firstLine="0"/>
        <w:jc w:val="center"/>
        <w:rPr>
          <w:rFonts w:hint="eastAsia" w:ascii="仿宋" w:hAnsi="仿宋" w:eastAsia="仿宋" w:cs="仿宋"/>
          <w:b/>
          <w:bCs/>
          <w:color w:val="auto"/>
          <w:spacing w:val="0"/>
          <w:w w:val="100"/>
          <w:position w:val="0"/>
          <w:sz w:val="36"/>
          <w:szCs w:val="36"/>
        </w:rPr>
        <w:sectPr>
          <w:footerReference r:id="rId6" w:type="default"/>
          <w:pgSz w:w="11906" w:h="16838"/>
          <w:pgMar w:top="1440" w:right="1080" w:bottom="1440" w:left="1080" w:header="851" w:footer="992" w:gutter="0"/>
          <w:pgNumType w:fmt="decimal"/>
          <w:cols w:space="720" w:num="1"/>
          <w:docGrid w:type="linesAndChars" w:linePitch="312" w:charSpace="0"/>
        </w:sectPr>
      </w:pPr>
    </w:p>
    <w:p>
      <w:pPr>
        <w:pStyle w:val="3"/>
        <w:bidi w:val="0"/>
        <w:rPr>
          <w:rFonts w:hint="eastAsia"/>
          <w:color w:val="auto"/>
          <w:lang w:eastAsia="zh-CN"/>
        </w:rPr>
      </w:pPr>
      <w:bookmarkStart w:id="0" w:name="_Toc18162"/>
      <w:r>
        <w:rPr>
          <w:rFonts w:hint="eastAsia"/>
          <w:color w:val="auto"/>
        </w:rPr>
        <w:t>第一</w:t>
      </w:r>
      <w:r>
        <w:rPr>
          <w:rFonts w:hint="eastAsia"/>
          <w:color w:val="auto"/>
          <w:lang w:eastAsia="zh-CN"/>
        </w:rPr>
        <w:t>章</w:t>
      </w:r>
      <w:r>
        <w:rPr>
          <w:rFonts w:hint="eastAsia"/>
          <w:color w:val="auto"/>
          <w:lang w:val="en-US" w:eastAsia="zh-CN"/>
        </w:rPr>
        <w:t xml:space="preserve">   </w:t>
      </w:r>
      <w:r>
        <w:rPr>
          <w:rFonts w:hint="eastAsia"/>
          <w:color w:val="auto"/>
          <w:lang w:eastAsia="zh-CN"/>
        </w:rPr>
        <w:t>招标公告</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rFonts w:hint="eastAsia" w:ascii="仿宋" w:hAnsi="仿宋" w:eastAsia="仿宋" w:cs="仿宋"/>
          <w:b/>
          <w:bCs/>
          <w:i w:val="0"/>
          <w:iCs w:val="0"/>
          <w:caps w:val="0"/>
          <w:color w:val="auto"/>
          <w:spacing w:val="0"/>
          <w:kern w:val="0"/>
          <w:sz w:val="32"/>
          <w:szCs w:val="32"/>
          <w:lang w:val="en-US" w:eastAsia="zh-CN" w:bidi="ar"/>
        </w:rPr>
      </w:pPr>
      <w:r>
        <w:rPr>
          <w:rFonts w:hint="eastAsia" w:ascii="仿宋" w:hAnsi="仿宋" w:eastAsia="仿宋" w:cs="仿宋"/>
          <w:b/>
          <w:bCs/>
          <w:i w:val="0"/>
          <w:iCs w:val="0"/>
          <w:caps w:val="0"/>
          <w:color w:val="auto"/>
          <w:spacing w:val="0"/>
          <w:kern w:val="0"/>
          <w:sz w:val="44"/>
          <w:szCs w:val="44"/>
          <w:lang w:val="en-US" w:eastAsia="zh-CN" w:bidi="ar"/>
        </w:rPr>
        <w:t xml:space="preserve">  </w:t>
      </w:r>
      <w:r>
        <w:rPr>
          <w:rFonts w:hint="eastAsia" w:ascii="仿宋" w:hAnsi="仿宋" w:eastAsia="仿宋" w:cs="仿宋"/>
          <w:b/>
          <w:bCs/>
          <w:i w:val="0"/>
          <w:iCs w:val="0"/>
          <w:caps w:val="0"/>
          <w:color w:val="auto"/>
          <w:spacing w:val="0"/>
          <w:kern w:val="0"/>
          <w:sz w:val="32"/>
          <w:szCs w:val="32"/>
          <w:lang w:val="en-US" w:eastAsia="zh-CN" w:bidi="ar"/>
        </w:rPr>
        <w:t>呼图壁县第三中学教学设备及生活设施设备采购（第一标段）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rFonts w:ascii="微软雅黑" w:hAnsi="微软雅黑" w:eastAsia="微软雅黑" w:cs="微软雅黑"/>
          <w:i w:val="0"/>
          <w:iCs w:val="0"/>
          <w:caps w:val="0"/>
          <w:color w:val="auto"/>
          <w:spacing w:val="0"/>
          <w:sz w:val="24"/>
          <w:szCs w:val="24"/>
        </w:rPr>
      </w:pPr>
      <w:r>
        <w:rPr>
          <w:rFonts w:hint="eastAsia" w:ascii="仿宋" w:hAnsi="仿宋" w:eastAsia="仿宋" w:cs="仿宋"/>
          <w:b/>
          <w:bCs/>
          <w:i w:val="0"/>
          <w:iCs w:val="0"/>
          <w:caps w:val="0"/>
          <w:color w:val="auto"/>
          <w:spacing w:val="0"/>
          <w:kern w:val="0"/>
          <w:sz w:val="32"/>
          <w:szCs w:val="32"/>
          <w:lang w:val="en-US" w:eastAsia="zh-CN" w:bidi="ar"/>
        </w:rPr>
        <w:t>公开招标公告</w:t>
      </w:r>
      <w:r>
        <w:rPr>
          <w:rFonts w:hint="eastAsia" w:ascii="仿宋" w:hAnsi="仿宋" w:eastAsia="仿宋" w:cs="仿宋"/>
          <w:i w:val="0"/>
          <w:iCs w:val="0"/>
          <w:caps w:val="0"/>
          <w:color w:val="auto"/>
          <w:spacing w:val="0"/>
          <w:kern w:val="0"/>
          <w:sz w:val="22"/>
          <w:szCs w:val="22"/>
          <w:lang w:val="en-US" w:eastAsia="zh-CN" w:bidi="ar"/>
        </w:rPr>
        <w:t> </w:t>
      </w:r>
      <w:r>
        <w:rPr>
          <w:rFonts w:hint="eastAsia" w:ascii="仿宋" w:hAnsi="仿宋" w:eastAsia="仿宋" w:cs="仿宋"/>
          <w:b/>
          <w:bCs/>
          <w:i w:val="0"/>
          <w:iCs w:val="0"/>
          <w:caps w:val="0"/>
          <w:color w:val="auto"/>
          <w:spacing w:val="0"/>
          <w:kern w:val="0"/>
          <w:sz w:val="22"/>
          <w:szCs w:val="22"/>
          <w:lang w:val="en-US" w:eastAsia="zh-CN" w:bidi="ar"/>
        </w:rPr>
        <w:t> </w:t>
      </w:r>
      <w:r>
        <w:rPr>
          <w:rFonts w:hint="eastAsia" w:ascii="仿宋" w:hAnsi="仿宋" w:eastAsia="仿宋" w:cs="仿宋"/>
          <w:i w:val="0"/>
          <w:iCs w:val="0"/>
          <w:caps w:val="0"/>
          <w:color w:val="auto"/>
          <w:spacing w:val="0"/>
          <w:kern w:val="0"/>
          <w:sz w:val="22"/>
          <w:szCs w:val="22"/>
          <w:lang w:val="en-US" w:eastAsia="zh-CN" w:bidi="ar"/>
        </w:rPr>
        <w:t> </w:t>
      </w:r>
      <w:r>
        <w:rPr>
          <w:rFonts w:hint="eastAsia" w:ascii="仿宋" w:hAnsi="仿宋" w:eastAsia="仿宋" w:cs="仿宋"/>
          <w:i w:val="0"/>
          <w:iCs w:val="0"/>
          <w:caps w:val="0"/>
          <w:color w:val="auto"/>
          <w:spacing w:val="0"/>
          <w:kern w:val="0"/>
          <w:sz w:val="32"/>
          <w:szCs w:val="32"/>
          <w:lang w:val="en-US" w:eastAsia="zh-CN" w:bidi="ar"/>
        </w:rPr>
        <w:t>  </w:t>
      </w:r>
    </w:p>
    <w:tbl>
      <w:tblPr>
        <w:tblStyle w:val="23"/>
        <w:tblW w:w="1028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028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90" w:hRule="atLeast"/>
        </w:trPr>
        <w:tc>
          <w:tcPr>
            <w:tcW w:w="1028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sz w:val="24"/>
                <w:szCs w:val="24"/>
              </w:rPr>
            </w:pPr>
            <w:r>
              <w:rPr>
                <w:rFonts w:hint="eastAsia" w:ascii="仿宋" w:hAnsi="仿宋" w:eastAsia="仿宋" w:cs="仿宋"/>
                <w:b/>
                <w:bCs/>
                <w:i w:val="0"/>
                <w:iCs w:val="0"/>
                <w:caps w:val="0"/>
                <w:color w:val="auto"/>
                <w:spacing w:val="0"/>
                <w:kern w:val="0"/>
                <w:sz w:val="24"/>
                <w:szCs w:val="24"/>
                <w:lang w:val="en-US" w:eastAsia="zh-CN" w:bidi="ar"/>
              </w:rPr>
              <w:t>项目概况</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80"/>
              <w:rPr>
                <w:color w:val="auto"/>
                <w:sz w:val="24"/>
                <w:szCs w:val="24"/>
              </w:rPr>
            </w:pPr>
            <w:r>
              <w:rPr>
                <w:rFonts w:hint="eastAsia" w:ascii="仿宋" w:hAnsi="仿宋" w:eastAsia="仿宋" w:cs="仿宋"/>
                <w:i w:val="0"/>
                <w:iCs w:val="0"/>
                <w:caps w:val="0"/>
                <w:color w:val="auto"/>
                <w:spacing w:val="0"/>
                <w:sz w:val="24"/>
                <w:szCs w:val="24"/>
                <w:lang w:val="en-US" w:eastAsia="zh-CN"/>
              </w:rPr>
              <w:t>呼图壁县第三中学教学设备及生活设施设备采购</w:t>
            </w:r>
            <w:r>
              <w:rPr>
                <w:rFonts w:hint="eastAsia" w:ascii="仿宋" w:hAnsi="仿宋" w:eastAsia="仿宋" w:cs="仿宋"/>
                <w:i w:val="0"/>
                <w:iCs w:val="0"/>
                <w:caps w:val="0"/>
                <w:color w:val="auto"/>
                <w:spacing w:val="0"/>
                <w:kern w:val="0"/>
                <w:sz w:val="24"/>
                <w:szCs w:val="24"/>
                <w:lang w:val="en-US" w:eastAsia="zh-CN" w:bidi="ar"/>
              </w:rPr>
              <w:t>（第一标段）</w:t>
            </w:r>
            <w:r>
              <w:rPr>
                <w:rFonts w:hint="eastAsia" w:ascii="仿宋" w:hAnsi="仿宋" w:eastAsia="仿宋" w:cs="仿宋"/>
                <w:i w:val="0"/>
                <w:iCs w:val="0"/>
                <w:caps w:val="0"/>
                <w:color w:val="auto"/>
                <w:spacing w:val="0"/>
                <w:sz w:val="24"/>
                <w:szCs w:val="24"/>
              </w:rPr>
              <w:t xml:space="preserve">的潜在投标人应在供应商登陆政采云平台http://www.zcygov.cn/，在线申请获取采购文件（登录政府采购云平台 → 项目采购 → 获取采购文件 → 申请，审核通过后可下载招标文件，如有操作性问题，可与政采云在线客服进行咨询，咨询电话：95763），获取招标文件，并于 </w:t>
            </w:r>
            <w:r>
              <w:rPr>
                <w:rFonts w:hint="eastAsia" w:ascii="仿宋" w:hAnsi="仿宋" w:eastAsia="仿宋" w:cs="仿宋"/>
                <w:i w:val="0"/>
                <w:iCs w:val="0"/>
                <w:caps w:val="0"/>
                <w:color w:val="0000FF"/>
                <w:spacing w:val="0"/>
                <w:sz w:val="24"/>
                <w:szCs w:val="24"/>
              </w:rPr>
              <w:t>2023年</w:t>
            </w:r>
            <w:r>
              <w:rPr>
                <w:rFonts w:hint="eastAsia" w:ascii="仿宋" w:hAnsi="仿宋" w:eastAsia="仿宋" w:cs="仿宋"/>
                <w:i w:val="0"/>
                <w:iCs w:val="0"/>
                <w:caps w:val="0"/>
                <w:color w:val="0000FF"/>
                <w:spacing w:val="0"/>
                <w:kern w:val="0"/>
                <w:sz w:val="24"/>
                <w:szCs w:val="24"/>
                <w:u w:val="single"/>
                <w:lang w:val="en-US" w:eastAsia="zh-CN" w:bidi="ar"/>
              </w:rPr>
              <w:t xml:space="preserve">  08 </w:t>
            </w:r>
            <w:r>
              <w:rPr>
                <w:rFonts w:hint="eastAsia" w:ascii="仿宋" w:hAnsi="仿宋" w:eastAsia="仿宋" w:cs="仿宋"/>
                <w:i w:val="0"/>
                <w:iCs w:val="0"/>
                <w:caps w:val="0"/>
                <w:color w:val="0000FF"/>
                <w:spacing w:val="0"/>
                <w:sz w:val="24"/>
                <w:szCs w:val="24"/>
              </w:rPr>
              <w:t>月</w:t>
            </w:r>
            <w:r>
              <w:rPr>
                <w:rFonts w:hint="eastAsia" w:ascii="仿宋" w:hAnsi="仿宋" w:eastAsia="仿宋" w:cs="仿宋"/>
                <w:i w:val="0"/>
                <w:iCs w:val="0"/>
                <w:caps w:val="0"/>
                <w:color w:val="0000FF"/>
                <w:spacing w:val="0"/>
                <w:kern w:val="0"/>
                <w:sz w:val="24"/>
                <w:szCs w:val="24"/>
                <w:u w:val="single"/>
                <w:lang w:val="en-US" w:eastAsia="zh-CN" w:bidi="ar"/>
              </w:rPr>
              <w:t>  23   </w:t>
            </w:r>
            <w:r>
              <w:rPr>
                <w:rFonts w:hint="eastAsia" w:ascii="仿宋" w:hAnsi="仿宋" w:eastAsia="仿宋" w:cs="仿宋"/>
                <w:i w:val="0"/>
                <w:iCs w:val="0"/>
                <w:caps w:val="0"/>
                <w:color w:val="0000FF"/>
                <w:spacing w:val="0"/>
                <w:sz w:val="24"/>
                <w:szCs w:val="24"/>
              </w:rPr>
              <w:t>日</w:t>
            </w:r>
            <w:r>
              <w:rPr>
                <w:rFonts w:hint="eastAsia" w:ascii="仿宋" w:hAnsi="仿宋" w:eastAsia="仿宋" w:cs="仿宋"/>
                <w:i w:val="0"/>
                <w:iCs w:val="0"/>
                <w:caps w:val="0"/>
                <w:color w:val="auto"/>
                <w:spacing w:val="0"/>
                <w:sz w:val="24"/>
                <w:szCs w:val="24"/>
                <w:lang w:val="en-US" w:eastAsia="zh-CN"/>
              </w:rPr>
              <w:t>11</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00</w:t>
            </w:r>
            <w:r>
              <w:rPr>
                <w:rFonts w:hint="eastAsia" w:ascii="仿宋" w:hAnsi="仿宋" w:eastAsia="仿宋" w:cs="仿宋"/>
                <w:i w:val="0"/>
                <w:iCs w:val="0"/>
                <w:caps w:val="0"/>
                <w:color w:val="auto"/>
                <w:spacing w:val="0"/>
                <w:sz w:val="24"/>
                <w:szCs w:val="24"/>
              </w:rPr>
              <w:t>（北京时间）前（上传）电子投标文件。</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lang w:val="en-US" w:eastAsia="zh-CN" w:bidi="ar"/>
        </w:rPr>
        <w:t>一、项目基本情况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项目编号：CSFLZB-2023-156-HW</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项目名称：呼图壁县第三中学教学设备及生活设施设备采购（第一标段）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采购方式：公开招标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预算金额（元）:865000.00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最高限价（元）:865000.00</w:t>
      </w:r>
    </w:p>
    <w:p>
      <w:pPr>
        <w:shd w:val="clear" w:color="auto" w:fill="auto"/>
        <w:spacing w:line="360" w:lineRule="auto"/>
        <w:ind w:firstLine="480" w:firstLineChars="200"/>
        <w:jc w:val="left"/>
        <w:rPr>
          <w:rFonts w:hint="eastAsia" w:ascii="微软雅黑" w:hAnsi="微软雅黑" w:eastAsia="微软雅黑" w:cs="微软雅黑"/>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lang w:val="en-US" w:eastAsia="zh-CN" w:bidi="ar"/>
        </w:rPr>
        <w:t>采购需求：</w:t>
      </w:r>
      <w:r>
        <w:rPr>
          <w:rFonts w:hint="eastAsia" w:ascii="仿宋" w:hAnsi="仿宋" w:eastAsia="仿宋" w:cs="仿宋"/>
          <w:color w:val="auto"/>
          <w:sz w:val="24"/>
          <w:szCs w:val="24"/>
          <w:lang w:val="en-US" w:eastAsia="zh-CN"/>
        </w:rPr>
        <w:t>LED大屏系统、体育馆灯光、音响设备、红色教育系统（赠送）(具体内容详见采购货物清单)</w:t>
      </w:r>
      <w:r>
        <w:rPr>
          <w:rFonts w:hint="eastAsia" w:ascii="仿宋" w:hAnsi="仿宋" w:eastAsia="仿宋" w:cs="仿宋"/>
          <w:i w:val="0"/>
          <w:iCs w:val="0"/>
          <w:caps w:val="0"/>
          <w:color w:val="auto"/>
          <w:spacing w:val="0"/>
          <w:kern w:val="0"/>
          <w:sz w:val="24"/>
          <w:szCs w:val="24"/>
          <w:highlight w:val="no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80" w:right="0" w:firstLine="0"/>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标项名称:呼图壁县第三中学教学设备及生活设施设备采购（第一标段）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80" w:right="0" w:firstLine="0"/>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数量:1</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400" w:lineRule="atLeast"/>
        <w:ind w:left="480" w:right="0" w:firstLine="0"/>
        <w:jc w:val="left"/>
        <w:rPr>
          <w:rFonts w:hint="eastAsia" w:ascii="仿宋" w:hAnsi="仿宋" w:eastAsia="仿宋" w:cs="仿宋"/>
          <w:i w:val="0"/>
          <w:iCs w:val="0"/>
          <w:caps w:val="0"/>
          <w:color w:val="0000FF"/>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供货期：签订合同后30日历日。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400" w:lineRule="atLeast"/>
        <w:ind w:left="480" w:right="0" w:firstLine="0"/>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本项目不接受联合体投标。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lang w:val="en-US" w:eastAsia="zh-CN" w:bidi="ar"/>
        </w:rPr>
        <w:t>二、申请人的资格要求：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1.满足《中华人民共和国政府采购法》第二十二条规定；</w:t>
      </w:r>
    </w:p>
    <w:p>
      <w:pPr>
        <w:pStyle w:val="2"/>
        <w:ind w:left="0" w:leftChars="0" w:firstLine="480" w:firstLineChars="200"/>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2.落实政府采购政策需满足的资格要求：</w:t>
      </w:r>
      <w:r>
        <w:rPr>
          <w:rFonts w:hint="eastAsia" w:ascii="仿宋" w:hAnsi="仿宋" w:eastAsia="仿宋" w:cs="仿宋"/>
          <w:i w:val="0"/>
          <w:iCs w:val="0"/>
          <w:caps w:val="0"/>
          <w:color w:val="auto"/>
          <w:spacing w:val="0"/>
          <w:w w:val="100"/>
          <w:kern w:val="0"/>
          <w:position w:val="0"/>
          <w:sz w:val="24"/>
          <w:szCs w:val="24"/>
          <w:shd w:val="clear" w:color="auto" w:fill="auto"/>
          <w:lang w:val="en-US" w:eastAsia="zh-CN" w:bidi="ar"/>
        </w:rPr>
        <w:t>供应商为中小企业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3.本项目的特定资格要求：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（1）必须为在中华人民共和国境内，依法成立、具有独立法人资格的供应商；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（2）具有履行合同所必需的设备和专业技术能力(声明函格式自拟)即具有完成本项目采购能力；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（3）具有依法缴纳税收和社会保障资金的良好记录(提供相应证明材料或声明函格式自拟)；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（4）单位负责人为同一人或者存在直接控股、管理关系的不同供应商，不得参加同一合同项下的政府采购活动(提供声明函格式自拟)；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（5）供应商为中小企业(提供供应商为中小企业的声明函)；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6）供应商参加政府采购活动前三年内，在经营活动中没有重大违法记录，在“信用中国”网站（www.creditchina.gov.cn）、中国政府采购网（www.ccgp.gov.cn）没有被列入失信被执行人、重大税收违法失信主体名单、政府采购严重违法失信行为记录名单及其他不符合规定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lang w:val="en-US" w:eastAsia="zh-CN" w:bidi="ar"/>
        </w:rPr>
        <w:t>三、获取采购文件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1、时间：</w:t>
      </w:r>
      <w:r>
        <w:rPr>
          <w:rFonts w:hint="eastAsia" w:ascii="仿宋" w:hAnsi="仿宋" w:eastAsia="仿宋" w:cs="仿宋"/>
          <w:i w:val="0"/>
          <w:iCs w:val="0"/>
          <w:caps w:val="0"/>
          <w:color w:val="0000FF"/>
          <w:spacing w:val="0"/>
          <w:kern w:val="0"/>
          <w:sz w:val="24"/>
          <w:szCs w:val="24"/>
          <w:lang w:val="en-US" w:eastAsia="zh-CN" w:bidi="ar"/>
        </w:rPr>
        <w:t>2023年</w:t>
      </w:r>
      <w:r>
        <w:rPr>
          <w:rFonts w:hint="eastAsia" w:ascii="仿宋" w:hAnsi="仿宋" w:eastAsia="仿宋" w:cs="仿宋"/>
          <w:i w:val="0"/>
          <w:iCs w:val="0"/>
          <w:caps w:val="0"/>
          <w:color w:val="0000FF"/>
          <w:spacing w:val="0"/>
          <w:kern w:val="0"/>
          <w:sz w:val="24"/>
          <w:szCs w:val="24"/>
          <w:u w:val="single"/>
          <w:lang w:val="en-US" w:eastAsia="zh-CN" w:bidi="ar"/>
        </w:rPr>
        <w:t>08</w:t>
      </w:r>
      <w:r>
        <w:rPr>
          <w:rFonts w:hint="eastAsia" w:ascii="仿宋" w:hAnsi="仿宋" w:eastAsia="仿宋" w:cs="仿宋"/>
          <w:i w:val="0"/>
          <w:iCs w:val="0"/>
          <w:caps w:val="0"/>
          <w:color w:val="0000FF"/>
          <w:spacing w:val="0"/>
          <w:kern w:val="0"/>
          <w:sz w:val="24"/>
          <w:szCs w:val="24"/>
          <w:lang w:val="en-US" w:eastAsia="zh-CN" w:bidi="ar"/>
        </w:rPr>
        <w:t>月</w:t>
      </w:r>
      <w:r>
        <w:rPr>
          <w:rFonts w:hint="eastAsia" w:ascii="仿宋" w:hAnsi="仿宋" w:eastAsia="仿宋" w:cs="仿宋"/>
          <w:i w:val="0"/>
          <w:iCs w:val="0"/>
          <w:caps w:val="0"/>
          <w:color w:val="0000FF"/>
          <w:spacing w:val="0"/>
          <w:kern w:val="0"/>
          <w:sz w:val="24"/>
          <w:szCs w:val="24"/>
          <w:u w:val="single"/>
          <w:lang w:val="en-US" w:eastAsia="zh-CN" w:bidi="ar"/>
        </w:rPr>
        <w:t>03</w:t>
      </w:r>
      <w:r>
        <w:rPr>
          <w:rFonts w:hint="eastAsia" w:ascii="仿宋" w:hAnsi="仿宋" w:eastAsia="仿宋" w:cs="仿宋"/>
          <w:i w:val="0"/>
          <w:iCs w:val="0"/>
          <w:caps w:val="0"/>
          <w:color w:val="0000FF"/>
          <w:spacing w:val="0"/>
          <w:kern w:val="0"/>
          <w:sz w:val="24"/>
          <w:szCs w:val="24"/>
          <w:lang w:val="en-US" w:eastAsia="zh-CN" w:bidi="ar"/>
        </w:rPr>
        <w:t>日至2023年</w:t>
      </w:r>
      <w:r>
        <w:rPr>
          <w:rFonts w:hint="eastAsia" w:ascii="仿宋" w:hAnsi="仿宋" w:eastAsia="仿宋" w:cs="仿宋"/>
          <w:i w:val="0"/>
          <w:iCs w:val="0"/>
          <w:caps w:val="0"/>
          <w:color w:val="0000FF"/>
          <w:spacing w:val="0"/>
          <w:kern w:val="0"/>
          <w:sz w:val="24"/>
          <w:szCs w:val="24"/>
          <w:u w:val="single"/>
          <w:lang w:val="en-US" w:eastAsia="zh-CN" w:bidi="ar"/>
        </w:rPr>
        <w:t>08</w:t>
      </w:r>
      <w:r>
        <w:rPr>
          <w:rFonts w:hint="eastAsia" w:ascii="仿宋" w:hAnsi="仿宋" w:eastAsia="仿宋" w:cs="仿宋"/>
          <w:i w:val="0"/>
          <w:iCs w:val="0"/>
          <w:caps w:val="0"/>
          <w:color w:val="0000FF"/>
          <w:spacing w:val="0"/>
          <w:kern w:val="0"/>
          <w:sz w:val="24"/>
          <w:szCs w:val="24"/>
          <w:lang w:val="en-US" w:eastAsia="zh-CN" w:bidi="ar"/>
        </w:rPr>
        <w:t>月</w:t>
      </w:r>
      <w:r>
        <w:rPr>
          <w:rFonts w:hint="eastAsia" w:ascii="仿宋" w:hAnsi="仿宋" w:eastAsia="仿宋" w:cs="仿宋"/>
          <w:i w:val="0"/>
          <w:iCs w:val="0"/>
          <w:caps w:val="0"/>
          <w:color w:val="0000FF"/>
          <w:spacing w:val="0"/>
          <w:kern w:val="0"/>
          <w:sz w:val="24"/>
          <w:szCs w:val="24"/>
          <w:u w:val="single"/>
          <w:lang w:val="en-US" w:eastAsia="zh-CN" w:bidi="ar"/>
        </w:rPr>
        <w:t>22</w:t>
      </w:r>
      <w:r>
        <w:rPr>
          <w:rFonts w:hint="eastAsia" w:ascii="仿宋" w:hAnsi="仿宋" w:eastAsia="仿宋" w:cs="仿宋"/>
          <w:i w:val="0"/>
          <w:iCs w:val="0"/>
          <w:caps w:val="0"/>
          <w:color w:val="0000FF"/>
          <w:spacing w:val="0"/>
          <w:kern w:val="0"/>
          <w:sz w:val="24"/>
          <w:szCs w:val="24"/>
          <w:lang w:val="en-US" w:eastAsia="zh-CN" w:bidi="ar"/>
        </w:rPr>
        <w:t>日，</w:t>
      </w:r>
      <w:r>
        <w:rPr>
          <w:rFonts w:hint="eastAsia" w:ascii="仿宋" w:hAnsi="仿宋" w:eastAsia="仿宋" w:cs="仿宋"/>
          <w:i w:val="0"/>
          <w:iCs w:val="0"/>
          <w:caps w:val="0"/>
          <w:color w:val="auto"/>
          <w:spacing w:val="0"/>
          <w:kern w:val="0"/>
          <w:sz w:val="24"/>
          <w:szCs w:val="24"/>
          <w:lang w:val="en-US" w:eastAsia="zh-CN" w:bidi="ar"/>
        </w:rPr>
        <w:t>每天上午00:00至14:00，下午14:00至23：59（北京时间，节假日除外）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2、地点：供应商登陆政采云平台http://www.zcygov.cn/，在线申请获取招标文件（登录政府采购云平台 → 项目采购 → 获取招标文件→申请，审核通过后可下载招标文件，如有操作性问题，可与政采云在线客服进行咨询，咨询电话：95763）。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3、方式：（1）线上获取（登录政府采购云平台 → 项目采购 → 获取招标文件→ 申请，审核通过后可下载招标文件）。本次招标不提供纸质版招标文件。（2）供应商获取招标文件前应注册成为政府采购云平台正式供应商。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4、售价（元）：0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lang w:val="en-US" w:eastAsia="zh-CN" w:bidi="ar"/>
        </w:rPr>
        <w:t>四、提交投标文件截止时间、开标时间和地点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截止时间：</w:t>
      </w:r>
      <w:r>
        <w:rPr>
          <w:rFonts w:hint="eastAsia" w:ascii="仿宋" w:hAnsi="仿宋" w:eastAsia="仿宋" w:cs="仿宋"/>
          <w:i w:val="0"/>
          <w:iCs w:val="0"/>
          <w:caps w:val="0"/>
          <w:color w:val="0000FF"/>
          <w:spacing w:val="0"/>
          <w:kern w:val="0"/>
          <w:sz w:val="24"/>
          <w:szCs w:val="24"/>
          <w:lang w:val="en-US" w:eastAsia="zh-CN" w:bidi="ar"/>
        </w:rPr>
        <w:t>2023年</w:t>
      </w:r>
      <w:r>
        <w:rPr>
          <w:rFonts w:hint="eastAsia" w:ascii="仿宋" w:hAnsi="仿宋" w:eastAsia="仿宋" w:cs="仿宋"/>
          <w:i w:val="0"/>
          <w:iCs w:val="0"/>
          <w:caps w:val="0"/>
          <w:color w:val="0000FF"/>
          <w:spacing w:val="0"/>
          <w:kern w:val="0"/>
          <w:sz w:val="24"/>
          <w:szCs w:val="24"/>
          <w:u w:val="single"/>
          <w:lang w:val="en-US" w:eastAsia="zh-CN" w:bidi="ar"/>
        </w:rPr>
        <w:t>08</w:t>
      </w:r>
      <w:r>
        <w:rPr>
          <w:rFonts w:hint="eastAsia" w:ascii="仿宋" w:hAnsi="仿宋" w:eastAsia="仿宋" w:cs="仿宋"/>
          <w:i w:val="0"/>
          <w:iCs w:val="0"/>
          <w:caps w:val="0"/>
          <w:color w:val="0000FF"/>
          <w:spacing w:val="0"/>
          <w:kern w:val="0"/>
          <w:sz w:val="24"/>
          <w:szCs w:val="24"/>
          <w:lang w:val="en-US" w:eastAsia="zh-CN" w:bidi="ar"/>
        </w:rPr>
        <w:t>月</w:t>
      </w:r>
      <w:r>
        <w:rPr>
          <w:rFonts w:hint="eastAsia" w:ascii="仿宋" w:hAnsi="仿宋" w:eastAsia="仿宋" w:cs="仿宋"/>
          <w:i w:val="0"/>
          <w:iCs w:val="0"/>
          <w:caps w:val="0"/>
          <w:color w:val="0000FF"/>
          <w:spacing w:val="0"/>
          <w:kern w:val="0"/>
          <w:sz w:val="24"/>
          <w:szCs w:val="24"/>
          <w:u w:val="single"/>
          <w:lang w:val="en-US" w:eastAsia="zh-CN" w:bidi="ar"/>
        </w:rPr>
        <w:t xml:space="preserve">23 </w:t>
      </w:r>
      <w:r>
        <w:rPr>
          <w:rFonts w:hint="eastAsia" w:ascii="仿宋" w:hAnsi="仿宋" w:eastAsia="仿宋" w:cs="仿宋"/>
          <w:i w:val="0"/>
          <w:iCs w:val="0"/>
          <w:caps w:val="0"/>
          <w:color w:val="0000FF"/>
          <w:spacing w:val="0"/>
          <w:kern w:val="0"/>
          <w:sz w:val="24"/>
          <w:szCs w:val="24"/>
          <w:lang w:val="en-US" w:eastAsia="zh-CN" w:bidi="ar"/>
        </w:rPr>
        <w:t xml:space="preserve">日 11：00 </w:t>
      </w:r>
      <w:r>
        <w:rPr>
          <w:rFonts w:hint="eastAsia" w:ascii="仿宋" w:hAnsi="仿宋" w:eastAsia="仿宋" w:cs="仿宋"/>
          <w:i w:val="0"/>
          <w:iCs w:val="0"/>
          <w:caps w:val="0"/>
          <w:color w:val="auto"/>
          <w:spacing w:val="0"/>
          <w:kern w:val="0"/>
          <w:sz w:val="24"/>
          <w:szCs w:val="24"/>
          <w:lang w:val="en-US" w:eastAsia="zh-CN" w:bidi="ar"/>
        </w:rPr>
        <w:t>（北京时间）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投标地点：政府采购云平台（www.zcygov.cn）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开标时间：</w:t>
      </w:r>
      <w:r>
        <w:rPr>
          <w:rFonts w:hint="eastAsia" w:ascii="仿宋" w:hAnsi="仿宋" w:eastAsia="仿宋" w:cs="仿宋"/>
          <w:i w:val="0"/>
          <w:iCs w:val="0"/>
          <w:caps w:val="0"/>
          <w:color w:val="0000FF"/>
          <w:spacing w:val="0"/>
          <w:kern w:val="0"/>
          <w:sz w:val="24"/>
          <w:szCs w:val="24"/>
          <w:lang w:val="en-US" w:eastAsia="zh-CN" w:bidi="ar"/>
        </w:rPr>
        <w:t xml:space="preserve">2023年 </w:t>
      </w:r>
      <w:r>
        <w:rPr>
          <w:rFonts w:hint="eastAsia" w:ascii="仿宋" w:hAnsi="仿宋" w:eastAsia="仿宋" w:cs="仿宋"/>
          <w:i w:val="0"/>
          <w:iCs w:val="0"/>
          <w:caps w:val="0"/>
          <w:color w:val="0000FF"/>
          <w:spacing w:val="0"/>
          <w:kern w:val="0"/>
          <w:sz w:val="24"/>
          <w:szCs w:val="24"/>
          <w:u w:val="single"/>
          <w:lang w:val="en-US" w:eastAsia="zh-CN" w:bidi="ar"/>
        </w:rPr>
        <w:t>08</w:t>
      </w:r>
      <w:r>
        <w:rPr>
          <w:rFonts w:hint="eastAsia" w:ascii="仿宋" w:hAnsi="仿宋" w:eastAsia="仿宋" w:cs="仿宋"/>
          <w:i w:val="0"/>
          <w:iCs w:val="0"/>
          <w:caps w:val="0"/>
          <w:color w:val="0000FF"/>
          <w:spacing w:val="0"/>
          <w:kern w:val="0"/>
          <w:sz w:val="24"/>
          <w:szCs w:val="24"/>
          <w:lang w:val="en-US" w:eastAsia="zh-CN" w:bidi="ar"/>
        </w:rPr>
        <w:t xml:space="preserve">月 </w:t>
      </w:r>
      <w:r>
        <w:rPr>
          <w:rFonts w:hint="eastAsia" w:ascii="仿宋" w:hAnsi="仿宋" w:eastAsia="仿宋" w:cs="仿宋"/>
          <w:i w:val="0"/>
          <w:iCs w:val="0"/>
          <w:caps w:val="0"/>
          <w:color w:val="0000FF"/>
          <w:spacing w:val="0"/>
          <w:kern w:val="0"/>
          <w:sz w:val="24"/>
          <w:szCs w:val="24"/>
          <w:u w:val="single"/>
          <w:lang w:val="en-US" w:eastAsia="zh-CN" w:bidi="ar"/>
        </w:rPr>
        <w:t>23</w:t>
      </w:r>
      <w:r>
        <w:rPr>
          <w:rFonts w:hint="eastAsia" w:ascii="仿宋" w:hAnsi="仿宋" w:eastAsia="仿宋" w:cs="仿宋"/>
          <w:i w:val="0"/>
          <w:iCs w:val="0"/>
          <w:caps w:val="0"/>
          <w:color w:val="0000FF"/>
          <w:spacing w:val="0"/>
          <w:kern w:val="0"/>
          <w:sz w:val="24"/>
          <w:szCs w:val="24"/>
          <w:lang w:val="en-US" w:eastAsia="zh-CN" w:bidi="ar"/>
        </w:rPr>
        <w:t xml:space="preserve"> 日 11：00</w:t>
      </w:r>
      <w:r>
        <w:rPr>
          <w:rFonts w:hint="eastAsia" w:ascii="仿宋" w:hAnsi="仿宋" w:eastAsia="仿宋" w:cs="仿宋"/>
          <w:i w:val="0"/>
          <w:iCs w:val="0"/>
          <w:caps w:val="0"/>
          <w:color w:val="auto"/>
          <w:spacing w:val="0"/>
          <w:kern w:val="0"/>
          <w:sz w:val="24"/>
          <w:szCs w:val="24"/>
          <w:lang w:val="en-US" w:eastAsia="zh-CN" w:bidi="ar"/>
        </w:rPr>
        <w:t xml:space="preserve"> （北京时间）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开标地点：在政府采购云平台（www.zcygov.cn）上开启投标文件，开标时间后，待采购组织机构发出解密通知后30分钟内，供应商须登录“政采云”平台，用“项目采购-开标评标”功能解密投标文件。</w:t>
      </w:r>
    </w:p>
    <w:p>
      <w:pPr>
        <w:pStyle w:val="4"/>
        <w:jc w:val="both"/>
        <w:rPr>
          <w:rFonts w:hint="default"/>
          <w:highlight w:val="none"/>
          <w:lang w:val="en-US"/>
        </w:rPr>
      </w:pPr>
      <w:r>
        <w:rPr>
          <w:rFonts w:hint="eastAsia" w:ascii="仿宋" w:hAnsi="仿宋" w:eastAsia="仿宋" w:cs="仿宋"/>
          <w:i w:val="0"/>
          <w:iCs w:val="0"/>
          <w:caps w:val="0"/>
          <w:color w:val="auto"/>
          <w:spacing w:val="0"/>
          <w:kern w:val="0"/>
          <w:sz w:val="24"/>
          <w:szCs w:val="24"/>
          <w:lang w:val="en-US" w:eastAsia="zh-CN" w:bidi="ar"/>
        </w:rPr>
        <w:t xml:space="preserve">   </w:t>
      </w:r>
      <w:r>
        <w:rPr>
          <w:rFonts w:hint="eastAsia" w:ascii="仿宋" w:hAnsi="仿宋" w:eastAsia="仿宋" w:cs="仿宋"/>
          <w:b w:val="0"/>
          <w:bCs/>
          <w:i w:val="0"/>
          <w:iCs w:val="0"/>
          <w:caps w:val="0"/>
          <w:color w:val="auto"/>
          <w:spacing w:val="0"/>
          <w:kern w:val="0"/>
          <w:sz w:val="24"/>
          <w:szCs w:val="24"/>
          <w:highlight w:val="none"/>
          <w:lang w:val="en-US" w:eastAsia="zh-CN" w:bidi="ar"/>
        </w:rPr>
        <w:t xml:space="preserve"> 评审地点：昌吉市西外环南路832号尚都社区国投大厦1幢14楼1418室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lang w:val="en-US" w:eastAsia="zh-CN" w:bidi="ar"/>
        </w:rPr>
        <w:t>五、公告期限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自本公告发布之日起5个工作日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lang w:val="en-US" w:eastAsia="zh-CN" w:bidi="ar"/>
        </w:rPr>
        <w:t>六、其他补充事宜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1.本项目采用全流程不见面电子开评标，投标供应商需要使用CA加密设备，供应商可通过新疆数字证书认证中心官网（https://www.xjca.com.cn/）或下载“新疆政务通”APP自行进行申领。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2.本项目实行网上投标，采用加密电子投标文件(供应商须使用CA加密设备通过政采云电子投标客户端制作投标文件)。若供应商参与投标，自行承担投标一切费用。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5.供应商在开标时须使用制作加密电子投标文件所使用的CA锁及电脑，电脑须提前配置好浏览器（建议使用谷歌浏览器），以便开标时解锁。</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80" w:firstLineChars="200"/>
        <w:jc w:val="left"/>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sz w:val="24"/>
          <w:szCs w:val="24"/>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二十群：35547618、二十一群：44303812，钉钉工具软件具有回放功能，直播培训结束后可在钉钉群中回放观看学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7.为了保证开评标顺利进行，政采云线上开标功能完全实现，供应商开标所使用的电脑设备须具有视频及语音功能。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 </w:t>
      </w:r>
      <w:r>
        <w:rPr>
          <w:rFonts w:hint="eastAsia" w:ascii="仿宋" w:hAnsi="仿宋" w:eastAsia="仿宋" w:cs="仿宋"/>
          <w:b/>
          <w:bCs/>
          <w:i w:val="0"/>
          <w:iCs w:val="0"/>
          <w:caps w:val="0"/>
          <w:color w:val="auto"/>
          <w:spacing w:val="0"/>
          <w:kern w:val="0"/>
          <w:sz w:val="24"/>
          <w:szCs w:val="24"/>
          <w:lang w:val="en-US" w:eastAsia="zh-CN" w:bidi="ar"/>
        </w:rPr>
        <w:t>七、对本次招标提出询问，请按以下方式联系。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2"/>
        <w:jc w:val="left"/>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lang w:val="en-US" w:eastAsia="zh-CN" w:bidi="ar"/>
        </w:rPr>
        <w:t>1.采购人信息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名称：呼图壁县第三中学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地址：呼图壁县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联 系 人：周先生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联系电话：15559314203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2"/>
        <w:jc w:val="left"/>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lang w:val="en-US" w:eastAsia="zh-CN" w:bidi="ar"/>
        </w:rPr>
        <w:t>2.采购代理机构信息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名称：新疆昌盛方略项目管理有限公司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地址：昌吉市西外环南路832号尚都社区国投大厦1幢14楼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联系人：努女士、冯女士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联系方式：18699479057、15886906116　</w:t>
      </w: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9"/>
        <w:rPr>
          <w:rFonts w:hint="eastAsia"/>
        </w:rPr>
      </w:pPr>
    </w:p>
    <w:p>
      <w:pPr>
        <w:pStyle w:val="2"/>
        <w:ind w:left="0" w:leftChars="0" w:firstLine="0" w:firstLineChars="0"/>
        <w:rPr>
          <w:rFonts w:hint="eastAsia"/>
          <w:color w:val="auto"/>
        </w:rPr>
      </w:pPr>
    </w:p>
    <w:p>
      <w:pPr>
        <w:pStyle w:val="2"/>
        <w:ind w:left="0" w:leftChars="0" w:firstLine="0" w:firstLineChars="0"/>
        <w:rPr>
          <w:rFonts w:hint="eastAsia"/>
          <w:color w:val="auto"/>
        </w:rPr>
      </w:pPr>
    </w:p>
    <w:p>
      <w:pPr>
        <w:pStyle w:val="3"/>
        <w:bidi w:val="0"/>
        <w:rPr>
          <w:rFonts w:hint="eastAsia"/>
          <w:color w:val="auto"/>
        </w:rPr>
      </w:pPr>
      <w:bookmarkStart w:id="1" w:name="_Toc30394"/>
      <w:r>
        <w:rPr>
          <w:rFonts w:hint="eastAsia"/>
          <w:color w:val="auto"/>
        </w:rPr>
        <w:t>第二</w:t>
      </w:r>
      <w:r>
        <w:rPr>
          <w:rFonts w:hint="eastAsia"/>
          <w:color w:val="auto"/>
          <w:lang w:eastAsia="zh-CN"/>
        </w:rPr>
        <w:t>章</w:t>
      </w:r>
      <w:r>
        <w:rPr>
          <w:rFonts w:hint="eastAsia"/>
          <w:color w:val="auto"/>
          <w:lang w:val="en-US" w:eastAsia="zh-CN"/>
        </w:rPr>
        <w:t xml:space="preserve">  </w:t>
      </w:r>
      <w:r>
        <w:rPr>
          <w:rFonts w:hint="eastAsia"/>
          <w:color w:val="auto"/>
        </w:rPr>
        <w:t>供应商须知</w:t>
      </w:r>
      <w:bookmarkEnd w:id="1"/>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120" w:lineRule="auto"/>
        <w:ind w:right="0"/>
        <w:jc w:val="center"/>
        <w:textAlignment w:val="auto"/>
        <w:rPr>
          <w:rFonts w:hint="eastAsia"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lang w:eastAsia="zh-CN"/>
        </w:rPr>
        <w:t>供应商</w:t>
      </w:r>
      <w:r>
        <w:rPr>
          <w:rFonts w:hint="eastAsia" w:ascii="仿宋" w:hAnsi="仿宋" w:eastAsia="仿宋" w:cs="仿宋"/>
          <w:b/>
          <w:bCs/>
          <w:color w:val="auto"/>
          <w:spacing w:val="0"/>
          <w:w w:val="100"/>
          <w:position w:val="0"/>
          <w:sz w:val="24"/>
          <w:szCs w:val="24"/>
        </w:rPr>
        <w:t>须知前附表</w:t>
      </w:r>
    </w:p>
    <w:tbl>
      <w:tblPr>
        <w:tblStyle w:val="23"/>
        <w:tblW w:w="9803" w:type="dxa"/>
        <w:jc w:val="center"/>
        <w:tblLayout w:type="fixed"/>
        <w:tblCellMar>
          <w:top w:w="0" w:type="dxa"/>
          <w:left w:w="108" w:type="dxa"/>
          <w:bottom w:w="0" w:type="dxa"/>
          <w:right w:w="108" w:type="dxa"/>
        </w:tblCellMar>
      </w:tblPr>
      <w:tblGrid>
        <w:gridCol w:w="536"/>
        <w:gridCol w:w="1720"/>
        <w:gridCol w:w="7547"/>
      </w:tblGrid>
      <w:tr>
        <w:tblPrEx>
          <w:tblCellMar>
            <w:top w:w="0" w:type="dxa"/>
            <w:left w:w="108" w:type="dxa"/>
            <w:bottom w:w="0" w:type="dxa"/>
            <w:right w:w="108" w:type="dxa"/>
          </w:tblCellMar>
        </w:tblPrEx>
        <w:trPr>
          <w:trHeight w:val="54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auto"/>
                <w:szCs w:val="21"/>
              </w:rPr>
            </w:pPr>
            <w:r>
              <w:rPr>
                <w:rFonts w:hint="eastAsia" w:ascii="仿宋" w:hAnsi="仿宋" w:eastAsia="仿宋" w:cs="仿宋"/>
                <w:b/>
                <w:color w:val="auto"/>
                <w:szCs w:val="21"/>
              </w:rPr>
              <w:t>序 号</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auto"/>
                <w:szCs w:val="21"/>
              </w:rPr>
            </w:pPr>
            <w:r>
              <w:rPr>
                <w:rFonts w:hint="eastAsia" w:ascii="仿宋" w:hAnsi="仿宋" w:eastAsia="仿宋" w:cs="仿宋"/>
                <w:b/>
                <w:color w:val="auto"/>
                <w:szCs w:val="21"/>
              </w:rPr>
              <w:t>名  称</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auto"/>
                <w:szCs w:val="21"/>
              </w:rPr>
            </w:pPr>
            <w:r>
              <w:rPr>
                <w:rFonts w:hint="eastAsia" w:ascii="仿宋" w:hAnsi="仿宋" w:eastAsia="仿宋" w:cs="仿宋"/>
                <w:b/>
                <w:color w:val="auto"/>
                <w:szCs w:val="21"/>
              </w:rPr>
              <w:t>编  列  内  容</w:t>
            </w:r>
          </w:p>
        </w:tc>
      </w:tr>
      <w:tr>
        <w:tblPrEx>
          <w:tblCellMar>
            <w:top w:w="0" w:type="dxa"/>
            <w:left w:w="108" w:type="dxa"/>
            <w:bottom w:w="0" w:type="dxa"/>
            <w:right w:w="108" w:type="dxa"/>
          </w:tblCellMar>
        </w:tblPrEx>
        <w:trPr>
          <w:trHeight w:val="2284"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项目名称</w:t>
            </w:r>
          </w:p>
          <w:p>
            <w:pPr>
              <w:shd w:val="clear" w:color="auto" w:fill="auto"/>
              <w:spacing w:line="360" w:lineRule="auto"/>
              <w:jc w:val="center"/>
              <w:rPr>
                <w:rFonts w:hint="eastAsia"/>
                <w:color w:val="auto"/>
                <w:lang w:val="en-US" w:eastAsia="zh-CN"/>
              </w:rPr>
            </w:pPr>
            <w:r>
              <w:rPr>
                <w:rFonts w:hint="eastAsia" w:ascii="仿宋" w:hAnsi="仿宋" w:eastAsia="仿宋" w:cs="仿宋"/>
                <w:color w:val="auto"/>
                <w:sz w:val="24"/>
                <w:szCs w:val="24"/>
                <w:lang w:val="en-US" w:eastAsia="zh-CN"/>
              </w:rPr>
              <w:t>项目编号</w:t>
            </w:r>
          </w:p>
          <w:p>
            <w:pPr>
              <w:shd w:val="clear" w:color="auto" w:fill="auto"/>
              <w:spacing w:line="360" w:lineRule="auto"/>
              <w:jc w:val="center"/>
              <w:rPr>
                <w:rFonts w:hint="eastAsia"/>
                <w:color w:val="auto"/>
                <w:lang w:val="en-US" w:eastAsia="zh-CN"/>
              </w:rPr>
            </w:pPr>
            <w:r>
              <w:rPr>
                <w:rFonts w:hint="eastAsia" w:ascii="仿宋" w:hAnsi="仿宋" w:eastAsia="仿宋" w:cs="仿宋"/>
                <w:color w:val="auto"/>
                <w:sz w:val="24"/>
                <w:szCs w:val="24"/>
                <w:lang w:val="en-US" w:eastAsia="zh-CN"/>
              </w:rPr>
              <w:t>采购内容</w:t>
            </w:r>
          </w:p>
          <w:p>
            <w:pPr>
              <w:shd w:val="clear" w:color="auto" w:fill="auto"/>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供货期</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auto"/>
                <w:lang w:val="en-US" w:eastAsia="zh-CN"/>
              </w:rPr>
            </w:pPr>
            <w:r>
              <w:rPr>
                <w:rFonts w:hint="eastAsia" w:ascii="仿宋" w:hAnsi="仿宋" w:eastAsia="仿宋" w:cs="仿宋"/>
                <w:color w:val="auto"/>
                <w:sz w:val="24"/>
                <w:szCs w:val="24"/>
                <w:lang w:val="en-US" w:eastAsia="zh-CN"/>
              </w:rPr>
              <w:t>项目名称：</w:t>
            </w:r>
            <w:r>
              <w:rPr>
                <w:rFonts w:hint="eastAsia" w:ascii="仿宋" w:hAnsi="仿宋" w:eastAsia="仿宋" w:cs="仿宋"/>
                <w:i w:val="0"/>
                <w:iCs w:val="0"/>
                <w:caps w:val="0"/>
                <w:color w:val="auto"/>
                <w:spacing w:val="0"/>
                <w:kern w:val="0"/>
                <w:sz w:val="24"/>
                <w:szCs w:val="24"/>
                <w:highlight w:val="none"/>
                <w:lang w:val="en-US" w:eastAsia="zh-CN" w:bidi="ar"/>
              </w:rPr>
              <w:t>呼图壁县第三中学教学设备及生活设施设备采购（第一标段）</w:t>
            </w:r>
          </w:p>
          <w:p>
            <w:pPr>
              <w:shd w:val="clear" w:color="auto" w:fill="auto"/>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项目编号：CSFLZB-2023-156-HW</w:t>
            </w:r>
          </w:p>
          <w:p>
            <w:pPr>
              <w:shd w:val="clear" w:color="auto" w:fill="auto"/>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采购内容：LED大屏系统、体育馆灯光、音响设备、红色教育系统（赠送）(具体内容详见采购货物清单)</w:t>
            </w:r>
          </w:p>
          <w:p>
            <w:pPr>
              <w:shd w:val="clear" w:color="auto" w:fill="auto"/>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供货期：签订合同后30日历日</w:t>
            </w:r>
          </w:p>
        </w:tc>
      </w:tr>
      <w:tr>
        <w:tblPrEx>
          <w:tblCellMar>
            <w:top w:w="0" w:type="dxa"/>
            <w:left w:w="108" w:type="dxa"/>
            <w:bottom w:w="0" w:type="dxa"/>
            <w:right w:w="108" w:type="dxa"/>
          </w:tblCellMar>
        </w:tblPrEx>
        <w:trPr>
          <w:trHeight w:val="851"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采购人信息</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名  称：呼图壁县第三中学</w:t>
            </w:r>
          </w:p>
          <w:p>
            <w:pPr>
              <w:shd w:val="clear" w:color="auto" w:fill="auto"/>
              <w:spacing w:line="360" w:lineRule="auto"/>
              <w:jc w:val="lef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联系人：周先生     电  话：</w:t>
            </w:r>
            <w:r>
              <w:rPr>
                <w:rFonts w:hint="eastAsia" w:ascii="仿宋" w:hAnsi="仿宋" w:eastAsia="仿宋" w:cs="仿宋"/>
                <w:i w:val="0"/>
                <w:iCs w:val="0"/>
                <w:caps w:val="0"/>
                <w:color w:val="auto"/>
                <w:spacing w:val="0"/>
                <w:kern w:val="0"/>
                <w:sz w:val="24"/>
                <w:szCs w:val="24"/>
                <w:lang w:val="en-US" w:eastAsia="zh-CN" w:bidi="ar"/>
              </w:rPr>
              <w:t xml:space="preserve">15559314203 </w:t>
            </w:r>
          </w:p>
        </w:tc>
      </w:tr>
      <w:tr>
        <w:tblPrEx>
          <w:tblCellMar>
            <w:top w:w="0" w:type="dxa"/>
            <w:left w:w="108" w:type="dxa"/>
            <w:bottom w:w="0" w:type="dxa"/>
            <w:right w:w="108" w:type="dxa"/>
          </w:tblCellMar>
        </w:tblPrEx>
        <w:trPr>
          <w:trHeight w:val="1319"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3</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采购代理机构</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名  称：新疆昌盛方略项目管理有限公司</w:t>
            </w:r>
          </w:p>
          <w:p>
            <w:pPr>
              <w:shd w:val="clear" w:color="auto" w:fill="auto"/>
              <w:spacing w:line="360" w:lineRule="auto"/>
              <w:jc w:val="lef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地  址：昌吉市西外环南路832号尚都社区国投大厦1幢14楼</w:t>
            </w:r>
          </w:p>
          <w:p>
            <w:pPr>
              <w:shd w:val="clear" w:color="auto" w:fill="auto"/>
              <w:spacing w:line="360" w:lineRule="auto"/>
              <w:jc w:val="lef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联系人：</w:t>
            </w:r>
            <w:r>
              <w:rPr>
                <w:rFonts w:hint="eastAsia" w:ascii="仿宋" w:hAnsi="仿宋" w:eastAsia="仿宋" w:cs="仿宋"/>
                <w:i w:val="0"/>
                <w:iCs w:val="0"/>
                <w:caps w:val="0"/>
                <w:color w:val="auto"/>
                <w:spacing w:val="0"/>
                <w:kern w:val="0"/>
                <w:sz w:val="24"/>
                <w:szCs w:val="24"/>
                <w:lang w:val="en-US" w:eastAsia="zh-CN" w:bidi="ar"/>
              </w:rPr>
              <w:t>冯女士</w:t>
            </w:r>
            <w:r>
              <w:rPr>
                <w:rFonts w:hint="eastAsia" w:ascii="仿宋" w:hAnsi="仿宋" w:eastAsia="仿宋" w:cs="仿宋"/>
                <w:b w:val="0"/>
                <w:bCs w:val="0"/>
                <w:color w:val="auto"/>
                <w:sz w:val="24"/>
                <w:szCs w:val="24"/>
                <w:lang w:val="en-US" w:eastAsia="zh-CN"/>
              </w:rPr>
              <w:t xml:space="preserve">       电  话：15886906116</w:t>
            </w:r>
          </w:p>
        </w:tc>
      </w:tr>
      <w:tr>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4</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最终交货地点</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highlight w:val="none"/>
                <w:lang w:val="en-US" w:eastAsia="zh-CN"/>
              </w:rPr>
              <w:t>呼图壁县第三中学</w:t>
            </w:r>
          </w:p>
        </w:tc>
      </w:tr>
      <w:tr>
        <w:tblPrEx>
          <w:tblCellMar>
            <w:top w:w="0" w:type="dxa"/>
            <w:left w:w="108" w:type="dxa"/>
            <w:bottom w:w="0" w:type="dxa"/>
            <w:right w:w="108" w:type="dxa"/>
          </w:tblCellMar>
        </w:tblPrEx>
        <w:trPr>
          <w:trHeight w:val="404"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5</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资格要求</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1.满足《中华人民共和国政府采购法》第二十二条规定；</w:t>
            </w:r>
          </w:p>
          <w:p>
            <w:pPr>
              <w:pStyle w:val="2"/>
              <w:ind w:left="0" w:leftChars="0" w:firstLine="0" w:firstLineChars="0"/>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2.落实政府采购政策需满足的资格要求：</w:t>
            </w:r>
            <w:r>
              <w:rPr>
                <w:rFonts w:hint="eastAsia" w:ascii="仿宋" w:hAnsi="仿宋" w:eastAsia="仿宋" w:cs="仿宋"/>
                <w:i w:val="0"/>
                <w:iCs w:val="0"/>
                <w:caps w:val="0"/>
                <w:color w:val="auto"/>
                <w:spacing w:val="0"/>
                <w:w w:val="100"/>
                <w:kern w:val="0"/>
                <w:position w:val="0"/>
                <w:sz w:val="24"/>
                <w:szCs w:val="24"/>
                <w:shd w:val="clear" w:color="auto" w:fill="auto"/>
                <w:lang w:val="en-US" w:eastAsia="zh-CN" w:bidi="ar"/>
              </w:rPr>
              <w:t>供应商为中小企业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3.本项目的特定资格要求：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（1）必须为在中华人民共和国境内，依法成立、具有独立法人资格的供应商；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（2）具有履行合同所必需的设备和专业技术能力(声明函格式自拟)即具有完成本项目采购能力；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（3）具有依法缴纳税收和社会保障资金的良好记录(提供相应证明材料或声明函格式自拟)；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（4）单位负责人为同一人或者存在直接控股、管理关系的不同供应商，不得参加同一合同项下的政府采购活动(提供声明函格式自拟)；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（5）供应商为中小企业(提供供应商为中小企业的声明函)；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eastAsia"/>
                <w:color w:val="auto"/>
                <w:lang w:val="en-US" w:eastAsia="zh-CN"/>
              </w:rPr>
            </w:pPr>
            <w:r>
              <w:rPr>
                <w:rFonts w:hint="eastAsia" w:ascii="仿宋" w:hAnsi="仿宋" w:eastAsia="仿宋" w:cs="仿宋"/>
                <w:i w:val="0"/>
                <w:iCs w:val="0"/>
                <w:caps w:val="0"/>
                <w:color w:val="auto"/>
                <w:spacing w:val="0"/>
                <w:kern w:val="0"/>
                <w:sz w:val="24"/>
                <w:szCs w:val="24"/>
                <w:highlight w:val="none"/>
                <w:lang w:val="en-US" w:eastAsia="zh-CN" w:bidi="ar"/>
              </w:rPr>
              <w:t>（6）供应商参加政府采购活动前三年内，在经营活动中没有重大违法记录，在“信用中国”网站（www.creditchina.gov.cn）、中国政府采购网（www.ccgp.gov.cn）没有被列入失信被执行人、重大税收违法失信主体名单、政府采购严重违法失信行为记录名单及其他不符合规定条件。</w:t>
            </w:r>
          </w:p>
        </w:tc>
      </w:tr>
      <w:tr>
        <w:tblPrEx>
          <w:tblCellMar>
            <w:top w:w="0" w:type="dxa"/>
            <w:left w:w="108" w:type="dxa"/>
            <w:bottom w:w="0" w:type="dxa"/>
            <w:right w:w="108" w:type="dxa"/>
          </w:tblCellMar>
        </w:tblPrEx>
        <w:trPr>
          <w:trHeight w:val="426"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6</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资金来源</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财政资金</w:t>
            </w:r>
          </w:p>
        </w:tc>
      </w:tr>
      <w:tr>
        <w:tblPrEx>
          <w:tblCellMar>
            <w:top w:w="0" w:type="dxa"/>
            <w:left w:w="108" w:type="dxa"/>
            <w:bottom w:w="0" w:type="dxa"/>
            <w:right w:w="108" w:type="dxa"/>
          </w:tblCellMar>
        </w:tblPrEx>
        <w:trPr>
          <w:trHeight w:val="415"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7</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招标方式</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公开招标(本项目采用网上电子招投标)  </w:t>
            </w:r>
          </w:p>
        </w:tc>
      </w:tr>
      <w:tr>
        <w:tblPrEx>
          <w:tblCellMar>
            <w:top w:w="0" w:type="dxa"/>
            <w:left w:w="108" w:type="dxa"/>
            <w:bottom w:w="0" w:type="dxa"/>
            <w:right w:w="108" w:type="dxa"/>
          </w:tblCellMar>
        </w:tblPrEx>
        <w:trPr>
          <w:trHeight w:val="4595"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8</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供应商信用查询</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1、查询渠道：信用中国（网址：http://www.creditchina.gov.cn）、中国政府采购网(网址：http://www.ccgp.gov.cn）。</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2、截止时点：开标后评标前。</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3、信用信息查询记录和证据留存的具体方式：由采购组织机构在规定查询时间内打印信用信息查询记录并归入项目档案。</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使用规则：对列入失信被执行人、重大税收违法失信主体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CellMar>
            <w:top w:w="0" w:type="dxa"/>
            <w:left w:w="108" w:type="dxa"/>
            <w:bottom w:w="0" w:type="dxa"/>
            <w:right w:w="108" w:type="dxa"/>
          </w:tblCellMar>
        </w:tblPrEx>
        <w:trPr>
          <w:trHeight w:val="851"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9</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是否接受联合体投标</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■不接受</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□接  受</w:t>
            </w:r>
          </w:p>
        </w:tc>
      </w:tr>
      <w:tr>
        <w:tblPrEx>
          <w:tblCellMar>
            <w:top w:w="0" w:type="dxa"/>
            <w:left w:w="108" w:type="dxa"/>
            <w:bottom w:w="0" w:type="dxa"/>
            <w:right w:w="108" w:type="dxa"/>
          </w:tblCellMar>
        </w:tblPrEx>
        <w:trPr>
          <w:trHeight w:val="28"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10</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投标截止时间 （开标时间）</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截止时间：</w:t>
            </w:r>
            <w:r>
              <w:rPr>
                <w:rFonts w:hint="eastAsia" w:ascii="仿宋" w:hAnsi="仿宋" w:eastAsia="仿宋" w:cs="仿宋"/>
                <w:b w:val="0"/>
                <w:bCs w:val="0"/>
                <w:color w:val="0000FF"/>
                <w:sz w:val="24"/>
                <w:szCs w:val="24"/>
                <w:lang w:val="en-US" w:eastAsia="zh-CN"/>
              </w:rPr>
              <w:t>2023年08月23日11时00分（北京时间）</w:t>
            </w:r>
          </w:p>
        </w:tc>
      </w:tr>
      <w:tr>
        <w:tblPrEx>
          <w:tblCellMar>
            <w:top w:w="0" w:type="dxa"/>
            <w:left w:w="108" w:type="dxa"/>
            <w:bottom w:w="0" w:type="dxa"/>
            <w:right w:w="108" w:type="dxa"/>
          </w:tblCellMar>
        </w:tblPrEx>
        <w:trPr>
          <w:trHeight w:val="30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11</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投标有效期</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 60 天</w:t>
            </w:r>
          </w:p>
        </w:tc>
      </w:tr>
      <w:tr>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12</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FF"/>
                <w:sz w:val="24"/>
                <w:szCs w:val="24"/>
                <w:lang w:val="en-US" w:eastAsia="zh-CN"/>
              </w:rPr>
            </w:pPr>
            <w:r>
              <w:rPr>
                <w:rFonts w:hint="eastAsia" w:ascii="仿宋" w:hAnsi="仿宋" w:eastAsia="仿宋" w:cs="仿宋"/>
                <w:b w:val="0"/>
                <w:bCs w:val="0"/>
                <w:color w:val="auto"/>
                <w:sz w:val="24"/>
                <w:szCs w:val="24"/>
                <w:lang w:val="en-US" w:eastAsia="zh-CN"/>
              </w:rPr>
              <w:t>投标保证金的金额</w:t>
            </w:r>
            <w:r>
              <w:rPr>
                <w:rFonts w:hint="eastAsia" w:ascii="仿宋" w:hAnsi="仿宋" w:eastAsia="仿宋" w:cs="仿宋"/>
                <w:b w:val="0"/>
                <w:bCs w:val="0"/>
                <w:color w:val="0000FF"/>
                <w:sz w:val="24"/>
                <w:szCs w:val="24"/>
                <w:lang w:val="en-US" w:eastAsia="zh-CN"/>
              </w:rPr>
              <w:t xml:space="preserve">：17000元（壹万柒仟元整）    </w:t>
            </w:r>
          </w:p>
          <w:p>
            <w:pPr>
              <w:shd w:val="clear" w:color="auto" w:fill="auto"/>
              <w:spacing w:line="360" w:lineRule="auto"/>
              <w:jc w:val="left"/>
              <w:rPr>
                <w:rFonts w:hint="eastAsia" w:ascii="仿宋" w:hAnsi="仿宋" w:eastAsia="仿宋" w:cs="仿宋"/>
                <w:b w:val="0"/>
                <w:bCs w:val="0"/>
                <w:color w:val="0000FF"/>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到账截止时间：</w:t>
            </w:r>
            <w:r>
              <w:rPr>
                <w:rFonts w:hint="eastAsia" w:ascii="仿宋" w:hAnsi="仿宋" w:eastAsia="仿宋" w:cs="仿宋"/>
                <w:b w:val="0"/>
                <w:bCs w:val="0"/>
                <w:color w:val="0000FF"/>
                <w:sz w:val="24"/>
                <w:szCs w:val="24"/>
                <w:highlight w:val="none"/>
                <w:lang w:val="en-US" w:eastAsia="zh-CN"/>
              </w:rPr>
              <w:t>2023年08月23日 11：00(北京时间)</w:t>
            </w:r>
          </w:p>
          <w:p>
            <w:pPr>
              <w:shd w:val="clear" w:color="auto" w:fill="auto"/>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保证金的提交：投标保证金的形式：投标保证金需以电汇、转账、支票、汇票、本票或者金融机构、担保机构出具的保函等非现金形式提交。投标保证金于投标截止时间（开标时间）之前缴纳并到账，必须从投标人基本账户支出。</w:t>
            </w:r>
          </w:p>
          <w:p>
            <w:pPr>
              <w:shd w:val="clear" w:color="auto" w:fill="auto"/>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采用银行转账方式的应从供应商的基本账户汇入下面采购人指定的开户银行账户。供应商应充分考虑资金到账时间，在规定的时限前自行办妥投标保证金缴纳手续，投标保证金的缴付时间以电汇凭证和网银对账单上的时间为准，超过缴纳的时限缴纳投标保证金视为报名无效。投标保证金采用电汇或网银转帐的方式，由供应商基本帐户汇至新疆昌盛方略项目管理有限公司（账户单位:新疆昌盛方略项目管理有限公司；开户行名称:交通银行昌吉北京南路支行；账号: 728728038013000134671；开户行行号: 301885000031），不得以现金和其他形式缴纳，不得以分公司、办事处或其他机构名义缴纳，供应商在缴纳投标保证金时，需在进帐凭证上明确资金用途和投标项目名称，并注明联系人及电话，以便查对核实。</w:t>
            </w:r>
          </w:p>
          <w:p>
            <w:pPr>
              <w:shd w:val="clear" w:color="auto" w:fill="auto"/>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在退还保证金时需携带以下资料：</w:t>
            </w:r>
          </w:p>
          <w:p>
            <w:pPr>
              <w:shd w:val="clear" w:color="auto" w:fill="auto"/>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①请贵公司开具对开收据（原件），内容为：收到新疆昌盛方略项目管理有限公司XXXXXXXX项目保证金，金额写清楚，并加盖财务章；②贵公司营业执照（复印件盖公章）；③贵公司开户许可证（复印件盖公章）；④日期请落款在公示期结束后。</w:t>
            </w:r>
          </w:p>
          <w:p>
            <w:pPr>
              <w:shd w:val="clear" w:color="auto" w:fill="auto"/>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金融机构、担保机构出具的保函，投标人在开具保函时，保函需注明项目名称及单位名称，保函的有效期不得少于投标有效期，担保金额不得少于投标保证金金额。</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highlight w:val="none"/>
                <w:lang w:val="en-US" w:eastAsia="zh-CN"/>
              </w:rPr>
              <w:t xml:space="preserve">银行保函、保险保函形式缴纳的投标保证金按协议执行，无需办理退款手续。   </w:t>
            </w:r>
            <w:r>
              <w:rPr>
                <w:rFonts w:hint="eastAsia" w:ascii="仿宋" w:hAnsi="仿宋" w:eastAsia="仿宋" w:cs="仿宋"/>
                <w:b w:val="0"/>
                <w:bCs w:val="0"/>
                <w:color w:val="auto"/>
                <w:sz w:val="24"/>
                <w:szCs w:val="24"/>
                <w:lang w:val="en-US" w:eastAsia="zh-CN"/>
              </w:rPr>
              <w:t xml:space="preserve">   </w:t>
            </w:r>
          </w:p>
        </w:tc>
      </w:tr>
      <w:tr>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13</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是否允许递交备选投标方案</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■不允许</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□允  许</w:t>
            </w:r>
          </w:p>
        </w:tc>
      </w:tr>
      <w:tr>
        <w:tblPrEx>
          <w:tblCellMar>
            <w:top w:w="0" w:type="dxa"/>
            <w:left w:w="108" w:type="dxa"/>
            <w:bottom w:w="0" w:type="dxa"/>
            <w:right w:w="108" w:type="dxa"/>
          </w:tblCellMar>
        </w:tblPrEx>
        <w:trPr>
          <w:trHeight w:val="67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14</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招标文件获取</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u w:val="none"/>
                <w:lang w:val="en-US" w:eastAsia="zh-CN"/>
              </w:rPr>
              <w:t>时间：</w:t>
            </w:r>
            <w:r>
              <w:rPr>
                <w:rFonts w:hint="eastAsia" w:ascii="仿宋" w:hAnsi="仿宋" w:eastAsia="仿宋" w:cs="仿宋"/>
                <w:b w:val="0"/>
                <w:bCs w:val="0"/>
                <w:color w:val="0000FF"/>
                <w:sz w:val="24"/>
                <w:szCs w:val="24"/>
                <w:u w:val="none"/>
                <w:lang w:val="en-US" w:eastAsia="zh-CN"/>
              </w:rPr>
              <w:t>2023年08月03日至2023年08月22日，</w:t>
            </w:r>
            <w:r>
              <w:rPr>
                <w:rFonts w:hint="eastAsia" w:ascii="仿宋" w:hAnsi="仿宋" w:eastAsia="仿宋" w:cs="仿宋"/>
                <w:b w:val="0"/>
                <w:bCs w:val="0"/>
                <w:color w:val="0000FF"/>
                <w:sz w:val="24"/>
                <w:szCs w:val="24"/>
                <w:lang w:val="en-US" w:eastAsia="zh-CN"/>
              </w:rPr>
              <w:t>每天上午00:00至14:00，下午14:00至23：59</w:t>
            </w:r>
            <w:r>
              <w:rPr>
                <w:rFonts w:hint="eastAsia" w:ascii="仿宋" w:hAnsi="仿宋" w:eastAsia="仿宋" w:cs="仿宋"/>
                <w:b w:val="0"/>
                <w:bCs w:val="0"/>
                <w:color w:val="auto"/>
                <w:sz w:val="24"/>
                <w:szCs w:val="24"/>
                <w:lang w:val="en-US" w:eastAsia="zh-CN"/>
              </w:rPr>
              <w:t>（北京时间，节假日除外）</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地点：供应商登陆政采云平台http://www.zcygov.cn/，在线申请获取招标文件 （登录政府采购云平台 → 项目采购 → 获取招标文件 →申请，审核通过后可下载招标文件 ，如有操作性问题，可与政采云在线客服进行咨询，咨询电话：95763）。</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方式：（1）线上获取（登录政府采购云平台 → 项目采购 → 获取招标文件 → 申请，审核通过后可下载招标文件 ）。本次招标不提供纸质版招标文件 。</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（2）供应商获取招标文件前应注册成为政府采购云平台正式供应商。</w:t>
            </w:r>
          </w:p>
        </w:tc>
      </w:tr>
      <w:tr>
        <w:tblPrEx>
          <w:tblCellMar>
            <w:top w:w="0" w:type="dxa"/>
            <w:left w:w="108" w:type="dxa"/>
            <w:bottom w:w="0" w:type="dxa"/>
            <w:right w:w="108" w:type="dxa"/>
          </w:tblCellMar>
        </w:tblPrEx>
        <w:trPr>
          <w:trHeight w:val="67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投标文件形式</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电子投标文件包括“电子加密投标文件”和“备份投标文件”，在投标文件编制完成后同时生成。</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1、“电子加密投标文件”是指通过“政采云电子交易客户端”完成投标文件编制后生成并加密的数据电文形式的投标文件。</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CellMar>
            <w:top w:w="0" w:type="dxa"/>
            <w:left w:w="108" w:type="dxa"/>
            <w:bottom w:w="0" w:type="dxa"/>
            <w:right w:w="108" w:type="dxa"/>
          </w:tblCellMar>
        </w:tblPrEx>
        <w:trPr>
          <w:trHeight w:val="731"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16</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投标文件份数及要求</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待开标结束后，排名第一的企业请按照此文件格式要求提供纸质投标文件三份至新疆昌盛方略项目管理有限公司（昌吉市西外环南路832号尚都社区国投大厦1幢14楼1419）。</w:t>
            </w:r>
          </w:p>
          <w:p>
            <w:pPr>
              <w:shd w:val="clear" w:color="auto" w:fill="auto"/>
              <w:spacing w:line="360" w:lineRule="auto"/>
              <w:jc w:val="left"/>
              <w:rPr>
                <w:rFonts w:hint="eastAsia"/>
                <w:lang w:val="en-US" w:eastAsia="zh-CN"/>
              </w:rPr>
            </w:pPr>
            <w:r>
              <w:rPr>
                <w:rFonts w:hint="eastAsia" w:ascii="仿宋" w:hAnsi="仿宋" w:eastAsia="仿宋" w:cs="仿宋"/>
                <w:b w:val="0"/>
                <w:bCs w:val="0"/>
                <w:color w:val="auto"/>
                <w:sz w:val="24"/>
                <w:szCs w:val="24"/>
                <w:highlight w:val="none"/>
                <w:lang w:val="en-US" w:eastAsia="zh-CN"/>
              </w:rPr>
              <w:t>装订形式：不得采用活页、拉杆等形式，必须采用胶装。</w:t>
            </w:r>
          </w:p>
        </w:tc>
      </w:tr>
      <w:tr>
        <w:tblPrEx>
          <w:tblCellMar>
            <w:top w:w="0" w:type="dxa"/>
            <w:left w:w="108" w:type="dxa"/>
            <w:bottom w:w="0" w:type="dxa"/>
            <w:right w:w="108" w:type="dxa"/>
          </w:tblCellMar>
        </w:tblPrEx>
        <w:trPr>
          <w:trHeight w:val="3610" w:hRule="atLeast"/>
          <w:jc w:val="center"/>
        </w:trPr>
        <w:tc>
          <w:tcPr>
            <w:tcW w:w="536"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17</w:t>
            </w:r>
          </w:p>
        </w:tc>
        <w:tc>
          <w:tcPr>
            <w:tcW w:w="1720"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投标文件的上传和递交</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a.供应商未能在投标截止时间前成功上传电子加密投标文件的投标无效。</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b.供应商成功上传电子加密投标文件后，可自行打印投标文件接收回执。</w:t>
            </w:r>
          </w:p>
        </w:tc>
      </w:tr>
      <w:tr>
        <w:tblPrEx>
          <w:tblCellMar>
            <w:top w:w="0" w:type="dxa"/>
            <w:left w:w="108" w:type="dxa"/>
            <w:bottom w:w="0" w:type="dxa"/>
            <w:right w:w="108" w:type="dxa"/>
          </w:tblCellMar>
        </w:tblPrEx>
        <w:trPr>
          <w:trHeight w:val="1518"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18</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评标委员会的组建</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评标委员会由采购人依法组建；</w:t>
            </w:r>
          </w:p>
          <w:p>
            <w:pPr>
              <w:shd w:val="clear" w:color="auto" w:fill="auto"/>
              <w:spacing w:line="360" w:lineRule="auto"/>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评标专家确定方式：专家评委由采购人在开标前从政采云专家库中随机抽取。</w:t>
            </w:r>
          </w:p>
        </w:tc>
      </w:tr>
      <w:tr>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19</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是否授权评标委员会确定中标候选人</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en-US" w:eastAsia="zh-CN"/>
              </w:rPr>
              <w:t>是，评标委员会推荐3名中标候选人。</w:t>
            </w:r>
            <w:r>
              <w:rPr>
                <w:rFonts w:hint="eastAsia" w:ascii="仿宋" w:hAnsi="仿宋" w:eastAsia="仿宋" w:cs="仿宋"/>
                <w:b w:val="0"/>
                <w:bCs w:val="0"/>
                <w:color w:val="auto"/>
                <w:sz w:val="24"/>
                <w:szCs w:val="24"/>
                <w:lang w:val="en-US" w:eastAsia="zh-CN"/>
              </w:rPr>
              <w:tab/>
            </w:r>
          </w:p>
        </w:tc>
      </w:tr>
      <w:tr>
        <w:tblPrEx>
          <w:tblCellMar>
            <w:top w:w="0" w:type="dxa"/>
            <w:left w:w="108" w:type="dxa"/>
            <w:bottom w:w="0" w:type="dxa"/>
            <w:right w:w="108" w:type="dxa"/>
          </w:tblCellMar>
        </w:tblPrEx>
        <w:trPr>
          <w:trHeight w:val="756"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20</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递交投标文件地点</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投标截止时间：</w:t>
            </w:r>
            <w:r>
              <w:rPr>
                <w:rFonts w:hint="eastAsia" w:ascii="仿宋" w:hAnsi="仿宋" w:eastAsia="仿宋" w:cs="仿宋"/>
                <w:b w:val="0"/>
                <w:bCs w:val="0"/>
                <w:color w:val="0000FF"/>
                <w:sz w:val="24"/>
                <w:szCs w:val="24"/>
                <w:lang w:val="en-US" w:eastAsia="zh-CN"/>
              </w:rPr>
              <w:t>2023年08月23日11时00分（北京时间）</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投标地点：新疆政府采购云平台（www.zcygov.cn）</w:t>
            </w:r>
          </w:p>
        </w:tc>
      </w:tr>
      <w:tr>
        <w:tblPrEx>
          <w:tblCellMar>
            <w:top w:w="0" w:type="dxa"/>
            <w:left w:w="108" w:type="dxa"/>
            <w:bottom w:w="0" w:type="dxa"/>
            <w:right w:w="108" w:type="dxa"/>
          </w:tblCellMar>
        </w:tblPrEx>
        <w:trPr>
          <w:trHeight w:val="71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21</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开标时间和地点</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开标时间：</w:t>
            </w:r>
            <w:r>
              <w:rPr>
                <w:rFonts w:hint="eastAsia" w:ascii="仿宋" w:hAnsi="仿宋" w:eastAsia="仿宋" w:cs="仿宋"/>
                <w:b w:val="0"/>
                <w:bCs w:val="0"/>
                <w:color w:val="0000FF"/>
                <w:sz w:val="24"/>
                <w:szCs w:val="24"/>
                <w:lang w:val="en-US" w:eastAsia="zh-CN"/>
              </w:rPr>
              <w:t>2023年08月23日11时00分（北京时间）</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开标地点：新疆政府采购云平台（www.zcygov.cn）         </w:t>
            </w:r>
          </w:p>
        </w:tc>
      </w:tr>
      <w:tr>
        <w:tblPrEx>
          <w:tblCellMar>
            <w:top w:w="0" w:type="dxa"/>
            <w:left w:w="108" w:type="dxa"/>
            <w:bottom w:w="0" w:type="dxa"/>
            <w:right w:w="108" w:type="dxa"/>
          </w:tblCellMar>
        </w:tblPrEx>
        <w:trPr>
          <w:trHeight w:val="90" w:hRule="atLeast"/>
          <w:jc w:val="center"/>
        </w:trPr>
        <w:tc>
          <w:tcPr>
            <w:tcW w:w="536"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22</w:t>
            </w:r>
          </w:p>
        </w:tc>
        <w:tc>
          <w:tcPr>
            <w:tcW w:w="172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重要说明</w:t>
            </w:r>
          </w:p>
        </w:tc>
        <w:tc>
          <w:tcPr>
            <w:tcW w:w="754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pacing w:val="0"/>
                <w:w w:val="100"/>
                <w:kern w:val="0"/>
                <w:position w:val="0"/>
                <w:sz w:val="24"/>
                <w:szCs w:val="24"/>
                <w:shd w:val="clear" w:color="auto" w:fill="auto"/>
                <w:lang w:val="en-US" w:eastAsia="zh-CN" w:bidi="en-US"/>
              </w:rPr>
            </w:pPr>
            <w:r>
              <w:rPr>
                <w:rFonts w:hint="eastAsia" w:ascii="仿宋" w:hAnsi="仿宋" w:eastAsia="仿宋" w:cs="仿宋"/>
                <w:color w:val="auto"/>
                <w:spacing w:val="0"/>
                <w:w w:val="100"/>
                <w:kern w:val="0"/>
                <w:position w:val="0"/>
                <w:sz w:val="24"/>
                <w:szCs w:val="24"/>
                <w:shd w:val="clear" w:color="auto" w:fill="auto"/>
                <w:lang w:val="en-US" w:eastAsia="zh-CN" w:bidi="en-US"/>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pacing w:val="0"/>
                <w:w w:val="100"/>
                <w:kern w:val="0"/>
                <w:position w:val="0"/>
                <w:sz w:val="24"/>
                <w:szCs w:val="24"/>
                <w:shd w:val="clear" w:color="auto" w:fill="auto"/>
                <w:lang w:val="en-US" w:eastAsia="zh-CN" w:bidi="en-US"/>
              </w:rPr>
            </w:pPr>
            <w:r>
              <w:rPr>
                <w:rFonts w:hint="eastAsia" w:ascii="仿宋" w:hAnsi="仿宋" w:eastAsia="仿宋" w:cs="仿宋"/>
                <w:color w:val="auto"/>
                <w:spacing w:val="0"/>
                <w:w w:val="100"/>
                <w:kern w:val="0"/>
                <w:position w:val="0"/>
                <w:sz w:val="24"/>
                <w:szCs w:val="24"/>
                <w:shd w:val="clear" w:color="auto" w:fill="auto"/>
                <w:lang w:val="en-US" w:eastAsia="zh-CN" w:bidi="en-US"/>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pacing w:val="0"/>
                <w:w w:val="100"/>
                <w:kern w:val="0"/>
                <w:position w:val="0"/>
                <w:sz w:val="24"/>
                <w:szCs w:val="24"/>
                <w:shd w:val="clear" w:color="auto" w:fill="auto"/>
                <w:lang w:val="en-US" w:eastAsia="zh-CN" w:bidi="en-US"/>
              </w:rPr>
            </w:pPr>
            <w:r>
              <w:rPr>
                <w:rFonts w:hint="eastAsia" w:ascii="仿宋" w:hAnsi="仿宋" w:eastAsia="仿宋" w:cs="仿宋"/>
                <w:color w:val="auto"/>
                <w:spacing w:val="0"/>
                <w:w w:val="100"/>
                <w:kern w:val="0"/>
                <w:position w:val="0"/>
                <w:sz w:val="24"/>
                <w:szCs w:val="24"/>
                <w:shd w:val="clear" w:color="auto" w:fill="auto"/>
                <w:lang w:val="en-US" w:eastAsia="zh-CN" w:bidi="en-US"/>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pacing w:val="0"/>
                <w:w w:val="100"/>
                <w:kern w:val="0"/>
                <w:position w:val="0"/>
                <w:sz w:val="24"/>
                <w:szCs w:val="24"/>
                <w:shd w:val="clear" w:color="auto" w:fill="auto"/>
                <w:lang w:val="en-US" w:eastAsia="zh-CN" w:bidi="en-US"/>
              </w:rPr>
            </w:pPr>
            <w:r>
              <w:rPr>
                <w:rFonts w:hint="eastAsia" w:ascii="仿宋" w:hAnsi="仿宋" w:eastAsia="仿宋" w:cs="仿宋"/>
                <w:color w:val="auto"/>
                <w:spacing w:val="0"/>
                <w:w w:val="100"/>
                <w:kern w:val="0"/>
                <w:position w:val="0"/>
                <w:sz w:val="24"/>
                <w:szCs w:val="24"/>
                <w:shd w:val="clear" w:color="auto" w:fill="auto"/>
                <w:lang w:val="en-US" w:eastAsia="zh-CN" w:bidi="en-US"/>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pacing w:val="0"/>
                <w:w w:val="100"/>
                <w:kern w:val="0"/>
                <w:position w:val="0"/>
                <w:sz w:val="24"/>
                <w:szCs w:val="24"/>
                <w:shd w:val="clear" w:color="auto" w:fill="auto"/>
                <w:lang w:val="en-US" w:eastAsia="zh-CN" w:bidi="en-US"/>
              </w:rPr>
            </w:pPr>
            <w:r>
              <w:rPr>
                <w:rFonts w:hint="eastAsia" w:ascii="仿宋" w:hAnsi="仿宋" w:eastAsia="仿宋" w:cs="仿宋"/>
                <w:color w:val="auto"/>
                <w:spacing w:val="0"/>
                <w:w w:val="100"/>
                <w:kern w:val="0"/>
                <w:position w:val="0"/>
                <w:sz w:val="24"/>
                <w:szCs w:val="24"/>
                <w:shd w:val="clear" w:color="auto" w:fill="auto"/>
                <w:lang w:val="en-US" w:eastAsia="zh-CN" w:bidi="en-US"/>
              </w:rPr>
              <w:t>5.供应商在开标时须使用制作加密电子投标文件所使用的CA锁及电脑，电脑须提前配置好浏览器（建议使用谷歌浏览器），以便开标时解锁。</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pacing w:val="0"/>
                <w:w w:val="100"/>
                <w:kern w:val="0"/>
                <w:position w:val="0"/>
                <w:sz w:val="24"/>
                <w:szCs w:val="24"/>
                <w:shd w:val="clear" w:color="auto" w:fill="auto"/>
                <w:lang w:val="en-US" w:eastAsia="zh-CN" w:bidi="en-US"/>
              </w:rPr>
            </w:pPr>
            <w:r>
              <w:rPr>
                <w:rFonts w:hint="eastAsia" w:ascii="仿宋" w:hAnsi="仿宋" w:eastAsia="仿宋" w:cs="仿宋"/>
                <w:color w:val="auto"/>
                <w:spacing w:val="0"/>
                <w:w w:val="100"/>
                <w:kern w:val="0"/>
                <w:position w:val="0"/>
                <w:sz w:val="24"/>
                <w:szCs w:val="24"/>
                <w:shd w:val="clear" w:color="auto" w:fill="auto"/>
                <w:lang w:val="en-US" w:eastAsia="zh-CN" w:bidi="en-US"/>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color w:val="auto"/>
                <w:spacing w:val="0"/>
                <w:w w:val="100"/>
                <w:kern w:val="0"/>
                <w:position w:val="0"/>
                <w:sz w:val="24"/>
                <w:szCs w:val="24"/>
                <w:shd w:val="clear" w:color="auto" w:fill="auto"/>
                <w:lang w:val="en-US" w:eastAsia="zh-CN" w:bidi="en-US"/>
              </w:rPr>
              <w:t>7.为了保证开评标顺利进行，政采云线上开标功能完全实现，供应商开标所使用的电脑设备须具有视频及语音功能。</w:t>
            </w:r>
          </w:p>
        </w:tc>
      </w:tr>
      <w:tr>
        <w:tblPrEx>
          <w:tblCellMar>
            <w:top w:w="0" w:type="dxa"/>
            <w:left w:w="108" w:type="dxa"/>
            <w:bottom w:w="0" w:type="dxa"/>
            <w:right w:w="108" w:type="dxa"/>
          </w:tblCellMar>
        </w:tblPrEx>
        <w:trPr>
          <w:trHeight w:val="1315" w:hRule="atLeast"/>
          <w:jc w:val="center"/>
        </w:trPr>
        <w:tc>
          <w:tcPr>
            <w:tcW w:w="536"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172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1、电子招投标情况说明：</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（1）电子招投标：本项目以数据电文形式，依托“政府采购云平台（www.zcygov.cn）”进行招投标活动。</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（3）招标文件的获取：使用账号登录或者短信验证码或者使用CA登录政采云平台；进入“项目采购”应用，在获取招标文件 菜单中选择项目，获取招标文件 </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（5）具体操作指南：详见政采云平台“服务中心-帮助文档-项目采购-操作流程-电子招投标-政府采购项目电子交易管理操作指南-供应商”。</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（6）供应商在进行上述操作时，如遇技术问题可登录政采云（https://</w:t>
            </w:r>
            <w:r>
              <w:rPr>
                <w:rFonts w:hint="eastAsia" w:ascii="仿宋" w:hAnsi="仿宋" w:eastAsia="仿宋" w:cs="仿宋"/>
                <w:b w:val="0"/>
                <w:bCs w:val="0"/>
                <w:color w:val="auto"/>
                <w:sz w:val="24"/>
                <w:szCs w:val="24"/>
                <w:lang w:val="en-US" w:eastAsia="zh-CN"/>
              </w:rPr>
              <w:fldChar w:fldCharType="begin"/>
            </w:r>
            <w:r>
              <w:rPr>
                <w:rFonts w:hint="eastAsia" w:ascii="仿宋" w:hAnsi="仿宋" w:eastAsia="仿宋" w:cs="仿宋"/>
                <w:b w:val="0"/>
                <w:bCs w:val="0"/>
                <w:color w:val="auto"/>
                <w:sz w:val="24"/>
                <w:szCs w:val="24"/>
                <w:lang w:val="en-US" w:eastAsia="zh-CN"/>
              </w:rPr>
              <w:instrText xml:space="preserve">HYPERLINK "http://www.zcygov.cn/" \h</w:instrText>
            </w:r>
            <w:r>
              <w:rPr>
                <w:rFonts w:hint="eastAsia" w:ascii="仿宋" w:hAnsi="仿宋" w:eastAsia="仿宋" w:cs="仿宋"/>
                <w:b w:val="0"/>
                <w:bCs w:val="0"/>
                <w:color w:val="auto"/>
                <w:sz w:val="24"/>
                <w:szCs w:val="24"/>
                <w:lang w:val="en-US" w:eastAsia="zh-CN"/>
              </w:rPr>
              <w:fldChar w:fldCharType="separate"/>
            </w:r>
            <w:r>
              <w:rPr>
                <w:rFonts w:hint="eastAsia" w:ascii="仿宋" w:hAnsi="仿宋" w:eastAsia="仿宋" w:cs="仿宋"/>
                <w:b w:val="0"/>
                <w:bCs w:val="0"/>
                <w:color w:val="auto"/>
                <w:sz w:val="24"/>
                <w:szCs w:val="24"/>
                <w:lang w:val="en-US" w:eastAsia="zh-CN"/>
              </w:rPr>
              <w:t>www.zcygov.cn/</w:t>
            </w:r>
            <w:r>
              <w:rPr>
                <w:rFonts w:hint="eastAsia" w:ascii="仿宋" w:hAnsi="仿宋" w:eastAsia="仿宋" w:cs="仿宋"/>
                <w:b w:val="0"/>
                <w:bCs w:val="0"/>
                <w:color w:val="auto"/>
                <w:sz w:val="24"/>
                <w:szCs w:val="24"/>
                <w:lang w:val="en-US" w:eastAsia="zh-CN"/>
              </w:rPr>
              <w:fldChar w:fldCharType="end"/>
            </w:r>
            <w:r>
              <w:rPr>
                <w:rFonts w:hint="eastAsia" w:ascii="仿宋" w:hAnsi="仿宋" w:eastAsia="仿宋" w:cs="仿宋"/>
                <w:b w:val="0"/>
                <w:bCs w:val="0"/>
                <w:color w:val="auto"/>
                <w:sz w:val="24"/>
                <w:szCs w:val="24"/>
                <w:lang w:val="en-US" w:eastAsia="zh-CN"/>
              </w:rPr>
              <w:t>），点击右侧咨询小采，获取采小蜜智能服务管家帮助，或拨打政采云服务热线95763获取热线服务帮助。</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温馨提醒：供应商应提前上传，以便在上传时遇到技术问题，有充足的时间请教平台的技术人员。</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供应商认为招标文件使自己的权益受到损害的，可以自收到招标文件之日（招标文件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或逾期提出的不予受理、答复。</w:t>
            </w:r>
          </w:p>
        </w:tc>
      </w:tr>
      <w:tr>
        <w:tblPrEx>
          <w:tblCellMar>
            <w:top w:w="0" w:type="dxa"/>
            <w:left w:w="108" w:type="dxa"/>
            <w:bottom w:w="0" w:type="dxa"/>
            <w:right w:w="108" w:type="dxa"/>
          </w:tblCellMar>
        </w:tblPrEx>
        <w:trPr>
          <w:trHeight w:val="844"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23</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中标候选人公示媒介</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新疆政府采购网，公示期为一个工作日。</w:t>
            </w:r>
          </w:p>
        </w:tc>
      </w:tr>
      <w:tr>
        <w:tblPrEx>
          <w:tblCellMar>
            <w:top w:w="0" w:type="dxa"/>
            <w:left w:w="108" w:type="dxa"/>
            <w:bottom w:w="0" w:type="dxa"/>
            <w:right w:w="108" w:type="dxa"/>
          </w:tblCellMar>
        </w:tblPrEx>
        <w:trPr>
          <w:trHeight w:val="3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24</w:t>
            </w: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招标代理服务费</w:t>
            </w:r>
          </w:p>
        </w:tc>
      </w:tr>
      <w:tr>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highlight w:val="none"/>
                <w:lang w:val="en-US" w:eastAsia="zh-CN"/>
              </w:rPr>
              <w:t>由中标供应商支付，</w:t>
            </w:r>
            <w:r>
              <w:rPr>
                <w:rFonts w:hint="eastAsia" w:ascii="仿宋" w:hAnsi="仿宋" w:eastAsia="仿宋" w:cs="仿宋"/>
                <w:color w:val="auto"/>
                <w:kern w:val="2"/>
                <w:sz w:val="24"/>
                <w:szCs w:val="24"/>
                <w:highlight w:val="none"/>
                <w:lang w:val="en-US" w:eastAsia="zh-CN" w:bidi="ar-SA"/>
              </w:rPr>
              <w:t>中标单位在领取本项目中标通知书时，参照《国家计委关于印发招标代理服务收费管理暂行办法的通知（计价格[2002]1980号）及《招标代理服务收费有关问题》（发改办价格〔2003〕857号文）中规定由中标单位向招标代理机构支付本项目代理费。</w:t>
            </w:r>
            <w:r>
              <w:rPr>
                <w:rFonts w:hint="eastAsia" w:ascii="仿宋" w:hAnsi="仿宋" w:eastAsia="仿宋" w:cs="仿宋"/>
                <w:b w:val="0"/>
                <w:bCs w:val="0"/>
                <w:color w:val="auto"/>
                <w:sz w:val="24"/>
                <w:szCs w:val="24"/>
                <w:highlight w:val="none"/>
                <w:lang w:val="en-US" w:eastAsia="zh-CN"/>
              </w:rPr>
              <w:t>此费由投标人综合考虑到投标报价中，不再单独列项。</w:t>
            </w:r>
          </w:p>
        </w:tc>
      </w:tr>
      <w:tr>
        <w:tblPrEx>
          <w:tblCellMar>
            <w:top w:w="0" w:type="dxa"/>
            <w:left w:w="108" w:type="dxa"/>
            <w:bottom w:w="0" w:type="dxa"/>
            <w:right w:w="108" w:type="dxa"/>
          </w:tblCellMar>
        </w:tblPrEx>
        <w:trPr>
          <w:trHeight w:val="376"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25</w:t>
            </w: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评标办法：本项目采用综合评分法</w:t>
            </w:r>
          </w:p>
        </w:tc>
      </w:tr>
      <w:tr>
        <w:tblPrEx>
          <w:tblCellMar>
            <w:top w:w="0" w:type="dxa"/>
            <w:left w:w="108" w:type="dxa"/>
            <w:bottom w:w="0" w:type="dxa"/>
            <w:right w:w="108" w:type="dxa"/>
          </w:tblCellMar>
        </w:tblPrEx>
        <w:trPr>
          <w:trHeight w:val="403"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26</w:t>
            </w: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不管投标结果如何，投标人均应承担自己投标所需一切费用。</w:t>
            </w:r>
          </w:p>
        </w:tc>
      </w:tr>
      <w:tr>
        <w:tblPrEx>
          <w:tblCellMar>
            <w:top w:w="0" w:type="dxa"/>
            <w:left w:w="108" w:type="dxa"/>
            <w:bottom w:w="0" w:type="dxa"/>
            <w:right w:w="108" w:type="dxa"/>
          </w:tblCellMar>
        </w:tblPrEx>
        <w:trPr>
          <w:trHeight w:val="46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27</w:t>
            </w: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本次招标预算价：</w:t>
            </w:r>
            <w:r>
              <w:rPr>
                <w:rFonts w:hint="eastAsia" w:ascii="仿宋" w:hAnsi="仿宋" w:eastAsia="仿宋" w:cs="仿宋"/>
                <w:b w:val="0"/>
                <w:bCs w:val="0"/>
                <w:color w:val="0000FF"/>
                <w:sz w:val="24"/>
                <w:szCs w:val="24"/>
                <w:lang w:val="en-US" w:eastAsia="zh-CN"/>
              </w:rPr>
              <w:t>865000元（捌拾陆万伍仟元整），</w:t>
            </w:r>
            <w:r>
              <w:rPr>
                <w:rFonts w:hint="eastAsia" w:ascii="仿宋" w:hAnsi="仿宋" w:eastAsia="仿宋" w:cs="仿宋"/>
                <w:color w:val="auto"/>
                <w:lang w:eastAsia="zh-CN"/>
              </w:rPr>
              <w:t>投标总报价超过采购预算价的按废标处理。</w:t>
            </w:r>
            <w:bookmarkStart w:id="56" w:name="_GoBack"/>
            <w:bookmarkEnd w:id="56"/>
          </w:p>
        </w:tc>
      </w:tr>
      <w:tr>
        <w:tblPrEx>
          <w:tblCellMar>
            <w:top w:w="0" w:type="dxa"/>
            <w:left w:w="108" w:type="dxa"/>
            <w:bottom w:w="0" w:type="dxa"/>
            <w:right w:w="108" w:type="dxa"/>
          </w:tblCellMar>
        </w:tblPrEx>
        <w:trPr>
          <w:trHeight w:val="2726" w:hRule="atLeast"/>
          <w:jc w:val="center"/>
        </w:trPr>
        <w:tc>
          <w:tcPr>
            <w:tcW w:w="536"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28</w:t>
            </w:r>
          </w:p>
        </w:tc>
        <w:tc>
          <w:tcPr>
            <w:tcW w:w="172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中小微企业政策文件</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根据财政部、工业和信息化部关于印发《政府采购促进中小企业发展管理办法》的通知（财库[2020]46号）和（财库[2020]19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w:t>
            </w:r>
          </w:p>
        </w:tc>
      </w:tr>
      <w:tr>
        <w:tblPrEx>
          <w:tblCellMar>
            <w:top w:w="0" w:type="dxa"/>
            <w:left w:w="108" w:type="dxa"/>
            <w:bottom w:w="0" w:type="dxa"/>
            <w:right w:w="108" w:type="dxa"/>
          </w:tblCellMar>
        </w:tblPrEx>
        <w:trPr>
          <w:trHeight w:val="1759" w:hRule="atLeast"/>
          <w:jc w:val="center"/>
        </w:trPr>
        <w:tc>
          <w:tcPr>
            <w:tcW w:w="536" w:type="dxa"/>
            <w:vMerge w:val="continue"/>
            <w:tcBorders>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1720" w:type="dxa"/>
            <w:vMerge w:val="continue"/>
            <w:tcBorders>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90" w:hRule="atLeast"/>
          <w:jc w:val="center"/>
        </w:trPr>
        <w:tc>
          <w:tcPr>
            <w:tcW w:w="536"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172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CellMar>
            <w:top w:w="0" w:type="dxa"/>
            <w:left w:w="108" w:type="dxa"/>
            <w:bottom w:w="0" w:type="dxa"/>
            <w:right w:w="108" w:type="dxa"/>
          </w:tblCellMar>
        </w:tblPrEx>
        <w:trPr>
          <w:trHeight w:val="844"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29</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ind w:firstLine="240" w:firstLineChars="100"/>
              <w:jc w:val="both"/>
              <w:rPr>
                <w:rFonts w:hint="eastAsia" w:ascii="仿宋" w:hAnsi="仿宋" w:eastAsia="仿宋" w:cs="仿宋"/>
                <w:b w:val="0"/>
                <w:bCs w:val="0"/>
                <w:color w:val="auto"/>
                <w:sz w:val="24"/>
                <w:szCs w:val="24"/>
              </w:rPr>
            </w:pPr>
          </w:p>
          <w:p>
            <w:pPr>
              <w:shd w:val="clear" w:color="auto" w:fill="auto"/>
              <w:spacing w:line="360" w:lineRule="auto"/>
              <w:jc w:val="both"/>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履约保证金</w:t>
            </w:r>
          </w:p>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不收取</w:t>
            </w:r>
          </w:p>
        </w:tc>
      </w:tr>
      <w:tr>
        <w:tblPrEx>
          <w:tblCellMar>
            <w:top w:w="0" w:type="dxa"/>
            <w:left w:w="108" w:type="dxa"/>
            <w:bottom w:w="0" w:type="dxa"/>
            <w:right w:w="108" w:type="dxa"/>
          </w:tblCellMar>
        </w:tblPrEx>
        <w:trPr>
          <w:trHeight w:val="84" w:hRule="atLeast"/>
          <w:jc w:val="center"/>
        </w:trPr>
        <w:tc>
          <w:tcPr>
            <w:tcW w:w="2256"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rPr>
              <w:t>备注</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numPr>
                <w:ilvl w:val="0"/>
                <w:numId w:val="0"/>
              </w:numPr>
              <w:kinsoku/>
              <w:wordWrap/>
              <w:overflowPunct/>
              <w:topLinePunct w:val="0"/>
              <w:autoSpaceDE/>
              <w:autoSpaceDN/>
              <w:bidi w:val="0"/>
              <w:adjustRightInd/>
              <w:snapToGrid/>
              <w:spacing w:line="400" w:lineRule="exact"/>
              <w:ind w:leftChars="0" w:right="0" w:right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着重提醒各投标人注意，并认真查看招标文件中的每一个条款及要求，因误读招标文件而造成的后果，招标人概不负责。</w:t>
            </w:r>
          </w:p>
          <w:p>
            <w:pPr>
              <w:spacing w:line="360" w:lineRule="auto"/>
              <w:rPr>
                <w:rFonts w:hint="eastAsia" w:ascii="仿宋" w:hAnsi="仿宋" w:eastAsia="仿宋" w:cs="仿宋"/>
                <w:b w:val="0"/>
                <w:bCs w:val="0"/>
                <w:color w:val="auto"/>
                <w:spacing w:val="0"/>
                <w:w w:val="100"/>
                <w:position w:val="0"/>
                <w:sz w:val="24"/>
                <w:szCs w:val="24"/>
                <w:shd w:val="clear" w:color="auto" w:fill="auto"/>
                <w:lang w:val="en-US" w:eastAsia="zh-CN" w:bidi="en-US"/>
              </w:rPr>
            </w:pPr>
            <w:r>
              <w:rPr>
                <w:rFonts w:hint="eastAsia" w:ascii="仿宋" w:hAnsi="仿宋" w:eastAsia="仿宋" w:cs="仿宋"/>
                <w:b w:val="0"/>
                <w:bCs w:val="0"/>
                <w:color w:val="auto"/>
                <w:spacing w:val="0"/>
                <w:w w:val="100"/>
                <w:position w:val="0"/>
                <w:sz w:val="24"/>
                <w:szCs w:val="24"/>
                <w:shd w:val="clear" w:color="auto" w:fill="auto"/>
                <w:lang w:val="en-US" w:eastAsia="zh-CN" w:bidi="en-US"/>
              </w:rPr>
              <w:t>2、投标人使用相同IP地址的，一经发现，相关部门将进一步核实，查实后按串通投标处理。</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为保证本项目质量，良好的售后服务，最低报价不作为中标的唯一依据。</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采购人若发现成交候选供应商在投标过程中提供虚假证明文件，故意隐瞒公司不良信誉和财务状况，以及其他可能对合同圆满履行造成风险的因素等，则按规定取消其成交资格，监管部门依法进行处理。</w:t>
            </w:r>
          </w:p>
          <w:p>
            <w:pPr>
              <w:spacing w:line="360"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其它：</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（1）投标企业严格遵守国家的法律法规及招标纪律，无违法违纪及商业贿赂行为。</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（2）不管投标结果如何，供应商均应自行承担投标所需一切费用。</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（3）供应商应以书面形式保证中标后由本公司组织实施，不得以任何理由将项目转包给其他机构。</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中如出现前后不一致情况，均以前附表内容为准。</w:t>
            </w:r>
          </w:p>
        </w:tc>
      </w:tr>
    </w:tbl>
    <w:p>
      <w:pPr>
        <w:pageBreakBefore/>
        <w:shd w:val="clear" w:color="auto" w:fill="auto"/>
        <w:spacing w:before="312" w:beforeLines="100" w:after="312" w:afterLines="100" w:line="440" w:lineRule="exact"/>
        <w:jc w:val="center"/>
        <w:outlineLvl w:val="1"/>
        <w:rPr>
          <w:rFonts w:hint="eastAsia" w:ascii="仿宋" w:hAnsi="仿宋" w:eastAsia="仿宋" w:cs="仿宋"/>
          <w:b/>
          <w:color w:val="auto"/>
          <w:sz w:val="28"/>
          <w:szCs w:val="32"/>
          <w:highlight w:val="none"/>
        </w:rPr>
      </w:pPr>
      <w:bookmarkStart w:id="2" w:name="_Toc363135205"/>
      <w:bookmarkStart w:id="3" w:name="_Toc7366"/>
      <w:bookmarkStart w:id="4" w:name="OLE_LINK4"/>
      <w:r>
        <w:rPr>
          <w:rFonts w:hint="eastAsia" w:ascii="仿宋" w:hAnsi="仿宋" w:eastAsia="仿宋" w:cs="仿宋"/>
          <w:b/>
          <w:color w:val="auto"/>
          <w:sz w:val="28"/>
          <w:szCs w:val="28"/>
          <w:highlight w:val="none"/>
        </w:rPr>
        <w:t>二、投标人须知</w:t>
      </w:r>
    </w:p>
    <w:p>
      <w:pPr>
        <w:shd w:val="clear" w:color="auto" w:fill="auto"/>
        <w:spacing w:line="440" w:lineRule="exact"/>
        <w:jc w:val="center"/>
        <w:outlineLvl w:val="2"/>
        <w:rPr>
          <w:rFonts w:hint="eastAsia" w:ascii="仿宋" w:hAnsi="仿宋" w:eastAsia="仿宋" w:cs="仿宋"/>
          <w:color w:val="auto"/>
          <w:sz w:val="28"/>
          <w:szCs w:val="28"/>
          <w:highlight w:val="none"/>
        </w:rPr>
      </w:pPr>
      <w:bookmarkStart w:id="5" w:name="_Toc469495724"/>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32"/>
          <w:highlight w:val="none"/>
        </w:rPr>
        <w:t>总  则</w:t>
      </w:r>
      <w:bookmarkEnd w:id="5"/>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1.项目概况</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1.1本次招标采购项目名称：见投标人须知前附表。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 xml:space="preserve"> 项目编号：见投标人须知前附表。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招标人：见投标人须知前附表。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 xml:space="preserve">           供货期限</w:t>
      </w:r>
      <w:r>
        <w:rPr>
          <w:rFonts w:hint="eastAsia" w:ascii="仿宋" w:hAnsi="仿宋" w:eastAsia="仿宋" w:cs="仿宋"/>
          <w:color w:val="auto"/>
          <w:szCs w:val="21"/>
          <w:highlight w:val="none"/>
        </w:rPr>
        <w:t>：见投标人须知前附表。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 xml:space="preserve">  服务</w:t>
      </w:r>
      <w:r>
        <w:rPr>
          <w:rFonts w:hint="eastAsia" w:ascii="仿宋" w:hAnsi="仿宋" w:eastAsia="仿宋" w:cs="仿宋"/>
          <w:color w:val="auto"/>
          <w:szCs w:val="21"/>
          <w:highlight w:val="none"/>
        </w:rPr>
        <w:t>地点：见投标人须知前附表。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1.2招标人及联系人: 见投标人须知前附表。</w:t>
      </w:r>
    </w:p>
    <w:p>
      <w:pPr>
        <w:shd w:val="clear" w:color="auto" w:fill="auto"/>
        <w:snapToGrid w:val="0"/>
        <w:spacing w:line="440" w:lineRule="exact"/>
        <w:ind w:firstLine="600" w:firstLineChars="25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代理机构及联系人: 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1.3资金来源：见投标人须知前附表。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1.4本项目预算：见投标人须知前附表。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1.5本项目控制价：见投标人须知前附表。</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2.招标范围：</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2.1 采购内容：见投标人须知前附表。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 技术要求：详见</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第四章采购内容及技术要求。</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3.标包划分：</w:t>
      </w:r>
    </w:p>
    <w:p>
      <w:pPr>
        <w:shd w:val="clear" w:color="auto" w:fill="auto"/>
        <w:snapToGrid w:val="0"/>
        <w:spacing w:line="44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3.1本项目划分：</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1</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个包</w:t>
      </w:r>
      <w:r>
        <w:rPr>
          <w:rFonts w:hint="eastAsia" w:ascii="仿宋" w:hAnsi="仿宋" w:eastAsia="仿宋" w:cs="仿宋"/>
          <w:color w:val="auto"/>
          <w:kern w:val="0"/>
          <w:szCs w:val="21"/>
          <w:highlight w:val="none"/>
        </w:rPr>
        <w:t>。</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4.招标方式：</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4.1本项目招标方式：见投标人须知前附表。</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5.计价方式：</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5.1本次招标项目合同采用</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综合</w:t>
      </w:r>
      <w:r>
        <w:rPr>
          <w:rFonts w:hint="eastAsia" w:ascii="仿宋" w:hAnsi="仿宋" w:eastAsia="仿宋" w:cs="仿宋"/>
          <w:color w:val="auto"/>
          <w:szCs w:val="21"/>
          <w:highlight w:val="none"/>
          <w:u w:val="single"/>
        </w:rPr>
        <w:t>单价。</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6.评标办法：</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6.1本次招标评标采用</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eastAsia="zh-CN"/>
        </w:rPr>
        <w:t>综合评分</w:t>
      </w:r>
      <w:r>
        <w:rPr>
          <w:rFonts w:hint="eastAsia" w:ascii="仿宋" w:hAnsi="仿宋" w:eastAsia="仿宋" w:cs="仿宋"/>
          <w:color w:val="auto"/>
          <w:szCs w:val="21"/>
          <w:highlight w:val="none"/>
          <w:u w:val="single"/>
        </w:rPr>
        <w:t xml:space="preserve">法 </w:t>
      </w:r>
      <w:r>
        <w:rPr>
          <w:rFonts w:hint="eastAsia" w:ascii="仿宋" w:hAnsi="仿宋" w:eastAsia="仿宋" w:cs="仿宋"/>
          <w:color w:val="auto"/>
          <w:szCs w:val="21"/>
          <w:highlight w:val="none"/>
        </w:rPr>
        <w:t>（详见第三章评标办法）</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7.投标人资格：</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7.1参与采购活动的投标人必须是满足《中华人民共和国政府采购法》规定条件的法人、其他组织或者自然人：</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7.3根据电子化政府采购的特点，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8. 投标费用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8.1投标人准备和参加投标活动发生的费用自理。</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9.</w:t>
      </w:r>
      <w:bookmarkStart w:id="6" w:name="_Toc144974507"/>
      <w:bookmarkStart w:id="7" w:name="_Toc247513962"/>
      <w:bookmarkStart w:id="8" w:name="_Toc247592876"/>
      <w:bookmarkStart w:id="9" w:name="_Toc152045539"/>
      <w:bookmarkStart w:id="10" w:name="_Toc296602429"/>
      <w:bookmarkStart w:id="11" w:name="_Toc152042315"/>
      <w:bookmarkStart w:id="12" w:name="_Toc247527563"/>
      <w:r>
        <w:rPr>
          <w:rFonts w:hint="eastAsia" w:ascii="仿宋" w:hAnsi="仿宋" w:eastAsia="仿宋" w:cs="仿宋"/>
          <w:b/>
          <w:color w:val="auto"/>
          <w:szCs w:val="21"/>
          <w:highlight w:val="none"/>
        </w:rPr>
        <w:t xml:space="preserve"> 踏勘现场</w:t>
      </w:r>
      <w:bookmarkEnd w:id="6"/>
      <w:bookmarkEnd w:id="7"/>
      <w:bookmarkEnd w:id="8"/>
      <w:bookmarkEnd w:id="9"/>
      <w:bookmarkEnd w:id="10"/>
      <w:bookmarkEnd w:id="11"/>
      <w:bookmarkEnd w:id="12"/>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9.1 投标人须知前附表规定组织踏勘现场的，招标人按投标人须知前附表规定的时间、地点组织投标人踏勘项目现场。</w:t>
      </w:r>
      <w:r>
        <w:rPr>
          <w:rFonts w:hint="eastAsia" w:ascii="仿宋" w:hAnsi="仿宋" w:eastAsia="仿宋" w:cs="仿宋"/>
          <w:color w:val="auto"/>
          <w:szCs w:val="21"/>
          <w:highlight w:val="none"/>
          <w:lang w:eastAsia="zh-CN"/>
        </w:rPr>
        <w:t>如需踏勘现场，</w:t>
      </w:r>
      <w:r>
        <w:rPr>
          <w:rFonts w:hint="eastAsia" w:ascii="仿宋" w:hAnsi="仿宋" w:eastAsia="仿宋" w:cs="仿宋"/>
          <w:color w:val="auto"/>
          <w:highlight w:val="none"/>
          <w:lang w:eastAsia="zh-CN"/>
        </w:rPr>
        <w:t>投标人自行踏勘现场的，可咨询本项目采购人或采购代理机构联系人。</w:t>
      </w:r>
      <w:r>
        <w:rPr>
          <w:rFonts w:hint="eastAsia" w:ascii="仿宋" w:hAnsi="仿宋" w:eastAsia="仿宋" w:cs="仿宋"/>
          <w:b/>
          <w:bCs/>
          <w:color w:val="auto"/>
          <w:highlight w:val="none"/>
          <w:lang w:eastAsia="zh-CN"/>
        </w:rPr>
        <w:t>投标人自行踏勘现场的，可咨询本项目采购人或采购代理机构联系人。</w:t>
      </w:r>
      <w:r>
        <w:rPr>
          <w:rFonts w:hint="eastAsia" w:ascii="仿宋" w:hAnsi="仿宋" w:eastAsia="仿宋" w:cs="仿宋"/>
          <w:b/>
          <w:bCs/>
          <w:color w:val="auto"/>
          <w:szCs w:val="21"/>
          <w:highlight w:val="none"/>
        </w:rPr>
        <w:t xml:space="preserve"> </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9.2 投标人踏勘现场发生的费用自理。</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9.3 除招标人的原因外，投标人自行负责在踏勘现场中所发生的人员伤亡和财产损失。</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9.4 招标人在踏勘现场中介绍的场地和相关的周边环境情况，供投标人在编制投标文件时参考，招标人不对投标人据此作出的判断和决策负责。</w:t>
      </w:r>
      <w:bookmarkStart w:id="13" w:name="_Toc152045540"/>
      <w:bookmarkStart w:id="14" w:name="_Toc247513963"/>
      <w:bookmarkStart w:id="15" w:name="_Toc247592877"/>
      <w:bookmarkStart w:id="16" w:name="_Toc152042316"/>
      <w:bookmarkStart w:id="17" w:name="_Toc296602430"/>
      <w:bookmarkStart w:id="18" w:name="_Toc144974508"/>
      <w:bookmarkStart w:id="19" w:name="_Toc247527564"/>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10. 投标预备会</w:t>
      </w:r>
      <w:bookmarkEnd w:id="13"/>
      <w:bookmarkEnd w:id="14"/>
      <w:bookmarkEnd w:id="15"/>
      <w:bookmarkEnd w:id="16"/>
      <w:bookmarkEnd w:id="17"/>
      <w:bookmarkEnd w:id="18"/>
      <w:bookmarkEnd w:id="19"/>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10.1投标人须知前附表规定召开投标预备会的，招标人按投标人须知前附表规定的时间和地点召开投标预备会，澄清投标人提出的问题。</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10.2投标人应在投标人须知前附表规定的时间前，将提出的问题送达招标人，以便招标人澄清。</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10.3招标人在投标人须知前附表规定的时间，将对投标人所提的问题进行澄清。该澄清内容为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11. 联合</w:t>
      </w:r>
      <w:r>
        <w:rPr>
          <w:rFonts w:hint="eastAsia" w:ascii="仿宋" w:hAnsi="仿宋" w:eastAsia="仿宋" w:cs="仿宋"/>
          <w:b/>
          <w:color w:val="auto"/>
          <w:szCs w:val="21"/>
          <w:highlight w:val="none"/>
          <w:lang w:eastAsia="zh-CN"/>
        </w:rPr>
        <w:t>体</w:t>
      </w:r>
      <w:r>
        <w:rPr>
          <w:rFonts w:hint="eastAsia" w:ascii="仿宋" w:hAnsi="仿宋" w:eastAsia="仿宋" w:cs="仿宋"/>
          <w:b/>
          <w:color w:val="auto"/>
          <w:szCs w:val="21"/>
          <w:highlight w:val="none"/>
        </w:rPr>
        <w:t>投标</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70"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11.3 联合体应当确定其中一个单位为投标的全权代表，负责参加投标的一切事务，并承担投标及履约中应承担的全部责任与义务。</w:t>
      </w:r>
    </w:p>
    <w:p>
      <w:pPr>
        <w:pStyle w:val="12"/>
        <w:shd w:val="clear" w:color="auto" w:fill="auto"/>
        <w:spacing w:after="0" w:line="400" w:lineRule="exact"/>
        <w:ind w:left="0" w:leftChars="0" w:firstLine="48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11.4 联合体各方应当共同与招标人签订采购合同，就采购合同约定的事项对招标人承担连带责任。</w:t>
      </w:r>
    </w:p>
    <w:p>
      <w:pPr>
        <w:shd w:val="clear" w:color="auto" w:fill="auto"/>
        <w:spacing w:line="440" w:lineRule="exact"/>
        <w:ind w:firstLine="470" w:firstLineChars="196"/>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12.招标代理费</w:t>
      </w:r>
    </w:p>
    <w:p>
      <w:pPr>
        <w:shd w:val="clear" w:color="auto" w:fill="auto"/>
        <w:spacing w:line="440" w:lineRule="exact"/>
        <w:ind w:left="240" w:leftChars="100" w:firstLine="360" w:firstLineChars="150"/>
        <w:jc w:val="left"/>
        <w:rPr>
          <w:rFonts w:hint="eastAsia" w:ascii="仿宋" w:hAnsi="仿宋" w:eastAsia="仿宋" w:cs="仿宋"/>
          <w:bCs/>
          <w:color w:val="auto"/>
          <w:szCs w:val="21"/>
          <w:highlight w:val="none"/>
        </w:rPr>
      </w:pPr>
      <w:r>
        <w:rPr>
          <w:rFonts w:hint="eastAsia" w:ascii="仿宋" w:hAnsi="仿宋" w:eastAsia="仿宋" w:cs="仿宋"/>
          <w:bCs/>
          <w:color w:val="auto"/>
          <w:sz w:val="24"/>
          <w:szCs w:val="24"/>
          <w:highlight w:val="none"/>
        </w:rPr>
        <w:t>12.1</w:t>
      </w:r>
      <w:r>
        <w:rPr>
          <w:rFonts w:hint="eastAsia" w:ascii="仿宋" w:hAnsi="仿宋" w:eastAsia="仿宋" w:cs="仿宋"/>
          <w:color w:val="auto"/>
          <w:kern w:val="2"/>
          <w:sz w:val="24"/>
          <w:szCs w:val="24"/>
          <w:highlight w:val="none"/>
          <w:lang w:val="en-US" w:eastAsia="zh-CN" w:bidi="ar-SA"/>
        </w:rPr>
        <w:t>中标单位在领取本项目中标通知书时，参照《国家计委关于印发招标代理服务收费管理暂行办法的通知（计价格[2002]1980号）及《招标代理服务收费有关问题》（发改办价格〔2003〕857号文）中规定由中标单位向招标代理机构支付本项目代理费。</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13.投标人应注意的事项</w:t>
      </w:r>
    </w:p>
    <w:p>
      <w:pPr>
        <w:shd w:val="clear" w:color="auto" w:fill="auto"/>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13.1投标人一旦按规定缴纳了投标保证金并参加投标，即被认为接受了本</w:t>
      </w:r>
      <w:r>
        <w:rPr>
          <w:rFonts w:hint="eastAsia" w:ascii="仿宋" w:hAnsi="仿宋" w:eastAsia="仿宋" w:cs="仿宋"/>
          <w:color w:val="auto"/>
          <w:szCs w:val="21"/>
          <w:highlight w:val="none"/>
          <w:lang w:eastAsia="zh-CN"/>
        </w:rPr>
        <w:t>采购</w:t>
      </w:r>
      <w:r>
        <w:rPr>
          <w:rFonts w:hint="eastAsia" w:ascii="仿宋" w:hAnsi="仿宋" w:eastAsia="仿宋" w:cs="仿宋"/>
          <w:color w:val="auto"/>
          <w:szCs w:val="21"/>
          <w:highlight w:val="none"/>
        </w:rPr>
        <w:t>文件中的所有条件和规定。投标人必须严格按</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的要求编制投标文件，投标文件宜编制页码和目录，以便评委审核。否则，由此产生的一切后果由投标人承担。</w:t>
      </w:r>
    </w:p>
    <w:p>
      <w:pPr>
        <w:shd w:val="clear" w:color="auto" w:fill="auto"/>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2</w:t>
      </w:r>
      <w:r>
        <w:rPr>
          <w:rFonts w:hint="eastAsia" w:ascii="仿宋" w:hAnsi="仿宋" w:eastAsia="仿宋" w:cs="仿宋"/>
          <w:bCs/>
          <w:color w:val="auto"/>
          <w:szCs w:val="21"/>
          <w:highlight w:val="none"/>
        </w:rPr>
        <w:t xml:space="preserve"> 投标人对采购内容中规定的技术参数、规格等要求必须完全响应或优于</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中的要求。</w:t>
      </w:r>
    </w:p>
    <w:p>
      <w:pPr>
        <w:shd w:val="clear" w:color="auto" w:fill="auto"/>
        <w:spacing w:line="440" w:lineRule="exact"/>
        <w:ind w:firstLine="470" w:firstLineChars="19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所有投标人的投标保证金都应在</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规定的投标保证金缴纳截止日期前缴纳。</w:t>
      </w:r>
    </w:p>
    <w:p>
      <w:pPr>
        <w:shd w:val="clear" w:color="auto" w:fill="auto"/>
        <w:spacing w:line="440" w:lineRule="exact"/>
        <w:ind w:firstLine="470" w:firstLineChars="19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单位负责人为同一人或者存在直接控股、管理关系的不同供应商，不得参加同一合同项下的政府采购活动。</w:t>
      </w:r>
      <w:r>
        <w:rPr>
          <w:rFonts w:hint="eastAsia" w:ascii="仿宋" w:hAnsi="仿宋" w:eastAsia="仿宋" w:cs="仿宋"/>
          <w:color w:val="auto"/>
          <w:szCs w:val="21"/>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5</w:t>
      </w:r>
      <w:r>
        <w:rPr>
          <w:rFonts w:hint="eastAsia" w:ascii="仿宋" w:hAnsi="仿宋" w:eastAsia="仿宋" w:cs="仿宋"/>
          <w:bCs/>
          <w:color w:val="auto"/>
          <w:szCs w:val="21"/>
          <w:highlight w:val="none"/>
        </w:rPr>
        <w:t>本项目只接受</w:t>
      </w:r>
      <w:r>
        <w:rPr>
          <w:rFonts w:hint="eastAsia" w:ascii="仿宋" w:hAnsi="仿宋" w:eastAsia="仿宋" w:cs="仿宋"/>
          <w:color w:val="auto"/>
          <w:szCs w:val="21"/>
          <w:highlight w:val="none"/>
        </w:rPr>
        <w:t>成为新疆维吾尔自治区政府采购网正式注册入库（已在政采云平台其他省份入驻的供应商无须重复注册）并完成CA数字证书申领供应商</w:t>
      </w:r>
      <w:r>
        <w:rPr>
          <w:rFonts w:hint="eastAsia" w:ascii="仿宋" w:hAnsi="仿宋" w:eastAsia="仿宋" w:cs="仿宋"/>
          <w:color w:val="auto"/>
          <w:szCs w:val="21"/>
          <w:highlight w:val="none"/>
          <w:lang w:eastAsia="zh-CN"/>
        </w:rPr>
        <w:t>参与投标</w:t>
      </w:r>
      <w:r>
        <w:rPr>
          <w:rFonts w:hint="eastAsia" w:ascii="仿宋" w:hAnsi="仿宋" w:eastAsia="仿宋" w:cs="仿宋"/>
          <w:color w:val="auto"/>
          <w:szCs w:val="21"/>
          <w:highlight w:val="none"/>
        </w:rPr>
        <w:t>。因未注册入库、未办理CA数字证书等原因造成无法投标或投标失败等后果由供应商自行承担。</w:t>
      </w:r>
    </w:p>
    <w:p>
      <w:pPr>
        <w:shd w:val="clear" w:color="auto" w:fill="auto"/>
        <w:wordWrap w:val="0"/>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6</w:t>
      </w:r>
      <w:r>
        <w:rPr>
          <w:rFonts w:hint="eastAsia" w:ascii="仿宋" w:hAnsi="仿宋" w:eastAsia="仿宋" w:cs="仿宋"/>
          <w:bCs/>
          <w:color w:val="auto"/>
          <w:szCs w:val="21"/>
          <w:highlight w:val="none"/>
        </w:rPr>
        <w:t xml:space="preserve">  投标人被视为充分熟悉本招标项目所在地的与履行合同有关的各种情况，包括但不限于：</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（1）国家对本次投标货物和服务的生产、安装调试、验收、维修等有关法律、法规及行业管理标准；</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bCs/>
          <w:color w:val="auto"/>
          <w:szCs w:val="21"/>
          <w:highlight w:val="none"/>
          <w:lang w:eastAsia="zh-CN"/>
        </w:rPr>
        <w:t>本地区</w:t>
      </w:r>
      <w:r>
        <w:rPr>
          <w:rFonts w:hint="eastAsia" w:ascii="仿宋" w:hAnsi="仿宋" w:eastAsia="仿宋" w:cs="仿宋"/>
          <w:bCs/>
          <w:color w:val="auto"/>
          <w:szCs w:val="21"/>
          <w:highlight w:val="none"/>
        </w:rPr>
        <w:t>有关管理部门的相关规定；</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（3）招标人的相关场地情况、基础建设、电力供应情况及相关设计标准。</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本</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不再对上述情况进行描述。</w:t>
      </w:r>
    </w:p>
    <w:p>
      <w:pPr>
        <w:shd w:val="clear" w:color="auto" w:fill="auto"/>
        <w:spacing w:before="312" w:beforeLines="100" w:after="312" w:afterLines="100" w:line="440" w:lineRule="exact"/>
        <w:jc w:val="center"/>
        <w:outlineLvl w:val="2"/>
        <w:rPr>
          <w:rFonts w:hint="eastAsia" w:ascii="仿宋" w:hAnsi="仿宋" w:eastAsia="仿宋" w:cs="仿宋"/>
          <w:b/>
          <w:color w:val="auto"/>
          <w:sz w:val="28"/>
          <w:szCs w:val="28"/>
          <w:highlight w:val="none"/>
          <w:lang w:eastAsia="zh-CN"/>
        </w:rPr>
      </w:pPr>
      <w:bookmarkStart w:id="20" w:name="_Toc469495725"/>
      <w:r>
        <w:rPr>
          <w:rFonts w:hint="eastAsia" w:ascii="仿宋" w:hAnsi="仿宋" w:eastAsia="仿宋" w:cs="仿宋"/>
          <w:b/>
          <w:color w:val="auto"/>
          <w:sz w:val="28"/>
          <w:szCs w:val="28"/>
          <w:highlight w:val="none"/>
        </w:rPr>
        <w:t>（二）</w:t>
      </w:r>
      <w:bookmarkEnd w:id="20"/>
      <w:r>
        <w:rPr>
          <w:rFonts w:hint="eastAsia" w:ascii="仿宋" w:hAnsi="仿宋" w:eastAsia="仿宋" w:cs="仿宋"/>
          <w:b/>
          <w:color w:val="auto"/>
          <w:sz w:val="28"/>
          <w:szCs w:val="28"/>
          <w:highlight w:val="none"/>
          <w:lang w:eastAsia="zh-CN"/>
        </w:rPr>
        <w:t>招标文件</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15.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的编制依据</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根据《中华人民共和国政府采购法》、《政府采购货物和服务招标投标管理办法》和《中华人民共和国</w:t>
      </w:r>
      <w:r>
        <w:rPr>
          <w:rFonts w:hint="eastAsia" w:ascii="仿宋" w:hAnsi="仿宋" w:eastAsia="仿宋" w:cs="仿宋"/>
          <w:color w:val="auto"/>
          <w:szCs w:val="21"/>
          <w:highlight w:val="none"/>
          <w:lang w:val="en-US" w:eastAsia="zh-CN"/>
        </w:rPr>
        <w:t>民法典</w:t>
      </w:r>
      <w:r>
        <w:rPr>
          <w:rFonts w:hint="eastAsia" w:ascii="仿宋" w:hAnsi="仿宋" w:eastAsia="仿宋" w:cs="仿宋"/>
          <w:color w:val="auto"/>
          <w:szCs w:val="21"/>
          <w:highlight w:val="none"/>
        </w:rPr>
        <w:t>》</w:t>
      </w:r>
      <w:r>
        <w:rPr>
          <w:rFonts w:hint="eastAsia" w:ascii="仿宋" w:hAnsi="仿宋" w:eastAsia="仿宋" w:cs="仿宋"/>
          <w:color w:val="auto"/>
          <w:spacing w:val="-2"/>
          <w:szCs w:val="21"/>
          <w:highlight w:val="none"/>
        </w:rPr>
        <w:t>等相关法律法规和规章及部、省、市级规范性文件的规定，编制本</w:t>
      </w:r>
      <w:r>
        <w:rPr>
          <w:rFonts w:hint="eastAsia" w:ascii="仿宋" w:hAnsi="仿宋" w:eastAsia="仿宋" w:cs="仿宋"/>
          <w:color w:val="auto"/>
          <w:spacing w:val="-2"/>
          <w:szCs w:val="21"/>
          <w:highlight w:val="none"/>
          <w:lang w:eastAsia="zh-CN"/>
        </w:rPr>
        <w:t>采购文件</w:t>
      </w:r>
      <w:r>
        <w:rPr>
          <w:rFonts w:hint="eastAsia" w:ascii="仿宋" w:hAnsi="仿宋" w:eastAsia="仿宋" w:cs="仿宋"/>
          <w:color w:val="auto"/>
          <w:spacing w:val="-2"/>
          <w:szCs w:val="21"/>
          <w:highlight w:val="none"/>
        </w:rPr>
        <w:t>。</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16.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的组成</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16.1 </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包括内容：</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第一章  </w:t>
      </w:r>
      <w:r>
        <w:rPr>
          <w:rFonts w:hint="eastAsia" w:ascii="仿宋" w:hAnsi="仿宋" w:eastAsia="仿宋" w:cs="仿宋"/>
          <w:color w:val="auto"/>
          <w:szCs w:val="21"/>
          <w:highlight w:val="none"/>
          <w:lang w:eastAsia="zh-CN"/>
        </w:rPr>
        <w:t>招</w:t>
      </w:r>
      <w:r>
        <w:rPr>
          <w:rFonts w:hint="eastAsia" w:ascii="仿宋" w:hAnsi="仿宋" w:eastAsia="仿宋" w:cs="仿宋"/>
          <w:color w:val="auto"/>
          <w:szCs w:val="21"/>
          <w:highlight w:val="none"/>
        </w:rPr>
        <w:t>标公告</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第二章  投标须知</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第三章  评标办法</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第四章  </w:t>
      </w:r>
      <w:r>
        <w:rPr>
          <w:rFonts w:hint="eastAsia" w:ascii="仿宋" w:hAnsi="仿宋" w:eastAsia="仿宋" w:cs="仿宋"/>
          <w:color w:val="auto"/>
          <w:szCs w:val="21"/>
          <w:highlight w:val="none"/>
          <w:lang w:val="en-US" w:eastAsia="zh-CN"/>
        </w:rPr>
        <w:t>采购货物清单</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第五章  合同条款及格式</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第六章  投标文件格式</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第七章  招标单位、招标代理机构对本文件的确认</w:t>
      </w:r>
    </w:p>
    <w:p>
      <w:pPr>
        <w:shd w:val="clear" w:color="auto" w:fill="auto"/>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16.2 除16.1内容外，招标答疑亦为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的组成部分，对招标人和投标人起约束作用。</w:t>
      </w:r>
    </w:p>
    <w:p>
      <w:pPr>
        <w:pStyle w:val="13"/>
        <w:shd w:val="clear" w:color="auto" w:fill="auto"/>
        <w:wordWrap w:val="0"/>
        <w:spacing w:line="400" w:lineRule="exact"/>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rPr>
        <w:t xml:space="preserve">   16.3</w:t>
      </w:r>
      <w:r>
        <w:rPr>
          <w:rFonts w:hint="eastAsia" w:ascii="仿宋" w:hAnsi="仿宋" w:eastAsia="仿宋" w:cs="仿宋"/>
          <w:color w:val="auto"/>
          <w:szCs w:val="21"/>
          <w:highlight w:val="none"/>
          <w:u w:val="none" w:color="auto"/>
        </w:rPr>
        <w:t>投标人应仔细阅读和检查</w:t>
      </w:r>
      <w:r>
        <w:rPr>
          <w:rFonts w:hint="eastAsia" w:ascii="仿宋" w:hAnsi="仿宋" w:eastAsia="仿宋" w:cs="仿宋"/>
          <w:color w:val="auto"/>
          <w:szCs w:val="21"/>
          <w:highlight w:val="none"/>
          <w:u w:val="none" w:color="auto"/>
          <w:lang w:eastAsia="zh-CN"/>
        </w:rPr>
        <w:t>采购文件</w:t>
      </w:r>
      <w:r>
        <w:rPr>
          <w:rFonts w:hint="eastAsia" w:ascii="仿宋" w:hAnsi="仿宋" w:eastAsia="仿宋" w:cs="仿宋"/>
          <w:color w:val="auto"/>
          <w:szCs w:val="21"/>
          <w:highlight w:val="none"/>
          <w:u w:val="none" w:color="auto"/>
        </w:rPr>
        <w:t>的全部内容。如发现缺页或附件不全，应及时向招标人提出，以便补齐。如有疑问，投标人应在</w:t>
      </w:r>
      <w:r>
        <w:rPr>
          <w:rFonts w:hint="eastAsia" w:ascii="仿宋" w:hAnsi="仿宋" w:eastAsia="仿宋" w:cs="仿宋"/>
          <w:color w:val="auto"/>
          <w:szCs w:val="21"/>
          <w:highlight w:val="none"/>
        </w:rPr>
        <w:t>以书面形式一次性向采购人和采购代理机构提出同一环节的质疑</w:t>
      </w:r>
      <w:r>
        <w:rPr>
          <w:rFonts w:hint="eastAsia" w:ascii="仿宋" w:hAnsi="仿宋" w:eastAsia="仿宋" w:cs="仿宋"/>
          <w:color w:val="auto"/>
          <w:szCs w:val="21"/>
          <w:highlight w:val="none"/>
          <w:u w:val="none" w:color="auto"/>
        </w:rPr>
        <w:t>。</w:t>
      </w:r>
    </w:p>
    <w:p>
      <w:pPr>
        <w:shd w:val="clear" w:color="auto" w:fill="auto"/>
        <w:wordWrap w:val="0"/>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的澄清将在</w:t>
      </w:r>
      <w:r>
        <w:rPr>
          <w:rFonts w:hint="eastAsia" w:ascii="仿宋" w:hAnsi="仿宋" w:eastAsia="仿宋" w:cs="仿宋"/>
          <w:color w:val="auto"/>
          <w:szCs w:val="21"/>
          <w:highlight w:val="none"/>
          <w:lang w:eastAsia="zh-CN"/>
        </w:rPr>
        <w:t>政采云平台“更正公告”栏目予以公告</w:t>
      </w:r>
      <w:r>
        <w:rPr>
          <w:rFonts w:hint="eastAsia" w:ascii="仿宋" w:hAnsi="仿宋" w:eastAsia="仿宋" w:cs="仿宋"/>
          <w:color w:val="auto"/>
          <w:szCs w:val="21"/>
          <w:highlight w:val="none"/>
        </w:rPr>
        <w:t>，但不指明澄清问题的来源。如果澄清内容影响投标文件编制的，将相应延长投标截止时间。</w:t>
      </w:r>
    </w:p>
    <w:p>
      <w:pPr>
        <w:shd w:val="clear" w:color="auto" w:fill="auto"/>
        <w:spacing w:line="440" w:lineRule="exact"/>
        <w:ind w:firstLine="480"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 xml:space="preserve">17. </w:t>
      </w:r>
      <w:r>
        <w:rPr>
          <w:rFonts w:hint="eastAsia" w:ascii="仿宋" w:hAnsi="仿宋" w:eastAsia="仿宋" w:cs="仿宋"/>
          <w:b/>
          <w:bCs/>
          <w:color w:val="auto"/>
          <w:szCs w:val="21"/>
          <w:highlight w:val="none"/>
          <w:lang w:eastAsia="zh-CN"/>
        </w:rPr>
        <w:t>采购文件</w:t>
      </w:r>
      <w:r>
        <w:rPr>
          <w:rFonts w:hint="eastAsia" w:ascii="仿宋" w:hAnsi="仿宋" w:eastAsia="仿宋" w:cs="仿宋"/>
          <w:b/>
          <w:bCs/>
          <w:color w:val="auto"/>
          <w:szCs w:val="21"/>
          <w:highlight w:val="none"/>
        </w:rPr>
        <w:t>的修改、补充、解释</w:t>
      </w:r>
    </w:p>
    <w:p>
      <w:pPr>
        <w:shd w:val="clear" w:color="auto" w:fill="auto"/>
        <w:wordWrap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17.1</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发出后，招标人在规定的投标截止时间前可对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进行必要的修改和补充，并以</w:t>
      </w:r>
      <w:r>
        <w:rPr>
          <w:rFonts w:hint="eastAsia" w:ascii="仿宋" w:hAnsi="仿宋" w:eastAsia="仿宋" w:cs="仿宋"/>
          <w:color w:val="auto"/>
          <w:szCs w:val="21"/>
          <w:highlight w:val="none"/>
          <w:lang w:eastAsia="zh-CN"/>
        </w:rPr>
        <w:t>更正</w:t>
      </w:r>
      <w:r>
        <w:rPr>
          <w:rFonts w:hint="eastAsia" w:ascii="仿宋" w:hAnsi="仿宋" w:eastAsia="仿宋" w:cs="仿宋"/>
          <w:color w:val="auto"/>
          <w:szCs w:val="21"/>
          <w:highlight w:val="none"/>
        </w:rPr>
        <w:t>公告形式在</w:t>
      </w:r>
      <w:r>
        <w:rPr>
          <w:rFonts w:hint="eastAsia" w:ascii="仿宋" w:hAnsi="仿宋" w:eastAsia="仿宋" w:cs="仿宋"/>
          <w:color w:val="auto"/>
          <w:szCs w:val="21"/>
          <w:highlight w:val="none"/>
          <w:lang w:eastAsia="zh-CN"/>
        </w:rPr>
        <w:t>政采云平台</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eastAsia="zh-CN"/>
        </w:rPr>
        <w:t>更正公告</w:t>
      </w:r>
      <w:r>
        <w:rPr>
          <w:rFonts w:hint="eastAsia" w:ascii="仿宋" w:hAnsi="仿宋" w:eastAsia="仿宋" w:cs="仿宋"/>
          <w:color w:val="auto"/>
          <w:szCs w:val="21"/>
          <w:highlight w:val="none"/>
        </w:rPr>
        <w:t>”栏目予以公告，请各位投标人注意查看有关澄清内容，如不及时查看造成后果由投标人自负。</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的修改、补充等内容作为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的组成部分，具有约束作用。</w:t>
      </w:r>
    </w:p>
    <w:p>
      <w:pPr>
        <w:shd w:val="clear" w:color="auto" w:fill="auto"/>
        <w:wordWrap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17.</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 xml:space="preserve"> </w:t>
      </w:r>
      <w:r>
        <w:rPr>
          <w:rFonts w:hint="eastAsia" w:ascii="仿宋" w:hAnsi="仿宋" w:eastAsia="仿宋" w:cs="仿宋"/>
          <w:color w:val="auto"/>
          <w:szCs w:val="21"/>
          <w:highlight w:val="none"/>
        </w:rPr>
        <w:t>供应商在规定的时间内未对采购文件提出疑问、质疑或要求澄清的，将视其为无异议。</w:t>
      </w:r>
    </w:p>
    <w:p>
      <w:pPr>
        <w:shd w:val="clear" w:color="auto" w:fill="auto"/>
        <w:spacing w:line="40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17.</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 xml:space="preserve"> </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的解释</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由招标人（或其委托的招标代理机构）负责解释。</w:t>
      </w:r>
    </w:p>
    <w:p>
      <w:pPr>
        <w:shd w:val="clear" w:color="auto" w:fill="auto"/>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   18.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的发出</w:t>
      </w:r>
    </w:p>
    <w:p>
      <w:pPr>
        <w:shd w:val="clear" w:color="auto" w:fill="auto"/>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18.1  </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的澄清、修改、补充及招标答疑等均应报</w:t>
      </w:r>
      <w:r>
        <w:rPr>
          <w:rFonts w:hint="eastAsia" w:ascii="仿宋" w:hAnsi="仿宋" w:eastAsia="仿宋" w:cs="仿宋"/>
          <w:color w:val="auto"/>
          <w:szCs w:val="21"/>
          <w:highlight w:val="none"/>
          <w:lang w:eastAsia="zh-CN"/>
        </w:rPr>
        <w:t>相关部门</w:t>
      </w:r>
      <w:r>
        <w:rPr>
          <w:rFonts w:hint="eastAsia" w:ascii="仿宋" w:hAnsi="仿宋" w:eastAsia="仿宋" w:cs="仿宋"/>
          <w:color w:val="auto"/>
          <w:szCs w:val="21"/>
          <w:highlight w:val="none"/>
        </w:rPr>
        <w:t>备案后，方可发出。</w:t>
      </w:r>
    </w:p>
    <w:p>
      <w:pPr>
        <w:shd w:val="clear" w:color="auto" w:fill="auto"/>
        <w:spacing w:line="440" w:lineRule="exact"/>
        <w:ind w:firstLine="319" w:firstLineChars="133"/>
        <w:rPr>
          <w:rFonts w:hint="eastAsia" w:ascii="仿宋" w:hAnsi="仿宋" w:eastAsia="仿宋" w:cs="仿宋"/>
          <w:color w:val="auto"/>
          <w:szCs w:val="21"/>
          <w:highlight w:val="none"/>
        </w:rPr>
      </w:pPr>
      <w:bookmarkStart w:id="21" w:name="_Toc469495726"/>
      <w:r>
        <w:rPr>
          <w:rFonts w:hint="eastAsia" w:ascii="仿宋" w:hAnsi="仿宋" w:eastAsia="仿宋" w:cs="仿宋"/>
          <w:b/>
          <w:color w:val="auto"/>
          <w:szCs w:val="21"/>
          <w:highlight w:val="none"/>
        </w:rPr>
        <w:t xml:space="preserve">19. </w:t>
      </w:r>
      <w:r>
        <w:rPr>
          <w:rFonts w:hint="eastAsia" w:ascii="仿宋" w:hAnsi="仿宋" w:eastAsia="仿宋" w:cs="仿宋"/>
          <w:color w:val="auto"/>
          <w:szCs w:val="21"/>
          <w:highlight w:val="none"/>
        </w:rPr>
        <w:t>凡需要设置样品情形时，必须明确是否需要随样品提交检测报告，并明确检测机构的要求、检测内容、</w:t>
      </w:r>
      <w:r>
        <w:rPr>
          <w:rFonts w:hint="eastAsia" w:ascii="仿宋" w:hAnsi="仿宋" w:eastAsia="仿宋" w:cs="仿宋"/>
          <w:b w:val="0"/>
          <w:bCs w:val="0"/>
          <w:color w:val="auto"/>
          <w:szCs w:val="21"/>
          <w:highlight w:val="none"/>
        </w:rPr>
        <w:t>中标样品封存</w:t>
      </w:r>
      <w:r>
        <w:rPr>
          <w:rFonts w:hint="eastAsia" w:ascii="仿宋" w:hAnsi="仿宋" w:eastAsia="仿宋" w:cs="仿宋"/>
          <w:color w:val="auto"/>
          <w:szCs w:val="21"/>
          <w:highlight w:val="none"/>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pPr>
        <w:shd w:val="clear" w:color="auto" w:fill="auto"/>
        <w:spacing w:line="400" w:lineRule="exac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中应明确样品送检方式、检测费用支付方法、投标人在规定时间内无法提供第三方权威检测机构检测报告的处理方式。（</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根据项目需求按上述要求自行描述）</w:t>
      </w:r>
    </w:p>
    <w:p>
      <w:pPr>
        <w:shd w:val="clear" w:color="auto" w:fill="auto"/>
        <w:spacing w:before="312" w:beforeLines="100" w:after="312" w:afterLines="100" w:line="440" w:lineRule="exact"/>
        <w:jc w:val="center"/>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（三）投标文件的编制</w:t>
      </w:r>
      <w:bookmarkEnd w:id="21"/>
    </w:p>
    <w:p>
      <w:pPr>
        <w:shd w:val="clear" w:color="auto" w:fill="auto"/>
        <w:spacing w:line="440" w:lineRule="exact"/>
        <w:ind w:firstLine="348" w:firstLineChars="14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20. 投标的语言及度量衡单位</w:t>
      </w:r>
    </w:p>
    <w:p>
      <w:pPr>
        <w:shd w:val="clear" w:color="auto" w:fill="auto"/>
        <w:spacing w:line="440" w:lineRule="exact"/>
        <w:ind w:firstLine="324" w:firstLineChars="135"/>
        <w:rPr>
          <w:rFonts w:hint="eastAsia" w:ascii="仿宋" w:hAnsi="仿宋" w:eastAsia="仿宋" w:cs="仿宋"/>
          <w:color w:val="auto"/>
          <w:szCs w:val="21"/>
          <w:highlight w:val="none"/>
        </w:rPr>
      </w:pPr>
      <w:r>
        <w:rPr>
          <w:rFonts w:hint="eastAsia" w:ascii="仿宋" w:hAnsi="仿宋" w:eastAsia="仿宋" w:cs="仿宋"/>
          <w:color w:val="auto"/>
          <w:szCs w:val="21"/>
          <w:highlight w:val="none"/>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324" w:firstLineChars="135"/>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20.2除</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中另有规定外，投标书所使用的度量衡均须采用法定计量单位。</w:t>
      </w:r>
    </w:p>
    <w:p>
      <w:pPr>
        <w:shd w:val="clear" w:color="auto" w:fill="auto"/>
        <w:spacing w:line="400" w:lineRule="exact"/>
        <w:ind w:firstLine="235"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21. 投标文件的组成</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报价、</w:t>
      </w:r>
      <w:r>
        <w:rPr>
          <w:rFonts w:hint="eastAsia" w:ascii="仿宋" w:hAnsi="仿宋" w:eastAsia="仿宋" w:cs="仿宋"/>
          <w:color w:val="auto"/>
          <w:szCs w:val="21"/>
          <w:highlight w:val="none"/>
        </w:rPr>
        <w:t>商务及技术文件</w:t>
      </w:r>
      <w:r>
        <w:rPr>
          <w:rFonts w:hint="eastAsia" w:ascii="仿宋" w:hAnsi="仿宋" w:eastAsia="仿宋" w:cs="仿宋"/>
          <w:color w:val="auto"/>
          <w:szCs w:val="21"/>
          <w:highlight w:val="none"/>
          <w:lang w:val="en-US" w:eastAsia="zh-CN"/>
        </w:rPr>
        <w:t>三</w:t>
      </w:r>
      <w:r>
        <w:rPr>
          <w:rFonts w:hint="eastAsia" w:ascii="仿宋" w:hAnsi="仿宋" w:eastAsia="仿宋" w:cs="仿宋"/>
          <w:color w:val="auto"/>
          <w:szCs w:val="21"/>
          <w:highlight w:val="none"/>
        </w:rPr>
        <w:t>部分。</w:t>
      </w:r>
    </w:p>
    <w:p>
      <w:pPr>
        <w:shd w:val="clear" w:color="auto" w:fill="auto"/>
        <w:spacing w:line="440" w:lineRule="exact"/>
        <w:ind w:firstLine="352" w:firstLineChars="147"/>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b/>
          <w:color w:val="auto"/>
          <w:szCs w:val="21"/>
          <w:highlight w:val="none"/>
        </w:rPr>
        <w:t>21.</w:t>
      </w:r>
      <w:r>
        <w:rPr>
          <w:rFonts w:hint="eastAsia" w:ascii="仿宋" w:hAnsi="仿宋" w:eastAsia="仿宋" w:cs="仿宋"/>
          <w:b/>
          <w:color w:val="auto"/>
          <w:szCs w:val="21"/>
          <w:highlight w:val="none"/>
          <w:lang w:val="en-US" w:eastAsia="zh-CN"/>
        </w:rPr>
        <w:t>1商务及技术文件</w:t>
      </w:r>
      <w:r>
        <w:rPr>
          <w:rFonts w:hint="eastAsia" w:ascii="仿宋" w:hAnsi="仿宋" w:eastAsia="仿宋" w:cs="仿宋"/>
          <w:b/>
          <w:color w:val="auto"/>
          <w:szCs w:val="21"/>
          <w:highlight w:val="none"/>
          <w:lang w:eastAsia="zh-CN"/>
        </w:rPr>
        <w:t>（包括但不限于）</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第一部分　商务部分</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一、投标函(格式附后)</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附件1－1　法定代表人身份证明复印件(法定代表人参加投标)</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附件1－2　法定代表人授权书(授权代表参加投标)</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二、开标一览表（包含报价明细表）(格式附后)</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三、商务条款偏离表(格式附后)</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四、投标保证金(格式附后)</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五、供应商的资格证明材料</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(一)供应商基本情况表(附件5－1)</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(二)参加政府采购活动的供应商应当具备《政府采购法》第二十二条第一款规定的条件，提供下列材料：</w:t>
      </w:r>
    </w:p>
    <w:p>
      <w:pPr>
        <w:shd w:val="clear" w:color="auto" w:fill="auto"/>
        <w:spacing w:line="400" w:lineRule="exact"/>
        <w:ind w:firstLine="477" w:firstLineChars="199"/>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附件5－</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－1　法人或者其他组织的营业执照副本复印件或自然人的身份证明复印件</w:t>
      </w:r>
      <w:r>
        <w:rPr>
          <w:rFonts w:hint="eastAsia" w:ascii="仿宋" w:hAnsi="仿宋" w:eastAsia="仿宋" w:cs="仿宋"/>
          <w:color w:val="auto"/>
          <w:szCs w:val="21"/>
          <w:highlight w:val="none"/>
          <w:lang w:val="en-US" w:eastAsia="zh-CN"/>
        </w:rPr>
        <w:t>；</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附件5－</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－2　</w:t>
      </w:r>
      <w:r>
        <w:rPr>
          <w:rFonts w:hint="eastAsia" w:ascii="仿宋" w:hAnsi="仿宋" w:eastAsia="仿宋" w:cs="仿宋"/>
          <w:color w:val="auto"/>
          <w:szCs w:val="21"/>
          <w:highlight w:val="none"/>
          <w:lang w:val="en-US" w:eastAsia="zh-CN"/>
        </w:rPr>
        <w:t>具有履行合同所必需的设备和专业技术能力(声明函格式自拟)即具有完成本项目采购能力</w:t>
      </w:r>
      <w:r>
        <w:rPr>
          <w:rFonts w:hint="eastAsia" w:ascii="仿宋" w:hAnsi="仿宋" w:eastAsia="仿宋" w:cs="仿宋"/>
          <w:color w:val="auto"/>
          <w:szCs w:val="21"/>
          <w:highlight w:val="none"/>
        </w:rPr>
        <w:t>；</w:t>
      </w:r>
    </w:p>
    <w:p>
      <w:pPr>
        <w:shd w:val="clear" w:color="auto" w:fill="auto"/>
        <w:spacing w:line="400" w:lineRule="exact"/>
        <w:ind w:firstLine="477" w:firstLineChars="199"/>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附件5－</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  具有依法缴纳税收和社会保障资金的良好记录(提供相应证明材料或声明函格式自拟)</w:t>
      </w:r>
      <w:r>
        <w:rPr>
          <w:rFonts w:hint="eastAsia" w:ascii="仿宋" w:hAnsi="仿宋" w:eastAsia="仿宋" w:cs="仿宋"/>
          <w:color w:val="auto"/>
          <w:szCs w:val="21"/>
          <w:highlight w:val="none"/>
        </w:rPr>
        <w:t>；</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附件5－</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－4　</w:t>
      </w:r>
      <w:r>
        <w:rPr>
          <w:rFonts w:hint="eastAsia" w:ascii="仿宋" w:hAnsi="仿宋" w:eastAsia="仿宋" w:cs="仿宋"/>
          <w:color w:val="auto"/>
          <w:szCs w:val="21"/>
          <w:highlight w:val="none"/>
          <w:lang w:val="en-US" w:eastAsia="zh-CN"/>
        </w:rPr>
        <w:t>单位负责人为同一人或者存在直接控股、管理关系的不同供应商，不得参加同一合同项下的政府采购活动(提供声明函格式自拟)；</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附件5－</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  参加政府采购活动前三年内在经营活动中没有重大违法记录的书面声明</w:t>
      </w:r>
      <w:r>
        <w:rPr>
          <w:rFonts w:hint="eastAsia" w:ascii="仿宋" w:hAnsi="仿宋" w:eastAsia="仿宋" w:cs="仿宋"/>
          <w:color w:val="auto"/>
          <w:szCs w:val="21"/>
          <w:highlight w:val="none"/>
        </w:rPr>
        <w:t>；</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附件5－</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　无不良信用记录承诺函；</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附件5－2－7  供应商参加政府采购活动前三年内，在经营活动中没有重大违法记录，在“信用中国”网站（www.creditchina.gov.cn）、中国政府采购网（www.ccgp.gov.cn）没有被列入失信被执行人、重大税收违法失信主体名单、政府采购严重违法失信行为记录名单及其他不符合规定条件。（提供查询结果网页截图并加盖供应商公章）。</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六、提供符合政府采购政策的证明材料</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附件6－1　中小企业声明函(格式附后)</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七、供应商须知前附表要求的其他投标资料</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八、供应商须提供类似业绩</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九</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供应商认为需提供的其他资料</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第二部分　技术部分</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投标人应根据项目采购需求、评标办法及评审内容和实际情况增加内容，但不得擅自减少有关内容，所有不完整的投标将可能被否决其参选，格式自拟，包括但不限于：</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投标人应提交完整的组织方案至少应包括以下内容：</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 项目实施方案、技术方案、服务方案或供货方案；</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 投标供应商必须提供投标货物的详细参数说明；</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 投标产品性能和质量；</w:t>
      </w:r>
    </w:p>
    <w:p>
      <w:pPr>
        <w:shd w:val="clear" w:color="auto" w:fill="auto"/>
        <w:spacing w:line="400" w:lineRule="exact"/>
        <w:ind w:left="480" w:leftChars="200" w:firstLine="0" w:firstLineChars="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四、 配送方案；</w:t>
      </w:r>
    </w:p>
    <w:p>
      <w:pPr>
        <w:shd w:val="clear" w:color="auto" w:fill="auto"/>
        <w:spacing w:line="400" w:lineRule="exact"/>
        <w:ind w:left="480" w:leftChars="200" w:firstLine="0" w:firstLineChars="0"/>
        <w:rPr>
          <w:rFonts w:hint="eastAsia" w:ascii="仿宋" w:hAnsi="仿宋" w:eastAsia="仿宋" w:cs="仿宋"/>
          <w:color w:val="auto"/>
          <w:szCs w:val="21"/>
          <w:highlight w:val="none"/>
        </w:rPr>
      </w:pPr>
      <w:r>
        <w:rPr>
          <w:rFonts w:hint="eastAsia" w:ascii="仿宋" w:hAnsi="仿宋" w:eastAsia="仿宋" w:cs="仿宋"/>
          <w:color w:val="auto"/>
          <w:szCs w:val="21"/>
          <w:highlight w:val="none"/>
        </w:rPr>
        <w:t>五、 到货要求；</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六、 质量保证措施；</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七、 技术条款偏离表；</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八、 使用说明书、产品图册等证明材料须附彩色复印件；</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九、 投标人售后服务承诺；</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十、</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优惠条件；</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十一、投标供应商认为有必要提供的声明及文件资料</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21.</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投标文件的要求</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）投标文件格式应按本采购文件第六章</w:t>
      </w:r>
      <w:r>
        <w:rPr>
          <w:rFonts w:hint="eastAsia" w:ascii="仿宋" w:hAnsi="仿宋" w:eastAsia="仿宋" w:cs="仿宋"/>
          <w:color w:val="auto"/>
          <w:szCs w:val="21"/>
          <w:highlight w:val="none"/>
          <w:lang w:val="en-US" w:eastAsia="zh-CN"/>
        </w:rPr>
        <w:t>投标文件</w:t>
      </w:r>
      <w:r>
        <w:rPr>
          <w:rFonts w:hint="eastAsia" w:ascii="仿宋" w:hAnsi="仿宋" w:eastAsia="仿宋" w:cs="仿宋"/>
          <w:color w:val="auto"/>
          <w:szCs w:val="21"/>
          <w:highlight w:val="none"/>
          <w:lang w:eastAsia="zh-CN"/>
        </w:rPr>
        <w:t>格式要求编制，不得对采购文件格式进行增删更改，否则按无效标处理。</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）对采购文件格式可更改的例外情况：采购文件第六章</w:t>
      </w:r>
      <w:r>
        <w:rPr>
          <w:rFonts w:hint="eastAsia" w:ascii="仿宋" w:hAnsi="仿宋" w:eastAsia="仿宋" w:cs="仿宋"/>
          <w:color w:val="auto"/>
          <w:szCs w:val="21"/>
          <w:highlight w:val="none"/>
          <w:lang w:val="en-US" w:eastAsia="zh-CN"/>
        </w:rPr>
        <w:t>投标文件</w:t>
      </w:r>
      <w:r>
        <w:rPr>
          <w:rFonts w:hint="eastAsia" w:ascii="仿宋" w:hAnsi="仿宋" w:eastAsia="仿宋" w:cs="仿宋"/>
          <w:color w:val="auto"/>
          <w:szCs w:val="21"/>
          <w:highlight w:val="none"/>
          <w:lang w:eastAsia="zh-CN"/>
        </w:rPr>
        <w:t xml:space="preserve">格式要求中明确规定表格中行数不够用时可按相同格式增加行数，其他一切内容和格式不得更改。 </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）投标文件为电子投标文件，电子投标文件按“政采云供应商项目采购-电子招投标操作指南”及本采购文件要求制作、加密传输。</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）投标文件未在投标截止时间前完成传输的，视为投标文件撤回；投标文件未按时解密也未提供备份投标文件的，亦视为投标文件撤回。</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22</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投标报价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22.1投标报价文件中的单价和总价全部采用人民币表示。</w:t>
      </w:r>
    </w:p>
    <w:p>
      <w:pPr>
        <w:shd w:val="clear" w:color="auto" w:fill="auto"/>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22.</w:t>
      </w:r>
      <w:r>
        <w:rPr>
          <w:rFonts w:hint="eastAsia" w:ascii="仿宋" w:hAnsi="仿宋" w:eastAsia="仿宋" w:cs="仿宋"/>
          <w:bCs/>
          <w:color w:val="auto"/>
          <w:szCs w:val="21"/>
          <w:highlight w:val="none"/>
          <w:lang w:val="en-US" w:eastAsia="zh-CN"/>
        </w:rPr>
        <w:t>2</w:t>
      </w:r>
      <w:r>
        <w:rPr>
          <w:rFonts w:hint="eastAsia" w:ascii="仿宋" w:hAnsi="仿宋" w:eastAsia="仿宋" w:cs="仿宋"/>
          <w:b/>
          <w:color w:val="auto"/>
          <w:szCs w:val="21"/>
          <w:highlight w:val="none"/>
        </w:rPr>
        <w:t>投标人投标总报价，不得高于本次招标设置的最高限价，</w:t>
      </w:r>
      <w:r>
        <w:rPr>
          <w:rFonts w:hint="eastAsia" w:ascii="仿宋" w:hAnsi="仿宋" w:eastAsia="仿宋" w:cs="仿宋"/>
          <w:b/>
          <w:bCs/>
          <w:color w:val="auto"/>
          <w:szCs w:val="21"/>
          <w:highlight w:val="none"/>
        </w:rPr>
        <w:t>否则将作为无效投标处理。</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总投标价中不得包含</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要求以外的内容，否则，在评标时不予核减，但在授予合同时，招标人有权将这部分价格从其中标价格中扣除。</w:t>
      </w:r>
    </w:p>
    <w:p>
      <w:pPr>
        <w:shd w:val="clear" w:color="auto" w:fill="auto"/>
        <w:spacing w:line="440" w:lineRule="exact"/>
        <w:ind w:firstLine="460" w:firstLineChars="192"/>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22.</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总投标价中不得缺漏</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仿宋" w:hAnsi="仿宋" w:eastAsia="仿宋" w:cs="仿宋"/>
          <w:color w:val="auto"/>
          <w:szCs w:val="21"/>
          <w:highlight w:val="none"/>
          <w:lang w:val="en-US" w:eastAsia="zh-CN"/>
        </w:rPr>
        <w:t xml:space="preserve">    </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23. 投标有效期</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23.1 除投标人须知前附表另有规定外，投标有效期为60天。</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23.2在投标有效期内，投标人撤销或修改其投标文件的，应承担</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和法律规定的责任。</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460" w:firstLineChars="192"/>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24. 投标保证金</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24.2自中标通知书发出之日起5个工作日内退还未中标投标人的投标保证金，自政府采购合同签订之日起5个工作日内退还中标人的投标保证金。</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24.3有下列情形之一的，投标保证金将不予退还： </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（1）投标人在规定的投标有效期内撤回或修改其投标文件；</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（2）中标通知书发出后三十天内，中标人无正当理由拒签合同协议书或未按</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规定提交履约</w:t>
      </w:r>
      <w:r>
        <w:rPr>
          <w:rFonts w:hint="eastAsia" w:ascii="仿宋" w:hAnsi="仿宋" w:eastAsia="仿宋" w:cs="仿宋"/>
          <w:color w:val="auto"/>
          <w:szCs w:val="21"/>
          <w:highlight w:val="none"/>
          <w:lang w:eastAsia="zh-CN"/>
        </w:rPr>
        <w:t>保证金</w:t>
      </w:r>
      <w:r>
        <w:rPr>
          <w:rFonts w:hint="eastAsia" w:ascii="仿宋" w:hAnsi="仿宋" w:eastAsia="仿宋" w:cs="仿宋"/>
          <w:color w:val="auto"/>
          <w:szCs w:val="21"/>
          <w:highlight w:val="none"/>
        </w:rPr>
        <w:t>。</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（3）提供虚假材料谋取中标的；</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（4）经查实属于陪标、串通投标的等。</w:t>
      </w:r>
    </w:p>
    <w:p>
      <w:pPr>
        <w:shd w:val="clear" w:color="auto" w:fill="auto"/>
        <w:spacing w:line="400" w:lineRule="exact"/>
        <w:ind w:firstLine="480" w:firstLineChars="200"/>
        <w:rPr>
          <w:rFonts w:hint="eastAsia" w:ascii="仿宋" w:hAnsi="仿宋" w:eastAsia="仿宋" w:cs="仿宋"/>
          <w:color w:val="auto"/>
          <w:szCs w:val="21"/>
          <w:highlight w:val="none"/>
        </w:rPr>
      </w:pPr>
      <w:bookmarkStart w:id="22" w:name="_Toc469495727"/>
      <w:r>
        <w:rPr>
          <w:rFonts w:hint="eastAsia" w:ascii="仿宋" w:hAnsi="仿宋" w:eastAsia="仿宋" w:cs="仿宋"/>
          <w:color w:val="auto"/>
          <w:szCs w:val="21"/>
          <w:highlight w:val="none"/>
        </w:rPr>
        <w:t>24.4投标保证金按</w:t>
      </w:r>
      <w:r>
        <w:rPr>
          <w:rFonts w:hint="eastAsia" w:ascii="仿宋" w:hAnsi="仿宋" w:eastAsia="仿宋" w:cs="仿宋"/>
          <w:color w:val="auto"/>
          <w:szCs w:val="21"/>
          <w:highlight w:val="none"/>
          <w:lang w:eastAsia="zh-CN"/>
        </w:rPr>
        <w:t>投标人须知前附表第</w:t>
      </w:r>
      <w:r>
        <w:rPr>
          <w:rFonts w:hint="eastAsia" w:ascii="仿宋" w:hAnsi="仿宋" w:eastAsia="仿宋" w:cs="仿宋"/>
          <w:color w:val="auto"/>
          <w:szCs w:val="21"/>
          <w:highlight w:val="none"/>
          <w:lang w:val="en-US" w:eastAsia="zh-CN"/>
        </w:rPr>
        <w:t>24条</w:t>
      </w:r>
      <w:r>
        <w:rPr>
          <w:rFonts w:hint="eastAsia" w:ascii="仿宋" w:hAnsi="仿宋" w:eastAsia="仿宋" w:cs="仿宋"/>
          <w:color w:val="auto"/>
          <w:szCs w:val="21"/>
          <w:highlight w:val="none"/>
        </w:rPr>
        <w:t>规定执行。</w:t>
      </w:r>
    </w:p>
    <w:p>
      <w:pPr>
        <w:shd w:val="clear" w:color="auto" w:fill="auto"/>
        <w:spacing w:before="312" w:beforeLines="100" w:after="312" w:afterLines="100" w:line="440" w:lineRule="exact"/>
        <w:jc w:val="center"/>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w:t>
      </w:r>
      <w:bookmarkEnd w:id="22"/>
      <w:r>
        <w:rPr>
          <w:rFonts w:hint="eastAsia" w:ascii="仿宋" w:hAnsi="仿宋" w:eastAsia="仿宋" w:cs="仿宋"/>
          <w:b/>
          <w:color w:val="auto"/>
          <w:sz w:val="28"/>
          <w:szCs w:val="28"/>
          <w:highlight w:val="none"/>
        </w:rPr>
        <w:t>投标文件的制作、上传及递交要求</w:t>
      </w:r>
    </w:p>
    <w:p>
      <w:pPr>
        <w:shd w:val="clear" w:color="auto" w:fill="auto"/>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25.</w:t>
      </w:r>
      <w:r>
        <w:rPr>
          <w:rFonts w:hint="eastAsia" w:ascii="仿宋" w:hAnsi="仿宋" w:eastAsia="仿宋" w:cs="仿宋"/>
          <w:b/>
          <w:bCs/>
          <w:color w:val="auto"/>
          <w:sz w:val="24"/>
          <w:szCs w:val="24"/>
          <w:highlight w:val="none"/>
        </w:rPr>
        <w:t>投标文件的制作要求</w:t>
      </w:r>
    </w:p>
    <w:p>
      <w:pPr>
        <w:pStyle w:val="8"/>
        <w:shd w:val="clear" w:color="auto" w:fill="auto"/>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（1）供应商应按照投标文件组成内容及项目招标需求和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政府采购云平台要求制作投标文件，不按采购文件和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政府采购云平台要求制作投标文件的将视情况处理（拒收等），由此产生的责任由供应商自行承担。</w:t>
      </w:r>
    </w:p>
    <w:p>
      <w:pPr>
        <w:pStyle w:val="8"/>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Cs/>
          <w:color w:val="auto"/>
          <w:sz w:val="24"/>
          <w:szCs w:val="24"/>
          <w:highlight w:val="none"/>
        </w:rPr>
        <w:t>电子投标文件部分：供应商应根据“政采云供应商项目采购-电子招投标操作指南”及本采购文件规定的格式和顺序编制电子投标文件并进行关联定位。本</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文件《第六章投标文件格式》中有提供格式的，供应商应按照格式进行编制（格式中要求提供相关证明材料的还需后附相关证明材料），并按格式要求在指定位置根据要求进行签章，否则视为未提供；本</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文件《第六章投标文件格式》未提供格式的，请供应商自行拟定格式，并加盖单位公章，否则视为未提供。</w:t>
      </w:r>
    </w:p>
    <w:p>
      <w:pPr>
        <w:pStyle w:val="8"/>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备份电子投标文件：通过“政采云”平台电子投标工具制作投标文件所产生的备份文件。</w:t>
      </w:r>
    </w:p>
    <w:p>
      <w:pPr>
        <w:pStyle w:val="8"/>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（2）供应商应对所提供的全部资料的真实性、有效性承担法律责任，电子投标文件中所须加盖公章部分均采用CA签章。</w:t>
      </w:r>
    </w:p>
    <w:p>
      <w:pPr>
        <w:pStyle w:val="8"/>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（3）投标文件以及供应商与采购组织机构就有关投标事宜的所有来往函电，均应以中文汉语书写。除</w:t>
      </w:r>
      <w:r>
        <w:rPr>
          <w:rFonts w:hint="eastAsia" w:ascii="仿宋" w:hAnsi="仿宋" w:eastAsia="仿宋" w:cs="仿宋"/>
          <w:b w:val="0"/>
          <w:bCs/>
          <w:color w:val="auto"/>
          <w:sz w:val="24"/>
          <w:szCs w:val="24"/>
          <w:highlight w:val="none"/>
          <w:lang w:eastAsia="zh-CN"/>
        </w:rPr>
        <w:t>签章</w:t>
      </w:r>
      <w:r>
        <w:rPr>
          <w:rFonts w:hint="eastAsia" w:ascii="仿宋" w:hAnsi="仿宋" w:eastAsia="仿宋" w:cs="仿宋"/>
          <w:b w:val="0"/>
          <w:bCs/>
          <w:color w:val="auto"/>
          <w:sz w:val="24"/>
          <w:szCs w:val="24"/>
          <w:highlight w:val="none"/>
        </w:rPr>
        <w:t>、盖章、专用名称等特殊情形外，以中文汉语以外的文字表述的投标文件视同未提供。</w:t>
      </w:r>
    </w:p>
    <w:p>
      <w:pPr>
        <w:pStyle w:val="8"/>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（4）投标计量单位，采购文件已有明确规定的，使用采购文件规定的计量单位；采购文件没有规定的，应采用中华人民共和国法定计量单位（货币单位：人民币元）。</w:t>
      </w:r>
    </w:p>
    <w:p>
      <w:pPr>
        <w:pStyle w:val="8"/>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（5）若供应商不按采购文件的要求提供资格审查材料，其风险由供应商自行承担。</w:t>
      </w:r>
    </w:p>
    <w:p>
      <w:pPr>
        <w:pStyle w:val="8"/>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（6）与本次投标无关的内容请不要制作在内，确保投标文件有针对性、简洁明了。</w:t>
      </w:r>
    </w:p>
    <w:p>
      <w:pPr>
        <w:shd w:val="clear" w:color="auto" w:fill="auto"/>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26.</w:t>
      </w:r>
      <w:r>
        <w:rPr>
          <w:rFonts w:hint="eastAsia" w:ascii="仿宋" w:hAnsi="仿宋" w:eastAsia="仿宋" w:cs="仿宋"/>
          <w:b/>
          <w:bCs/>
          <w:color w:val="auto"/>
          <w:sz w:val="24"/>
          <w:szCs w:val="24"/>
          <w:highlight w:val="none"/>
        </w:rPr>
        <w:t>投标文件的上传</w:t>
      </w:r>
    </w:p>
    <w:p>
      <w:pPr>
        <w:pStyle w:val="8"/>
        <w:shd w:val="clear" w:color="auto" w:fill="auto"/>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bidi="zh-CN"/>
        </w:rPr>
        <w:t>电子加密投标文件（“.jmbs”格式）</w:t>
      </w:r>
      <w:r>
        <w:rPr>
          <w:rFonts w:hint="eastAsia" w:ascii="仿宋" w:hAnsi="仿宋" w:eastAsia="仿宋" w:cs="仿宋"/>
          <w:b/>
          <w:bCs/>
          <w:color w:val="auto"/>
          <w:sz w:val="24"/>
          <w:szCs w:val="24"/>
          <w:highlight w:val="none"/>
        </w:rPr>
        <w:t>：</w:t>
      </w:r>
    </w:p>
    <w:p>
      <w:pPr>
        <w:pStyle w:val="8"/>
        <w:shd w:val="clear" w:color="auto" w:fill="auto"/>
        <w:snapToGrid w:val="0"/>
        <w:spacing w:line="360" w:lineRule="auto"/>
        <w:ind w:firstLine="600" w:firstLineChars="250"/>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a.</w:t>
      </w:r>
      <w:r>
        <w:rPr>
          <w:rFonts w:hint="eastAsia" w:ascii="仿宋" w:hAnsi="仿宋" w:eastAsia="仿宋" w:cs="仿宋"/>
          <w:b w:val="0"/>
          <w:bCs/>
          <w:color w:val="auto"/>
          <w:kern w:val="0"/>
          <w:sz w:val="24"/>
          <w:szCs w:val="24"/>
          <w:highlight w:val="none"/>
        </w:rPr>
        <w:t xml:space="preserve"> </w:t>
      </w:r>
      <w:r>
        <w:rPr>
          <w:rFonts w:hint="eastAsia" w:ascii="仿宋" w:hAnsi="仿宋" w:eastAsia="仿宋" w:cs="仿宋"/>
          <w:b w:val="0"/>
          <w:bCs/>
          <w:color w:val="auto"/>
          <w:sz w:val="24"/>
          <w:szCs w:val="24"/>
          <w:highlight w:val="none"/>
          <w:lang w:bidi="zh-CN"/>
        </w:rPr>
        <w:t>供应商应在投标截止时间前将电子加密投标文件成功上传递交至新疆政府采购云平台，否则投标无效；</w:t>
      </w:r>
    </w:p>
    <w:p>
      <w:pPr>
        <w:pStyle w:val="8"/>
        <w:shd w:val="clear" w:color="auto" w:fill="auto"/>
        <w:snapToGrid w:val="0"/>
        <w:spacing w:line="360" w:lineRule="auto"/>
        <w:ind w:firstLine="600" w:firstLineChars="25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bidi="zh-CN"/>
        </w:rPr>
        <w:t>b.供应商成功上传电子加密投标文件后，可自行打印投标文件接收回执。</w:t>
      </w:r>
    </w:p>
    <w:p>
      <w:pPr>
        <w:shd w:val="clear" w:color="auto" w:fill="auto"/>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27.</w:t>
      </w:r>
      <w:r>
        <w:rPr>
          <w:rFonts w:hint="eastAsia" w:ascii="仿宋" w:hAnsi="仿宋" w:eastAsia="仿宋" w:cs="仿宋"/>
          <w:b/>
          <w:color w:val="auto"/>
          <w:sz w:val="24"/>
          <w:szCs w:val="24"/>
          <w:highlight w:val="none"/>
        </w:rPr>
        <w:t>投标文件的递交要求</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28．投标文件的补充、修改与撤回</w:t>
      </w:r>
    </w:p>
    <w:p>
      <w:pPr>
        <w:shd w:val="clear" w:color="auto" w:fill="auto"/>
        <w:tabs>
          <w:tab w:val="left" w:pos="960"/>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bookmarkStart w:id="23" w:name="_Toc469495728"/>
    </w:p>
    <w:p>
      <w:pPr>
        <w:shd w:val="clear" w:color="auto" w:fill="auto"/>
        <w:tabs>
          <w:tab w:val="left" w:pos="960"/>
          <w:tab w:val="left" w:pos="1418"/>
        </w:tabs>
        <w:autoSpaceDE w:val="0"/>
        <w:autoSpaceDN w:val="0"/>
        <w:adjustRightInd w:val="0"/>
        <w:snapToGrid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（五）开标、评标和定标</w:t>
      </w:r>
      <w:bookmarkEnd w:id="23"/>
    </w:p>
    <w:p>
      <w:pPr>
        <w:shd w:val="clear" w:color="auto" w:fill="auto"/>
        <w:snapToGrid w:val="0"/>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29. 开标</w:t>
      </w:r>
    </w:p>
    <w:p>
      <w:pPr>
        <w:shd w:val="clear" w:color="auto" w:fill="auto"/>
        <w:snapToGrid w:val="0"/>
        <w:spacing w:line="360" w:lineRule="auto"/>
        <w:ind w:firstLine="480" w:firstLineChars="200"/>
        <w:rPr>
          <w:rFonts w:hint="eastAsia" w:ascii="仿宋" w:hAnsi="仿宋" w:eastAsia="仿宋" w:cs="仿宋"/>
          <w:b/>
          <w:bCs/>
          <w:color w:val="auto"/>
          <w:sz w:val="24"/>
          <w:szCs w:val="24"/>
          <w:highlight w:val="none"/>
          <w:lang w:val="en-US" w:eastAsia="zh-CN"/>
        </w:rPr>
      </w:pPr>
      <w:bookmarkStart w:id="24" w:name="_Toc73975822"/>
      <w:r>
        <w:rPr>
          <w:rFonts w:hint="eastAsia" w:ascii="仿宋" w:hAnsi="仿宋" w:eastAsia="仿宋" w:cs="仿宋"/>
          <w:b/>
          <w:bCs/>
          <w:color w:val="auto"/>
          <w:sz w:val="24"/>
          <w:szCs w:val="24"/>
          <w:highlight w:val="none"/>
          <w:lang w:val="en-US" w:eastAsia="zh-CN"/>
        </w:rPr>
        <w:t>29.1开标邀请</w:t>
      </w:r>
      <w:bookmarkEnd w:id="24"/>
    </w:p>
    <w:p>
      <w:pPr>
        <w:pStyle w:val="13"/>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开标准备：本项目开标的准备工作由采购组织机构负责落实，开标过程由采购组织机构负责记录；</w:t>
      </w:r>
    </w:p>
    <w:p>
      <w:pPr>
        <w:pStyle w:val="13"/>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开标主持：本项目开标由采购人或者采购代理机构主持；</w:t>
      </w:r>
    </w:p>
    <w:p>
      <w:pPr>
        <w:pStyle w:val="13"/>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3</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开标邀请：本项目采用电子交易，采购组织机构将按照采购文件规定的时间通过“</w:t>
      </w:r>
      <w:r>
        <w:rPr>
          <w:rFonts w:hint="eastAsia" w:ascii="仿宋" w:hAnsi="仿宋" w:eastAsia="仿宋" w:cs="仿宋"/>
          <w:b w:val="0"/>
          <w:color w:val="auto"/>
          <w:sz w:val="24"/>
          <w:szCs w:val="24"/>
          <w:highlight w:val="none"/>
          <w:lang w:eastAsia="zh-CN"/>
        </w:rPr>
        <w:t>新疆</w:t>
      </w:r>
      <w:r>
        <w:rPr>
          <w:rFonts w:hint="eastAsia" w:ascii="仿宋" w:hAnsi="仿宋" w:eastAsia="仿宋" w:cs="仿宋"/>
          <w:b w:val="0"/>
          <w:color w:val="auto"/>
          <w:sz w:val="24"/>
          <w:szCs w:val="24"/>
          <w:highlight w:val="none"/>
        </w:rPr>
        <w:t>政府采购云平台，网址：</w:t>
      </w:r>
      <w:r>
        <w:rPr>
          <w:rFonts w:hint="eastAsia" w:ascii="仿宋" w:hAnsi="仿宋" w:eastAsia="仿宋" w:cs="仿宋"/>
          <w:b w:val="0"/>
          <w:color w:val="auto"/>
          <w:sz w:val="24"/>
          <w:szCs w:val="24"/>
          <w:highlight w:val="none"/>
        </w:rPr>
        <w:fldChar w:fldCharType="begin"/>
      </w:r>
      <w:r>
        <w:rPr>
          <w:rFonts w:hint="eastAsia" w:ascii="仿宋" w:hAnsi="仿宋" w:eastAsia="仿宋" w:cs="仿宋"/>
          <w:b w:val="0"/>
          <w:color w:val="auto"/>
          <w:sz w:val="24"/>
          <w:szCs w:val="24"/>
          <w:highlight w:val="none"/>
        </w:rPr>
        <w:instrText xml:space="preserve">HYPERLINK "http://www.zcygov.cn"</w:instrText>
      </w:r>
      <w:r>
        <w:rPr>
          <w:rFonts w:hint="eastAsia" w:ascii="仿宋" w:hAnsi="仿宋" w:eastAsia="仿宋" w:cs="仿宋"/>
          <w:b w:val="0"/>
          <w:color w:val="auto"/>
          <w:sz w:val="24"/>
          <w:szCs w:val="24"/>
          <w:highlight w:val="none"/>
        </w:rPr>
        <w:fldChar w:fldCharType="separate"/>
      </w:r>
      <w:r>
        <w:rPr>
          <w:rStyle w:val="27"/>
          <w:rFonts w:hint="eastAsia" w:ascii="仿宋" w:hAnsi="仿宋" w:eastAsia="仿宋" w:cs="仿宋"/>
          <w:b w:val="0"/>
          <w:color w:val="auto"/>
          <w:sz w:val="24"/>
          <w:szCs w:val="24"/>
          <w:highlight w:val="none"/>
          <w:u w:val="none"/>
        </w:rPr>
        <w:t>www.zcygov.cn</w:t>
      </w:r>
      <w:r>
        <w:rPr>
          <w:rFonts w:hint="eastAsia" w:ascii="仿宋" w:hAnsi="仿宋" w:eastAsia="仿宋" w:cs="仿宋"/>
          <w:color w:val="auto"/>
          <w:sz w:val="24"/>
          <w:szCs w:val="24"/>
          <w:highlight w:val="none"/>
        </w:rPr>
        <w:fldChar w:fldCharType="end"/>
      </w:r>
      <w:r>
        <w:rPr>
          <w:rFonts w:hint="eastAsia" w:ascii="仿宋" w:hAnsi="仿宋" w:eastAsia="仿宋" w:cs="仿宋"/>
          <w:b w:val="0"/>
          <w:color w:val="auto"/>
          <w:sz w:val="24"/>
          <w:szCs w:val="24"/>
          <w:highlight w:val="none"/>
        </w:rPr>
        <w:t>”组织开标、开启投标响应文件，所有供应商均应当准时在线参加。</w:t>
      </w:r>
    </w:p>
    <w:p>
      <w:pPr>
        <w:pStyle w:val="13"/>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4</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80" w:firstLineChars="200"/>
        <w:outlineLvl w:val="2"/>
        <w:rPr>
          <w:rFonts w:hint="eastAsia" w:ascii="仿宋" w:hAnsi="仿宋" w:eastAsia="仿宋" w:cs="仿宋"/>
          <w:b/>
          <w:color w:val="auto"/>
          <w:sz w:val="24"/>
          <w:szCs w:val="24"/>
          <w:highlight w:val="none"/>
        </w:rPr>
      </w:pPr>
      <w:bookmarkStart w:id="25" w:name="_Toc73975823"/>
      <w:r>
        <w:rPr>
          <w:rFonts w:hint="eastAsia" w:ascii="仿宋" w:hAnsi="仿宋" w:eastAsia="仿宋" w:cs="仿宋"/>
          <w:b/>
          <w:color w:val="auto"/>
          <w:sz w:val="24"/>
          <w:szCs w:val="24"/>
          <w:highlight w:val="none"/>
          <w:lang w:val="en-US" w:eastAsia="zh-CN"/>
        </w:rPr>
        <w:t>29.2</w:t>
      </w:r>
      <w:r>
        <w:rPr>
          <w:rFonts w:hint="eastAsia" w:ascii="仿宋" w:hAnsi="仿宋" w:eastAsia="仿宋" w:cs="仿宋"/>
          <w:b/>
          <w:bCs/>
          <w:color w:val="auto"/>
          <w:sz w:val="24"/>
          <w:szCs w:val="24"/>
          <w:highlight w:val="none"/>
        </w:rPr>
        <w:t>开标程序（先报价</w:t>
      </w:r>
      <w:r>
        <w:rPr>
          <w:rFonts w:hint="eastAsia" w:ascii="仿宋" w:hAnsi="仿宋" w:eastAsia="仿宋" w:cs="仿宋"/>
          <w:b/>
          <w:bCs/>
          <w:color w:val="auto"/>
          <w:sz w:val="24"/>
          <w:szCs w:val="24"/>
          <w:highlight w:val="none"/>
          <w:lang w:val="en-US" w:eastAsia="zh-CN"/>
        </w:rPr>
        <w:t>后</w:t>
      </w:r>
      <w:r>
        <w:rPr>
          <w:rFonts w:hint="eastAsia" w:ascii="仿宋" w:hAnsi="仿宋" w:eastAsia="仿宋" w:cs="仿宋"/>
          <w:b/>
          <w:bCs/>
          <w:color w:val="auto"/>
          <w:sz w:val="24"/>
          <w:szCs w:val="24"/>
          <w:highlight w:val="none"/>
        </w:rPr>
        <w:t>商务技术）</w:t>
      </w:r>
      <w:bookmarkEnd w:id="25"/>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开标时间到后，主持人宣布开标会议开始。</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w:t>
      </w:r>
      <w:r>
        <w:rPr>
          <w:rFonts w:hint="eastAsia" w:ascii="仿宋" w:hAnsi="仿宋" w:eastAsia="仿宋" w:cs="仿宋"/>
          <w:b/>
          <w:color w:val="auto"/>
          <w:kern w:val="0"/>
          <w:sz w:val="24"/>
          <w:szCs w:val="24"/>
          <w:highlight w:val="none"/>
        </w:rPr>
        <w:t>解密规定见《供应商须知前附表》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投标文件解密异常情况处理（</w:t>
      </w:r>
      <w:r>
        <w:rPr>
          <w:rFonts w:hint="eastAsia" w:ascii="仿宋" w:hAnsi="仿宋" w:eastAsia="仿宋" w:cs="仿宋"/>
          <w:b/>
          <w:color w:val="auto"/>
          <w:kern w:val="0"/>
          <w:sz w:val="24"/>
          <w:szCs w:val="24"/>
          <w:highlight w:val="none"/>
        </w:rPr>
        <w:t>处理办法见《供应商须知前附表》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公布投标文件解密情况</w:t>
      </w:r>
      <w:r>
        <w:rPr>
          <w:rFonts w:hint="eastAsia" w:ascii="仿宋" w:hAnsi="仿宋" w:eastAsia="仿宋" w:cs="仿宋"/>
          <w:color w:val="auto"/>
          <w:kern w:val="0"/>
          <w:sz w:val="24"/>
          <w:szCs w:val="24"/>
          <w:highlight w:val="none"/>
          <w:lang w:eastAsia="zh-CN"/>
        </w:rPr>
        <w:t>。</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开启有效投标供应商的报价，公布开标一览表有关内容，</w:t>
      </w:r>
      <w:r>
        <w:rPr>
          <w:rFonts w:hint="eastAsia" w:ascii="仿宋" w:hAnsi="仿宋" w:eastAsia="仿宋" w:cs="仿宋"/>
          <w:color w:val="auto"/>
          <w:sz w:val="24"/>
          <w:szCs w:val="24"/>
          <w:highlight w:val="none"/>
          <w:lang w:bidi="zh-CN"/>
        </w:rPr>
        <w:t>并【开启签章时段】，供应商对开标记录进行在线签章确认（不予确认的应说明理由，否则视为无异议）</w:t>
      </w:r>
      <w:r>
        <w:rPr>
          <w:rFonts w:hint="eastAsia" w:ascii="仿宋" w:hAnsi="仿宋" w:eastAsia="仿宋" w:cs="仿宋"/>
          <w:color w:val="auto"/>
          <w:kern w:val="0"/>
          <w:sz w:val="24"/>
          <w:szCs w:val="24"/>
          <w:highlight w:val="none"/>
        </w:rPr>
        <w:t>。开标结束后，由评标委员会对报价的合理性、准确性等进行审查核实</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开启标书信息（资格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文件、商务技术文件）。标书信息开启后，首先由采购人或采购代理机构</w:t>
      </w:r>
      <w:r>
        <w:rPr>
          <w:rFonts w:hint="eastAsia" w:ascii="仿宋" w:hAnsi="仿宋" w:eastAsia="仿宋" w:cs="仿宋"/>
          <w:color w:val="auto"/>
          <w:kern w:val="0"/>
          <w:sz w:val="24"/>
          <w:szCs w:val="24"/>
          <w:highlight w:val="none"/>
          <w:lang w:eastAsia="zh-CN"/>
        </w:rPr>
        <w:t>或评审小组</w:t>
      </w:r>
      <w:r>
        <w:rPr>
          <w:rFonts w:hint="eastAsia" w:ascii="仿宋" w:hAnsi="仿宋" w:eastAsia="仿宋" w:cs="仿宋"/>
          <w:color w:val="auto"/>
          <w:kern w:val="0"/>
          <w:sz w:val="24"/>
          <w:szCs w:val="24"/>
          <w:highlight w:val="none"/>
        </w:rPr>
        <w:t>依法对投标供应商的资格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文件进行审查（具体见本章“</w:t>
      </w:r>
      <w:r>
        <w:rPr>
          <w:rFonts w:hint="eastAsia" w:ascii="仿宋" w:hAnsi="仿宋" w:eastAsia="仿宋" w:cs="仿宋"/>
          <w:color w:val="auto"/>
          <w:kern w:val="0"/>
          <w:sz w:val="24"/>
          <w:szCs w:val="24"/>
          <w:highlight w:val="none"/>
          <w:lang w:val="en-US" w:eastAsia="zh-CN"/>
        </w:rPr>
        <w:t>29.3</w:t>
      </w:r>
      <w:r>
        <w:rPr>
          <w:rFonts w:hint="eastAsia" w:ascii="仿宋" w:hAnsi="仿宋" w:eastAsia="仿宋" w:cs="仿宋"/>
          <w:color w:val="auto"/>
          <w:kern w:val="0"/>
          <w:sz w:val="24"/>
          <w:szCs w:val="24"/>
          <w:highlight w:val="none"/>
        </w:rPr>
        <w:t xml:space="preserve"> 投标供应商资格审查”）， 审查结束公布投标供应商的资格符合情况。资格审查未获通过的供应商，其商务技术文件不再进入评审。</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商务技术评审结束后，主持人公布商务技术评审无效投标供应商名单和商务技术评审有效投标供应商名单及其商务技术得分情况</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商务技术评审无效的供应商，</w:t>
      </w:r>
      <w:r>
        <w:rPr>
          <w:rFonts w:hint="eastAsia" w:ascii="仿宋" w:hAnsi="仿宋" w:eastAsia="仿宋" w:cs="仿宋"/>
          <w:color w:val="auto"/>
          <w:kern w:val="0"/>
          <w:sz w:val="24"/>
          <w:szCs w:val="24"/>
          <w:highlight w:val="none"/>
          <w:lang w:val="en-US" w:eastAsia="zh-CN"/>
        </w:rPr>
        <w:t>将</w:t>
      </w:r>
      <w:r>
        <w:rPr>
          <w:rFonts w:hint="eastAsia" w:ascii="仿宋" w:hAnsi="仿宋" w:eastAsia="仿宋" w:cs="仿宋"/>
          <w:color w:val="auto"/>
          <w:kern w:val="0"/>
          <w:sz w:val="24"/>
          <w:szCs w:val="24"/>
          <w:highlight w:val="none"/>
        </w:rPr>
        <w:t>不再进入</w:t>
      </w:r>
      <w:r>
        <w:rPr>
          <w:rFonts w:hint="eastAsia" w:ascii="仿宋" w:hAnsi="仿宋" w:eastAsia="仿宋" w:cs="仿宋"/>
          <w:color w:val="auto"/>
          <w:kern w:val="0"/>
          <w:sz w:val="24"/>
          <w:szCs w:val="24"/>
          <w:highlight w:val="none"/>
          <w:lang w:val="en-US" w:eastAsia="zh-CN"/>
        </w:rPr>
        <w:t>后期</w:t>
      </w:r>
      <w:r>
        <w:rPr>
          <w:rFonts w:hint="eastAsia" w:ascii="仿宋" w:hAnsi="仿宋" w:eastAsia="仿宋" w:cs="仿宋"/>
          <w:color w:val="auto"/>
          <w:kern w:val="0"/>
          <w:sz w:val="24"/>
          <w:szCs w:val="24"/>
          <w:highlight w:val="none"/>
        </w:rPr>
        <w:t>评审。</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评审结束后，采购代理机构在系统上公布评审结果。</w:t>
      </w:r>
    </w:p>
    <w:p>
      <w:pPr>
        <w:shd w:val="clear" w:color="auto" w:fill="auto"/>
        <w:snapToGrid w:val="0"/>
        <w:spacing w:line="360" w:lineRule="auto"/>
        <w:ind w:firstLine="480"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29.3</w:t>
      </w:r>
      <w:r>
        <w:rPr>
          <w:rFonts w:hint="eastAsia" w:ascii="仿宋" w:hAnsi="仿宋" w:eastAsia="仿宋" w:cs="仿宋"/>
          <w:b/>
          <w:color w:val="auto"/>
          <w:kern w:val="0"/>
          <w:sz w:val="24"/>
          <w:szCs w:val="24"/>
          <w:highlight w:val="none"/>
        </w:rPr>
        <w:t xml:space="preserve"> 投标供应商资格审查：</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Cs/>
          <w:color w:val="auto"/>
          <w:kern w:val="0"/>
          <w:sz w:val="24"/>
          <w:szCs w:val="24"/>
          <w:highlight w:val="none"/>
        </w:rPr>
        <w:t>开标（标书信息开启）后，采购人或采购代理机构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bCs/>
          <w:color w:val="auto"/>
          <w:kern w:val="0"/>
          <w:sz w:val="24"/>
          <w:szCs w:val="24"/>
          <w:highlight w:val="none"/>
        </w:rPr>
        <w:t>首先依法对投标供应商的资格文件进行审查，审查各投标供应商的资格符合情况。</w:t>
      </w:r>
      <w:r>
        <w:rPr>
          <w:rFonts w:hint="eastAsia" w:ascii="仿宋" w:hAnsi="仿宋" w:eastAsia="仿宋" w:cs="仿宋"/>
          <w:color w:val="auto"/>
          <w:sz w:val="24"/>
          <w:szCs w:val="24"/>
          <w:highlight w:val="none"/>
        </w:rPr>
        <w:t>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color w:val="auto"/>
          <w:sz w:val="24"/>
          <w:szCs w:val="24"/>
          <w:highlight w:val="none"/>
        </w:rPr>
        <w:t>对投标供应商所提交的资格证明材料仅负审核的责任。如发现投标供应商所提交的资格证明材料不合法或与事实不符，采购人可取消其中标资格并追究投标供应商的法律责任。</w:t>
      </w:r>
    </w:p>
    <w:p>
      <w:pPr>
        <w:pStyle w:val="8"/>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8"/>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r>
        <w:rPr>
          <w:rFonts w:hint="eastAsia" w:ascii="仿宋" w:hAnsi="仿宋" w:eastAsia="仿宋" w:cs="仿宋"/>
          <w:b w:val="0"/>
          <w:bCs/>
          <w:color w:val="auto"/>
          <w:kern w:val="0"/>
          <w:sz w:val="24"/>
          <w:szCs w:val="24"/>
          <w:highlight w:val="none"/>
        </w:rPr>
        <w:t>供应商</w:t>
      </w:r>
      <w:r>
        <w:rPr>
          <w:rFonts w:hint="eastAsia" w:ascii="仿宋" w:hAnsi="仿宋" w:eastAsia="仿宋" w:cs="仿宋"/>
          <w:b w:val="0"/>
          <w:bCs/>
          <w:color w:val="auto"/>
          <w:sz w:val="24"/>
          <w:szCs w:val="24"/>
          <w:highlight w:val="none"/>
        </w:rPr>
        <w:t>信用记录查询与使用：</w:t>
      </w:r>
      <w:r>
        <w:rPr>
          <w:rFonts w:hint="eastAsia" w:ascii="仿宋" w:hAnsi="仿宋" w:eastAsia="仿宋" w:cs="仿宋"/>
          <w:b w:val="0"/>
          <w:bCs/>
          <w:color w:val="auto"/>
          <w:kern w:val="0"/>
          <w:sz w:val="24"/>
          <w:szCs w:val="24"/>
          <w:highlight w:val="none"/>
        </w:rPr>
        <w:t>见《供应商须知前附表》。</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评审工作的组织</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 评标委员会的组建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.1评标委员会由采购人或采购代理机构依法组建，成员由采购人代表和评审专家组成，成员人数为五人或以上单数，其中评审专家不少于成员总数的三分之二。</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.2评审专家从</w:t>
      </w:r>
      <w:r>
        <w:rPr>
          <w:rFonts w:hint="eastAsia" w:ascii="仿宋" w:hAnsi="仿宋" w:eastAsia="仿宋" w:cs="仿宋"/>
          <w:color w:val="auto"/>
          <w:szCs w:val="21"/>
          <w:highlight w:val="none"/>
          <w:lang w:eastAsia="zh-CN"/>
        </w:rPr>
        <w:t>新疆</w:t>
      </w:r>
      <w:r>
        <w:rPr>
          <w:rFonts w:hint="eastAsia" w:ascii="仿宋" w:hAnsi="仿宋" w:eastAsia="仿宋" w:cs="仿宋"/>
          <w:color w:val="auto"/>
          <w:szCs w:val="21"/>
          <w:highlight w:val="none"/>
        </w:rPr>
        <w:t>政府采购云平台专家库中通过随机方式抽取产生。评标委员会成员名单在采购结果公告前保密。</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.评标委员会的职责</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.1审查、评价投标文件是否符合采购文件的商务、技术等实质性要求。</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.2要求供应商对投标文件有关事项作出澄清或者说明。</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.3对投标文件进行比较和评价。</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.4确定中标候选人名单，以及根据采购人委托直接确定中标人。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.5向采购人、采购代理机构或者有关部门报告评审中发现的违法行为。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 评标原则</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 xml:space="preserve">.2客观公正对待所有供应商，对所有投标评价均采用相同的程序和标准。 </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 xml:space="preserve">.4 财政部令第87号《政府采购货物和服务招标投标管理办法》第三十一条规定。      </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rPr>
        <w:t>. 评委纪律</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评标委员会成员必须严格遵守保密规定，不得泄露评审的有关情况，任何单位和个人不得干扰、影响评标的正常进行，评标委员会成员不得私下与投标供应商接触，不得出现</w:t>
      </w:r>
      <w:r>
        <w:rPr>
          <w:rFonts w:hint="eastAsia" w:ascii="仿宋" w:hAnsi="仿宋" w:eastAsia="仿宋" w:cs="仿宋"/>
          <w:color w:val="auto"/>
          <w:szCs w:val="21"/>
          <w:highlight w:val="none"/>
          <w:lang w:val="en-US" w:eastAsia="zh-CN"/>
        </w:rPr>
        <w:t>新疆</w:t>
      </w:r>
      <w:r>
        <w:rPr>
          <w:rFonts w:hint="eastAsia" w:ascii="仿宋" w:hAnsi="仿宋" w:eastAsia="仿宋" w:cs="仿宋"/>
          <w:color w:val="auto"/>
          <w:szCs w:val="21"/>
          <w:highlight w:val="none"/>
        </w:rPr>
        <w:t>政府采购活动现场组织管理办法中规定的其他禁止行为。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评标程序</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1 在评审专家中推选评标委员会组长，采购人代表不得担任评标委员会组长。</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4 评审人员按采购文件规定的评审方法和评审标准，依法独立对供应商投标文件进行评估、比较，并给予评价或打分，不受任何单位和个人的干预。</w:t>
      </w:r>
    </w:p>
    <w:p>
      <w:pPr>
        <w:widowControl/>
        <w:shd w:val="clear" w:color="auto" w:fill="auto"/>
        <w:spacing w:line="440" w:lineRule="exact"/>
        <w:ind w:firstLine="48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综合评分法中的价格分统一采用低价优先法计算，即满足</w:t>
      </w:r>
      <w:r>
        <w:rPr>
          <w:rFonts w:hint="eastAsia" w:ascii="仿宋" w:hAnsi="仿宋" w:eastAsia="仿宋" w:cs="仿宋"/>
          <w:color w:val="auto"/>
          <w:kern w:val="0"/>
          <w:szCs w:val="21"/>
          <w:highlight w:val="none"/>
          <w:lang w:eastAsia="zh-CN"/>
        </w:rPr>
        <w:t>招标</w:t>
      </w:r>
      <w:r>
        <w:rPr>
          <w:rFonts w:hint="eastAsia" w:ascii="仿宋" w:hAnsi="仿宋" w:eastAsia="仿宋" w:cs="仿宋"/>
          <w:color w:val="auto"/>
          <w:kern w:val="0"/>
          <w:szCs w:val="21"/>
          <w:highlight w:val="none"/>
        </w:rPr>
        <w:t>文件要求且最后报价最低的供应商的价格为</w:t>
      </w:r>
      <w:r>
        <w:rPr>
          <w:rFonts w:hint="eastAsia" w:ascii="仿宋" w:hAnsi="仿宋" w:eastAsia="仿宋" w:cs="仿宋"/>
          <w:color w:val="auto"/>
          <w:kern w:val="0"/>
          <w:szCs w:val="21"/>
          <w:highlight w:val="none"/>
          <w:lang w:val="en-US" w:eastAsia="zh-CN"/>
        </w:rPr>
        <w:t>评标</w:t>
      </w:r>
      <w:r>
        <w:rPr>
          <w:rFonts w:hint="eastAsia" w:ascii="仿宋" w:hAnsi="仿宋" w:eastAsia="仿宋" w:cs="仿宋"/>
          <w:color w:val="auto"/>
          <w:kern w:val="0"/>
          <w:szCs w:val="21"/>
          <w:highlight w:val="none"/>
        </w:rPr>
        <w:t>基准价，其价格分为满分。其他供应商的价格分统一按照下列公式计算：</w:t>
      </w:r>
    </w:p>
    <w:p>
      <w:pPr>
        <w:widowControl/>
        <w:shd w:val="clear" w:color="auto" w:fill="auto"/>
        <w:spacing w:line="440" w:lineRule="exact"/>
        <w:ind w:firstLine="48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投标</w:t>
      </w:r>
      <w:r>
        <w:rPr>
          <w:rFonts w:hint="eastAsia" w:ascii="仿宋" w:hAnsi="仿宋" w:eastAsia="仿宋" w:cs="仿宋"/>
          <w:color w:val="auto"/>
          <w:kern w:val="0"/>
          <w:szCs w:val="21"/>
          <w:highlight w:val="none"/>
        </w:rPr>
        <w:t>报价得分=（</w:t>
      </w:r>
      <w:r>
        <w:rPr>
          <w:rFonts w:hint="eastAsia" w:ascii="仿宋" w:hAnsi="仿宋" w:eastAsia="仿宋" w:cs="仿宋"/>
          <w:color w:val="auto"/>
          <w:kern w:val="0"/>
          <w:szCs w:val="21"/>
          <w:highlight w:val="none"/>
          <w:lang w:val="en-US" w:eastAsia="zh-CN"/>
        </w:rPr>
        <w:t>评标</w:t>
      </w:r>
      <w:r>
        <w:rPr>
          <w:rFonts w:hint="eastAsia" w:ascii="仿宋" w:hAnsi="仿宋" w:eastAsia="仿宋" w:cs="仿宋"/>
          <w:color w:val="auto"/>
          <w:kern w:val="0"/>
          <w:szCs w:val="21"/>
          <w:highlight w:val="none"/>
        </w:rPr>
        <w:t>基准价/</w:t>
      </w:r>
      <w:r>
        <w:rPr>
          <w:rFonts w:hint="eastAsia" w:ascii="仿宋" w:hAnsi="仿宋" w:eastAsia="仿宋" w:cs="仿宋"/>
          <w:color w:val="auto"/>
          <w:kern w:val="0"/>
          <w:szCs w:val="21"/>
          <w:highlight w:val="none"/>
          <w:lang w:eastAsia="zh-CN"/>
        </w:rPr>
        <w:t>投标</w:t>
      </w:r>
      <w:r>
        <w:rPr>
          <w:rFonts w:hint="eastAsia" w:ascii="仿宋" w:hAnsi="仿宋" w:eastAsia="仿宋" w:cs="仿宋"/>
          <w:color w:val="auto"/>
          <w:kern w:val="0"/>
          <w:szCs w:val="21"/>
          <w:highlight w:val="none"/>
        </w:rPr>
        <w:t>报价）×价格权值×100</w:t>
      </w:r>
    </w:p>
    <w:p>
      <w:pPr>
        <w:widowControl/>
        <w:shd w:val="clear" w:color="auto" w:fill="auto"/>
        <w:spacing w:line="440" w:lineRule="exact"/>
        <w:ind w:firstLine="480"/>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rPr>
        <w:t>项目评审过程中，不得去掉</w:t>
      </w:r>
      <w:r>
        <w:rPr>
          <w:rFonts w:hint="eastAsia" w:ascii="仿宋" w:hAnsi="仿宋" w:eastAsia="仿宋" w:cs="仿宋"/>
          <w:color w:val="auto"/>
          <w:kern w:val="0"/>
          <w:szCs w:val="21"/>
          <w:highlight w:val="none"/>
          <w:lang w:val="en-US" w:eastAsia="zh-CN"/>
        </w:rPr>
        <w:t>投标</w:t>
      </w:r>
      <w:r>
        <w:rPr>
          <w:rFonts w:hint="eastAsia" w:ascii="仿宋" w:hAnsi="仿宋" w:eastAsia="仿宋" w:cs="仿宋"/>
          <w:color w:val="auto"/>
          <w:kern w:val="0"/>
          <w:szCs w:val="21"/>
          <w:highlight w:val="none"/>
        </w:rPr>
        <w:t>报价中的最高报价和最低报价。</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6 评审人员需对采购方工作人员唱</w:t>
      </w:r>
      <w:r>
        <w:rPr>
          <w:rFonts w:hint="eastAsia" w:ascii="仿宋" w:hAnsi="仿宋" w:eastAsia="仿宋" w:cs="仿宋"/>
          <w:color w:val="auto"/>
          <w:szCs w:val="21"/>
          <w:highlight w:val="none"/>
          <w:lang w:val="en-US" w:eastAsia="zh-CN"/>
        </w:rPr>
        <w:t>标</w:t>
      </w:r>
      <w:r>
        <w:rPr>
          <w:rFonts w:hint="eastAsia" w:ascii="仿宋" w:hAnsi="仿宋" w:eastAsia="仿宋" w:cs="仿宋"/>
          <w:color w:val="auto"/>
          <w:szCs w:val="21"/>
          <w:highlight w:val="none"/>
        </w:rPr>
        <w:t>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%以上的）情形的，应由相关人员当场改正或作出书面说明；拒不改正又不作书面说明的，由现场监督员如实记载后存入项目档案资料。</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7 评标委员会根据评审汇总情况和采购文件规定确定中标候选供应商排序名单。</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8 起草评审报告，所有评审人员须在评审报告上</w:t>
      </w:r>
      <w:r>
        <w:rPr>
          <w:rFonts w:hint="eastAsia" w:ascii="仿宋" w:hAnsi="仿宋" w:eastAsia="仿宋" w:cs="仿宋"/>
          <w:color w:val="auto"/>
          <w:szCs w:val="21"/>
          <w:highlight w:val="none"/>
          <w:lang w:eastAsia="zh-CN"/>
        </w:rPr>
        <w:t>签章</w:t>
      </w:r>
      <w:r>
        <w:rPr>
          <w:rFonts w:hint="eastAsia" w:ascii="仿宋" w:hAnsi="仿宋" w:eastAsia="仿宋" w:cs="仿宋"/>
          <w:color w:val="auto"/>
          <w:szCs w:val="21"/>
          <w:highlight w:val="none"/>
        </w:rPr>
        <w:t xml:space="preserve">确认，对自己的评审意见承担法律责任。 </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9 采购组织机构对评标委员会评审专家进行评价。</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10 修改评审结果</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评标结果汇总完成后，除下列情形外，任何人不得修改评</w:t>
      </w:r>
      <w:r>
        <w:rPr>
          <w:rFonts w:hint="eastAsia" w:ascii="仿宋" w:hAnsi="仿宋" w:eastAsia="仿宋" w:cs="仿宋"/>
          <w:color w:val="auto"/>
          <w:szCs w:val="21"/>
          <w:highlight w:val="none"/>
          <w:lang w:val="en-US" w:eastAsia="zh-CN"/>
        </w:rPr>
        <w:t>审</w:t>
      </w:r>
      <w:r>
        <w:rPr>
          <w:rFonts w:hint="eastAsia" w:ascii="仿宋" w:hAnsi="仿宋" w:eastAsia="仿宋" w:cs="仿宋"/>
          <w:color w:val="auto"/>
          <w:szCs w:val="21"/>
          <w:highlight w:val="none"/>
        </w:rPr>
        <w:t>结果：</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（1）分值汇总计算错误的；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（2）分项评分超出评分标准范围的；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（3）评标委员会成员对客观评审因素评分不一致的；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（4）经评标委员会认定评分畸高、畸低的。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w:t>
      </w:r>
      <w:r>
        <w:rPr>
          <w:rFonts w:hint="eastAsia" w:ascii="仿宋" w:hAnsi="仿宋" w:eastAsia="仿宋" w:cs="仿宋"/>
          <w:color w:val="auto"/>
          <w:szCs w:val="21"/>
          <w:highlight w:val="none"/>
          <w:lang w:val="en-US" w:eastAsia="zh-CN"/>
        </w:rPr>
        <w:t>审</w:t>
      </w:r>
      <w:r>
        <w:rPr>
          <w:rFonts w:hint="eastAsia" w:ascii="仿宋" w:hAnsi="仿宋" w:eastAsia="仿宋" w:cs="仿宋"/>
          <w:color w:val="auto"/>
          <w:szCs w:val="21"/>
          <w:highlight w:val="none"/>
        </w:rPr>
        <w:t>报告签署前，经复核发现存在以上情形之一的，评标委员会应当当场修改评</w:t>
      </w:r>
      <w:r>
        <w:rPr>
          <w:rFonts w:hint="eastAsia" w:ascii="仿宋" w:hAnsi="仿宋" w:eastAsia="仿宋" w:cs="仿宋"/>
          <w:color w:val="auto"/>
          <w:szCs w:val="21"/>
          <w:highlight w:val="none"/>
          <w:lang w:val="en-US" w:eastAsia="zh-CN"/>
        </w:rPr>
        <w:t>审</w:t>
      </w:r>
      <w:r>
        <w:rPr>
          <w:rFonts w:hint="eastAsia" w:ascii="仿宋" w:hAnsi="仿宋" w:eastAsia="仿宋" w:cs="仿宋"/>
          <w:color w:val="auto"/>
          <w:szCs w:val="21"/>
          <w:highlight w:val="none"/>
        </w:rPr>
        <w:t>结果，并在评</w:t>
      </w:r>
      <w:r>
        <w:rPr>
          <w:rFonts w:hint="eastAsia" w:ascii="仿宋" w:hAnsi="仿宋" w:eastAsia="仿宋" w:cs="仿宋"/>
          <w:color w:val="auto"/>
          <w:szCs w:val="21"/>
          <w:highlight w:val="none"/>
          <w:lang w:val="en-US" w:eastAsia="zh-CN"/>
        </w:rPr>
        <w:t>审</w:t>
      </w:r>
      <w:r>
        <w:rPr>
          <w:rFonts w:hint="eastAsia" w:ascii="仿宋" w:hAnsi="仿宋" w:eastAsia="仿宋" w:cs="仿宋"/>
          <w:color w:val="auto"/>
          <w:szCs w:val="21"/>
          <w:highlight w:val="none"/>
        </w:rPr>
        <w:t>报告中记载；评</w:t>
      </w:r>
      <w:r>
        <w:rPr>
          <w:rFonts w:hint="eastAsia" w:ascii="仿宋" w:hAnsi="仿宋" w:eastAsia="仿宋" w:cs="仿宋"/>
          <w:color w:val="auto"/>
          <w:szCs w:val="21"/>
          <w:highlight w:val="none"/>
          <w:lang w:val="en-US" w:eastAsia="zh-CN"/>
        </w:rPr>
        <w:t>审</w:t>
      </w:r>
      <w:r>
        <w:rPr>
          <w:rFonts w:hint="eastAsia" w:ascii="仿宋" w:hAnsi="仿宋" w:eastAsia="仿宋" w:cs="仿宋"/>
          <w:color w:val="auto"/>
          <w:szCs w:val="21"/>
          <w:highlight w:val="none"/>
        </w:rPr>
        <w:t>报告签署后，采购人或者采购代理机构发现存在以上情形之一的，应当组织原评标委员会进行重新评审，重新评审改变评</w:t>
      </w:r>
      <w:r>
        <w:rPr>
          <w:rFonts w:hint="eastAsia" w:ascii="仿宋" w:hAnsi="仿宋" w:eastAsia="仿宋" w:cs="仿宋"/>
          <w:color w:val="auto"/>
          <w:szCs w:val="21"/>
          <w:highlight w:val="none"/>
          <w:lang w:val="en-US" w:eastAsia="zh-CN"/>
        </w:rPr>
        <w:t>审</w:t>
      </w:r>
      <w:r>
        <w:rPr>
          <w:rFonts w:hint="eastAsia" w:ascii="仿宋" w:hAnsi="仿宋" w:eastAsia="仿宋" w:cs="仿宋"/>
          <w:color w:val="auto"/>
          <w:szCs w:val="21"/>
          <w:highlight w:val="none"/>
        </w:rPr>
        <w:t>结果的，书面报告本级财政部门。</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36．澄清、说明或补正的形式</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auto"/>
          <w:szCs w:val="21"/>
          <w:highlight w:val="none"/>
          <w:lang w:val="en-US" w:eastAsia="zh-CN"/>
        </w:rPr>
        <w:t>投标供应商澄清、说明或补正时间为20分钟</w:t>
      </w:r>
      <w:r>
        <w:rPr>
          <w:rFonts w:hint="eastAsia" w:ascii="仿宋" w:hAnsi="仿宋" w:eastAsia="仿宋" w:cs="仿宋"/>
          <w:b w:val="0"/>
          <w:bCs w:val="0"/>
          <w:color w:val="auto"/>
          <w:szCs w:val="21"/>
          <w:highlight w:val="none"/>
          <w:lang w:val="en-US" w:eastAsia="zh-CN"/>
        </w:rPr>
        <w:t>。</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37．错误修正的原则</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bCs/>
          <w:color w:val="auto"/>
          <w:szCs w:val="21"/>
          <w:highlight w:val="none"/>
          <w:lang w:val="en-US" w:eastAsia="zh-CN"/>
        </w:rPr>
      </w:pPr>
      <w:r>
        <w:rPr>
          <w:rFonts w:hint="eastAsia" w:ascii="仿宋" w:hAnsi="仿宋" w:eastAsia="仿宋" w:cs="仿宋"/>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auto"/>
          <w:szCs w:val="21"/>
          <w:highlight w:val="none"/>
          <w:lang w:val="en-US" w:eastAsia="zh-CN"/>
        </w:rPr>
        <w:t>修正应当采用电子询标的形式，并加盖公章（电子印章）。</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38．无效投标文件有下列情形之一的，投标文件按无效标处理：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 报名的投标人与参加投标的投标人发生实质性变更的且未提供有效证明的；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38.2投标人提交两份或两份以上内容不同的投标文件，未声明哪一份有效的；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38.3 投标文件非投标人法定代表人签署的，未提供或提供无效的法定代表人授权书；</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38.4 未按招标文件规定装订；</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38.5 投标文件内容未按招标文件规定签章或盖章的；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38.7 投标人未按招标文件变更通知更改投标文件的；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38.8 《开标一览表》和《报价明细表》内容不完整且不接受修正意见或字迹不能辨认的或未提供；</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38.9 标项投标报价超过招标文件规定的预算金额或最高限价；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38.10 因投标人原因编制错误造成经评标委员会修正后的报价达到或超过投标报价的0.5%；</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38.12 未实质性响应招标文件中条款要求的投标文件；</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38.13 不符合招标范围、技术规格、技术标准的要求无法满足采购人使用要求；</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38.14 投标文件附有采购人不能接受的条款；</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38.15 投标文件中提供了赠品或者与本项目采购无关的其他商品、服务；</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38.16 投标文件中承诺的投标有效期少于招标文件中载明的投标有效期；</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38.17投标人串通投标，妨碍其他投标人的竞争行为，损害采购人或者其他投标人的合法权益；</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38.18违反国家及政府部门相关法律、法规、文件规定或经评标委员会认定的其他属于重大偏离；</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39．废标</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39.1 符合招标文件规定废标情形的；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39.2 出现影响采购公正的违法、违规行为的；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39.3 供应商的报价均超过了采购预算（或最高限价），采购人不能支付的;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39.4 因重大变故，采购任务取消的。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40．突发情况处理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40.1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（1）电子交易平台发生故障而无法登录访问的；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（2）电子交易平台应用或数据库出现错误，不能进行正常操作的；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（3）电子交易平台发现严重安全漏洞，有潜在泄密危险的；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（4）病毒发作导致不能进行正常操作的；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（5）其他无法保证电子交易的公平、公正和安全的情况。</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40.2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（1）短时间内能消除不可抗力因素的，采购代理机构或评审小组在消除不可抗力因素后继续组织电子交易活动；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exact"/>
        <w:ind w:firstLine="421"/>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41</w:t>
      </w:r>
      <w:r>
        <w:rPr>
          <w:rFonts w:hint="eastAsia" w:ascii="仿宋" w:hAnsi="仿宋" w:eastAsia="仿宋" w:cs="仿宋"/>
          <w:b/>
          <w:color w:val="auto"/>
          <w:szCs w:val="21"/>
          <w:highlight w:val="none"/>
        </w:rPr>
        <w:t>. 定标</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color w:val="auto"/>
          <w:szCs w:val="21"/>
          <w:highlight w:val="none"/>
        </w:rPr>
        <w:t xml:space="preserve">   </w:t>
      </w:r>
      <w:r>
        <w:rPr>
          <w:rFonts w:hint="eastAsia" w:ascii="仿宋" w:hAnsi="仿宋" w:eastAsia="仿宋" w:cs="仿宋"/>
          <w:b w:val="0"/>
          <w:bCs w:val="0"/>
          <w:color w:val="auto"/>
          <w:szCs w:val="21"/>
          <w:highlight w:val="none"/>
          <w:lang w:val="en-US" w:eastAsia="zh-CN"/>
        </w:rPr>
        <w:t xml:space="preserve"> </w:t>
      </w:r>
      <w:bookmarkStart w:id="26" w:name="_Toc469495729"/>
      <w:r>
        <w:rPr>
          <w:rFonts w:hint="eastAsia" w:ascii="仿宋" w:hAnsi="仿宋" w:eastAsia="仿宋" w:cs="仿宋"/>
          <w:b w:val="0"/>
          <w:bCs w:val="0"/>
          <w:color w:val="auto"/>
          <w:szCs w:val="21"/>
          <w:highlight w:val="none"/>
          <w:lang w:val="en-US" w:eastAsia="zh-CN"/>
        </w:rPr>
        <w:t>41.1采购结果确认（确定中标供应商）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（1）采购代理机构将在评审结束后2个工作日内将评审报告送采购人。</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40" w:firstLineChars="100"/>
        <w:jc w:val="left"/>
        <w:rPr>
          <w:rFonts w:hint="eastAsia" w:ascii="仿宋" w:hAnsi="仿宋" w:eastAsia="仿宋" w:cs="仿宋"/>
          <w:b/>
          <w:bCs/>
          <w:color w:val="auto"/>
          <w:szCs w:val="21"/>
          <w:highlight w:val="none"/>
          <w:lang w:val="en-US" w:eastAsia="zh-CN"/>
        </w:rPr>
      </w:pPr>
      <w:r>
        <w:rPr>
          <w:rFonts w:hint="eastAsia" w:ascii="仿宋" w:hAnsi="仿宋" w:eastAsia="仿宋" w:cs="仿宋"/>
          <w:b w:val="0"/>
          <w:bCs w:val="0"/>
          <w:color w:val="auto"/>
          <w:szCs w:val="21"/>
          <w:highlight w:val="none"/>
          <w:lang w:val="en-US" w:eastAsia="zh-CN"/>
        </w:rPr>
        <w:t>41.2采购结果经采购人确认后2个工作日内，采购代理机构将在</w:t>
      </w:r>
      <w:r>
        <w:rPr>
          <w:rFonts w:hint="eastAsia" w:ascii="仿宋" w:hAnsi="仿宋" w:eastAsia="仿宋" w:cs="仿宋"/>
          <w:b/>
          <w:bCs/>
          <w:color w:val="auto"/>
          <w:szCs w:val="21"/>
          <w:highlight w:val="none"/>
          <w:lang w:val="en-US" w:eastAsia="zh-CN"/>
        </w:rPr>
        <w:t>新疆政府采购网公告采购结果，中标公告期限为1个工作日。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42. 中标通知书</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42.1</w:t>
      </w: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eastAsia="zh-CN"/>
        </w:rPr>
        <w:t>中标</w:t>
      </w:r>
      <w:r>
        <w:rPr>
          <w:rFonts w:hint="eastAsia" w:ascii="仿宋" w:hAnsi="仿宋" w:eastAsia="仿宋" w:cs="仿宋"/>
          <w:color w:val="auto"/>
          <w:szCs w:val="21"/>
          <w:highlight w:val="none"/>
        </w:rPr>
        <w:t>通知书发出前，招标人将</w:t>
      </w:r>
      <w:r>
        <w:rPr>
          <w:rFonts w:hint="eastAsia" w:ascii="仿宋" w:hAnsi="仿宋" w:eastAsia="仿宋" w:cs="仿宋"/>
          <w:color w:val="auto"/>
          <w:szCs w:val="21"/>
          <w:highlight w:val="none"/>
          <w:lang w:eastAsia="zh-CN"/>
        </w:rPr>
        <w:t>中标</w:t>
      </w:r>
      <w:r>
        <w:rPr>
          <w:rFonts w:hint="eastAsia" w:ascii="仿宋" w:hAnsi="仿宋" w:eastAsia="仿宋" w:cs="仿宋"/>
          <w:color w:val="auto"/>
          <w:szCs w:val="21"/>
          <w:highlight w:val="none"/>
        </w:rPr>
        <w:t>侯选人的情况在</w:t>
      </w:r>
      <w:r>
        <w:rPr>
          <w:rFonts w:hint="eastAsia" w:ascii="仿宋" w:hAnsi="仿宋" w:eastAsia="仿宋" w:cs="仿宋"/>
          <w:color w:val="auto"/>
          <w:szCs w:val="21"/>
          <w:highlight w:val="none"/>
          <w:lang w:eastAsia="zh-CN"/>
        </w:rPr>
        <w:t>新疆政府采购网</w:t>
      </w:r>
      <w:r>
        <w:rPr>
          <w:rFonts w:hint="eastAsia" w:ascii="仿宋" w:hAnsi="仿宋" w:eastAsia="仿宋" w:cs="仿宋"/>
          <w:color w:val="auto"/>
          <w:szCs w:val="21"/>
          <w:highlight w:val="none"/>
        </w:rPr>
        <w:t>予以公示，</w:t>
      </w:r>
      <w:r>
        <w:rPr>
          <w:rFonts w:hint="eastAsia" w:ascii="仿宋" w:hAnsi="仿宋" w:eastAsia="仿宋" w:cs="仿宋"/>
          <w:b/>
          <w:bCs/>
          <w:color w:val="auto"/>
          <w:szCs w:val="21"/>
          <w:highlight w:val="none"/>
        </w:rPr>
        <w:t>公示期为</w:t>
      </w:r>
      <w:r>
        <w:rPr>
          <w:rFonts w:hint="eastAsia" w:ascii="仿宋" w:hAnsi="仿宋" w:eastAsia="仿宋" w:cs="仿宋"/>
          <w:b/>
          <w:bCs/>
          <w:color w:val="auto"/>
          <w:szCs w:val="21"/>
          <w:highlight w:val="none"/>
          <w:lang w:eastAsia="zh-CN"/>
        </w:rPr>
        <w:t>一</w:t>
      </w:r>
      <w:r>
        <w:rPr>
          <w:rFonts w:hint="eastAsia" w:ascii="仿宋" w:hAnsi="仿宋" w:eastAsia="仿宋" w:cs="仿宋"/>
          <w:b/>
          <w:bCs/>
          <w:color w:val="auto"/>
          <w:szCs w:val="21"/>
          <w:highlight w:val="none"/>
        </w:rPr>
        <w:t>个工作日。</w:t>
      </w:r>
      <w:r>
        <w:rPr>
          <w:rFonts w:hint="eastAsia" w:ascii="仿宋" w:hAnsi="仿宋" w:eastAsia="仿宋" w:cs="仿宋"/>
          <w:b/>
          <w:bCs/>
          <w:color w:val="auto"/>
          <w:szCs w:val="21"/>
          <w:highlight w:val="none"/>
          <w:lang w:eastAsia="zh-CN"/>
        </w:rPr>
        <w:t>待公示期结束后，</w:t>
      </w:r>
      <w:r>
        <w:rPr>
          <w:rFonts w:hint="eastAsia" w:ascii="仿宋" w:hAnsi="仿宋" w:eastAsia="仿宋" w:cs="仿宋"/>
          <w:b w:val="0"/>
          <w:bCs w:val="0"/>
          <w:color w:val="auto"/>
          <w:szCs w:val="21"/>
          <w:highlight w:val="none"/>
          <w:lang w:val="en-US" w:eastAsia="zh-CN"/>
        </w:rPr>
        <w:t>采购组织机构向中标人发出中标通知书。</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hd w:val="clear" w:color="auto" w:fill="auto"/>
        <w:spacing w:before="156" w:beforeLines="50" w:line="440" w:lineRule="exact"/>
        <w:jc w:val="center"/>
        <w:outlineLvl w:val="2"/>
        <w:rPr>
          <w:rFonts w:hint="eastAsia" w:ascii="仿宋" w:hAnsi="仿宋" w:eastAsia="仿宋" w:cs="仿宋"/>
          <w:b/>
          <w:bCs/>
          <w:color w:val="auto"/>
          <w:sz w:val="24"/>
          <w:highlight w:val="none"/>
        </w:rPr>
      </w:pPr>
      <w:r>
        <w:rPr>
          <w:rFonts w:hint="eastAsia" w:ascii="仿宋" w:hAnsi="仿宋" w:eastAsia="仿宋" w:cs="仿宋"/>
          <w:b/>
          <w:bCs/>
          <w:color w:val="auto"/>
          <w:sz w:val="28"/>
          <w:szCs w:val="28"/>
          <w:highlight w:val="none"/>
        </w:rPr>
        <w:t>（六）合同的授予</w:t>
      </w:r>
      <w:bookmarkEnd w:id="26"/>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bookmarkStart w:id="27" w:name="_Toc73975842"/>
      <w:bookmarkStart w:id="28" w:name="_Toc469495730"/>
      <w:r>
        <w:rPr>
          <w:rFonts w:hint="eastAsia" w:ascii="仿宋" w:hAnsi="仿宋" w:eastAsia="仿宋" w:cs="仿宋"/>
          <w:b w:val="0"/>
          <w:bCs w:val="0"/>
          <w:color w:val="auto"/>
          <w:szCs w:val="21"/>
          <w:highlight w:val="none"/>
          <w:lang w:val="en-US" w:eastAsia="zh-CN"/>
        </w:rPr>
        <w:t>43．履约保证金</w:t>
      </w:r>
      <w:bookmarkEnd w:id="27"/>
    </w:p>
    <w:p>
      <w:pPr>
        <w:shd w:val="clear" w:color="auto" w:fill="auto"/>
        <w:spacing w:line="440" w:lineRule="exact"/>
        <w:ind w:firstLine="240" w:firstLineChars="100"/>
        <w:jc w:val="left"/>
        <w:rPr>
          <w:rFonts w:hint="default" w:ascii="仿宋" w:hAnsi="仿宋" w:eastAsia="仿宋" w:cs="仿宋"/>
          <w:b/>
          <w:bCs/>
          <w:color w:val="auto"/>
          <w:szCs w:val="21"/>
          <w:highlight w:val="none"/>
          <w:lang w:val="en-US" w:eastAsia="zh-CN"/>
        </w:rPr>
      </w:pPr>
      <w:r>
        <w:rPr>
          <w:rFonts w:hint="eastAsia" w:ascii="仿宋" w:hAnsi="仿宋" w:eastAsia="仿宋" w:cs="仿宋"/>
          <w:b w:val="0"/>
          <w:bCs w:val="0"/>
          <w:color w:val="auto"/>
          <w:szCs w:val="21"/>
          <w:highlight w:val="none"/>
          <w:lang w:val="en-US" w:eastAsia="zh-CN"/>
        </w:rPr>
        <w:t>43.1 中标供应商在签订合同后十个工作日内向采购人交纳不超过中标价10%的履约保证金（鼓励以银行、保险公司出具的履约保函形式提交；若以电汇、银行转账方式提交的，必须转到采购人的指定账户）。</w:t>
      </w:r>
      <w:r>
        <w:rPr>
          <w:rFonts w:hint="eastAsia" w:ascii="仿宋" w:hAnsi="仿宋" w:eastAsia="仿宋" w:cs="仿宋"/>
          <w:b/>
          <w:bCs/>
          <w:color w:val="auto"/>
          <w:szCs w:val="21"/>
          <w:highlight w:val="none"/>
          <w:lang w:val="en-US" w:eastAsia="zh-CN"/>
        </w:rPr>
        <w:t>（本项目不适用）</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43.2 签订合同后，如中标供应商不按合同约定履约的，履约保证金不予退还，履约保证金不足以赔偿损失的，按实际损失赔偿。</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43.3 如果中标供应商在建设期内没有涉及采购人的应付而未付金额或违约行为，采购人在项目验收合格后或提前终止合同后全额无息退还履约保证金。</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bookmarkStart w:id="29" w:name="_Toc73975843"/>
      <w:r>
        <w:rPr>
          <w:rFonts w:hint="eastAsia" w:ascii="仿宋" w:hAnsi="仿宋" w:eastAsia="仿宋" w:cs="仿宋"/>
          <w:b w:val="0"/>
          <w:bCs w:val="0"/>
          <w:color w:val="auto"/>
          <w:szCs w:val="21"/>
          <w:highlight w:val="none"/>
          <w:lang w:val="en-US" w:eastAsia="zh-CN"/>
        </w:rPr>
        <w:t>44．签订合同及公告</w:t>
      </w:r>
      <w:bookmarkEnd w:id="29"/>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44.1采购人在中标通知书发出之日起30日内与中标供应商签订合同。</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44.2中标供应商拖延、拒签合同的,取消中标资格。</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44.4采购人应当自政府采购合同签订之日起2个工作日内，在省级以上财政部门指定的政府采购信息发布媒体及相关网站上公告。</w:t>
      </w:r>
    </w:p>
    <w:p>
      <w:pPr>
        <w:shd w:val="clear" w:color="auto" w:fill="auto"/>
        <w:spacing w:line="440" w:lineRule="exact"/>
        <w:ind w:firstLine="240" w:firstLineChars="100"/>
        <w:jc w:val="left"/>
        <w:rPr>
          <w:rFonts w:hint="eastAsia" w:ascii="仿宋" w:hAnsi="仿宋" w:eastAsia="仿宋" w:cs="仿宋"/>
          <w:b/>
          <w:bCs/>
          <w:color w:val="auto"/>
          <w:sz w:val="28"/>
          <w:szCs w:val="28"/>
          <w:highlight w:val="none"/>
        </w:rPr>
      </w:pPr>
      <w:r>
        <w:rPr>
          <w:rFonts w:hint="eastAsia" w:ascii="仿宋" w:hAnsi="仿宋" w:eastAsia="仿宋" w:cs="仿宋"/>
          <w:b w:val="0"/>
          <w:bCs w:val="0"/>
          <w:color w:val="auto"/>
          <w:szCs w:val="21"/>
          <w:highlight w:val="none"/>
          <w:lang w:val="en-US" w:eastAsia="zh-CN"/>
        </w:rPr>
        <w:t>44.5采购人应当自政府采购合同签订之日起7个工作日内，将政府采购合同副本报同级人民政府财政部门备案以及采购代理机构存档。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（七）纪律和监督</w:t>
      </w:r>
      <w:bookmarkEnd w:id="28"/>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45</w:t>
      </w:r>
      <w:r>
        <w:rPr>
          <w:rFonts w:hint="eastAsia" w:ascii="仿宋" w:hAnsi="仿宋" w:eastAsia="仿宋" w:cs="仿宋"/>
          <w:b/>
          <w:color w:val="auto"/>
          <w:szCs w:val="21"/>
          <w:highlight w:val="none"/>
        </w:rPr>
        <w:t xml:space="preserve">. 对招标人的纪律要求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45</w:t>
      </w:r>
      <w:r>
        <w:rPr>
          <w:rFonts w:hint="eastAsia" w:ascii="仿宋" w:hAnsi="仿宋" w:eastAsia="仿宋" w:cs="仿宋"/>
          <w:color w:val="auto"/>
          <w:kern w:val="10"/>
          <w:szCs w:val="21"/>
          <w:highlight w:val="none"/>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46</w:t>
      </w:r>
      <w:r>
        <w:rPr>
          <w:rFonts w:hint="eastAsia" w:ascii="仿宋" w:hAnsi="仿宋" w:eastAsia="仿宋" w:cs="仿宋"/>
          <w:b/>
          <w:color w:val="auto"/>
          <w:szCs w:val="21"/>
          <w:highlight w:val="none"/>
        </w:rPr>
        <w:t xml:space="preserve">. 对投标人的纪律要求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46</w:t>
      </w:r>
      <w:r>
        <w:rPr>
          <w:rFonts w:hint="eastAsia" w:ascii="仿宋" w:hAnsi="仿宋" w:eastAsia="仿宋" w:cs="仿宋"/>
          <w:color w:val="auto"/>
          <w:kern w:val="10"/>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47</w:t>
      </w:r>
      <w:r>
        <w:rPr>
          <w:rFonts w:hint="eastAsia" w:ascii="仿宋" w:hAnsi="仿宋" w:eastAsia="仿宋" w:cs="仿宋"/>
          <w:b/>
          <w:color w:val="auto"/>
          <w:szCs w:val="21"/>
          <w:highlight w:val="none"/>
        </w:rPr>
        <w:t xml:space="preserve">. 对评标委员会成员的纪律要求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47</w:t>
      </w:r>
      <w:r>
        <w:rPr>
          <w:rFonts w:hint="eastAsia" w:ascii="仿宋" w:hAnsi="仿宋" w:eastAsia="仿宋" w:cs="仿宋"/>
          <w:color w:val="auto"/>
          <w:kern w:val="10"/>
          <w:szCs w:val="21"/>
          <w:highlight w:val="none"/>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47</w:t>
      </w:r>
      <w:r>
        <w:rPr>
          <w:rFonts w:hint="eastAsia" w:ascii="仿宋" w:hAnsi="仿宋" w:eastAsia="仿宋" w:cs="仿宋"/>
          <w:color w:val="auto"/>
          <w:kern w:val="10"/>
          <w:szCs w:val="21"/>
          <w:highlight w:val="none"/>
        </w:rPr>
        <w:t xml:space="preserve">.2在评标活动中，评标委员会成员不得擅离职守，影响评标程序正常进行，不得使用第三章“评标办法”没有规定的评审因素和标准进行评标。 </w:t>
      </w:r>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48</w:t>
      </w:r>
      <w:r>
        <w:rPr>
          <w:rFonts w:hint="eastAsia" w:ascii="仿宋" w:hAnsi="仿宋" w:eastAsia="仿宋" w:cs="仿宋"/>
          <w:b/>
          <w:color w:val="auto"/>
          <w:szCs w:val="21"/>
          <w:highlight w:val="none"/>
        </w:rPr>
        <w:t xml:space="preserve">. 对与评标活动有关的工作人员的纪律要求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rPr>
        <w:t>4</w:t>
      </w:r>
      <w:r>
        <w:rPr>
          <w:rFonts w:hint="eastAsia" w:ascii="仿宋" w:hAnsi="仿宋" w:eastAsia="仿宋" w:cs="仿宋"/>
          <w:color w:val="auto"/>
          <w:kern w:val="10"/>
          <w:szCs w:val="21"/>
          <w:highlight w:val="none"/>
          <w:lang w:val="en-US" w:eastAsia="zh-CN"/>
        </w:rPr>
        <w:t>8</w:t>
      </w:r>
      <w:r>
        <w:rPr>
          <w:rFonts w:hint="eastAsia" w:ascii="仿宋" w:hAnsi="仿宋" w:eastAsia="仿宋" w:cs="仿宋"/>
          <w:color w:val="auto"/>
          <w:kern w:val="10"/>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312" w:beforeLines="100" w:after="312" w:afterLines="100" w:line="440" w:lineRule="exact"/>
        <w:jc w:val="center"/>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（八）质疑与投诉</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49．质疑和投诉</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（一）对可以质疑的采购文件提出质疑的，为收到采购文件之日或者采购文件公告期限届满之日；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（二）对采购过程提出质疑的，为各采购程序环节结束之日；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（三）对中标或者成交结果提出质疑的，为中标或者成交结果公告期限届满之日。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供应商为自然人的，应当由本人签章；供应商为法人或者其他组织的，应当由法定代表人、主要负责人，或者其授权代表签章或者盖章，并加盖公章。</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49.5供应商有下列情形之一的，采购代理机构和阿图什市财政局，将其列入不良行为记录名单：</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（一）一年内三次以上质疑均查无实据的；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（二）捏造事实或者提供虚假质疑材料的。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（三）以非法手段取得证明材料。证据来源的合法性存在明显疑问，质疑人无法证明其取得方式合法的，视为以非法手段取得证明材料。</w:t>
      </w: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4"/>
          <w:szCs w:val="24"/>
          <w:highlight w:val="none"/>
          <w:lang w:eastAsia="zh-CN"/>
        </w:rPr>
      </w:pPr>
    </w:p>
    <w:p>
      <w:pPr>
        <w:shd w:val="clear" w:color="auto" w:fill="auto"/>
        <w:jc w:val="left"/>
        <w:rPr>
          <w:rFonts w:hint="eastAsia" w:ascii="仿宋" w:hAnsi="仿宋" w:eastAsia="仿宋" w:cs="仿宋"/>
          <w:b/>
          <w:bCs/>
          <w:color w:val="auto"/>
          <w:sz w:val="24"/>
          <w:szCs w:val="24"/>
          <w:highlight w:val="none"/>
          <w:lang w:eastAsia="zh-CN"/>
        </w:rPr>
      </w:pPr>
    </w:p>
    <w:p>
      <w:pPr>
        <w:shd w:val="clear" w:color="auto" w:fill="auto"/>
        <w:jc w:val="left"/>
        <w:rPr>
          <w:rFonts w:hint="eastAsia" w:ascii="仿宋" w:hAnsi="仿宋" w:eastAsia="仿宋" w:cs="仿宋"/>
          <w:b/>
          <w:bCs/>
          <w:color w:val="auto"/>
          <w:sz w:val="24"/>
          <w:szCs w:val="24"/>
          <w:highlight w:val="none"/>
          <w:lang w:eastAsia="zh-CN"/>
        </w:rPr>
      </w:pPr>
    </w:p>
    <w:p>
      <w:pPr>
        <w:shd w:val="clear" w:color="auto" w:fill="auto"/>
        <w:jc w:val="left"/>
        <w:rPr>
          <w:rFonts w:hint="eastAsia" w:ascii="仿宋" w:hAnsi="仿宋" w:eastAsia="仿宋" w:cs="仿宋"/>
          <w:b/>
          <w:bCs/>
          <w:color w:val="auto"/>
          <w:sz w:val="24"/>
          <w:szCs w:val="24"/>
          <w:highlight w:val="none"/>
          <w:lang w:eastAsia="zh-CN"/>
        </w:rPr>
      </w:pPr>
    </w:p>
    <w:p>
      <w:pPr>
        <w:shd w:val="clear" w:color="auto" w:fill="auto"/>
        <w:jc w:val="left"/>
        <w:rPr>
          <w:rFonts w:hint="eastAsia" w:ascii="仿宋" w:hAnsi="仿宋" w:eastAsia="仿宋" w:cs="仿宋"/>
          <w:b/>
          <w:bCs/>
          <w:color w:val="auto"/>
          <w:sz w:val="24"/>
          <w:szCs w:val="24"/>
          <w:highlight w:val="none"/>
          <w:lang w:eastAsia="zh-CN"/>
        </w:rPr>
      </w:pPr>
    </w:p>
    <w:p>
      <w:pPr>
        <w:shd w:val="clear" w:color="auto" w:fill="auto"/>
        <w:jc w:val="left"/>
        <w:rPr>
          <w:rFonts w:hint="eastAsia" w:ascii="仿宋" w:hAnsi="仿宋" w:eastAsia="仿宋" w:cs="仿宋"/>
          <w:b/>
          <w:bCs/>
          <w:color w:val="auto"/>
          <w:sz w:val="24"/>
          <w:szCs w:val="24"/>
          <w:highlight w:val="none"/>
          <w:lang w:eastAsia="zh-CN"/>
        </w:rPr>
      </w:pPr>
    </w:p>
    <w:p>
      <w:pPr>
        <w:shd w:val="clear" w:color="auto" w:fill="auto"/>
        <w:jc w:val="left"/>
        <w:rPr>
          <w:rFonts w:hint="eastAsia" w:ascii="仿宋" w:hAnsi="仿宋" w:eastAsia="仿宋" w:cs="仿宋"/>
          <w:b/>
          <w:bCs/>
          <w:color w:val="auto"/>
          <w:sz w:val="24"/>
          <w:szCs w:val="24"/>
          <w:highlight w:val="none"/>
          <w:lang w:eastAsia="zh-CN"/>
        </w:rPr>
      </w:pPr>
    </w:p>
    <w:p>
      <w:pPr>
        <w:shd w:val="clear" w:color="auto" w:fill="auto"/>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附件：</w:t>
      </w:r>
    </w:p>
    <w:p>
      <w:pPr>
        <w:shd w:val="clear" w:color="auto" w:fill="auto"/>
        <w:spacing w:before="312" w:beforeLines="100" w:after="312" w:afterLines="100" w:line="440" w:lineRule="exact"/>
        <w:jc w:val="center"/>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政府采购投诉书（范本）、质疑函范本</w:t>
      </w:r>
    </w:p>
    <w:p>
      <w:pPr>
        <w:shd w:val="clear" w:color="auto" w:fill="auto"/>
        <w:spacing w:before="312" w:beforeLines="100" w:after="312" w:afterLines="100" w:line="440" w:lineRule="exact"/>
        <w:jc w:val="center"/>
        <w:outlineLvl w:val="2"/>
        <w:rPr>
          <w:rFonts w:hint="eastAsia"/>
          <w:color w:val="auto"/>
        </w:rPr>
      </w:pPr>
      <w:r>
        <w:rPr>
          <w:rFonts w:hint="eastAsia" w:ascii="仿宋" w:hAnsi="仿宋" w:eastAsia="仿宋" w:cs="仿宋"/>
          <w:b/>
          <w:color w:val="auto"/>
          <w:sz w:val="28"/>
          <w:szCs w:val="28"/>
          <w:highlight w:val="none"/>
        </w:rPr>
        <w:t>政府采购投诉书（范本）</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投诉人：                         法定代表人：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地址：                           电话：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委托代理人姓名：                 职务：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住址：                           联系电话：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被投诉人：                       法定代表人：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地址：                            电话：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我公司参加了     年    月    日被投诉人组织的（采购人）（项目名称）（项目编号）的采购活动，我公司认为该项目的（采购文件/采购过程/中标（中标）结果）损害了我公司权益，对此，我公司于     年    月    日向（采购人或者政府采购代理机构）提出了质疑，（其于    年  月  日作出书面答复，因对其作出的答复不满意）/（被质疑人未在法定期内予以答复，按照政府采购有关规定），现向贵机关提起投诉：</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1.具体的投诉事项及事实依据；</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2.质疑和质疑答复情况简要描述；</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3.投诉请求。</w:t>
      </w:r>
    </w:p>
    <w:p>
      <w:pPr>
        <w:shd w:val="clear" w:color="auto" w:fill="auto"/>
        <w:spacing w:line="440" w:lineRule="exact"/>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附件：</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1.质疑书和质疑答复书；</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2.证据材料（需注明证据来源），证人的姓名、住址和联系方式等；</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3.营业执照；</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4.法定代表人身份证明函</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5.法定代表人授权委托书（包含法定代表人和委托代理人的身份证复印件）；</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6.政府采购监管部门认为应当提供的其它材料。</w:t>
      </w:r>
    </w:p>
    <w:p>
      <w:pPr>
        <w:shd w:val="clear" w:color="auto" w:fill="auto"/>
        <w:spacing w:line="440" w:lineRule="exact"/>
        <w:ind w:firstLine="4320" w:firstLineChars="18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投诉供应商：（盖章）</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                                  法定代表人（或主要负责人）：（签字或盖章）</w:t>
      </w:r>
    </w:p>
    <w:p>
      <w:pPr>
        <w:shd w:val="clear" w:color="auto" w:fill="auto"/>
        <w:spacing w:line="440" w:lineRule="exact"/>
        <w:ind w:firstLine="240" w:firstLineChars="100"/>
        <w:jc w:val="center"/>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                  年   月    日</w:t>
      </w:r>
    </w:p>
    <w:p>
      <w:pPr>
        <w:pStyle w:val="18"/>
        <w:rPr>
          <w:rFonts w:hint="eastAsia"/>
          <w:color w:val="auto"/>
          <w:lang w:val="en-US" w:eastAsia="zh-CN"/>
        </w:rPr>
      </w:pPr>
    </w:p>
    <w:p>
      <w:pPr>
        <w:shd w:val="clear" w:color="auto" w:fill="auto"/>
        <w:spacing w:line="440" w:lineRule="exact"/>
        <w:ind w:firstLine="240" w:firstLineChars="100"/>
        <w:jc w:val="center"/>
        <w:rPr>
          <w:rFonts w:hint="eastAsia" w:ascii="仿宋" w:hAnsi="仿宋" w:eastAsia="仿宋" w:cs="仿宋"/>
          <w:b/>
          <w:bCs/>
          <w:color w:val="auto"/>
          <w:sz w:val="32"/>
          <w:szCs w:val="32"/>
          <w:highlight w:val="none"/>
        </w:rPr>
      </w:pPr>
      <w:r>
        <w:rPr>
          <w:rFonts w:hint="eastAsia" w:ascii="仿宋" w:hAnsi="仿宋" w:eastAsia="仿宋" w:cs="仿宋"/>
          <w:b w:val="0"/>
          <w:bCs w:val="0"/>
          <w:color w:val="auto"/>
          <w:szCs w:val="21"/>
          <w:highlight w:val="none"/>
          <w:lang w:val="en-US" w:eastAsia="zh-CN"/>
        </w:rPr>
        <w:t xml:space="preserve">                            本投诉书正本叁份，副本   份并附电子文档。</w:t>
      </w:r>
      <w:bookmarkStart w:id="30" w:name="_Toc17515"/>
    </w:p>
    <w:p>
      <w:pPr>
        <w:shd w:val="clear" w:color="auto" w:fill="auto"/>
        <w:spacing w:before="312" w:beforeLines="100" w:after="312" w:afterLines="100" w:line="440" w:lineRule="exact"/>
        <w:jc w:val="center"/>
        <w:outlineLvl w:val="2"/>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投诉相关说明</w:t>
      </w:r>
      <w:bookmarkEnd w:id="30"/>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投诉人应当满足《政府采购法》、《政府采购法实施条例》和《政府采购供应商投诉处理办法》的相关规定。</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660" w:firstLineChars="275"/>
        <w:jc w:val="left"/>
        <w:textAlignment w:val="auto"/>
        <w:rPr>
          <w:rFonts w:hint="eastAsia" w:ascii="仿宋" w:hAnsi="仿宋" w:eastAsia="仿宋" w:cs="仿宋"/>
          <w:color w:val="auto"/>
          <w:kern w:val="0"/>
          <w:sz w:val="24"/>
          <w:szCs w:val="24"/>
          <w:highlight w:val="none"/>
          <w:shd w:val="clear" w:color="auto" w:fill="FFFFFF"/>
        </w:rPr>
      </w:pPr>
      <w:bookmarkStart w:id="31" w:name="_Toc11499"/>
      <w:r>
        <w:rPr>
          <w:rFonts w:hint="eastAsia" w:ascii="仿宋" w:hAnsi="仿宋" w:eastAsia="仿宋" w:cs="仿宋"/>
          <w:color w:val="auto"/>
          <w:kern w:val="0"/>
          <w:sz w:val="24"/>
          <w:szCs w:val="24"/>
          <w:highlight w:val="none"/>
          <w:shd w:val="clear" w:color="auto" w:fill="FFFFFF"/>
          <w:lang w:val="en-US" w:eastAsia="zh-CN"/>
        </w:rPr>
        <w:t>一、</w:t>
      </w:r>
      <w:r>
        <w:rPr>
          <w:rFonts w:hint="eastAsia" w:ascii="仿宋" w:hAnsi="仿宋" w:eastAsia="仿宋" w:cs="仿宋"/>
          <w:color w:val="auto"/>
          <w:kern w:val="0"/>
          <w:sz w:val="24"/>
          <w:szCs w:val="24"/>
          <w:highlight w:val="none"/>
          <w:shd w:val="clear" w:color="auto" w:fill="FFFFFF"/>
        </w:rPr>
        <w:t>质疑前置及时间要求</w:t>
      </w:r>
      <w:bookmarkEnd w:id="31"/>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sz w:val="24"/>
          <w:szCs w:val="24"/>
          <w:highlight w:val="none"/>
        </w:rPr>
        <w:t>《中华人民共和国政府采购法》</w:t>
      </w:r>
      <w:r>
        <w:rPr>
          <w:rFonts w:hint="eastAsia" w:ascii="仿宋" w:hAnsi="仿宋" w:eastAsia="仿宋" w:cs="仿宋"/>
          <w:color w:val="auto"/>
          <w:kern w:val="0"/>
          <w:sz w:val="24"/>
          <w:szCs w:val="24"/>
          <w:highlight w:val="none"/>
          <w:shd w:val="clear" w:color="auto" w:fill="FFFFFF"/>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rPr>
        <w:t xml:space="preserve"> 第五十二条：供应商认为采购文件、采购过程和中标、</w:t>
      </w:r>
      <w:r>
        <w:rPr>
          <w:rFonts w:hint="eastAsia" w:ascii="仿宋" w:hAnsi="仿宋" w:eastAsia="仿宋" w:cs="仿宋"/>
          <w:color w:val="auto"/>
          <w:kern w:val="0"/>
          <w:sz w:val="24"/>
          <w:szCs w:val="24"/>
          <w:highlight w:val="none"/>
          <w:shd w:val="clear" w:color="auto" w:fill="FFFFFF"/>
          <w:lang w:eastAsia="zh-CN"/>
        </w:rPr>
        <w:t>中标</w:t>
      </w:r>
      <w:r>
        <w:rPr>
          <w:rFonts w:hint="eastAsia" w:ascii="仿宋" w:hAnsi="仿宋" w:eastAsia="仿宋" w:cs="仿宋"/>
          <w:color w:val="auto"/>
          <w:kern w:val="0"/>
          <w:sz w:val="24"/>
          <w:szCs w:val="24"/>
          <w:highlight w:val="none"/>
          <w:shd w:val="clear" w:color="auto" w:fill="FFFFFF"/>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rPr>
        <w:t xml:space="preserve">  《政府采购实施条例》第五十五条：供应商质疑、投诉应当有明确的请求和必要的证明材料。供应商投诉的事项不得超出质疑事项的范围。</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660" w:firstLineChars="275"/>
        <w:jc w:val="left"/>
        <w:textAlignment w:val="auto"/>
        <w:rPr>
          <w:rFonts w:hint="eastAsia" w:ascii="仿宋" w:hAnsi="仿宋" w:eastAsia="仿宋" w:cs="仿宋"/>
          <w:color w:val="auto"/>
          <w:kern w:val="0"/>
          <w:sz w:val="24"/>
          <w:szCs w:val="24"/>
          <w:highlight w:val="none"/>
          <w:shd w:val="clear" w:color="auto" w:fill="FFFFFF"/>
          <w:lang w:val="en-US" w:eastAsia="zh-CN"/>
        </w:rPr>
      </w:pPr>
      <w:bookmarkStart w:id="32" w:name="_Toc13508"/>
      <w:r>
        <w:rPr>
          <w:rFonts w:hint="eastAsia" w:ascii="仿宋" w:hAnsi="仿宋" w:eastAsia="仿宋" w:cs="仿宋"/>
          <w:color w:val="auto"/>
          <w:kern w:val="0"/>
          <w:sz w:val="24"/>
          <w:szCs w:val="24"/>
          <w:highlight w:val="none"/>
          <w:shd w:val="clear" w:color="auto" w:fill="FFFFFF"/>
          <w:lang w:val="en-US" w:eastAsia="zh-CN"/>
        </w:rPr>
        <w:t>二、书面方式</w:t>
      </w:r>
      <w:bookmarkEnd w:id="32"/>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投诉书应当包括下列主要内容：</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投诉人和被投诉人的名称、地址、电话等；</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具体的投诉事项及事实依据；</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质疑和质疑答复情况及相关证明材料；</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投诉书应当署名。投诉人为自然人，应当由本人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；投诉人为法人或者其他组织的，应当由法定代表人或者主要负责人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《政府采购供应商投诉处理办法》第十条：投诉人提起投诉应当符合下列条件：</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投诉人是参与所投诉政府采购活动的供应商；</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提起投诉诉前已依法进行质疑；</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投诉书内容符合本办法的规定；</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在投诉有效期内提起投诉；</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属于本级财政部门管辖；</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同一投诉事项未经财政部门投诉处理；</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国务院财政部门规定的其他条件。</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lang w:val="en-US" w:eastAsia="zh-CN"/>
        </w:rPr>
      </w:pPr>
      <w:r>
        <w:rPr>
          <w:rFonts w:hint="eastAsia" w:ascii="仿宋" w:hAnsi="仿宋" w:eastAsia="仿宋" w:cs="仿宋"/>
          <w:color w:val="auto"/>
          <w:sz w:val="21"/>
          <w:szCs w:val="21"/>
          <w:highlight w:val="none"/>
        </w:rPr>
        <w:t xml:space="preserve">   </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0"/>
          <w:sz w:val="24"/>
          <w:szCs w:val="24"/>
          <w:highlight w:val="none"/>
          <w:shd w:val="clear" w:color="auto" w:fill="FFFFFF"/>
          <w:lang w:val="en-US" w:eastAsia="zh-CN"/>
        </w:rPr>
      </w:pPr>
      <w:bookmarkStart w:id="33" w:name="_Toc5978"/>
      <w:r>
        <w:rPr>
          <w:rFonts w:hint="eastAsia" w:ascii="仿宋" w:hAnsi="仿宋" w:eastAsia="仿宋" w:cs="仿宋"/>
          <w:color w:val="auto"/>
          <w:kern w:val="0"/>
          <w:sz w:val="24"/>
          <w:szCs w:val="24"/>
          <w:highlight w:val="none"/>
          <w:shd w:val="clear" w:color="auto" w:fill="FFFFFF"/>
          <w:lang w:val="en-US" w:eastAsia="zh-CN"/>
        </w:rPr>
        <w:t>三、虚假、恶意投诉法律责任</w:t>
      </w:r>
      <w:bookmarkEnd w:id="33"/>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p>
    <w:p>
      <w:pPr>
        <w:pStyle w:val="22"/>
        <w:ind w:left="0" w:leftChars="0" w:firstLine="0" w:firstLineChars="0"/>
        <w:rPr>
          <w:rFonts w:hint="eastAsia" w:ascii="仿宋" w:hAnsi="仿宋" w:eastAsia="仿宋" w:cs="仿宋"/>
          <w:b/>
          <w:bCs/>
          <w:color w:val="auto"/>
          <w:sz w:val="32"/>
          <w:szCs w:val="32"/>
          <w:highlight w:val="none"/>
        </w:rPr>
      </w:pPr>
      <w:bookmarkStart w:id="34" w:name="_Toc1697"/>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质疑函范本</w:t>
      </w:r>
      <w:bookmarkEnd w:id="34"/>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bookmarkStart w:id="35" w:name="_Toc9061"/>
      <w:r>
        <w:rPr>
          <w:rFonts w:hint="eastAsia" w:ascii="仿宋" w:hAnsi="仿宋" w:eastAsia="仿宋" w:cs="仿宋"/>
          <w:color w:val="auto"/>
          <w:sz w:val="24"/>
          <w:szCs w:val="24"/>
          <w:highlight w:val="none"/>
        </w:rPr>
        <w:t>一、质疑供应商基本信息</w:t>
      </w:r>
      <w:bookmarkEnd w:id="35"/>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质疑供应商：</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bookmarkStart w:id="36" w:name="_Toc15938"/>
      <w:r>
        <w:rPr>
          <w:rFonts w:hint="eastAsia" w:ascii="仿宋" w:hAnsi="仿宋" w:eastAsia="仿宋" w:cs="仿宋"/>
          <w:color w:val="auto"/>
          <w:sz w:val="24"/>
          <w:szCs w:val="24"/>
          <w:highlight w:val="none"/>
        </w:rPr>
        <w:t>二、质疑项目基本情况</w:t>
      </w:r>
      <w:bookmarkEnd w:id="36"/>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lang w:eastAsia="zh-CN"/>
        </w:rPr>
        <w:t>标段</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dotted"/>
        </w:rPr>
        <w:t xml:space="preserve">                                   </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bookmarkStart w:id="37" w:name="_Toc18271"/>
      <w:r>
        <w:rPr>
          <w:rFonts w:hint="eastAsia" w:ascii="仿宋" w:hAnsi="仿宋" w:eastAsia="仿宋" w:cs="仿宋"/>
          <w:color w:val="auto"/>
          <w:sz w:val="24"/>
          <w:szCs w:val="24"/>
          <w:highlight w:val="none"/>
        </w:rPr>
        <w:t>三、质疑事项具体内容</w:t>
      </w:r>
      <w:bookmarkEnd w:id="37"/>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bookmarkStart w:id="38" w:name="_Toc22365"/>
      <w:r>
        <w:rPr>
          <w:rFonts w:hint="eastAsia" w:ascii="仿宋" w:hAnsi="仿宋" w:eastAsia="仿宋" w:cs="仿宋"/>
          <w:color w:val="auto"/>
          <w:sz w:val="24"/>
          <w:szCs w:val="24"/>
          <w:highlight w:val="none"/>
        </w:rPr>
        <w:t>四、与质疑事项相关的质疑请求</w:t>
      </w:r>
      <w:bookmarkEnd w:id="38"/>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盖章</w:t>
      </w:r>
      <w:r>
        <w:rPr>
          <w:rFonts w:hint="eastAsia" w:ascii="仿宋" w:hAnsi="仿宋" w:eastAsia="仿宋" w:cs="仿宋"/>
          <w:color w:val="auto"/>
          <w:sz w:val="24"/>
          <w:szCs w:val="24"/>
          <w:highlight w:val="none"/>
        </w:rPr>
        <w:t xml:space="preserve">)：                   公章：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日期：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仿宋" w:hAnsi="仿宋" w:eastAsia="仿宋" w:cs="仿宋"/>
          <w:b/>
          <w:bCs/>
          <w:color w:val="auto"/>
          <w:sz w:val="24"/>
          <w:szCs w:val="24"/>
          <w:highlight w:val="none"/>
        </w:rPr>
      </w:pPr>
    </w:p>
    <w:p>
      <w:pPr>
        <w:pStyle w:val="3"/>
        <w:bidi w:val="0"/>
        <w:rPr>
          <w:rFonts w:hint="eastAsia"/>
          <w:color w:val="auto"/>
        </w:rPr>
      </w:pPr>
      <w:bookmarkStart w:id="39" w:name="_Toc469495731"/>
    </w:p>
    <w:p>
      <w:pPr>
        <w:pStyle w:val="3"/>
        <w:bidi w:val="0"/>
        <w:rPr>
          <w:rFonts w:hint="eastAsia"/>
          <w:color w:val="auto"/>
        </w:rPr>
      </w:pPr>
      <w:bookmarkStart w:id="40" w:name="_Toc2060"/>
      <w:r>
        <w:rPr>
          <w:rFonts w:hint="eastAsia"/>
          <w:color w:val="auto"/>
        </w:rPr>
        <w:t>第三</w:t>
      </w:r>
      <w:r>
        <w:rPr>
          <w:rFonts w:hint="eastAsia"/>
          <w:color w:val="auto"/>
          <w:lang w:eastAsia="zh-CN"/>
        </w:rPr>
        <w:t>章</w:t>
      </w:r>
      <w:r>
        <w:rPr>
          <w:rFonts w:hint="eastAsia"/>
          <w:color w:val="auto"/>
        </w:rPr>
        <w:t xml:space="preserve">  评标办法</w:t>
      </w:r>
      <w:bookmarkEnd w:id="39"/>
      <w:bookmarkEnd w:id="40"/>
    </w:p>
    <w:p>
      <w:pPr>
        <w:shd w:val="clear" w:color="auto" w:fill="auto"/>
        <w:jc w:val="center"/>
        <w:outlineLvl w:val="1"/>
        <w:rPr>
          <w:rFonts w:hint="eastAsia" w:ascii="仿宋" w:hAnsi="仿宋" w:eastAsia="仿宋" w:cs="仿宋"/>
          <w:b/>
          <w:color w:val="auto"/>
          <w:sz w:val="28"/>
          <w:szCs w:val="28"/>
          <w:highlight w:val="none"/>
        </w:rPr>
      </w:pPr>
      <w:bookmarkStart w:id="41" w:name="_Toc469495733"/>
      <w:bookmarkStart w:id="42" w:name="_Toc362983802"/>
      <w:bookmarkStart w:id="43" w:name="_Toc267320058"/>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总  则</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1、一般规定</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1.1本项目的招标按照《中华人民共和国政府采购法》、《政府采购货物和服务招标投标管理办法》及政府采购的有关规定进行。</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1.2评标必须遵循邀请、公平、公正、诚实信用的原则。</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1.3招标代理机构组织招标、开标、评标工作，全过程接受政府采购有关部门的监督、管理和指导。</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1.4评标按照招标文件规定的内容进行，采取符合招标文件要求的最低评标价法；</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2、评标组织机构的组成</w:t>
      </w:r>
    </w:p>
    <w:p>
      <w:pPr>
        <w:widowControl/>
        <w:shd w:val="clear" w:color="auto" w:fill="auto"/>
        <w:spacing w:line="440" w:lineRule="exact"/>
        <w:ind w:firstLine="480"/>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2.1</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kern w:val="0"/>
          <w:sz w:val="24"/>
          <w:szCs w:val="24"/>
          <w:highlight w:val="none"/>
          <w:lang w:bidi="ar-SA"/>
        </w:rPr>
        <w:t>评标委员会由采购人代表和有关技术、经济等方面的专家组成，成员人数应当为5人</w:t>
      </w:r>
      <w:r>
        <w:rPr>
          <w:rFonts w:hint="eastAsia" w:ascii="仿宋" w:hAnsi="仿宋" w:eastAsia="仿宋" w:cs="仿宋"/>
          <w:color w:val="auto"/>
          <w:kern w:val="0"/>
          <w:sz w:val="24"/>
          <w:szCs w:val="24"/>
          <w:highlight w:val="none"/>
          <w:lang w:eastAsia="zh-CN" w:bidi="ar-SA"/>
        </w:rPr>
        <w:t>或</w:t>
      </w:r>
      <w:r>
        <w:rPr>
          <w:rFonts w:hint="eastAsia" w:ascii="仿宋" w:hAnsi="仿宋" w:eastAsia="仿宋" w:cs="仿宋"/>
          <w:color w:val="auto"/>
          <w:kern w:val="0"/>
          <w:sz w:val="24"/>
          <w:szCs w:val="24"/>
          <w:highlight w:val="none"/>
          <w:lang w:val="en-US" w:eastAsia="zh-CN" w:bidi="ar-SA"/>
        </w:rPr>
        <w:t>5人</w:t>
      </w:r>
      <w:r>
        <w:rPr>
          <w:rFonts w:hint="eastAsia" w:ascii="仿宋" w:hAnsi="仿宋" w:eastAsia="仿宋" w:cs="仿宋"/>
          <w:color w:val="auto"/>
          <w:kern w:val="0"/>
          <w:sz w:val="24"/>
          <w:szCs w:val="24"/>
          <w:highlight w:val="none"/>
          <w:lang w:bidi="ar-SA"/>
        </w:rPr>
        <w:t>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2.2评标工作组由招标人及有关专家组成，由评标委员会确认，并接受其领导。</w:t>
      </w:r>
    </w:p>
    <w:p>
      <w:pPr>
        <w:shd w:val="clear" w:color="auto" w:fill="auto"/>
        <w:tabs>
          <w:tab w:val="left" w:pos="567"/>
          <w:tab w:val="left" w:pos="1145"/>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3、评标委员会职责</w:t>
      </w:r>
    </w:p>
    <w:p>
      <w:pPr>
        <w:pStyle w:val="40"/>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3.1审查投标文件是否符合招标文件要求，并作出评价；</w:t>
      </w:r>
    </w:p>
    <w:p>
      <w:pPr>
        <w:pStyle w:val="40"/>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3.2要求投标人对投标文件有关事项作出解释或者澄清；</w:t>
      </w:r>
    </w:p>
    <w:p>
      <w:pPr>
        <w:pStyle w:val="40"/>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3.3推荐中标候选人名单；</w:t>
      </w:r>
    </w:p>
    <w:p>
      <w:pPr>
        <w:pStyle w:val="40"/>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3.4向招标人、招标代理机构或者有关部门报告非法干预评标工作的行为。</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4、评标委员会义务</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4.1遵纪守法，客观、公正、廉洁地履行职责；</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4.2按照招标文件规定的评标方法和评标标准进行评标，对评审意见承担个人责任；</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4.3对评标过程和结果，以及投标人的商业秘密保密；</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4.4参与评</w:t>
      </w:r>
      <w:r>
        <w:rPr>
          <w:rFonts w:hint="eastAsia" w:ascii="仿宋" w:hAnsi="仿宋" w:eastAsia="仿宋" w:cs="仿宋"/>
          <w:color w:val="auto"/>
          <w:sz w:val="24"/>
          <w:szCs w:val="24"/>
          <w:highlight w:val="none"/>
          <w:lang w:val="en-US" w:eastAsia="zh-CN"/>
        </w:rPr>
        <w:t>审</w:t>
      </w:r>
      <w:r>
        <w:rPr>
          <w:rFonts w:hint="eastAsia" w:ascii="仿宋" w:hAnsi="仿宋" w:eastAsia="仿宋" w:cs="仿宋"/>
          <w:color w:val="auto"/>
          <w:sz w:val="24"/>
          <w:szCs w:val="24"/>
          <w:highlight w:val="none"/>
        </w:rPr>
        <w:t>报告的起草；</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4.5配合有关部门的投诉处理工作；</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4.6配合招标人、招标代理机构答复投标供应商提出的质疑。</w:t>
      </w:r>
    </w:p>
    <w:p>
      <w:pPr>
        <w:shd w:val="clear" w:color="auto" w:fill="auto"/>
        <w:tabs>
          <w:tab w:val="left" w:pos="1547"/>
        </w:tabs>
        <w:spacing w:line="440" w:lineRule="exact"/>
        <w:ind w:firstLine="612" w:firstLineChars="255"/>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 评标程序</w:t>
      </w:r>
    </w:p>
    <w:p>
      <w:pPr>
        <w:pStyle w:val="20"/>
        <w:shd w:val="clear" w:color="auto" w:fill="auto"/>
        <w:tabs>
          <w:tab w:val="left" w:pos="720"/>
          <w:tab w:val="clear" w:pos="0"/>
        </w:tabs>
        <w:spacing w:line="440" w:lineRule="exact"/>
        <w:ind w:firstLine="612" w:firstLineChars="255"/>
        <w:rPr>
          <w:rFonts w:hint="eastAsia" w:ascii="仿宋" w:hAnsi="仿宋" w:eastAsia="仿宋" w:cs="仿宋"/>
          <w:bCs/>
          <w:color w:val="auto"/>
          <w:sz w:val="24"/>
          <w:szCs w:val="24"/>
          <w:highlight w:val="none"/>
          <w:lang w:bidi="ar-SA"/>
        </w:rPr>
      </w:pPr>
      <w:r>
        <w:rPr>
          <w:rFonts w:hint="eastAsia" w:ascii="仿宋" w:hAnsi="仿宋" w:eastAsia="仿宋" w:cs="仿宋"/>
          <w:bCs/>
          <w:color w:val="auto"/>
          <w:sz w:val="24"/>
          <w:szCs w:val="24"/>
          <w:highlight w:val="none"/>
          <w:lang w:bidi="ar-SA"/>
        </w:rPr>
        <w:t>5.1本次评标首先由评标委员会对投标人的投标文件进行初审，对未能通过初审的投标文件作无效标处理；</w:t>
      </w:r>
    </w:p>
    <w:p>
      <w:pPr>
        <w:shd w:val="clear" w:color="auto" w:fill="auto"/>
        <w:tabs>
          <w:tab w:val="left" w:pos="720"/>
        </w:tabs>
        <w:spacing w:line="440" w:lineRule="exact"/>
        <w:ind w:firstLine="612" w:firstLineChars="255"/>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5.2对通过初审的投标人的投标文件进行详细的比较和评价。如需要，进行必要的澄清工作；</w:t>
      </w:r>
    </w:p>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textAlignment w:val="auto"/>
        <w:outlineLvl w:val="9"/>
        <w:rPr>
          <w:rFonts w:hint="eastAsia" w:ascii="仿宋" w:hAnsi="仿宋" w:eastAsia="仿宋" w:cs="仿宋"/>
          <w:b/>
          <w:bCs/>
          <w:color w:val="auto"/>
          <w:kern w:val="0"/>
          <w:sz w:val="24"/>
          <w:szCs w:val="24"/>
          <w:highlight w:val="none"/>
          <w:lang w:bidi="ar-SA"/>
        </w:rPr>
      </w:pPr>
      <w:r>
        <w:rPr>
          <w:rFonts w:hint="eastAsia" w:ascii="仿宋" w:hAnsi="仿宋" w:eastAsia="仿宋" w:cs="仿宋"/>
          <w:color w:val="auto"/>
          <w:sz w:val="24"/>
          <w:szCs w:val="24"/>
          <w:highlight w:val="none"/>
          <w:lang w:bidi="ar-SA"/>
        </w:rPr>
        <w:t>5.3依据评分标准以及各项权值，各位评委单独就每个投标人的</w:t>
      </w:r>
      <w:r>
        <w:rPr>
          <w:rFonts w:hint="eastAsia" w:ascii="仿宋" w:hAnsi="仿宋" w:eastAsia="仿宋" w:cs="仿宋"/>
          <w:color w:val="auto"/>
          <w:kern w:val="0"/>
          <w:sz w:val="24"/>
          <w:szCs w:val="24"/>
          <w:highlight w:val="none"/>
          <w:lang w:bidi="ar-SA"/>
        </w:rPr>
        <w:t>投标文件进行价格、技术、</w:t>
      </w:r>
      <w:r>
        <w:rPr>
          <w:rFonts w:hint="eastAsia" w:ascii="仿宋" w:hAnsi="仿宋" w:eastAsia="仿宋" w:cs="仿宋"/>
          <w:color w:val="auto"/>
          <w:kern w:val="0"/>
          <w:sz w:val="24"/>
          <w:szCs w:val="24"/>
          <w:highlight w:val="none"/>
          <w:lang w:bidi="ar-SA"/>
        </w:rPr>
        <w:fldChar w:fldCharType="begin"/>
      </w:r>
      <w:r>
        <w:rPr>
          <w:rFonts w:hint="eastAsia" w:ascii="仿宋" w:hAnsi="仿宋" w:eastAsia="仿宋" w:cs="仿宋"/>
          <w:color w:val="auto"/>
          <w:kern w:val="0"/>
          <w:sz w:val="24"/>
          <w:szCs w:val="24"/>
          <w:highlight w:val="none"/>
          <w:lang w:bidi="ar-SA"/>
        </w:rPr>
        <w:instrText xml:space="preserve">HYPERLINK "http://zhidao.baidu.com/search?word=%E8%B4%A2%E5%8A%A1%E7%8A%B6%E5%86%B5&amp;fr=qb_search_exp&amp;ie=utf8&amp;eid_gfrom=151"</w:instrText>
      </w:r>
      <w:r>
        <w:rPr>
          <w:rFonts w:hint="eastAsia" w:ascii="仿宋" w:hAnsi="仿宋" w:eastAsia="仿宋" w:cs="仿宋"/>
          <w:color w:val="auto"/>
          <w:kern w:val="0"/>
          <w:sz w:val="24"/>
          <w:szCs w:val="24"/>
          <w:highlight w:val="none"/>
          <w:lang w:bidi="ar-SA"/>
        </w:rPr>
        <w:fldChar w:fldCharType="separate"/>
      </w:r>
      <w:r>
        <w:rPr>
          <w:rFonts w:hint="eastAsia" w:ascii="仿宋" w:hAnsi="仿宋" w:eastAsia="仿宋" w:cs="仿宋"/>
          <w:color w:val="auto"/>
          <w:kern w:val="0"/>
          <w:sz w:val="24"/>
          <w:szCs w:val="24"/>
          <w:highlight w:val="none"/>
          <w:lang w:bidi="ar-SA"/>
        </w:rPr>
        <w:t>财务状况</w:t>
      </w:r>
      <w:r>
        <w:rPr>
          <w:rFonts w:hint="eastAsia" w:ascii="仿宋" w:hAnsi="仿宋" w:eastAsia="仿宋" w:cs="仿宋"/>
          <w:color w:val="auto"/>
          <w:kern w:val="0"/>
          <w:sz w:val="24"/>
          <w:szCs w:val="24"/>
          <w:highlight w:val="none"/>
          <w:lang w:bidi="ar-SA"/>
        </w:rPr>
        <w:fldChar w:fldCharType="end"/>
      </w:r>
      <w:r>
        <w:rPr>
          <w:rFonts w:hint="eastAsia" w:ascii="仿宋" w:hAnsi="仿宋" w:eastAsia="仿宋" w:cs="仿宋"/>
          <w:color w:val="auto"/>
          <w:kern w:val="0"/>
          <w:sz w:val="24"/>
          <w:szCs w:val="24"/>
          <w:highlight w:val="none"/>
          <w:lang w:bidi="ar-SA"/>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综合得分第三名的投标人为第三中标候选人。</w:t>
      </w:r>
    </w:p>
    <w:p>
      <w:pPr>
        <w:shd w:val="clear" w:color="auto" w:fill="auto"/>
        <w:jc w:val="center"/>
        <w:outlineLvl w:val="1"/>
        <w:rPr>
          <w:rFonts w:hint="eastAsia" w:ascii="仿宋" w:hAnsi="仿宋" w:eastAsia="仿宋" w:cs="仿宋"/>
          <w:b/>
          <w:color w:val="auto"/>
          <w:sz w:val="24"/>
          <w:szCs w:val="24"/>
          <w:highlight w:val="none"/>
        </w:rPr>
      </w:pPr>
    </w:p>
    <w:p>
      <w:pPr>
        <w:shd w:val="clear" w:color="auto" w:fill="auto"/>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  投标文件初审</w:t>
      </w:r>
      <w:bookmarkEnd w:id="41"/>
      <w:bookmarkEnd w:id="42"/>
    </w:p>
    <w:p>
      <w:pPr>
        <w:shd w:val="clear" w:color="auto" w:fill="auto"/>
        <w:spacing w:line="400" w:lineRule="exact"/>
        <w:ind w:firstLine="352"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.资格性审查:</w:t>
      </w:r>
    </w:p>
    <w:p>
      <w:pPr>
        <w:shd w:val="clear" w:color="auto" w:fill="auto"/>
        <w:spacing w:line="400" w:lineRule="exact"/>
        <w:ind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.1评审细则</w:t>
      </w:r>
    </w:p>
    <w:tbl>
      <w:tblPr>
        <w:tblStyle w:val="2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6649"/>
        <w:gridCol w:w="555"/>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81" w:type="dxa"/>
            <w:vMerge w:val="restart"/>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7196" w:type="dxa"/>
            <w:gridSpan w:val="2"/>
            <w:vMerge w:val="restart"/>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209" w:type="dxa"/>
            <w:gridSpan w:val="2"/>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7196" w:type="dxa"/>
            <w:gridSpan w:val="2"/>
            <w:vMerge w:val="continue"/>
            <w:noWrap w:val="0"/>
            <w:vAlign w:val="top"/>
          </w:tcPr>
          <w:p>
            <w:pPr>
              <w:shd w:val="clear" w:color="auto" w:fill="auto"/>
              <w:rPr>
                <w:rFonts w:hint="eastAsia" w:ascii="仿宋" w:hAnsi="仿宋" w:eastAsia="仿宋" w:cs="仿宋"/>
                <w:color w:val="auto"/>
                <w:sz w:val="24"/>
                <w:szCs w:val="24"/>
                <w:highlight w:val="none"/>
              </w:rPr>
            </w:pPr>
          </w:p>
        </w:tc>
        <w:tc>
          <w:tcPr>
            <w:tcW w:w="555"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654"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81" w:type="dxa"/>
            <w:vMerge w:val="restart"/>
            <w:noWrap w:val="0"/>
            <w:vAlign w:val="center"/>
          </w:tcPr>
          <w:p>
            <w:pPr>
              <w:shd w:val="clear" w:color="auto" w:fill="auto"/>
              <w:jc w:val="center"/>
              <w:rPr>
                <w:rFonts w:hint="eastAsia" w:ascii="仿宋" w:hAnsi="仿宋" w:eastAsia="仿宋" w:cs="仿宋"/>
                <w:color w:val="auto"/>
                <w:sz w:val="24"/>
                <w:szCs w:val="24"/>
                <w:highlight w:val="none"/>
              </w:rPr>
            </w:pPr>
          </w:p>
          <w:p>
            <w:pPr>
              <w:shd w:val="clear" w:color="auto" w:fill="auto"/>
              <w:jc w:val="center"/>
              <w:rPr>
                <w:rFonts w:hint="eastAsia" w:ascii="仿宋" w:hAnsi="仿宋" w:eastAsia="仿宋" w:cs="仿宋"/>
                <w:color w:val="auto"/>
                <w:sz w:val="24"/>
                <w:szCs w:val="24"/>
                <w:highlight w:val="none"/>
              </w:rPr>
            </w:pPr>
          </w:p>
          <w:p>
            <w:pPr>
              <w:shd w:val="clear" w:color="auto" w:fill="auto"/>
              <w:jc w:val="center"/>
              <w:rPr>
                <w:rFonts w:hint="eastAsia" w:ascii="仿宋" w:hAnsi="仿宋" w:eastAsia="仿宋" w:cs="仿宋"/>
                <w:color w:val="auto"/>
                <w:sz w:val="24"/>
                <w:szCs w:val="24"/>
                <w:highlight w:val="none"/>
              </w:rPr>
            </w:pPr>
          </w:p>
          <w:p>
            <w:pPr>
              <w:shd w:val="clear" w:color="auto" w:fill="auto"/>
              <w:jc w:val="center"/>
              <w:rPr>
                <w:rFonts w:hint="eastAsia" w:ascii="仿宋" w:hAnsi="仿宋" w:eastAsia="仿宋" w:cs="仿宋"/>
                <w:color w:val="auto"/>
                <w:sz w:val="24"/>
                <w:szCs w:val="24"/>
                <w:highlight w:val="none"/>
              </w:rPr>
            </w:pPr>
          </w:p>
          <w:p>
            <w:pPr>
              <w:shd w:val="clear" w:color="auto" w:fill="auto"/>
              <w:jc w:val="center"/>
              <w:rPr>
                <w:rFonts w:hint="eastAsia" w:ascii="仿宋" w:hAnsi="仿宋" w:eastAsia="仿宋" w:cs="仿宋"/>
                <w:color w:val="auto"/>
                <w:sz w:val="24"/>
                <w:szCs w:val="24"/>
                <w:highlight w:val="none"/>
              </w:rPr>
            </w:pPr>
          </w:p>
          <w:p>
            <w:pPr>
              <w:shd w:val="clear" w:color="auto" w:fill="auto"/>
              <w:jc w:val="center"/>
              <w:rPr>
                <w:rFonts w:hint="eastAsia" w:ascii="仿宋" w:hAnsi="仿宋" w:eastAsia="仿宋" w:cs="仿宋"/>
                <w:color w:val="auto"/>
                <w:sz w:val="24"/>
                <w:szCs w:val="24"/>
                <w:highlight w:val="none"/>
              </w:rPr>
            </w:pPr>
          </w:p>
          <w:p>
            <w:pPr>
              <w:shd w:val="clear" w:color="auto" w:fill="auto"/>
              <w:jc w:val="center"/>
              <w:rPr>
                <w:rFonts w:hint="eastAsia" w:ascii="仿宋" w:hAnsi="仿宋" w:eastAsia="仿宋" w:cs="仿宋"/>
                <w:color w:val="auto"/>
                <w:sz w:val="24"/>
                <w:szCs w:val="24"/>
                <w:highlight w:val="none"/>
              </w:rPr>
            </w:pPr>
          </w:p>
          <w:p>
            <w:pPr>
              <w:shd w:val="clear" w:color="auto" w:fill="auto"/>
              <w:jc w:val="center"/>
              <w:rPr>
                <w:rFonts w:hint="eastAsia" w:ascii="仿宋" w:hAnsi="仿宋" w:eastAsia="仿宋" w:cs="仿宋"/>
                <w:color w:val="auto"/>
                <w:sz w:val="24"/>
                <w:szCs w:val="24"/>
                <w:highlight w:val="none"/>
              </w:rPr>
            </w:pPr>
          </w:p>
          <w:p>
            <w:pPr>
              <w:shd w:val="clear" w:color="auto" w:fill="auto"/>
              <w:jc w:val="center"/>
              <w:rPr>
                <w:rFonts w:hint="eastAsia" w:ascii="仿宋" w:hAnsi="仿宋" w:eastAsia="仿宋" w:cs="仿宋"/>
                <w:color w:val="auto"/>
                <w:sz w:val="24"/>
                <w:szCs w:val="24"/>
                <w:highlight w:val="none"/>
              </w:rPr>
            </w:pPr>
          </w:p>
          <w:p>
            <w:pPr>
              <w:shd w:val="clear" w:color="auto" w:fill="auto"/>
              <w:jc w:val="center"/>
              <w:rPr>
                <w:rFonts w:hint="eastAsia" w:ascii="仿宋" w:hAnsi="仿宋" w:eastAsia="仿宋" w:cs="仿宋"/>
                <w:color w:val="auto"/>
                <w:sz w:val="24"/>
                <w:szCs w:val="24"/>
                <w:highlight w:val="none"/>
              </w:rPr>
            </w:pPr>
          </w:p>
          <w:p>
            <w:pPr>
              <w:shd w:val="clear" w:color="auto" w:fill="auto"/>
              <w:jc w:val="center"/>
              <w:rPr>
                <w:rFonts w:hint="eastAsia" w:ascii="仿宋" w:hAnsi="仿宋" w:eastAsia="仿宋" w:cs="仿宋"/>
                <w:color w:val="auto"/>
                <w:sz w:val="24"/>
                <w:szCs w:val="24"/>
                <w:highlight w:val="none"/>
              </w:rPr>
            </w:pP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w:t>
            </w:r>
          </w:p>
          <w:p>
            <w:pPr>
              <w:shd w:val="clear" w:color="auto" w:fill="auto"/>
              <w:jc w:val="center"/>
              <w:rPr>
                <w:rFonts w:hint="eastAsia" w:ascii="仿宋" w:hAnsi="仿宋" w:eastAsia="仿宋" w:cs="仿宋"/>
                <w:color w:val="auto"/>
                <w:sz w:val="24"/>
                <w:szCs w:val="24"/>
                <w:highlight w:val="none"/>
              </w:rPr>
            </w:pPr>
          </w:p>
        </w:tc>
        <w:tc>
          <w:tcPr>
            <w:tcW w:w="547" w:type="dxa"/>
            <w:noWrap w:val="0"/>
            <w:vAlign w:val="center"/>
          </w:tcPr>
          <w:p>
            <w:pPr>
              <w:shd w:val="clear" w:color="auto" w:fill="auto"/>
              <w:ind w:left="0" w:leftChars="0" w:right="0" w:rightChars="0" w:firstLine="0" w:firstLineChars="0"/>
              <w:jc w:val="center"/>
              <w:rPr>
                <w:rFonts w:hint="eastAsia" w:ascii="仿宋" w:hAnsi="仿宋" w:eastAsia="仿宋" w:cs="仿宋"/>
                <w:color w:val="auto"/>
                <w:spacing w:val="0"/>
                <w:w w:val="100"/>
                <w:position w:val="0"/>
                <w:sz w:val="24"/>
                <w:szCs w:val="24"/>
                <w:highlight w:val="none"/>
                <w:shd w:val="clear" w:color="auto" w:fill="auto"/>
                <w:lang w:val="en-US" w:eastAsia="en-US" w:bidi="en-US"/>
              </w:rPr>
            </w:pPr>
            <w:r>
              <w:rPr>
                <w:rFonts w:hint="eastAsia" w:ascii="仿宋" w:hAnsi="仿宋" w:eastAsia="仿宋" w:cs="仿宋"/>
                <w:color w:val="auto"/>
                <w:sz w:val="24"/>
                <w:szCs w:val="24"/>
                <w:highlight w:val="none"/>
              </w:rPr>
              <w:t>1</w:t>
            </w:r>
          </w:p>
        </w:tc>
        <w:tc>
          <w:tcPr>
            <w:tcW w:w="6649" w:type="dxa"/>
            <w:noWrap w:val="0"/>
            <w:vAlign w:val="center"/>
          </w:tcPr>
          <w:p>
            <w:pPr>
              <w:widowControl/>
              <w:shd w:val="clear" w:color="auto" w:fill="auto"/>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i w:val="0"/>
                <w:iCs w:val="0"/>
                <w:caps w:val="0"/>
                <w:color w:val="auto"/>
                <w:spacing w:val="0"/>
                <w:kern w:val="0"/>
                <w:sz w:val="24"/>
                <w:szCs w:val="24"/>
                <w:highlight w:val="none"/>
                <w:lang w:val="en-US" w:eastAsia="zh-CN" w:bidi="ar"/>
              </w:rPr>
              <w:t>满足《中华人民共和国政府采购法》第二十二条规定。</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81" w:type="dxa"/>
            <w:vMerge w:val="continue"/>
            <w:noWrap w:val="0"/>
            <w:vAlign w:val="center"/>
          </w:tcPr>
          <w:p>
            <w:pPr>
              <w:shd w:val="clear" w:color="auto" w:fill="auto"/>
              <w:jc w:val="center"/>
              <w:rPr>
                <w:rFonts w:hint="eastAsia" w:ascii="仿宋" w:hAnsi="仿宋" w:eastAsia="仿宋" w:cs="仿宋"/>
                <w:color w:val="auto"/>
                <w:sz w:val="24"/>
                <w:szCs w:val="24"/>
                <w:highlight w:val="none"/>
              </w:rPr>
            </w:pPr>
          </w:p>
        </w:tc>
        <w:tc>
          <w:tcPr>
            <w:tcW w:w="547" w:type="dxa"/>
            <w:noWrap w:val="0"/>
            <w:vAlign w:val="center"/>
          </w:tcPr>
          <w:p>
            <w:pPr>
              <w:shd w:val="clear" w:color="auto" w:fill="auto"/>
              <w:ind w:left="0" w:leftChars="0" w:right="0" w:rightChars="0" w:firstLine="0" w:firstLineChars="0"/>
              <w:jc w:val="center"/>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z w:val="24"/>
                <w:szCs w:val="24"/>
                <w:highlight w:val="none"/>
                <w:lang w:val="en-US" w:eastAsia="zh-CN"/>
              </w:rPr>
              <w:t>2</w:t>
            </w:r>
          </w:p>
        </w:tc>
        <w:tc>
          <w:tcPr>
            <w:tcW w:w="6649" w:type="dxa"/>
            <w:noWrap w:val="0"/>
            <w:vAlign w:val="center"/>
          </w:tcPr>
          <w:p>
            <w:pPr>
              <w:widowControl/>
              <w:shd w:val="clear" w:color="auto" w:fill="auto"/>
              <w:jc w:val="lef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必须为在中华人民共和国境内，依法成立、具有独立法人资格的供应商。</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ind w:left="0" w:leftChars="0" w:right="0" w:rightChars="0" w:firstLine="0" w:firstLineChars="0"/>
              <w:jc w:val="center"/>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z w:val="24"/>
                <w:szCs w:val="24"/>
                <w:highlight w:val="none"/>
                <w:lang w:val="en-US" w:eastAsia="zh-CN"/>
              </w:rPr>
              <w:t>3</w:t>
            </w:r>
          </w:p>
        </w:tc>
        <w:tc>
          <w:tcPr>
            <w:tcW w:w="6649" w:type="dxa"/>
            <w:noWrap w:val="0"/>
            <w:vAlign w:val="center"/>
          </w:tcPr>
          <w:p>
            <w:pPr>
              <w:widowControl/>
              <w:shd w:val="clear" w:color="auto" w:fill="auto"/>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法定代表人投标需提供法定代表人资格证明书，委托代理人投标需提供法定代表人授权委托书</w:t>
            </w:r>
            <w:r>
              <w:rPr>
                <w:rFonts w:hint="eastAsia" w:ascii="仿宋" w:hAnsi="仿宋" w:eastAsia="仿宋" w:cs="仿宋"/>
                <w:color w:val="auto"/>
                <w:kern w:val="0"/>
                <w:sz w:val="24"/>
                <w:szCs w:val="24"/>
                <w:highlight w:val="none"/>
                <w:lang w:eastAsia="zh-CN" w:bidi="ar"/>
              </w:rPr>
              <w:t>。</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ind w:left="0" w:leftChars="0" w:right="0" w:righ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6649" w:type="dxa"/>
            <w:noWrap w:val="0"/>
            <w:vAlign w:val="center"/>
          </w:tcPr>
          <w:p>
            <w:pPr>
              <w:widowControl/>
              <w:shd w:val="clear" w:color="auto" w:fill="auto"/>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i w:val="0"/>
                <w:iCs w:val="0"/>
                <w:caps w:val="0"/>
                <w:color w:val="auto"/>
                <w:spacing w:val="0"/>
                <w:kern w:val="0"/>
                <w:sz w:val="24"/>
                <w:szCs w:val="24"/>
                <w:highlight w:val="none"/>
                <w:lang w:val="en-US" w:eastAsia="zh-CN" w:bidi="ar"/>
              </w:rPr>
              <w:t>具有履行合同所必需的设备和专业技术能力(声明函格式自拟)即具有完成本项目采购能力。</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ind w:left="0" w:leftChars="0" w:right="0" w:righ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649" w:type="dxa"/>
            <w:noWrap w:val="0"/>
            <w:vAlign w:val="center"/>
          </w:tcPr>
          <w:p>
            <w:pPr>
              <w:widowControl/>
              <w:shd w:val="clear" w:color="auto" w:fill="auto"/>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i w:val="0"/>
                <w:iCs w:val="0"/>
                <w:caps w:val="0"/>
                <w:color w:val="auto"/>
                <w:spacing w:val="0"/>
                <w:kern w:val="0"/>
                <w:sz w:val="24"/>
                <w:szCs w:val="24"/>
                <w:highlight w:val="none"/>
                <w:lang w:val="en-US" w:eastAsia="zh-CN" w:bidi="ar"/>
              </w:rPr>
              <w:t>具有依法缴纳税收和社会保障资金的良好记录(提供相应证明材料或声明函格式自拟)。</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ind w:left="0" w:leftChars="0" w:right="0" w:righ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6649" w:type="dxa"/>
            <w:noWrap w:val="0"/>
            <w:vAlign w:val="center"/>
          </w:tcPr>
          <w:p>
            <w:pPr>
              <w:widowControl/>
              <w:shd w:val="clear" w:color="auto" w:fill="auto"/>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i w:val="0"/>
                <w:iCs w:val="0"/>
                <w:caps w:val="0"/>
                <w:color w:val="auto"/>
                <w:spacing w:val="0"/>
                <w:kern w:val="0"/>
                <w:sz w:val="24"/>
                <w:szCs w:val="24"/>
                <w:highlight w:val="none"/>
                <w:lang w:val="en-US" w:eastAsia="zh-CN" w:bidi="ar"/>
              </w:rPr>
              <w:t>单位负责人为同一人或者存在直接控股、管理关系的不同供应商，不得参加同一合同项下的政府采购活动(提供声明函格式自拟)。</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ind w:left="0" w:leftChars="0" w:right="0" w:righ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6649" w:type="dxa"/>
            <w:noWrap w:val="0"/>
            <w:vAlign w:val="center"/>
          </w:tcPr>
          <w:p>
            <w:pPr>
              <w:widowControl/>
              <w:shd w:val="clear" w:color="auto" w:fill="auto"/>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i w:val="0"/>
                <w:iCs w:val="0"/>
                <w:caps w:val="0"/>
                <w:color w:val="auto"/>
                <w:spacing w:val="0"/>
                <w:kern w:val="0"/>
                <w:sz w:val="24"/>
                <w:szCs w:val="24"/>
                <w:highlight w:val="none"/>
                <w:lang w:val="en-US" w:eastAsia="zh-CN" w:bidi="ar"/>
              </w:rPr>
              <w:t>供应商为中小企业(提供供应商为中小企业的声明函)。</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ind w:left="0" w:leftChars="0" w:right="0" w:rightChars="0" w:firstLine="0" w:firstLineChars="0"/>
              <w:jc w:val="center"/>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z w:val="24"/>
                <w:szCs w:val="24"/>
                <w:highlight w:val="none"/>
                <w:lang w:val="en-US" w:eastAsia="zh-CN"/>
              </w:rPr>
              <w:t>8</w:t>
            </w:r>
          </w:p>
        </w:tc>
        <w:tc>
          <w:tcPr>
            <w:tcW w:w="6649" w:type="dxa"/>
            <w:noWrap w:val="0"/>
            <w:vAlign w:val="center"/>
          </w:tcPr>
          <w:p>
            <w:pPr>
              <w:widowControl/>
              <w:shd w:val="clear" w:color="auto" w:fill="auto"/>
              <w:jc w:val="left"/>
              <w:textAlignment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eastAsia="zh-CN" w:bidi="ar"/>
              </w:rPr>
              <w:t>投标</w:t>
            </w:r>
            <w:r>
              <w:rPr>
                <w:rFonts w:hint="eastAsia" w:ascii="仿宋" w:hAnsi="仿宋" w:eastAsia="仿宋" w:cs="仿宋"/>
                <w:color w:val="auto"/>
                <w:kern w:val="0"/>
                <w:sz w:val="24"/>
                <w:szCs w:val="24"/>
                <w:highlight w:val="none"/>
                <w:lang w:bidi="ar"/>
              </w:rPr>
              <w:t>保证金</w:t>
            </w:r>
            <w:r>
              <w:rPr>
                <w:rFonts w:hint="eastAsia" w:ascii="仿宋" w:hAnsi="仿宋" w:eastAsia="仿宋" w:cs="仿宋"/>
                <w:color w:val="auto"/>
                <w:kern w:val="0"/>
                <w:sz w:val="24"/>
                <w:szCs w:val="24"/>
                <w:highlight w:val="none"/>
                <w:lang w:val="en-US" w:eastAsia="zh-CN" w:bidi="ar"/>
              </w:rPr>
              <w:t>缴纳凭证。</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6649"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供应商参加政府采购活动前三年内，在经营活动中没有重大违法记录，在“信用中国”网站（www.creditchina.gov.cn）、中国政府采购网（www.ccgp.gov.cn）没有被列入失信被执行人、重大税收违法失信主体名单、政府采购严重违法失信行为记录名单及其他不符合规定条件。（提供查询结果网页截图并加盖供应商公章）。</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81" w:type="dxa"/>
            <w:vMerge w:val="continue"/>
            <w:noWrap w:val="0"/>
            <w:vAlign w:val="center"/>
          </w:tcPr>
          <w:p>
            <w:pPr>
              <w:shd w:val="clear" w:color="auto" w:fill="auto"/>
              <w:jc w:val="center"/>
              <w:rPr>
                <w:rFonts w:hint="eastAsia" w:ascii="仿宋" w:hAnsi="仿宋" w:eastAsia="仿宋" w:cs="仿宋"/>
                <w:color w:val="auto"/>
                <w:sz w:val="24"/>
                <w:szCs w:val="24"/>
                <w:highlight w:val="none"/>
              </w:rPr>
            </w:pPr>
          </w:p>
        </w:tc>
        <w:tc>
          <w:tcPr>
            <w:tcW w:w="7196" w:type="dxa"/>
            <w:gridSpan w:val="2"/>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结论：是否通过评审（须填写通过或不通过）</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注：如有一项不合格，作废标处理。</w:t>
            </w:r>
          </w:p>
        </w:tc>
        <w:tc>
          <w:tcPr>
            <w:tcW w:w="1209" w:type="dxa"/>
            <w:gridSpan w:val="2"/>
            <w:noWrap w:val="0"/>
            <w:vAlign w:val="top"/>
          </w:tcPr>
          <w:p>
            <w:pPr>
              <w:shd w:val="clear" w:color="auto" w:fill="auto"/>
              <w:rPr>
                <w:rFonts w:hint="eastAsia" w:ascii="仿宋" w:hAnsi="仿宋" w:eastAsia="仿宋" w:cs="仿宋"/>
                <w:color w:val="auto"/>
                <w:sz w:val="24"/>
                <w:szCs w:val="24"/>
                <w:highlight w:val="none"/>
              </w:rPr>
            </w:pPr>
          </w:p>
        </w:tc>
      </w:tr>
    </w:tbl>
    <w:p>
      <w:pPr>
        <w:shd w:val="clear" w:color="auto" w:fill="auto"/>
        <w:spacing w:line="400" w:lineRule="exact"/>
        <w:ind w:firstLine="578" w:firstLineChars="24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ind w:firstLine="240" w:firstLineChars="1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.符合性审查</w:t>
      </w:r>
    </w:p>
    <w:p>
      <w:pPr>
        <w:shd w:val="clear" w:color="auto" w:fill="auto"/>
        <w:spacing w:line="44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．1评审细则</w:t>
      </w:r>
    </w:p>
    <w:tbl>
      <w:tblPr>
        <w:tblStyle w:val="23"/>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561"/>
        <w:gridCol w:w="6271"/>
        <w:gridCol w:w="482"/>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 w:hRule="atLeast"/>
        </w:trPr>
        <w:tc>
          <w:tcPr>
            <w:tcW w:w="1237"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6832" w:type="dxa"/>
            <w:gridSpan w:val="2"/>
            <w:tcBorders>
              <w:top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366" w:type="dxa"/>
            <w:gridSpan w:val="2"/>
            <w:tcBorders>
              <w:top w:val="single" w:color="auto" w:sz="4" w:space="0"/>
              <w:right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1237" w:type="dxa"/>
            <w:tcBorders>
              <w:left w:val="single" w:color="auto" w:sz="4" w:space="0"/>
              <w:bottom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6832" w:type="dxa"/>
            <w:gridSpan w:val="2"/>
            <w:tcBorders>
              <w:bottom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482"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884" w:type="dxa"/>
            <w:tcBorders>
              <w:right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237" w:type="dxa"/>
            <w:vMerge w:val="restart"/>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w:t>
            </w:r>
          </w:p>
        </w:tc>
        <w:tc>
          <w:tcPr>
            <w:tcW w:w="561"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271"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其报价未超过采购预算金额，且只有一个有效报价，不得提交选择性报价。</w:t>
            </w:r>
          </w:p>
        </w:tc>
        <w:tc>
          <w:tcPr>
            <w:tcW w:w="482"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auto"/>
                <w:sz w:val="24"/>
                <w:szCs w:val="24"/>
                <w:highlight w:val="none"/>
              </w:rPr>
            </w:pPr>
          </w:p>
        </w:tc>
        <w:tc>
          <w:tcPr>
            <w:tcW w:w="884"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法定代表人身份证明及授权委托书有效，且符合招标文件规定的格式。</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8"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271"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满足招标文件规定的供货期限。</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投标文件内容齐全、无遗漏。</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9"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bottom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6271" w:type="dxa"/>
            <w:tcBorders>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对招标文件规定的招标内容全部作出响应。</w:t>
            </w:r>
          </w:p>
        </w:tc>
        <w:tc>
          <w:tcPr>
            <w:tcW w:w="482" w:type="dxa"/>
            <w:tcBorders>
              <w:left w:val="single" w:color="auto" w:sz="4" w:space="0"/>
              <w:bottom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满足招标文件提出的技术和质量要求。</w:t>
            </w:r>
          </w:p>
        </w:tc>
        <w:tc>
          <w:tcPr>
            <w:tcW w:w="48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6271" w:type="dxa"/>
            <w:tcBorders>
              <w:top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按照</w:t>
            </w:r>
            <w:r>
              <w:rPr>
                <w:rFonts w:hint="eastAsia" w:ascii="仿宋" w:hAnsi="仿宋" w:eastAsia="仿宋" w:cs="仿宋"/>
                <w:color w:val="auto"/>
                <w:kern w:val="0"/>
                <w:sz w:val="24"/>
                <w:szCs w:val="24"/>
                <w:highlight w:val="none"/>
                <w:lang w:val="en-US" w:eastAsia="zh-CN" w:bidi="ar"/>
              </w:rPr>
              <w:t>招标</w:t>
            </w:r>
            <w:r>
              <w:rPr>
                <w:rFonts w:hint="eastAsia" w:ascii="仿宋" w:hAnsi="仿宋" w:eastAsia="仿宋" w:cs="仿宋"/>
                <w:color w:val="auto"/>
                <w:kern w:val="0"/>
                <w:sz w:val="24"/>
                <w:szCs w:val="24"/>
                <w:highlight w:val="none"/>
                <w:lang w:bidi="ar"/>
              </w:rPr>
              <w:t>文件规定要求签署、盖章的。</w:t>
            </w:r>
          </w:p>
        </w:tc>
        <w:tc>
          <w:tcPr>
            <w:tcW w:w="482" w:type="dxa"/>
            <w:tcBorders>
              <w:top w:val="single" w:color="auto" w:sz="4" w:space="0"/>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top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投标有效期满足招标文件要求。</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响应文件未附有采购人不能接受的附加条件及法律、法规和</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文件规定的其他无效情形。</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p>
        </w:tc>
        <w:tc>
          <w:tcPr>
            <w:tcW w:w="6832"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结论：是否通过评审（须填写通过或不通过）</w:t>
            </w:r>
          </w:p>
          <w:p>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bl>
    <w:p>
      <w:pPr>
        <w:shd w:val="clear" w:color="auto" w:fill="auto"/>
        <w:bidi w:val="0"/>
        <w:rPr>
          <w:rFonts w:hint="eastAsia" w:ascii="仿宋" w:hAnsi="仿宋" w:eastAsia="仿宋" w:cs="仿宋"/>
          <w:color w:val="auto"/>
          <w:highlight w:val="none"/>
        </w:rPr>
      </w:pPr>
    </w:p>
    <w:p>
      <w:pPr>
        <w:shd w:val="clear" w:color="auto" w:fill="auto"/>
        <w:spacing w:line="400" w:lineRule="exact"/>
        <w:ind w:firstLine="578" w:firstLineChars="241"/>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.2评委会判定投标文件的响应性只根据投标文件本身的内容，而不寻求外部的证据，但投标有不真实不正确的内容时除外。</w:t>
      </w:r>
    </w:p>
    <w:p>
      <w:pPr>
        <w:shd w:val="clear" w:color="auto" w:fill="auto"/>
        <w:spacing w:line="400" w:lineRule="exact"/>
        <w:ind w:firstLine="578" w:firstLineChars="241"/>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.3如果投标文件实质上没有响应</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的要求，评委会将予以拒绝，投标人不得通过修正或撤销不符合要求的偏离或保留，而使其投标成为实质上响应的投标。</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.4投标人可在现场20分钟内对评标委员会的评审结论提出异议，评标委员会根据</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及有关规定对投标人的异议进行复议</w:t>
      </w:r>
    </w:p>
    <w:p>
      <w:pPr>
        <w:shd w:val="clear" w:color="auto" w:fill="auto"/>
        <w:spacing w:line="400" w:lineRule="exact"/>
        <w:ind w:firstLine="600"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.5只有通过初审的投标人才能进入下一步评标程序。</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hd w:val="clear" w:color="auto" w:fill="auto"/>
        <w:spacing w:before="156" w:beforeLines="50" w:line="400" w:lineRule="exact"/>
        <w:jc w:val="center"/>
        <w:outlineLvl w:val="1"/>
        <w:rPr>
          <w:rFonts w:hint="eastAsia" w:ascii="仿宋" w:hAnsi="仿宋" w:eastAsia="仿宋" w:cs="仿宋"/>
          <w:b/>
          <w:color w:val="auto"/>
          <w:sz w:val="24"/>
          <w:highlight w:val="none"/>
        </w:rPr>
      </w:pPr>
      <w:bookmarkStart w:id="44" w:name="_Toc469495734"/>
      <w:bookmarkStart w:id="45" w:name="_Toc362983803"/>
      <w:r>
        <w:rPr>
          <w:rFonts w:hint="eastAsia" w:ascii="仿宋" w:hAnsi="仿宋" w:eastAsia="仿宋" w:cs="仿宋"/>
          <w:b/>
          <w:color w:val="auto"/>
          <w:sz w:val="28"/>
          <w:szCs w:val="28"/>
          <w:highlight w:val="none"/>
        </w:rPr>
        <w:t xml:space="preserve">三  </w:t>
      </w:r>
      <w:r>
        <w:rPr>
          <w:rFonts w:hint="eastAsia" w:ascii="仿宋" w:hAnsi="仿宋" w:eastAsia="仿宋" w:cs="仿宋"/>
          <w:b/>
          <w:color w:val="auto"/>
          <w:sz w:val="24"/>
          <w:highlight w:val="none"/>
        </w:rPr>
        <w:t>投标文件的澄清和补正</w:t>
      </w:r>
      <w:bookmarkEnd w:id="44"/>
      <w:bookmarkEnd w:id="45"/>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8．澄清、说明或补正的形式</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9．错误修正的原则</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color w:val="auto"/>
          <w:sz w:val="22"/>
          <w:szCs w:val="20"/>
          <w:highlight w:val="none"/>
        </w:rPr>
      </w:pPr>
      <w:r>
        <w:rPr>
          <w:rFonts w:hint="eastAsia" w:ascii="仿宋" w:hAnsi="仿宋" w:eastAsia="仿宋" w:cs="仿宋"/>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jc w:val="center"/>
        <w:outlineLvl w:val="1"/>
        <w:rPr>
          <w:rFonts w:hint="eastAsia" w:ascii="仿宋" w:hAnsi="仿宋" w:eastAsia="仿宋" w:cs="仿宋"/>
          <w:b/>
          <w:color w:val="auto"/>
          <w:sz w:val="24"/>
          <w:szCs w:val="24"/>
          <w:highlight w:val="none"/>
        </w:rPr>
      </w:pPr>
      <w:bookmarkStart w:id="46" w:name="_Toc469495735"/>
      <w:r>
        <w:rPr>
          <w:rFonts w:hint="eastAsia" w:ascii="仿宋" w:hAnsi="仿宋" w:eastAsia="仿宋" w:cs="仿宋"/>
          <w:b/>
          <w:color w:val="auto"/>
          <w:sz w:val="24"/>
          <w:szCs w:val="24"/>
          <w:highlight w:val="none"/>
        </w:rPr>
        <w:t>四 比较与评价</w:t>
      </w:r>
      <w:bookmarkEnd w:id="46"/>
    </w:p>
    <w:p>
      <w:pPr>
        <w:shd w:val="clear" w:color="auto" w:fill="auto"/>
        <w:tabs>
          <w:tab w:val="left" w:pos="720"/>
        </w:tabs>
        <w:spacing w:line="440" w:lineRule="exact"/>
        <w:ind w:firstLine="612" w:firstLineChars="255"/>
        <w:rPr>
          <w:rFonts w:hint="eastAsia" w:ascii="仿宋" w:hAnsi="仿宋" w:eastAsia="仿宋" w:cs="仿宋"/>
          <w:color w:val="auto"/>
          <w:szCs w:val="21"/>
          <w:highlight w:val="none"/>
          <w:lang w:bidi="ar-SA"/>
        </w:rPr>
      </w:pPr>
      <w:bookmarkStart w:id="47" w:name="_Toc362983805"/>
      <w:bookmarkStart w:id="48" w:name="_Toc469495736"/>
      <w:r>
        <w:rPr>
          <w:rFonts w:hint="eastAsia" w:ascii="仿宋" w:hAnsi="仿宋" w:eastAsia="仿宋" w:cs="仿宋"/>
          <w:color w:val="auto"/>
          <w:szCs w:val="21"/>
          <w:highlight w:val="none"/>
          <w:lang w:val="en-US" w:eastAsia="zh-CN" w:bidi="ar-SA"/>
        </w:rPr>
        <w:t>10.1</w:t>
      </w:r>
      <w:r>
        <w:rPr>
          <w:rFonts w:hint="eastAsia" w:ascii="仿宋" w:hAnsi="仿宋" w:eastAsia="仿宋" w:cs="仿宋"/>
          <w:color w:val="auto"/>
          <w:szCs w:val="21"/>
          <w:highlight w:val="none"/>
          <w:lang w:bidi="ar-SA"/>
        </w:rPr>
        <w:t>评标委员会按招标文件中规定的评标方法和标准，对资格性检查和符合性检查合格的投标文件进行商务和技术评估、综合比较与评价。</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val="en-US" w:eastAsia="zh-CN" w:bidi="ar-SA"/>
        </w:rPr>
        <w:t>10.2</w:t>
      </w:r>
      <w:r>
        <w:rPr>
          <w:rFonts w:hint="eastAsia" w:ascii="仿宋" w:hAnsi="仿宋" w:eastAsia="仿宋" w:cs="仿宋"/>
          <w:color w:val="auto"/>
          <w:szCs w:val="21"/>
          <w:highlight w:val="none"/>
          <w:lang w:bidi="ar-SA"/>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616" w:firstLineChars="257"/>
        <w:rPr>
          <w:rFonts w:hint="eastAsia" w:ascii="仿宋" w:hAnsi="仿宋" w:eastAsia="仿宋" w:cs="仿宋"/>
          <w:bCs/>
          <w:color w:val="auto"/>
          <w:szCs w:val="21"/>
          <w:highlight w:val="none"/>
          <w:lang w:bidi="ar-SA"/>
        </w:rPr>
      </w:pPr>
      <w:r>
        <w:rPr>
          <w:rFonts w:hint="eastAsia" w:ascii="仿宋" w:hAnsi="仿宋" w:eastAsia="仿宋" w:cs="仿宋"/>
          <w:color w:val="auto"/>
          <w:szCs w:val="21"/>
          <w:highlight w:val="none"/>
          <w:lang w:val="en-US" w:eastAsia="zh-CN" w:bidi="ar-SA"/>
        </w:rPr>
        <w:t>10.</w:t>
      </w:r>
      <w:r>
        <w:rPr>
          <w:rFonts w:hint="eastAsia" w:ascii="仿宋" w:hAnsi="仿宋" w:eastAsia="仿宋" w:cs="仿宋"/>
          <w:bCs/>
          <w:color w:val="auto"/>
          <w:szCs w:val="21"/>
          <w:highlight w:val="none"/>
          <w:lang w:val="en-US" w:eastAsia="zh-CN" w:bidi="ar-SA"/>
        </w:rPr>
        <w:t>2.1</w:t>
      </w:r>
      <w:r>
        <w:rPr>
          <w:rFonts w:hint="eastAsia" w:ascii="仿宋" w:hAnsi="仿宋" w:eastAsia="仿宋" w:cs="仿宋"/>
          <w:bCs/>
          <w:color w:val="auto"/>
          <w:szCs w:val="21"/>
          <w:highlight w:val="none"/>
          <w:lang w:bidi="ar-SA"/>
        </w:rPr>
        <w:t>评委打分办法</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bCs/>
          <w:color w:val="auto"/>
          <w:szCs w:val="21"/>
          <w:highlight w:val="none"/>
          <w:lang w:bidi="ar-SA"/>
        </w:rPr>
        <w:t>（1）</w:t>
      </w:r>
      <w:r>
        <w:rPr>
          <w:rFonts w:hint="eastAsia" w:ascii="仿宋" w:hAnsi="仿宋" w:eastAsia="仿宋" w:cs="仿宋"/>
          <w:color w:val="auto"/>
          <w:szCs w:val="21"/>
          <w:highlight w:val="none"/>
          <w:lang w:bidi="ar-SA"/>
        </w:rPr>
        <w:t>参加评分的评委应尽力体现客观、实事求是，避免学派偏见和个人偏好。</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（2）衡量、对比的依据，应以招标文件、投标文件、提供的正式试验数据、质询澄清中的文字为准，口头回答和收集的资料只作为参考。</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（3）评分主要是为比较各投标人的价格、商务和技术综合排序。</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（4）评委打分采取记名形式。</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（5）各评委根据提供的技术打分表独立自主打分，任何人不得要求评委统一打分或统一确定等次顺序。</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（6）对打分表中的每项条款，各评委应根据投标文件、澄清材料、招标文件要求，按满足的程度给投标人打分。</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（7）评分程序</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1)就投标人的投标文件对照整理出商务、技术评标因素对比表、偏差表，并在经过校核的基础上逐项打分。</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2)各评委独立完成打分后，将评分表交给代理机构，由代理机构组织进行分数统计。</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3)最终汇总表中各投标人得分应为评委打分的算术平均值。</w:t>
      </w:r>
    </w:p>
    <w:p>
      <w:pPr>
        <w:numPr>
          <w:ilvl w:val="0"/>
          <w:numId w:val="0"/>
        </w:numPr>
        <w:shd w:val="clear" w:color="auto" w:fill="auto"/>
        <w:spacing w:line="500" w:lineRule="exact"/>
        <w:ind w:firstLine="480" w:firstLineChars="200"/>
        <w:jc w:val="left"/>
        <w:rPr>
          <w:rFonts w:hint="eastAsia"/>
          <w:color w:val="auto"/>
        </w:rPr>
      </w:pPr>
      <w:r>
        <w:rPr>
          <w:rFonts w:hint="eastAsia" w:ascii="仿宋" w:hAnsi="仿宋" w:eastAsia="仿宋" w:cs="仿宋"/>
          <w:color w:val="auto"/>
          <w:szCs w:val="21"/>
          <w:highlight w:val="none"/>
          <w:lang w:bidi="ar-SA"/>
        </w:rPr>
        <w:t>（8）评分标准和细则（综合评分法评分标准）</w:t>
      </w:r>
    </w:p>
    <w:p>
      <w:pPr>
        <w:rPr>
          <w:rFonts w:hint="eastAsia"/>
          <w:color w:val="auto"/>
        </w:rPr>
      </w:pPr>
    </w:p>
    <w:tbl>
      <w:tblPr>
        <w:tblStyle w:val="23"/>
        <w:tblW w:w="9744" w:type="dxa"/>
        <w:tblInd w:w="0" w:type="dxa"/>
        <w:tblLayout w:type="fixed"/>
        <w:tblCellMar>
          <w:top w:w="0" w:type="dxa"/>
          <w:left w:w="108" w:type="dxa"/>
          <w:bottom w:w="0" w:type="dxa"/>
          <w:right w:w="108" w:type="dxa"/>
        </w:tblCellMar>
      </w:tblPr>
      <w:tblGrid>
        <w:gridCol w:w="879"/>
        <w:gridCol w:w="1158"/>
        <w:gridCol w:w="7137"/>
        <w:gridCol w:w="570"/>
      </w:tblGrid>
      <w:tr>
        <w:tblPrEx>
          <w:tblCellMar>
            <w:top w:w="0" w:type="dxa"/>
            <w:left w:w="108" w:type="dxa"/>
            <w:bottom w:w="0" w:type="dxa"/>
            <w:right w:w="108" w:type="dxa"/>
          </w:tblCellMar>
        </w:tblPrEx>
        <w:trPr>
          <w:trHeight w:val="328" w:hRule="atLeast"/>
        </w:trPr>
        <w:tc>
          <w:tcPr>
            <w:tcW w:w="879" w:type="dxa"/>
            <w:tcBorders>
              <w:top w:val="single" w:color="auto" w:sz="4" w:space="0"/>
              <w:left w:val="single" w:color="auto" w:sz="4" w:space="0"/>
              <w:bottom w:val="single" w:color="auto" w:sz="4" w:space="0"/>
              <w:right w:val="single" w:color="auto" w:sz="4" w:space="0"/>
            </w:tcBorders>
            <w:noWrap w:val="0"/>
            <w:vAlign w:val="center"/>
          </w:tcPr>
          <w:p>
            <w:pPr>
              <w:rPr>
                <w:rFonts w:hint="eastAsia"/>
                <w:color w:val="auto"/>
                <w:sz w:val="22"/>
                <w:szCs w:val="22"/>
              </w:rPr>
            </w:pPr>
            <w:r>
              <w:rPr>
                <w:rFonts w:hint="eastAsia"/>
                <w:color w:val="auto"/>
                <w:sz w:val="22"/>
                <w:szCs w:val="22"/>
              </w:rPr>
              <w:t>序号</w:t>
            </w:r>
          </w:p>
        </w:tc>
        <w:tc>
          <w:tcPr>
            <w:tcW w:w="8295" w:type="dxa"/>
            <w:gridSpan w:val="2"/>
            <w:tcBorders>
              <w:top w:val="single" w:color="auto" w:sz="4" w:space="0"/>
              <w:left w:val="nil"/>
              <w:bottom w:val="single" w:color="auto" w:sz="4" w:space="0"/>
              <w:right w:val="single" w:color="auto" w:sz="4" w:space="0"/>
            </w:tcBorders>
            <w:noWrap w:val="0"/>
            <w:vAlign w:val="center"/>
          </w:tcPr>
          <w:p>
            <w:pPr>
              <w:rPr>
                <w:rFonts w:hint="eastAsia"/>
                <w:color w:val="auto"/>
                <w:sz w:val="22"/>
                <w:szCs w:val="22"/>
              </w:rPr>
            </w:pPr>
            <w:r>
              <w:rPr>
                <w:rFonts w:hint="eastAsia"/>
                <w:color w:val="auto"/>
                <w:sz w:val="22"/>
                <w:szCs w:val="22"/>
              </w:rPr>
              <w:t>评 分 内 容 </w:t>
            </w:r>
          </w:p>
        </w:tc>
        <w:tc>
          <w:tcPr>
            <w:tcW w:w="570" w:type="dxa"/>
            <w:tcBorders>
              <w:top w:val="single" w:color="auto" w:sz="4" w:space="0"/>
              <w:left w:val="nil"/>
              <w:bottom w:val="single" w:color="auto" w:sz="4" w:space="0"/>
              <w:right w:val="single" w:color="auto" w:sz="4" w:space="0"/>
            </w:tcBorders>
            <w:noWrap w:val="0"/>
            <w:vAlign w:val="center"/>
          </w:tcPr>
          <w:p>
            <w:pPr>
              <w:shd w:val="clear" w:color="auto" w:fill="auto"/>
              <w:rPr>
                <w:rFonts w:hint="eastAsia" w:ascii="宋体" w:hAnsi="宋体" w:cs="宋体"/>
                <w:color w:val="auto"/>
                <w:kern w:val="1"/>
                <w:sz w:val="18"/>
                <w:szCs w:val="18"/>
              </w:rPr>
            </w:pPr>
            <w:r>
              <w:rPr>
                <w:rFonts w:hint="eastAsia" w:ascii="宋体" w:hAnsi="宋体" w:cs="宋体"/>
                <w:color w:val="auto"/>
                <w:kern w:val="1"/>
                <w:sz w:val="18"/>
                <w:szCs w:val="18"/>
              </w:rPr>
              <w:t>分值</w:t>
            </w:r>
          </w:p>
        </w:tc>
      </w:tr>
      <w:tr>
        <w:tblPrEx>
          <w:tblCellMar>
            <w:top w:w="0" w:type="dxa"/>
            <w:left w:w="108" w:type="dxa"/>
            <w:bottom w:w="0" w:type="dxa"/>
            <w:right w:w="108" w:type="dxa"/>
          </w:tblCellMar>
        </w:tblPrEx>
        <w:trPr>
          <w:trHeight w:val="1298" w:hRule="atLeast"/>
        </w:trPr>
        <w:tc>
          <w:tcPr>
            <w:tcW w:w="87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rPr>
                <w:rFonts w:hint="default" w:ascii="宋体" w:hAnsi="宋体" w:cs="宋体"/>
                <w:color w:val="auto"/>
                <w:kern w:val="2"/>
                <w:sz w:val="18"/>
                <w:szCs w:val="18"/>
                <w:lang w:val="en-US" w:eastAsia="zh-CN"/>
              </w:rPr>
            </w:pPr>
            <w:r>
              <w:rPr>
                <w:rFonts w:hint="eastAsia" w:ascii="宋体" w:hAnsi="宋体" w:cs="宋体"/>
                <w:color w:val="auto"/>
                <w:kern w:val="2"/>
                <w:sz w:val="18"/>
                <w:szCs w:val="18"/>
                <w:lang w:val="en-US" w:eastAsia="zh-CN"/>
              </w:rPr>
              <w:t>报价部分</w:t>
            </w:r>
            <w:r>
              <w:rPr>
                <w:rFonts w:hint="eastAsia" w:ascii="宋体" w:hAnsi="宋体" w:cs="宋体"/>
                <w:color w:val="auto"/>
                <w:kern w:val="1"/>
                <w:sz w:val="18"/>
                <w:szCs w:val="18"/>
              </w:rPr>
              <w:t>(</w:t>
            </w:r>
            <w:r>
              <w:rPr>
                <w:rFonts w:hint="eastAsia" w:ascii="宋体" w:hAnsi="宋体" w:cs="宋体"/>
                <w:color w:val="auto"/>
                <w:kern w:val="1"/>
                <w:sz w:val="18"/>
                <w:szCs w:val="18"/>
                <w:lang w:val="en-US" w:eastAsia="zh-CN"/>
              </w:rPr>
              <w:t>30</w:t>
            </w:r>
            <w:r>
              <w:rPr>
                <w:rFonts w:hint="eastAsia" w:ascii="宋体" w:hAnsi="宋体" w:cs="宋体"/>
                <w:color w:val="auto"/>
                <w:kern w:val="1"/>
                <w:sz w:val="18"/>
                <w:szCs w:val="18"/>
              </w:rPr>
              <w:t>分)</w:t>
            </w:r>
          </w:p>
        </w:tc>
        <w:tc>
          <w:tcPr>
            <w:tcW w:w="1158" w:type="dxa"/>
            <w:tcBorders>
              <w:top w:val="single" w:color="auto" w:sz="4" w:space="0"/>
              <w:left w:val="nil"/>
              <w:bottom w:val="single" w:color="auto" w:sz="4" w:space="0"/>
              <w:right w:val="single" w:color="auto" w:sz="4" w:space="0"/>
            </w:tcBorders>
            <w:noWrap w:val="0"/>
            <w:vAlign w:val="center"/>
          </w:tcPr>
          <w:p>
            <w:pPr>
              <w:shd w:val="clear" w:color="auto" w:fill="auto"/>
              <w:rPr>
                <w:rFonts w:hint="eastAsia" w:ascii="宋体" w:hAnsi="宋体" w:cs="宋体"/>
                <w:color w:val="auto"/>
                <w:kern w:val="1"/>
                <w:sz w:val="18"/>
                <w:szCs w:val="18"/>
              </w:rPr>
            </w:pPr>
            <w:r>
              <w:rPr>
                <w:rFonts w:hint="eastAsia" w:ascii="宋体" w:hAnsi="宋体" w:cs="宋体"/>
                <w:color w:val="auto"/>
                <w:kern w:val="1"/>
                <w:sz w:val="18"/>
                <w:szCs w:val="18"/>
              </w:rPr>
              <w:t>投标报价</w:t>
            </w:r>
          </w:p>
          <w:p>
            <w:pPr>
              <w:shd w:val="clear" w:color="auto" w:fill="auto"/>
              <w:rPr>
                <w:rFonts w:hint="eastAsia" w:ascii="宋体" w:hAnsi="宋体" w:cs="宋体"/>
                <w:color w:val="auto"/>
                <w:kern w:val="1"/>
                <w:sz w:val="18"/>
                <w:szCs w:val="18"/>
              </w:rPr>
            </w:pPr>
            <w:r>
              <w:rPr>
                <w:rFonts w:hint="eastAsia" w:ascii="宋体" w:hAnsi="宋体" w:cs="宋体"/>
                <w:color w:val="auto"/>
                <w:kern w:val="1"/>
                <w:sz w:val="18"/>
                <w:szCs w:val="18"/>
              </w:rPr>
              <w:t>(</w:t>
            </w:r>
            <w:r>
              <w:rPr>
                <w:rFonts w:hint="eastAsia" w:ascii="宋体" w:hAnsi="宋体" w:cs="宋体"/>
                <w:color w:val="auto"/>
                <w:kern w:val="1"/>
                <w:sz w:val="18"/>
                <w:szCs w:val="18"/>
                <w:lang w:val="en-US" w:eastAsia="zh-CN"/>
              </w:rPr>
              <w:t>30</w:t>
            </w:r>
            <w:r>
              <w:rPr>
                <w:rFonts w:hint="eastAsia" w:ascii="宋体" w:hAnsi="宋体" w:cs="宋体"/>
                <w:color w:val="auto"/>
                <w:kern w:val="1"/>
                <w:sz w:val="18"/>
                <w:szCs w:val="18"/>
              </w:rPr>
              <w:t>分)</w:t>
            </w:r>
          </w:p>
        </w:tc>
        <w:tc>
          <w:tcPr>
            <w:tcW w:w="7137" w:type="dxa"/>
            <w:tcBorders>
              <w:top w:val="single" w:color="auto" w:sz="4" w:space="0"/>
              <w:left w:val="nil"/>
              <w:bottom w:val="single" w:color="auto" w:sz="4" w:space="0"/>
              <w:right w:val="single" w:color="auto" w:sz="4" w:space="0"/>
            </w:tcBorders>
            <w:noWrap w:val="0"/>
            <w:vAlign w:val="center"/>
          </w:tcPr>
          <w:p>
            <w:pPr>
              <w:shd w:val="clear" w:color="auto" w:fill="auto"/>
              <w:rPr>
                <w:rFonts w:hint="eastAsia" w:ascii="宋体" w:hAnsi="宋体" w:cs="宋体"/>
                <w:color w:val="auto"/>
                <w:kern w:val="1"/>
                <w:sz w:val="18"/>
                <w:szCs w:val="18"/>
              </w:rPr>
            </w:pPr>
            <w:r>
              <w:rPr>
                <w:rFonts w:hint="eastAsia" w:ascii="宋体" w:hAnsi="宋体" w:cs="宋体"/>
                <w:color w:val="auto"/>
                <w:kern w:val="1"/>
                <w:sz w:val="18"/>
                <w:szCs w:val="18"/>
              </w:rPr>
              <w:t>采购人在评标办法中确定价格分值占总分值的比重（权重）为</w:t>
            </w:r>
            <w:r>
              <w:rPr>
                <w:rFonts w:hint="eastAsia" w:ascii="宋体" w:hAnsi="宋体" w:eastAsia="宋体" w:cs="宋体"/>
                <w:color w:val="auto"/>
                <w:kern w:val="1"/>
                <w:sz w:val="18"/>
                <w:szCs w:val="18"/>
                <w:lang w:val="en-US" w:eastAsia="zh-CN"/>
              </w:rPr>
              <w:t>30</w:t>
            </w:r>
            <w:r>
              <w:rPr>
                <w:rFonts w:hint="eastAsia" w:ascii="宋体" w:hAnsi="宋体" w:cs="宋体"/>
                <w:color w:val="auto"/>
                <w:kern w:val="1"/>
                <w:sz w:val="18"/>
                <w:szCs w:val="18"/>
              </w:rPr>
              <w:t>%（即价格权值为</w:t>
            </w:r>
            <w:r>
              <w:rPr>
                <w:rFonts w:hint="eastAsia" w:ascii="宋体" w:hAnsi="宋体" w:eastAsia="宋体" w:cs="宋体"/>
                <w:color w:val="auto"/>
                <w:kern w:val="1"/>
                <w:sz w:val="18"/>
                <w:szCs w:val="18"/>
                <w:lang w:val="en-US" w:eastAsia="zh-CN"/>
              </w:rPr>
              <w:t>30</w:t>
            </w:r>
            <w:r>
              <w:rPr>
                <w:rFonts w:hint="eastAsia" w:ascii="宋体" w:hAnsi="宋体" w:cs="宋体"/>
                <w:color w:val="auto"/>
                <w:kern w:val="1"/>
                <w:sz w:val="18"/>
                <w:szCs w:val="18"/>
              </w:rPr>
              <w:t>%）。</w:t>
            </w:r>
          </w:p>
          <w:p>
            <w:pPr>
              <w:shd w:val="clear" w:color="auto" w:fill="auto"/>
              <w:rPr>
                <w:rFonts w:hint="eastAsia" w:ascii="宋体" w:hAnsi="宋体" w:cs="宋体"/>
                <w:color w:val="auto"/>
                <w:kern w:val="1"/>
                <w:sz w:val="18"/>
                <w:szCs w:val="18"/>
              </w:rPr>
            </w:pPr>
            <w:r>
              <w:rPr>
                <w:rFonts w:hint="eastAsia" w:ascii="宋体" w:hAnsi="宋体" w:cs="宋体"/>
                <w:color w:val="auto"/>
                <w:kern w:val="1"/>
                <w:sz w:val="18"/>
                <w:szCs w:val="18"/>
              </w:rPr>
              <w:t>本招标项目按照低价优先法计算报价得分，即满足招标文件要求且投标价格最低的投标报价为评标基准价，其价格分为满分。其他投标人的价格分统一按照下列公式计算：</w:t>
            </w:r>
          </w:p>
          <w:p>
            <w:pPr>
              <w:shd w:val="clear" w:color="auto" w:fill="auto"/>
              <w:rPr>
                <w:rFonts w:hint="eastAsia"/>
                <w:color w:val="auto"/>
                <w:sz w:val="22"/>
                <w:szCs w:val="22"/>
              </w:rPr>
            </w:pPr>
            <w:r>
              <w:rPr>
                <w:rFonts w:hint="eastAsia" w:ascii="宋体" w:hAnsi="宋体" w:cs="宋体"/>
                <w:color w:val="auto"/>
                <w:kern w:val="1"/>
                <w:sz w:val="18"/>
                <w:szCs w:val="18"/>
              </w:rPr>
              <w:t>投标报价得分=(评标基准价／投标报价)×价格权值×100</w:t>
            </w:r>
          </w:p>
        </w:tc>
        <w:tc>
          <w:tcPr>
            <w:tcW w:w="570" w:type="dxa"/>
            <w:tcBorders>
              <w:top w:val="single" w:color="auto" w:sz="4" w:space="0"/>
              <w:left w:val="nil"/>
              <w:bottom w:val="single" w:color="auto" w:sz="4" w:space="0"/>
              <w:right w:val="single" w:color="auto" w:sz="4" w:space="0"/>
            </w:tcBorders>
            <w:noWrap w:val="0"/>
            <w:vAlign w:val="center"/>
          </w:tcPr>
          <w:p>
            <w:pPr>
              <w:shd w:val="clear" w:color="auto" w:fill="auto"/>
              <w:jc w:val="center"/>
              <w:rPr>
                <w:rFonts w:hint="default" w:ascii="宋体" w:hAnsi="宋体" w:eastAsia="宋体" w:cs="宋体"/>
                <w:color w:val="auto"/>
                <w:kern w:val="1"/>
                <w:sz w:val="18"/>
                <w:szCs w:val="18"/>
                <w:lang w:val="en-US" w:eastAsia="zh-CN"/>
              </w:rPr>
            </w:pPr>
            <w:r>
              <w:rPr>
                <w:rFonts w:hint="eastAsia" w:ascii="宋体" w:hAnsi="宋体" w:eastAsia="宋体" w:cs="宋体"/>
                <w:color w:val="auto"/>
                <w:kern w:val="1"/>
                <w:sz w:val="18"/>
                <w:szCs w:val="18"/>
                <w:lang w:val="en-US" w:eastAsia="zh-CN"/>
              </w:rPr>
              <w:t>30</w:t>
            </w:r>
          </w:p>
        </w:tc>
      </w:tr>
      <w:tr>
        <w:tblPrEx>
          <w:tblCellMar>
            <w:top w:w="0" w:type="dxa"/>
            <w:left w:w="108" w:type="dxa"/>
            <w:bottom w:w="0" w:type="dxa"/>
            <w:right w:w="108" w:type="dxa"/>
          </w:tblCellMar>
        </w:tblPrEx>
        <w:trPr>
          <w:cantSplit/>
          <w:trHeight w:val="639" w:hRule="atLeast"/>
        </w:trPr>
        <w:tc>
          <w:tcPr>
            <w:tcW w:w="879" w:type="dxa"/>
            <w:vMerge w:val="restart"/>
            <w:tcBorders>
              <w:top w:val="single" w:color="auto" w:sz="4" w:space="0"/>
              <w:left w:val="single" w:color="auto" w:sz="4" w:space="0"/>
              <w:right w:val="single" w:color="auto" w:sz="4" w:space="0"/>
            </w:tcBorders>
            <w:noWrap w:val="0"/>
            <w:vAlign w:val="center"/>
          </w:tcPr>
          <w:p>
            <w:pPr>
              <w:shd w:val="clear" w:color="auto" w:fill="auto"/>
              <w:rPr>
                <w:rFonts w:hint="eastAsia" w:ascii="宋体" w:hAnsi="宋体" w:cs="宋体"/>
                <w:color w:val="auto"/>
                <w:kern w:val="2"/>
                <w:sz w:val="18"/>
                <w:szCs w:val="18"/>
                <w:lang w:val="en-US" w:eastAsia="zh-CN"/>
              </w:rPr>
            </w:pPr>
            <w:r>
              <w:rPr>
                <w:rFonts w:hint="eastAsia" w:ascii="宋体" w:hAnsi="宋体" w:cs="宋体"/>
                <w:color w:val="auto"/>
                <w:kern w:val="2"/>
                <w:sz w:val="18"/>
                <w:szCs w:val="18"/>
                <w:lang w:val="en-US" w:eastAsia="zh-CN"/>
              </w:rPr>
              <w:t>商务部分</w:t>
            </w:r>
          </w:p>
          <w:p>
            <w:pPr>
              <w:shd w:val="clear" w:color="auto" w:fill="auto"/>
              <w:rPr>
                <w:rFonts w:hint="default" w:ascii="宋体" w:hAnsi="宋体" w:cs="宋体"/>
                <w:color w:val="auto"/>
                <w:kern w:val="2"/>
                <w:sz w:val="18"/>
                <w:szCs w:val="18"/>
                <w:lang w:val="en-US" w:eastAsia="zh-CN"/>
              </w:rPr>
            </w:pPr>
            <w:r>
              <w:rPr>
                <w:rFonts w:hint="eastAsia" w:ascii="宋体" w:hAnsi="宋体" w:cs="宋体"/>
                <w:color w:val="auto"/>
                <w:kern w:val="1"/>
                <w:sz w:val="18"/>
                <w:szCs w:val="18"/>
              </w:rPr>
              <w:t>(</w:t>
            </w:r>
            <w:r>
              <w:rPr>
                <w:rFonts w:hint="eastAsia" w:ascii="宋体" w:hAnsi="宋体" w:cs="宋体"/>
                <w:color w:val="auto"/>
                <w:kern w:val="1"/>
                <w:sz w:val="18"/>
                <w:szCs w:val="18"/>
                <w:lang w:val="en-US" w:eastAsia="zh-CN"/>
              </w:rPr>
              <w:t>20</w:t>
            </w:r>
            <w:r>
              <w:rPr>
                <w:rFonts w:hint="eastAsia" w:ascii="宋体" w:hAnsi="宋体" w:cs="宋体"/>
                <w:color w:val="auto"/>
                <w:kern w:val="1"/>
                <w:sz w:val="18"/>
                <w:szCs w:val="18"/>
              </w:rPr>
              <w:t>分)</w:t>
            </w:r>
          </w:p>
        </w:tc>
        <w:tc>
          <w:tcPr>
            <w:tcW w:w="1158" w:type="dxa"/>
            <w:tcBorders>
              <w:top w:val="single" w:color="auto" w:sz="4" w:space="0"/>
              <w:left w:val="single" w:color="auto" w:sz="4" w:space="0"/>
              <w:right w:val="single" w:color="auto" w:sz="4" w:space="0"/>
            </w:tcBorders>
            <w:noWrap w:val="0"/>
            <w:vAlign w:val="center"/>
          </w:tcPr>
          <w:p>
            <w:pPr>
              <w:shd w:val="clear" w:color="auto" w:fill="auto"/>
              <w:rPr>
                <w:rFonts w:hint="eastAsia" w:ascii="宋体" w:hAnsi="宋体" w:cs="宋体"/>
                <w:color w:val="auto"/>
                <w:kern w:val="2"/>
                <w:sz w:val="18"/>
                <w:szCs w:val="18"/>
                <w:highlight w:val="none"/>
                <w:lang w:val="en-US" w:eastAsia="zh-CN"/>
              </w:rPr>
            </w:pPr>
            <w:r>
              <w:rPr>
                <w:rFonts w:hint="eastAsia" w:ascii="宋体" w:hAnsi="宋体" w:cs="宋体"/>
                <w:color w:val="auto"/>
                <w:kern w:val="2"/>
                <w:sz w:val="18"/>
                <w:szCs w:val="18"/>
                <w:highlight w:val="none"/>
                <w:lang w:val="en-US" w:eastAsia="zh-CN"/>
              </w:rPr>
              <w:t>业绩</w:t>
            </w:r>
          </w:p>
          <w:p>
            <w:pPr>
              <w:shd w:val="clear" w:color="auto" w:fill="auto"/>
              <w:ind w:left="0" w:leftChars="0" w:right="0" w:rightChars="0" w:firstLine="0" w:firstLineChars="0"/>
              <w:rPr>
                <w:rFonts w:hint="eastAsia" w:ascii="宋体" w:hAnsi="宋体" w:cs="宋体"/>
                <w:color w:val="auto"/>
                <w:kern w:val="2"/>
                <w:sz w:val="18"/>
                <w:szCs w:val="18"/>
                <w:highlight w:val="none"/>
                <w:lang w:val="en-US" w:eastAsia="zh-CN"/>
              </w:rPr>
            </w:pPr>
            <w:r>
              <w:rPr>
                <w:rFonts w:hint="eastAsia" w:ascii="宋体" w:hAnsi="宋体" w:cs="宋体"/>
                <w:color w:val="auto"/>
                <w:kern w:val="2"/>
                <w:sz w:val="18"/>
                <w:szCs w:val="18"/>
                <w:highlight w:val="none"/>
                <w:lang w:val="en-US" w:eastAsia="zh-CN"/>
              </w:rPr>
              <w:t>(10分)</w:t>
            </w:r>
          </w:p>
        </w:tc>
        <w:tc>
          <w:tcPr>
            <w:tcW w:w="713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ind w:left="0" w:leftChars="0" w:right="0" w:rightChars="0" w:firstLine="0" w:firstLineChars="0"/>
              <w:rPr>
                <w:rFonts w:hint="eastAsia" w:ascii="宋体" w:hAnsi="宋体" w:eastAsia="宋体" w:cs="宋体"/>
                <w:color w:val="auto"/>
                <w:kern w:val="1"/>
                <w:sz w:val="18"/>
                <w:szCs w:val="18"/>
                <w:highlight w:val="none"/>
                <w:lang w:val="en-US" w:eastAsia="zh-CN"/>
              </w:rPr>
            </w:pPr>
            <w:r>
              <w:rPr>
                <w:rFonts w:hint="eastAsia" w:ascii="宋体" w:hAnsi="宋体" w:eastAsia="宋体" w:cs="宋体"/>
                <w:color w:val="auto"/>
                <w:kern w:val="1"/>
                <w:sz w:val="18"/>
                <w:szCs w:val="18"/>
                <w:highlight w:val="none"/>
                <w:lang w:val="en-US" w:eastAsia="zh-CN"/>
              </w:rPr>
              <w:t>需提供类似合同业绩（附相关证明材料），每提供一个得2分，最高可得10分。</w:t>
            </w:r>
          </w:p>
          <w:p>
            <w:pPr>
              <w:shd w:val="clear" w:color="auto" w:fill="auto"/>
              <w:ind w:left="0" w:leftChars="0" w:right="0" w:rightChars="0" w:firstLine="0" w:firstLineChars="0"/>
              <w:rPr>
                <w:rFonts w:hint="eastAsia" w:ascii="宋体" w:hAnsi="宋体" w:eastAsia="宋体" w:cs="宋体"/>
                <w:color w:val="auto"/>
                <w:kern w:val="1"/>
                <w:sz w:val="18"/>
                <w:szCs w:val="18"/>
                <w:highlight w:val="none"/>
                <w:lang w:eastAsia="zh-CN"/>
              </w:rPr>
            </w:pPr>
            <w:r>
              <w:rPr>
                <w:rFonts w:hint="eastAsia" w:ascii="宋体" w:hAnsi="宋体" w:eastAsia="宋体" w:cs="宋体"/>
                <w:b w:val="0"/>
                <w:bCs w:val="0"/>
                <w:color w:val="auto"/>
                <w:kern w:val="1"/>
                <w:sz w:val="18"/>
                <w:szCs w:val="18"/>
                <w:highlight w:val="none"/>
                <w:lang w:val="en-US" w:eastAsia="zh-CN"/>
              </w:rPr>
              <w:t>提供合同、中标通知书（或成交协议）彩色复印件。</w:t>
            </w:r>
          </w:p>
        </w:tc>
        <w:tc>
          <w:tcPr>
            <w:tcW w:w="570" w:type="dxa"/>
            <w:tcBorders>
              <w:top w:val="single" w:color="auto" w:sz="4" w:space="0"/>
              <w:left w:val="nil"/>
              <w:bottom w:val="single" w:color="auto" w:sz="4" w:space="0"/>
              <w:right w:val="single" w:color="auto" w:sz="4" w:space="0"/>
            </w:tcBorders>
            <w:noWrap w:val="0"/>
            <w:vAlign w:val="center"/>
          </w:tcPr>
          <w:p>
            <w:pPr>
              <w:shd w:val="clear" w:color="auto" w:fill="auto"/>
              <w:jc w:val="center"/>
              <w:rPr>
                <w:rFonts w:hint="default" w:ascii="宋体" w:hAnsi="宋体" w:cs="宋体"/>
                <w:color w:val="auto"/>
                <w:kern w:val="1"/>
                <w:sz w:val="18"/>
                <w:szCs w:val="18"/>
                <w:lang w:val="en-US" w:eastAsia="zh-CN"/>
              </w:rPr>
            </w:pPr>
            <w:r>
              <w:rPr>
                <w:rFonts w:hint="eastAsia" w:ascii="宋体" w:hAnsi="宋体" w:cs="宋体"/>
                <w:color w:val="auto"/>
                <w:kern w:val="1"/>
                <w:sz w:val="18"/>
                <w:szCs w:val="18"/>
                <w:lang w:val="en-US" w:eastAsia="zh-CN"/>
              </w:rPr>
              <w:t>10</w:t>
            </w:r>
          </w:p>
        </w:tc>
      </w:tr>
      <w:tr>
        <w:tblPrEx>
          <w:tblCellMar>
            <w:top w:w="0" w:type="dxa"/>
            <w:left w:w="108" w:type="dxa"/>
            <w:bottom w:w="0" w:type="dxa"/>
            <w:right w:w="108" w:type="dxa"/>
          </w:tblCellMar>
        </w:tblPrEx>
        <w:trPr>
          <w:cantSplit/>
          <w:trHeight w:val="639" w:hRule="atLeast"/>
        </w:trPr>
        <w:tc>
          <w:tcPr>
            <w:tcW w:w="879" w:type="dxa"/>
            <w:vMerge w:val="continue"/>
            <w:tcBorders>
              <w:left w:val="single" w:color="auto" w:sz="4" w:space="0"/>
              <w:right w:val="single" w:color="auto" w:sz="4" w:space="0"/>
            </w:tcBorders>
            <w:noWrap w:val="0"/>
            <w:vAlign w:val="center"/>
          </w:tcPr>
          <w:p>
            <w:pPr>
              <w:shd w:val="clear" w:color="auto" w:fill="auto"/>
              <w:rPr>
                <w:rFonts w:hint="eastAsia" w:ascii="宋体" w:hAnsi="宋体" w:cs="宋体"/>
                <w:color w:val="auto"/>
                <w:kern w:val="1"/>
                <w:sz w:val="18"/>
                <w:szCs w:val="18"/>
              </w:rPr>
            </w:pPr>
          </w:p>
        </w:tc>
        <w:tc>
          <w:tcPr>
            <w:tcW w:w="1158" w:type="dxa"/>
            <w:tcBorders>
              <w:top w:val="single" w:color="auto" w:sz="4" w:space="0"/>
              <w:left w:val="single" w:color="auto" w:sz="4" w:space="0"/>
              <w:right w:val="single" w:color="auto" w:sz="4" w:space="0"/>
            </w:tcBorders>
            <w:noWrap w:val="0"/>
            <w:vAlign w:val="center"/>
          </w:tcPr>
          <w:p>
            <w:pPr>
              <w:shd w:val="clear" w:color="auto" w:fill="auto"/>
              <w:ind w:left="0" w:leftChars="0" w:right="0" w:rightChars="0" w:firstLine="0" w:firstLineChars="0"/>
              <w:rPr>
                <w:rFonts w:hint="eastAsia" w:ascii="宋体" w:hAnsi="宋体" w:cs="宋体"/>
                <w:color w:val="auto"/>
                <w:kern w:val="2"/>
                <w:sz w:val="18"/>
                <w:szCs w:val="18"/>
                <w:lang w:val="en-US" w:eastAsia="zh-CN"/>
              </w:rPr>
            </w:pPr>
            <w:r>
              <w:rPr>
                <w:rFonts w:hint="eastAsia" w:ascii="宋体" w:hAnsi="宋体" w:cs="宋体"/>
                <w:color w:val="auto"/>
                <w:kern w:val="2"/>
                <w:sz w:val="18"/>
                <w:szCs w:val="18"/>
                <w:lang w:val="en-US" w:eastAsia="zh-CN"/>
              </w:rPr>
              <w:t>本地化服务能力（5分）</w:t>
            </w:r>
          </w:p>
        </w:tc>
        <w:tc>
          <w:tcPr>
            <w:tcW w:w="713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ind w:left="0" w:leftChars="0" w:right="0" w:rightChars="0" w:firstLine="0" w:firstLineChars="0"/>
              <w:rPr>
                <w:rFonts w:hint="eastAsia" w:ascii="宋体" w:hAnsi="宋体" w:eastAsia="宋体" w:cs="宋体"/>
                <w:b/>
                <w:bCs/>
                <w:color w:val="auto"/>
                <w:kern w:val="1"/>
                <w:sz w:val="18"/>
                <w:szCs w:val="18"/>
                <w:lang w:val="en-US" w:eastAsia="zh-CN"/>
              </w:rPr>
            </w:pPr>
            <w:r>
              <w:rPr>
                <w:rFonts w:hint="eastAsia" w:ascii="宋体" w:hAnsi="宋体" w:eastAsia="Times New Roman" w:cs="宋体"/>
                <w:color w:val="auto"/>
                <w:kern w:val="1"/>
                <w:sz w:val="18"/>
                <w:szCs w:val="18"/>
                <w:lang w:val="en-US" w:eastAsia="zh-CN"/>
              </w:rPr>
              <w:t>提供技术支持与售后服务，承诺中标后提供本地化服务及后续服务，有驻地化办事处或分公司（需提供房屋租赁合同或相关证明材料）得5分。</w:t>
            </w:r>
          </w:p>
        </w:tc>
        <w:tc>
          <w:tcPr>
            <w:tcW w:w="570" w:type="dxa"/>
            <w:tcBorders>
              <w:top w:val="single" w:color="auto" w:sz="4" w:space="0"/>
              <w:left w:val="nil"/>
              <w:bottom w:val="single" w:color="auto" w:sz="4" w:space="0"/>
              <w:right w:val="single" w:color="auto" w:sz="4" w:space="0"/>
            </w:tcBorders>
            <w:noWrap w:val="0"/>
            <w:vAlign w:val="center"/>
          </w:tcPr>
          <w:p>
            <w:pPr>
              <w:shd w:val="clear" w:color="auto" w:fill="auto"/>
              <w:jc w:val="center"/>
              <w:rPr>
                <w:rFonts w:hint="default" w:ascii="宋体" w:hAnsi="宋体" w:cs="宋体"/>
                <w:color w:val="auto"/>
                <w:kern w:val="1"/>
                <w:sz w:val="18"/>
                <w:szCs w:val="18"/>
                <w:lang w:val="en-US" w:eastAsia="zh-CN"/>
              </w:rPr>
            </w:pPr>
            <w:r>
              <w:rPr>
                <w:rFonts w:hint="eastAsia" w:ascii="宋体" w:hAnsi="宋体" w:cs="宋体"/>
                <w:color w:val="auto"/>
                <w:kern w:val="1"/>
                <w:sz w:val="18"/>
                <w:szCs w:val="18"/>
                <w:lang w:val="en-US" w:eastAsia="zh-CN"/>
              </w:rPr>
              <w:t>5</w:t>
            </w:r>
          </w:p>
        </w:tc>
      </w:tr>
      <w:tr>
        <w:tblPrEx>
          <w:tblCellMar>
            <w:top w:w="0" w:type="dxa"/>
            <w:left w:w="108" w:type="dxa"/>
            <w:bottom w:w="0" w:type="dxa"/>
            <w:right w:w="108" w:type="dxa"/>
          </w:tblCellMar>
        </w:tblPrEx>
        <w:trPr>
          <w:cantSplit/>
          <w:trHeight w:val="639" w:hRule="atLeast"/>
        </w:trPr>
        <w:tc>
          <w:tcPr>
            <w:tcW w:w="879" w:type="dxa"/>
            <w:vMerge w:val="continue"/>
            <w:tcBorders>
              <w:left w:val="single" w:color="auto" w:sz="4" w:space="0"/>
              <w:right w:val="single" w:color="auto" w:sz="4" w:space="0"/>
            </w:tcBorders>
            <w:noWrap w:val="0"/>
            <w:vAlign w:val="center"/>
          </w:tcPr>
          <w:p>
            <w:pPr>
              <w:rPr>
                <w:rFonts w:hint="eastAsia"/>
                <w:color w:val="auto"/>
                <w:sz w:val="22"/>
                <w:szCs w:val="22"/>
              </w:rPr>
            </w:pPr>
          </w:p>
        </w:tc>
        <w:tc>
          <w:tcPr>
            <w:tcW w:w="1158" w:type="dxa"/>
            <w:tcBorders>
              <w:top w:val="single" w:color="auto" w:sz="4" w:space="0"/>
              <w:left w:val="single" w:color="auto" w:sz="4" w:space="0"/>
              <w:right w:val="single" w:color="auto" w:sz="4" w:space="0"/>
            </w:tcBorders>
            <w:noWrap w:val="0"/>
            <w:vAlign w:val="center"/>
          </w:tcPr>
          <w:p>
            <w:pPr>
              <w:shd w:val="clear" w:color="auto" w:fill="auto"/>
              <w:ind w:left="180" w:hanging="180" w:hangingChars="100"/>
              <w:rPr>
                <w:rFonts w:hint="eastAsia" w:ascii="宋体" w:hAnsi="宋体" w:cs="宋体"/>
                <w:color w:val="auto"/>
                <w:kern w:val="2"/>
                <w:sz w:val="18"/>
                <w:szCs w:val="18"/>
                <w:lang w:val="en-US" w:eastAsia="zh-CN"/>
              </w:rPr>
            </w:pPr>
            <w:r>
              <w:rPr>
                <w:rFonts w:hint="eastAsia" w:ascii="宋体" w:hAnsi="宋体" w:cs="宋体"/>
                <w:color w:val="auto"/>
                <w:kern w:val="2"/>
                <w:sz w:val="18"/>
                <w:szCs w:val="18"/>
                <w:lang w:val="en-US" w:eastAsia="zh-CN"/>
              </w:rPr>
              <w:t>服务承诺   (3分)</w:t>
            </w:r>
          </w:p>
        </w:tc>
        <w:tc>
          <w:tcPr>
            <w:tcW w:w="713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rPr>
                <w:rFonts w:hint="eastAsia" w:ascii="宋体" w:hAnsi="宋体" w:eastAsia="宋体" w:cs="宋体"/>
                <w:color w:val="auto"/>
                <w:kern w:val="1"/>
                <w:sz w:val="18"/>
                <w:szCs w:val="18"/>
                <w:lang w:eastAsia="zh-CN"/>
              </w:rPr>
            </w:pPr>
            <w:r>
              <w:rPr>
                <w:rFonts w:hint="eastAsia" w:ascii="宋体" w:hAnsi="宋体" w:cs="宋体"/>
                <w:color w:val="auto"/>
                <w:kern w:val="1"/>
                <w:sz w:val="18"/>
                <w:szCs w:val="18"/>
              </w:rPr>
              <w:t>对服务的承诺、质量承诺和廉政承诺，根据投标人的响应程度，承诺合理、全面得</w:t>
            </w:r>
            <w:r>
              <w:rPr>
                <w:rFonts w:hint="eastAsia" w:ascii="宋体" w:hAnsi="宋体" w:eastAsia="宋体" w:cs="宋体"/>
                <w:color w:val="auto"/>
                <w:kern w:val="1"/>
                <w:sz w:val="18"/>
                <w:szCs w:val="18"/>
                <w:lang w:val="en-US" w:eastAsia="zh-CN"/>
              </w:rPr>
              <w:t>3</w:t>
            </w:r>
            <w:r>
              <w:rPr>
                <w:rFonts w:hint="eastAsia" w:ascii="宋体" w:hAnsi="宋体" w:cs="宋体"/>
                <w:color w:val="auto"/>
                <w:kern w:val="1"/>
                <w:sz w:val="18"/>
                <w:szCs w:val="18"/>
              </w:rPr>
              <w:t>分；不全面得2分；未承诺的不得分</w:t>
            </w:r>
            <w:r>
              <w:rPr>
                <w:rFonts w:hint="eastAsia" w:ascii="宋体" w:hAnsi="宋体" w:eastAsia="宋体" w:cs="宋体"/>
                <w:color w:val="auto"/>
                <w:kern w:val="1"/>
                <w:sz w:val="18"/>
                <w:szCs w:val="18"/>
                <w:lang w:eastAsia="zh-CN"/>
              </w:rPr>
              <w:t>。</w:t>
            </w:r>
          </w:p>
        </w:tc>
        <w:tc>
          <w:tcPr>
            <w:tcW w:w="570" w:type="dxa"/>
            <w:tcBorders>
              <w:top w:val="single" w:color="auto" w:sz="4" w:space="0"/>
              <w:left w:val="nil"/>
              <w:bottom w:val="single" w:color="auto" w:sz="4" w:space="0"/>
              <w:right w:val="single" w:color="auto" w:sz="4" w:space="0"/>
            </w:tcBorders>
            <w:noWrap w:val="0"/>
            <w:vAlign w:val="center"/>
          </w:tcPr>
          <w:p>
            <w:pPr>
              <w:shd w:val="clear" w:color="auto" w:fill="auto"/>
              <w:jc w:val="center"/>
              <w:rPr>
                <w:rFonts w:hint="default" w:ascii="宋体" w:hAnsi="宋体" w:cs="宋体"/>
                <w:color w:val="auto"/>
                <w:kern w:val="1"/>
                <w:sz w:val="18"/>
                <w:szCs w:val="18"/>
                <w:lang w:val="en-US" w:eastAsia="zh-CN"/>
              </w:rPr>
            </w:pPr>
            <w:r>
              <w:rPr>
                <w:rFonts w:hint="eastAsia" w:ascii="宋体" w:hAnsi="宋体" w:cs="宋体"/>
                <w:color w:val="auto"/>
                <w:kern w:val="1"/>
                <w:sz w:val="18"/>
                <w:szCs w:val="18"/>
                <w:lang w:val="en-US" w:eastAsia="zh-CN"/>
              </w:rPr>
              <w:t>3</w:t>
            </w:r>
          </w:p>
        </w:tc>
      </w:tr>
      <w:tr>
        <w:tblPrEx>
          <w:tblCellMar>
            <w:top w:w="0" w:type="dxa"/>
            <w:left w:w="108" w:type="dxa"/>
            <w:bottom w:w="0" w:type="dxa"/>
            <w:right w:w="108" w:type="dxa"/>
          </w:tblCellMar>
        </w:tblPrEx>
        <w:trPr>
          <w:cantSplit/>
          <w:trHeight w:val="639" w:hRule="atLeast"/>
        </w:trPr>
        <w:tc>
          <w:tcPr>
            <w:tcW w:w="879" w:type="dxa"/>
            <w:vMerge w:val="continue"/>
            <w:tcBorders>
              <w:left w:val="single" w:color="auto" w:sz="4" w:space="0"/>
              <w:right w:val="single" w:color="auto" w:sz="4" w:space="0"/>
            </w:tcBorders>
            <w:noWrap w:val="0"/>
            <w:vAlign w:val="center"/>
          </w:tcPr>
          <w:p>
            <w:pPr>
              <w:rPr>
                <w:rFonts w:hint="eastAsia"/>
                <w:color w:val="auto"/>
                <w:sz w:val="22"/>
                <w:szCs w:val="22"/>
              </w:rPr>
            </w:pPr>
          </w:p>
        </w:tc>
        <w:tc>
          <w:tcPr>
            <w:tcW w:w="1158" w:type="dxa"/>
            <w:tcBorders>
              <w:top w:val="single" w:color="auto" w:sz="4" w:space="0"/>
              <w:left w:val="single" w:color="auto" w:sz="4" w:space="0"/>
              <w:right w:val="single" w:color="auto" w:sz="4" w:space="0"/>
            </w:tcBorders>
            <w:noWrap w:val="0"/>
            <w:vAlign w:val="center"/>
          </w:tcPr>
          <w:p>
            <w:pPr>
              <w:shd w:val="clear" w:color="auto" w:fill="auto"/>
              <w:ind w:left="0" w:leftChars="0" w:right="0" w:rightChars="0" w:firstLine="0" w:firstLineChars="0"/>
              <w:rPr>
                <w:rFonts w:hint="eastAsia" w:ascii="宋体" w:hAnsi="宋体" w:cs="宋体"/>
                <w:color w:val="auto"/>
                <w:kern w:val="2"/>
                <w:sz w:val="18"/>
                <w:szCs w:val="18"/>
                <w:lang w:val="en-US" w:eastAsia="zh-CN"/>
              </w:rPr>
            </w:pPr>
            <w:r>
              <w:rPr>
                <w:rFonts w:hint="eastAsia" w:ascii="宋体" w:hAnsi="宋体" w:cs="宋体"/>
                <w:color w:val="auto"/>
                <w:kern w:val="2"/>
                <w:sz w:val="18"/>
                <w:szCs w:val="18"/>
                <w:lang w:val="en-US" w:eastAsia="zh-CN"/>
              </w:rPr>
              <w:t>标函质量     (2分)</w:t>
            </w:r>
          </w:p>
        </w:tc>
        <w:tc>
          <w:tcPr>
            <w:tcW w:w="713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ind w:left="0" w:leftChars="0" w:right="0" w:rightChars="0" w:firstLine="0" w:firstLineChars="0"/>
              <w:rPr>
                <w:rFonts w:hint="eastAsia" w:ascii="宋体" w:hAnsi="宋体" w:cs="宋体"/>
                <w:color w:val="auto"/>
                <w:kern w:val="1"/>
                <w:sz w:val="18"/>
                <w:szCs w:val="18"/>
              </w:rPr>
            </w:pPr>
            <w:r>
              <w:rPr>
                <w:rFonts w:hint="eastAsia" w:ascii="宋体" w:hAnsi="宋体" w:eastAsia="宋体" w:cs="宋体"/>
                <w:color w:val="auto"/>
                <w:kern w:val="1"/>
                <w:sz w:val="18"/>
                <w:szCs w:val="18"/>
                <w:lang w:val="en-US" w:eastAsia="zh-CN"/>
              </w:rPr>
              <w:t>编制内容完整、齐全、叙述严谨，标书无涂改、错页、漏页现象，履约措施具体、合理、可行，标书装订美观得1-2分；标函编制内容不完整、叙述简单，标书有涂改、错页或漏页现象，履约措施不具体，装订一般得0-0.9分。</w:t>
            </w:r>
          </w:p>
        </w:tc>
        <w:tc>
          <w:tcPr>
            <w:tcW w:w="570" w:type="dxa"/>
            <w:tcBorders>
              <w:top w:val="single" w:color="auto" w:sz="4" w:space="0"/>
              <w:left w:val="nil"/>
              <w:bottom w:val="single" w:color="auto" w:sz="4" w:space="0"/>
              <w:right w:val="single" w:color="auto" w:sz="4" w:space="0"/>
            </w:tcBorders>
            <w:noWrap w:val="0"/>
            <w:vAlign w:val="center"/>
          </w:tcPr>
          <w:p>
            <w:pPr>
              <w:shd w:val="clear" w:color="auto" w:fill="auto"/>
              <w:jc w:val="center"/>
              <w:rPr>
                <w:rFonts w:hint="default" w:ascii="宋体" w:hAnsi="宋体" w:cs="宋体"/>
                <w:color w:val="auto"/>
                <w:kern w:val="1"/>
                <w:sz w:val="18"/>
                <w:szCs w:val="18"/>
                <w:lang w:val="en-US" w:eastAsia="zh-CN"/>
              </w:rPr>
            </w:pPr>
            <w:r>
              <w:rPr>
                <w:rFonts w:hint="eastAsia" w:ascii="宋体" w:hAnsi="宋体" w:cs="宋体"/>
                <w:color w:val="auto"/>
                <w:kern w:val="1"/>
                <w:sz w:val="18"/>
                <w:szCs w:val="18"/>
                <w:lang w:val="en-US" w:eastAsia="zh-CN"/>
              </w:rPr>
              <w:t>2</w:t>
            </w:r>
          </w:p>
        </w:tc>
      </w:tr>
      <w:tr>
        <w:tblPrEx>
          <w:tblCellMar>
            <w:top w:w="0" w:type="dxa"/>
            <w:left w:w="108" w:type="dxa"/>
            <w:bottom w:w="0" w:type="dxa"/>
            <w:right w:w="108" w:type="dxa"/>
          </w:tblCellMar>
        </w:tblPrEx>
        <w:trPr>
          <w:cantSplit/>
          <w:trHeight w:val="1345" w:hRule="atLeast"/>
        </w:trPr>
        <w:tc>
          <w:tcPr>
            <w:tcW w:w="879" w:type="dxa"/>
            <w:vMerge w:val="restart"/>
            <w:tcBorders>
              <w:top w:val="single" w:color="auto" w:sz="4" w:space="0"/>
              <w:left w:val="single" w:color="auto" w:sz="4" w:space="0"/>
              <w:right w:val="single" w:color="auto" w:sz="4" w:space="0"/>
            </w:tcBorders>
            <w:noWrap w:val="0"/>
            <w:vAlign w:val="center"/>
          </w:tcPr>
          <w:p>
            <w:pPr>
              <w:rPr>
                <w:rFonts w:hint="default" w:eastAsia="宋体"/>
                <w:color w:val="auto"/>
                <w:sz w:val="22"/>
                <w:szCs w:val="22"/>
                <w:lang w:val="en-US" w:eastAsia="zh-CN"/>
              </w:rPr>
            </w:pPr>
            <w:r>
              <w:rPr>
                <w:rFonts w:hint="eastAsia" w:ascii="宋体" w:hAnsi="宋体" w:cs="宋体"/>
                <w:color w:val="auto"/>
                <w:kern w:val="1"/>
                <w:sz w:val="18"/>
                <w:szCs w:val="18"/>
                <w:lang w:val="en-US" w:eastAsia="zh-CN"/>
              </w:rPr>
              <w:t>技术部分</w:t>
            </w:r>
            <w:r>
              <w:rPr>
                <w:rFonts w:hint="eastAsia" w:ascii="宋体" w:hAnsi="宋体" w:cs="宋体"/>
                <w:color w:val="auto"/>
                <w:kern w:val="1"/>
                <w:sz w:val="18"/>
                <w:szCs w:val="18"/>
              </w:rPr>
              <w:t>(</w:t>
            </w:r>
            <w:r>
              <w:rPr>
                <w:rFonts w:hint="eastAsia" w:ascii="宋体" w:hAnsi="宋体" w:cs="宋体"/>
                <w:color w:val="auto"/>
                <w:kern w:val="1"/>
                <w:sz w:val="18"/>
                <w:szCs w:val="18"/>
                <w:lang w:val="en-US" w:eastAsia="zh-CN"/>
              </w:rPr>
              <w:t>50</w:t>
            </w:r>
            <w:r>
              <w:rPr>
                <w:rFonts w:hint="eastAsia" w:ascii="宋体" w:hAnsi="宋体" w:cs="宋体"/>
                <w:color w:val="auto"/>
                <w:kern w:val="1"/>
                <w:sz w:val="18"/>
                <w:szCs w:val="18"/>
              </w:rPr>
              <w:t>分)</w:t>
            </w:r>
          </w:p>
        </w:tc>
        <w:tc>
          <w:tcPr>
            <w:tcW w:w="1158" w:type="dxa"/>
            <w:tcBorders>
              <w:top w:val="single" w:color="auto" w:sz="4" w:space="0"/>
              <w:left w:val="single" w:color="auto" w:sz="4" w:space="0"/>
              <w:right w:val="single" w:color="auto" w:sz="4" w:space="0"/>
            </w:tcBorders>
            <w:shd w:val="clear" w:color="auto" w:fill="auto"/>
            <w:noWrap w:val="0"/>
            <w:vAlign w:val="center"/>
          </w:tcPr>
          <w:p>
            <w:pPr>
              <w:shd w:val="clear" w:color="auto" w:fill="auto"/>
              <w:ind w:left="0" w:leftChars="0" w:right="0" w:rightChars="0" w:firstLine="0" w:firstLineChars="0"/>
              <w:rPr>
                <w:rFonts w:hint="eastAsia" w:ascii="宋体" w:hAnsi="宋体" w:cs="宋体"/>
                <w:color w:val="auto"/>
                <w:kern w:val="2"/>
                <w:sz w:val="18"/>
                <w:szCs w:val="18"/>
                <w:lang w:val="en-US" w:eastAsia="zh-CN"/>
              </w:rPr>
            </w:pPr>
            <w:r>
              <w:rPr>
                <w:rFonts w:hint="eastAsia" w:ascii="宋体" w:hAnsi="宋体" w:cs="宋体"/>
                <w:color w:val="auto"/>
                <w:kern w:val="2"/>
                <w:sz w:val="18"/>
                <w:szCs w:val="18"/>
                <w:shd w:val="clear"/>
                <w:lang w:val="en-US" w:eastAsia="zh-CN"/>
              </w:rPr>
              <w:t>产品配置及技术参数（30分）</w:t>
            </w:r>
          </w:p>
        </w:tc>
        <w:tc>
          <w:tcPr>
            <w:tcW w:w="713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ind w:left="0" w:leftChars="0" w:right="0" w:rightChars="0" w:firstLine="0" w:firstLineChars="0"/>
              <w:rPr>
                <w:rFonts w:hint="eastAsia" w:ascii="宋体" w:hAnsi="宋体" w:eastAsia="宋体" w:cs="宋体"/>
                <w:color w:val="auto"/>
                <w:kern w:val="1"/>
                <w:sz w:val="18"/>
                <w:szCs w:val="18"/>
                <w:highlight w:val="none"/>
                <w:lang w:val="en-US" w:eastAsia="zh-CN"/>
              </w:rPr>
            </w:pPr>
            <w:r>
              <w:rPr>
                <w:rFonts w:hint="eastAsia" w:ascii="宋体" w:hAnsi="宋体" w:eastAsia="宋体" w:cs="宋体"/>
                <w:color w:val="auto"/>
                <w:kern w:val="1"/>
                <w:sz w:val="18"/>
                <w:szCs w:val="18"/>
                <w:highlight w:val="none"/>
                <w:lang w:val="en-US" w:eastAsia="zh-CN"/>
              </w:rPr>
              <w:t>所投产品所有技术参数及要求全部满足招标文件要求得30分；</w:t>
            </w:r>
          </w:p>
          <w:p>
            <w:pPr>
              <w:shd w:val="clear" w:color="auto" w:fill="auto"/>
              <w:ind w:left="0" w:leftChars="0" w:right="0" w:rightChars="0" w:firstLine="0" w:firstLineChars="0"/>
              <w:rPr>
                <w:rFonts w:hint="eastAsia" w:ascii="宋体" w:hAnsi="宋体" w:eastAsia="宋体" w:cs="宋体"/>
                <w:color w:val="auto"/>
                <w:kern w:val="1"/>
                <w:sz w:val="18"/>
                <w:szCs w:val="18"/>
                <w:highlight w:val="none"/>
                <w:lang w:val="en-US" w:eastAsia="zh-CN"/>
              </w:rPr>
            </w:pPr>
            <w:r>
              <w:rPr>
                <w:rFonts w:hint="eastAsia" w:ascii="宋体" w:hAnsi="宋体" w:eastAsia="宋体" w:cs="宋体"/>
                <w:color w:val="auto"/>
                <w:kern w:val="1"/>
                <w:sz w:val="18"/>
                <w:szCs w:val="18"/>
                <w:highlight w:val="none"/>
                <w:lang w:val="en-US" w:eastAsia="zh-CN"/>
              </w:rPr>
              <w:t>所投产品技术参数和技术规格低于招标文件要求的，一项不满足扣1分，扣完为止。</w:t>
            </w:r>
          </w:p>
          <w:p>
            <w:pPr>
              <w:shd w:val="clear" w:color="auto" w:fill="auto"/>
              <w:ind w:left="0" w:leftChars="0" w:right="0" w:rightChars="0" w:firstLine="0" w:firstLineChars="0"/>
              <w:rPr>
                <w:rFonts w:hint="eastAsia"/>
                <w:highlight w:val="none"/>
                <w:lang w:val="en-US" w:eastAsia="zh-CN"/>
              </w:rPr>
            </w:pPr>
            <w:r>
              <w:rPr>
                <w:rFonts w:hint="eastAsia" w:ascii="宋体" w:hAnsi="宋体" w:eastAsia="宋体" w:cs="宋体"/>
                <w:color w:val="auto"/>
                <w:kern w:val="1"/>
                <w:sz w:val="18"/>
                <w:szCs w:val="18"/>
                <w:highlight w:val="none"/>
                <w:lang w:val="en-US" w:eastAsia="zh-CN"/>
              </w:rPr>
              <w:t>漏报技术条款视为该条不满足。（使用说明书、产品图册等证明材料须附彩色复印件）</w:t>
            </w:r>
          </w:p>
        </w:tc>
        <w:tc>
          <w:tcPr>
            <w:tcW w:w="570" w:type="dxa"/>
            <w:tcBorders>
              <w:top w:val="single" w:color="auto" w:sz="4" w:space="0"/>
              <w:left w:val="nil"/>
              <w:bottom w:val="single" w:color="auto" w:sz="4" w:space="0"/>
              <w:right w:val="single" w:color="auto" w:sz="4" w:space="0"/>
            </w:tcBorders>
            <w:noWrap w:val="0"/>
            <w:vAlign w:val="center"/>
          </w:tcPr>
          <w:p>
            <w:pPr>
              <w:shd w:val="clear" w:color="auto" w:fill="auto"/>
              <w:ind w:left="0" w:leftChars="0" w:right="0" w:rightChars="0" w:firstLine="0" w:firstLineChars="0"/>
              <w:jc w:val="center"/>
              <w:rPr>
                <w:rFonts w:hint="default" w:ascii="宋体" w:hAnsi="宋体" w:eastAsia="宋体" w:cs="宋体"/>
                <w:color w:val="auto"/>
                <w:spacing w:val="0"/>
                <w:w w:val="100"/>
                <w:kern w:val="1"/>
                <w:position w:val="0"/>
                <w:sz w:val="18"/>
                <w:szCs w:val="18"/>
                <w:shd w:val="clear" w:color="auto" w:fill="auto"/>
                <w:lang w:val="en-US" w:eastAsia="zh-CN" w:bidi="en-US"/>
              </w:rPr>
            </w:pPr>
            <w:r>
              <w:rPr>
                <w:rFonts w:hint="eastAsia" w:ascii="宋体" w:hAnsi="宋体" w:eastAsia="宋体" w:cs="宋体"/>
                <w:color w:val="auto"/>
                <w:kern w:val="1"/>
                <w:sz w:val="18"/>
                <w:szCs w:val="18"/>
                <w:lang w:val="en-US" w:eastAsia="zh-CN"/>
              </w:rPr>
              <w:t>30</w:t>
            </w:r>
          </w:p>
        </w:tc>
      </w:tr>
      <w:tr>
        <w:tblPrEx>
          <w:tblCellMar>
            <w:top w:w="0" w:type="dxa"/>
            <w:left w:w="108" w:type="dxa"/>
            <w:bottom w:w="0" w:type="dxa"/>
            <w:right w:w="108" w:type="dxa"/>
          </w:tblCellMar>
        </w:tblPrEx>
        <w:trPr>
          <w:cantSplit/>
          <w:trHeight w:val="1034" w:hRule="atLeast"/>
        </w:trPr>
        <w:tc>
          <w:tcPr>
            <w:tcW w:w="879" w:type="dxa"/>
            <w:vMerge w:val="continue"/>
            <w:tcBorders>
              <w:left w:val="single" w:color="auto" w:sz="4" w:space="0"/>
              <w:right w:val="single" w:color="auto" w:sz="4" w:space="0"/>
            </w:tcBorders>
            <w:noWrap w:val="0"/>
            <w:vAlign w:val="center"/>
          </w:tcPr>
          <w:p>
            <w:pPr>
              <w:rPr>
                <w:rFonts w:hint="eastAsia" w:ascii="宋体" w:hAnsi="宋体" w:cs="宋体"/>
                <w:color w:val="auto"/>
                <w:kern w:val="1"/>
                <w:sz w:val="18"/>
                <w:szCs w:val="18"/>
                <w:lang w:val="en-US" w:eastAsia="zh-CN"/>
              </w:rPr>
            </w:pPr>
          </w:p>
        </w:tc>
        <w:tc>
          <w:tcPr>
            <w:tcW w:w="1158" w:type="dxa"/>
            <w:tcBorders>
              <w:top w:val="single" w:color="auto" w:sz="4" w:space="0"/>
              <w:left w:val="single" w:color="auto" w:sz="4" w:space="0"/>
              <w:right w:val="single" w:color="auto" w:sz="4" w:space="0"/>
            </w:tcBorders>
            <w:shd w:val="clear" w:color="auto" w:fill="auto"/>
            <w:noWrap w:val="0"/>
            <w:vAlign w:val="center"/>
          </w:tcPr>
          <w:p>
            <w:pPr>
              <w:shd w:val="clear" w:color="auto" w:fill="auto"/>
              <w:ind w:left="0" w:leftChars="0" w:right="0" w:rightChars="0" w:firstLine="0" w:firstLineChars="0"/>
              <w:rPr>
                <w:rFonts w:hint="eastAsia" w:ascii="宋体" w:hAnsi="宋体" w:cs="宋体"/>
                <w:color w:val="auto"/>
                <w:kern w:val="2"/>
                <w:sz w:val="18"/>
                <w:szCs w:val="18"/>
                <w:lang w:val="en-US" w:eastAsia="zh-CN"/>
              </w:rPr>
            </w:pPr>
            <w:r>
              <w:rPr>
                <w:rFonts w:hint="eastAsia" w:ascii="宋体" w:hAnsi="宋体" w:cs="宋体"/>
                <w:color w:val="auto"/>
                <w:kern w:val="2"/>
                <w:sz w:val="18"/>
                <w:szCs w:val="18"/>
                <w:lang w:val="en-US" w:eastAsia="zh-CN"/>
              </w:rPr>
              <w:t>项目实施方案(5分)</w:t>
            </w:r>
          </w:p>
        </w:tc>
        <w:tc>
          <w:tcPr>
            <w:tcW w:w="713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left="0" w:leftChars="0" w:right="0" w:rightChars="0" w:firstLine="0" w:firstLineChars="0"/>
              <w:rPr>
                <w:rFonts w:hint="eastAsia" w:ascii="宋体" w:hAnsi="宋体" w:eastAsia="宋体" w:cs="宋体"/>
                <w:color w:val="auto"/>
                <w:kern w:val="1"/>
                <w:sz w:val="18"/>
                <w:szCs w:val="18"/>
                <w:lang w:eastAsia="zh-CN"/>
              </w:rPr>
            </w:pPr>
            <w:r>
              <w:rPr>
                <w:rFonts w:hint="eastAsia" w:ascii="宋体" w:hAnsi="宋体" w:cs="宋体"/>
                <w:color w:val="auto"/>
                <w:kern w:val="1"/>
                <w:sz w:val="18"/>
                <w:szCs w:val="18"/>
                <w:lang w:val="en-US" w:eastAsia="zh-CN"/>
              </w:rPr>
              <w:t>提供优质品牌的产品，先进、稳定、安全、耐用，满足或优于货物需求，设备选型、配置科学合理，可维护性和适应性强得4-5分，满足货物需求，对比质量和性能次之得2-3.9分；质量和性能基本满足货物需求得0-1.9分</w:t>
            </w:r>
            <w:r>
              <w:rPr>
                <w:rFonts w:hint="eastAsia" w:ascii="宋体" w:hAnsi="宋体" w:eastAsia="宋体" w:cs="宋体"/>
                <w:color w:val="auto"/>
                <w:kern w:val="1"/>
                <w:sz w:val="18"/>
                <w:szCs w:val="18"/>
                <w:lang w:eastAsia="zh-CN"/>
              </w:rPr>
              <w:t>。</w:t>
            </w:r>
          </w:p>
        </w:tc>
        <w:tc>
          <w:tcPr>
            <w:tcW w:w="570" w:type="dxa"/>
            <w:tcBorders>
              <w:top w:val="single" w:color="auto" w:sz="4" w:space="0"/>
              <w:left w:val="nil"/>
              <w:bottom w:val="single" w:color="auto" w:sz="4" w:space="0"/>
              <w:right w:val="single" w:color="auto" w:sz="4" w:space="0"/>
            </w:tcBorders>
            <w:noWrap w:val="0"/>
            <w:vAlign w:val="center"/>
          </w:tcPr>
          <w:p>
            <w:pPr>
              <w:shd w:val="clear" w:color="auto" w:fill="auto"/>
              <w:ind w:left="0" w:leftChars="0" w:right="0" w:rightChars="0" w:firstLine="0" w:firstLineChars="0"/>
              <w:jc w:val="center"/>
              <w:rPr>
                <w:rFonts w:hint="default" w:ascii="宋体" w:hAnsi="宋体" w:eastAsia="宋体" w:cs="宋体"/>
                <w:color w:val="auto"/>
                <w:kern w:val="1"/>
                <w:sz w:val="18"/>
                <w:szCs w:val="18"/>
                <w:lang w:val="en-US" w:eastAsia="zh-CN"/>
              </w:rPr>
            </w:pPr>
            <w:r>
              <w:rPr>
                <w:rFonts w:hint="eastAsia" w:ascii="宋体" w:hAnsi="宋体" w:eastAsia="宋体" w:cs="宋体"/>
                <w:color w:val="auto"/>
                <w:kern w:val="1"/>
                <w:sz w:val="18"/>
                <w:szCs w:val="18"/>
                <w:lang w:val="en-US" w:eastAsia="zh-CN"/>
              </w:rPr>
              <w:t>5</w:t>
            </w:r>
          </w:p>
        </w:tc>
      </w:tr>
      <w:tr>
        <w:tblPrEx>
          <w:tblCellMar>
            <w:top w:w="0" w:type="dxa"/>
            <w:left w:w="108" w:type="dxa"/>
            <w:bottom w:w="0" w:type="dxa"/>
            <w:right w:w="108" w:type="dxa"/>
          </w:tblCellMar>
        </w:tblPrEx>
        <w:trPr>
          <w:cantSplit/>
          <w:trHeight w:val="1328" w:hRule="atLeast"/>
        </w:trPr>
        <w:tc>
          <w:tcPr>
            <w:tcW w:w="879" w:type="dxa"/>
            <w:vMerge w:val="continue"/>
            <w:tcBorders>
              <w:left w:val="single" w:color="auto" w:sz="4" w:space="0"/>
              <w:right w:val="single" w:color="auto" w:sz="4" w:space="0"/>
            </w:tcBorders>
            <w:noWrap w:val="0"/>
            <w:vAlign w:val="center"/>
          </w:tcPr>
          <w:p>
            <w:pPr>
              <w:rPr>
                <w:rFonts w:hint="eastAsia"/>
                <w:color w:val="auto"/>
                <w:sz w:val="22"/>
                <w:szCs w:val="22"/>
              </w:rPr>
            </w:pPr>
          </w:p>
        </w:tc>
        <w:tc>
          <w:tcPr>
            <w:tcW w:w="1158" w:type="dxa"/>
            <w:tcBorders>
              <w:top w:val="single" w:color="auto" w:sz="4" w:space="0"/>
              <w:left w:val="single" w:color="auto" w:sz="4" w:space="0"/>
              <w:right w:val="single" w:color="auto" w:sz="4" w:space="0"/>
            </w:tcBorders>
            <w:shd w:val="clear" w:color="auto" w:fill="auto"/>
            <w:noWrap w:val="0"/>
            <w:vAlign w:val="center"/>
          </w:tcPr>
          <w:p>
            <w:pPr>
              <w:shd w:val="clear" w:color="auto" w:fill="auto"/>
              <w:ind w:left="0" w:leftChars="0" w:right="0" w:rightChars="0" w:firstLine="0" w:firstLineChars="0"/>
              <w:rPr>
                <w:rFonts w:hint="default" w:ascii="宋体" w:hAnsi="宋体" w:cs="宋体"/>
                <w:color w:val="auto"/>
                <w:kern w:val="2"/>
                <w:sz w:val="18"/>
                <w:szCs w:val="18"/>
                <w:lang w:val="en-US" w:eastAsia="zh-CN"/>
              </w:rPr>
            </w:pPr>
            <w:r>
              <w:rPr>
                <w:rFonts w:hint="eastAsia" w:ascii="宋体" w:hAnsi="宋体" w:cs="宋体"/>
                <w:color w:val="auto"/>
                <w:kern w:val="2"/>
                <w:sz w:val="18"/>
                <w:szCs w:val="18"/>
                <w:lang w:val="en-US" w:eastAsia="zh-CN"/>
              </w:rPr>
              <w:t>安装调试方案(5分)</w:t>
            </w:r>
          </w:p>
        </w:tc>
        <w:tc>
          <w:tcPr>
            <w:tcW w:w="713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hd w:val="clear" w:color="auto" w:fill="auto"/>
              <w:ind w:left="0" w:leftChars="0" w:right="0" w:rightChars="0" w:firstLine="0" w:firstLineChars="0"/>
              <w:rPr>
                <w:rFonts w:hint="eastAsia" w:ascii="宋体" w:hAnsi="宋体" w:eastAsia="Times New Roman" w:cs="宋体"/>
                <w:color w:val="auto"/>
                <w:kern w:val="1"/>
                <w:sz w:val="18"/>
                <w:szCs w:val="18"/>
                <w:lang w:val="en-US" w:eastAsia="zh-CN"/>
              </w:rPr>
            </w:pPr>
            <w:r>
              <w:rPr>
                <w:rFonts w:hint="eastAsia" w:ascii="宋体" w:hAnsi="宋体" w:eastAsia="Times New Roman" w:cs="宋体"/>
                <w:color w:val="auto"/>
                <w:kern w:val="1"/>
                <w:sz w:val="18"/>
                <w:szCs w:val="18"/>
                <w:lang w:val="en-US" w:eastAsia="zh-CN"/>
              </w:rPr>
              <w:t>安装调试方案明确具体，方案完善的完全满足安装调试要求的得</w:t>
            </w:r>
            <w:r>
              <w:rPr>
                <w:rFonts w:hint="eastAsia" w:ascii="宋体" w:hAnsi="宋体" w:cs="宋体"/>
                <w:color w:val="auto"/>
                <w:kern w:val="1"/>
                <w:sz w:val="18"/>
                <w:szCs w:val="18"/>
                <w:lang w:val="en-US" w:eastAsia="zh-CN"/>
              </w:rPr>
              <w:t>4-5</w:t>
            </w:r>
            <w:r>
              <w:rPr>
                <w:rFonts w:hint="eastAsia" w:ascii="宋体" w:hAnsi="宋体" w:eastAsia="Times New Roman" w:cs="宋体"/>
                <w:color w:val="auto"/>
                <w:kern w:val="1"/>
                <w:sz w:val="18"/>
                <w:szCs w:val="18"/>
                <w:lang w:val="en-US" w:eastAsia="zh-CN"/>
              </w:rPr>
              <w:t>分。</w:t>
            </w:r>
          </w:p>
          <w:p>
            <w:pPr>
              <w:numPr>
                <w:ilvl w:val="0"/>
                <w:numId w:val="0"/>
              </w:numPr>
              <w:shd w:val="clear" w:color="auto" w:fill="auto"/>
              <w:ind w:left="0" w:leftChars="0" w:right="0" w:rightChars="0" w:firstLine="0" w:firstLineChars="0"/>
              <w:rPr>
                <w:rFonts w:hint="eastAsia" w:ascii="宋体" w:hAnsi="宋体" w:eastAsia="Times New Roman" w:cs="宋体"/>
                <w:color w:val="auto"/>
                <w:kern w:val="1"/>
                <w:sz w:val="18"/>
                <w:szCs w:val="18"/>
                <w:lang w:val="en-US" w:eastAsia="zh-CN"/>
              </w:rPr>
            </w:pPr>
            <w:r>
              <w:rPr>
                <w:rFonts w:hint="eastAsia" w:ascii="宋体" w:hAnsi="宋体" w:eastAsia="Times New Roman" w:cs="宋体"/>
                <w:color w:val="auto"/>
                <w:kern w:val="1"/>
                <w:sz w:val="18"/>
                <w:szCs w:val="18"/>
                <w:lang w:val="en-US" w:eastAsia="zh-CN"/>
              </w:rPr>
              <w:t>安装调试方案一般，满足安装调试要求的得</w:t>
            </w:r>
            <w:r>
              <w:rPr>
                <w:rFonts w:hint="eastAsia" w:ascii="宋体" w:hAnsi="宋体" w:cs="宋体"/>
                <w:color w:val="auto"/>
                <w:kern w:val="1"/>
                <w:sz w:val="18"/>
                <w:szCs w:val="18"/>
                <w:lang w:val="en-US" w:eastAsia="zh-CN"/>
              </w:rPr>
              <w:t>2-3.9</w:t>
            </w:r>
            <w:r>
              <w:rPr>
                <w:rFonts w:hint="eastAsia" w:ascii="宋体" w:hAnsi="宋体" w:eastAsia="Times New Roman" w:cs="宋体"/>
                <w:color w:val="auto"/>
                <w:kern w:val="1"/>
                <w:sz w:val="18"/>
                <w:szCs w:val="18"/>
                <w:lang w:val="en-US" w:eastAsia="zh-CN"/>
              </w:rPr>
              <w:t>分。</w:t>
            </w:r>
          </w:p>
          <w:p>
            <w:pPr>
              <w:numPr>
                <w:ilvl w:val="0"/>
                <w:numId w:val="0"/>
              </w:numPr>
              <w:shd w:val="clear" w:color="auto" w:fill="auto"/>
              <w:ind w:left="0" w:leftChars="0" w:right="0" w:rightChars="0" w:firstLine="0" w:firstLineChars="0"/>
              <w:rPr>
                <w:rFonts w:hint="eastAsia" w:ascii="Times New Roman" w:hAnsi="Times New Roman" w:eastAsia="宋体" w:cs="Times New Roman"/>
                <w:color w:val="auto"/>
                <w:spacing w:val="0"/>
                <w:w w:val="100"/>
                <w:position w:val="0"/>
                <w:sz w:val="22"/>
                <w:szCs w:val="22"/>
                <w:shd w:val="clear" w:color="auto" w:fill="auto"/>
                <w:lang w:val="en-US" w:eastAsia="zh-CN" w:bidi="en-US"/>
              </w:rPr>
            </w:pPr>
            <w:r>
              <w:rPr>
                <w:rFonts w:hint="eastAsia" w:ascii="宋体" w:hAnsi="宋体" w:eastAsia="Times New Roman" w:cs="宋体"/>
                <w:color w:val="auto"/>
                <w:kern w:val="1"/>
                <w:sz w:val="18"/>
                <w:szCs w:val="18"/>
                <w:lang w:val="en-US" w:eastAsia="zh-CN"/>
              </w:rPr>
              <w:t>安装调试方案有明显缺陷，基本满足安装调试要求的得</w:t>
            </w:r>
            <w:r>
              <w:rPr>
                <w:rFonts w:hint="eastAsia" w:ascii="宋体" w:hAnsi="宋体" w:cs="宋体"/>
                <w:color w:val="auto"/>
                <w:kern w:val="1"/>
                <w:sz w:val="18"/>
                <w:szCs w:val="18"/>
                <w:lang w:val="en-US" w:eastAsia="zh-CN"/>
              </w:rPr>
              <w:t>0</w:t>
            </w:r>
            <w:r>
              <w:rPr>
                <w:rFonts w:hint="eastAsia" w:ascii="宋体" w:hAnsi="宋体" w:eastAsia="Times New Roman" w:cs="宋体"/>
                <w:color w:val="auto"/>
                <w:kern w:val="1"/>
                <w:sz w:val="18"/>
                <w:szCs w:val="18"/>
                <w:lang w:val="en-US" w:eastAsia="zh-CN"/>
              </w:rPr>
              <w:t>-</w:t>
            </w:r>
            <w:r>
              <w:rPr>
                <w:rFonts w:hint="eastAsia" w:ascii="宋体" w:hAnsi="宋体" w:cs="宋体"/>
                <w:color w:val="auto"/>
                <w:kern w:val="1"/>
                <w:sz w:val="18"/>
                <w:szCs w:val="18"/>
                <w:lang w:val="en-US" w:eastAsia="zh-CN"/>
              </w:rPr>
              <w:t>1.9</w:t>
            </w:r>
            <w:r>
              <w:rPr>
                <w:rFonts w:hint="eastAsia" w:ascii="宋体" w:hAnsi="宋体" w:eastAsia="Times New Roman" w:cs="宋体"/>
                <w:color w:val="auto"/>
                <w:kern w:val="1"/>
                <w:sz w:val="18"/>
                <w:szCs w:val="18"/>
                <w:lang w:val="en-US" w:eastAsia="zh-CN"/>
              </w:rPr>
              <w:t>分。</w:t>
            </w:r>
          </w:p>
        </w:tc>
        <w:tc>
          <w:tcPr>
            <w:tcW w:w="570" w:type="dxa"/>
            <w:tcBorders>
              <w:top w:val="single" w:color="auto" w:sz="4" w:space="0"/>
              <w:left w:val="nil"/>
              <w:bottom w:val="single" w:color="auto" w:sz="4" w:space="0"/>
              <w:right w:val="single" w:color="auto" w:sz="4" w:space="0"/>
            </w:tcBorders>
            <w:noWrap w:val="0"/>
            <w:vAlign w:val="center"/>
          </w:tcPr>
          <w:p>
            <w:pPr>
              <w:shd w:val="clear" w:color="auto" w:fill="auto"/>
              <w:ind w:left="0" w:leftChars="0" w:right="0" w:rightChars="0" w:firstLine="0" w:firstLineChars="0"/>
              <w:jc w:val="center"/>
              <w:rPr>
                <w:rFonts w:hint="default" w:ascii="宋体" w:hAnsi="宋体" w:eastAsia="Times New Roman" w:cs="宋体"/>
                <w:color w:val="auto"/>
                <w:spacing w:val="0"/>
                <w:w w:val="100"/>
                <w:kern w:val="1"/>
                <w:position w:val="0"/>
                <w:sz w:val="18"/>
                <w:szCs w:val="18"/>
                <w:shd w:val="clear" w:color="auto" w:fill="auto"/>
                <w:lang w:val="en-US" w:eastAsia="zh-CN" w:bidi="en-US"/>
              </w:rPr>
            </w:pPr>
            <w:r>
              <w:rPr>
                <w:rFonts w:hint="eastAsia" w:ascii="宋体" w:hAnsi="宋体" w:cs="宋体"/>
                <w:color w:val="auto"/>
                <w:kern w:val="1"/>
                <w:sz w:val="18"/>
                <w:szCs w:val="18"/>
                <w:lang w:val="en-US" w:eastAsia="zh-CN"/>
              </w:rPr>
              <w:t>5</w:t>
            </w:r>
          </w:p>
        </w:tc>
      </w:tr>
      <w:tr>
        <w:tblPrEx>
          <w:tblCellMar>
            <w:top w:w="0" w:type="dxa"/>
            <w:left w:w="108" w:type="dxa"/>
            <w:bottom w:w="0" w:type="dxa"/>
            <w:right w:w="108" w:type="dxa"/>
          </w:tblCellMar>
        </w:tblPrEx>
        <w:trPr>
          <w:cantSplit/>
          <w:trHeight w:val="1078" w:hRule="atLeast"/>
        </w:trPr>
        <w:tc>
          <w:tcPr>
            <w:tcW w:w="879" w:type="dxa"/>
            <w:vMerge w:val="continue"/>
            <w:tcBorders>
              <w:left w:val="single" w:color="auto" w:sz="4" w:space="0"/>
              <w:right w:val="single" w:color="auto" w:sz="4" w:space="0"/>
            </w:tcBorders>
            <w:noWrap w:val="0"/>
            <w:vAlign w:val="center"/>
          </w:tcPr>
          <w:p>
            <w:pPr>
              <w:rPr>
                <w:rFonts w:hint="eastAsia"/>
                <w:color w:val="auto"/>
                <w:sz w:val="22"/>
                <w:szCs w:val="22"/>
              </w:rPr>
            </w:pPr>
          </w:p>
        </w:tc>
        <w:tc>
          <w:tcPr>
            <w:tcW w:w="1158" w:type="dxa"/>
            <w:tcBorders>
              <w:top w:val="single" w:color="auto" w:sz="4" w:space="0"/>
              <w:left w:val="nil"/>
              <w:right w:val="single" w:color="auto" w:sz="4" w:space="0"/>
            </w:tcBorders>
            <w:shd w:val="clear" w:color="auto" w:fill="auto"/>
            <w:noWrap w:val="0"/>
            <w:vAlign w:val="center"/>
          </w:tcPr>
          <w:p>
            <w:pPr>
              <w:shd w:val="clear" w:color="auto" w:fill="auto"/>
              <w:ind w:left="0" w:leftChars="0" w:right="0" w:rightChars="0" w:firstLine="0" w:firstLineChars="0"/>
              <w:rPr>
                <w:rFonts w:hint="default" w:ascii="宋体" w:hAnsi="宋体" w:cs="宋体"/>
                <w:color w:val="auto"/>
                <w:kern w:val="2"/>
                <w:sz w:val="18"/>
                <w:szCs w:val="18"/>
                <w:lang w:val="en-US" w:eastAsia="zh-CN"/>
              </w:rPr>
            </w:pPr>
            <w:r>
              <w:rPr>
                <w:rFonts w:hint="eastAsia" w:ascii="宋体" w:hAnsi="宋体" w:cs="宋体"/>
                <w:color w:val="auto"/>
                <w:kern w:val="2"/>
                <w:sz w:val="18"/>
                <w:szCs w:val="18"/>
                <w:lang w:val="en-US" w:eastAsia="zh-CN"/>
              </w:rPr>
              <w:t>售后服务方案(5分)</w:t>
            </w:r>
          </w:p>
        </w:tc>
        <w:tc>
          <w:tcPr>
            <w:tcW w:w="7137" w:type="dxa"/>
            <w:tcBorders>
              <w:top w:val="single" w:color="auto" w:sz="4" w:space="0"/>
              <w:left w:val="nil"/>
              <w:bottom w:val="single" w:color="auto" w:sz="4" w:space="0"/>
              <w:right w:val="single" w:color="auto" w:sz="4" w:space="0"/>
            </w:tcBorders>
            <w:noWrap w:val="0"/>
            <w:vAlign w:val="center"/>
          </w:tcPr>
          <w:p>
            <w:pPr>
              <w:numPr>
                <w:ilvl w:val="0"/>
                <w:numId w:val="0"/>
              </w:numPr>
              <w:shd w:val="clear" w:color="auto" w:fill="auto"/>
              <w:ind w:left="0" w:leftChars="0" w:right="0" w:rightChars="0" w:firstLine="0" w:firstLineChars="0"/>
              <w:rPr>
                <w:rFonts w:hint="eastAsia" w:ascii="宋体" w:hAnsi="宋体" w:eastAsia="Times New Roman" w:cs="宋体"/>
                <w:color w:val="auto"/>
                <w:kern w:val="1"/>
                <w:sz w:val="18"/>
                <w:szCs w:val="18"/>
                <w:lang w:val="en-US" w:eastAsia="zh-CN"/>
              </w:rPr>
            </w:pPr>
            <w:r>
              <w:rPr>
                <w:rFonts w:hint="eastAsia" w:ascii="宋体" w:hAnsi="宋体" w:eastAsia="Times New Roman" w:cs="宋体"/>
                <w:color w:val="auto"/>
                <w:kern w:val="1"/>
                <w:sz w:val="18"/>
                <w:szCs w:val="18"/>
                <w:lang w:val="en-US" w:eastAsia="zh-CN"/>
              </w:rPr>
              <w:t>提供可行的售后服务方案，能保障本地化技术服务及售后服务的协调性、及时性。提供售后服务内容、服务响应方式及响应时间，提供故障处理流程、维护保障流程及组织架构</w:t>
            </w:r>
            <w:r>
              <w:rPr>
                <w:rFonts w:hint="eastAsia" w:ascii="宋体" w:hAnsi="宋体" w:cs="宋体"/>
                <w:color w:val="auto"/>
                <w:kern w:val="1"/>
                <w:sz w:val="18"/>
                <w:szCs w:val="18"/>
                <w:lang w:val="en-US" w:eastAsia="zh-CN"/>
              </w:rPr>
              <w:t>内容</w:t>
            </w:r>
            <w:r>
              <w:rPr>
                <w:rFonts w:hint="eastAsia" w:ascii="宋体" w:hAnsi="宋体" w:eastAsia="Times New Roman" w:cs="宋体"/>
                <w:color w:val="auto"/>
                <w:kern w:val="1"/>
                <w:sz w:val="18"/>
                <w:szCs w:val="18"/>
                <w:lang w:val="en-US" w:eastAsia="zh-CN"/>
              </w:rPr>
              <w:t>详实、完整、准确的得</w:t>
            </w:r>
            <w:r>
              <w:rPr>
                <w:rFonts w:hint="eastAsia" w:ascii="宋体" w:hAnsi="宋体" w:cs="宋体"/>
                <w:color w:val="auto"/>
                <w:kern w:val="1"/>
                <w:sz w:val="18"/>
                <w:szCs w:val="18"/>
                <w:lang w:val="en-US" w:eastAsia="zh-CN"/>
              </w:rPr>
              <w:t>3-5</w:t>
            </w:r>
            <w:r>
              <w:rPr>
                <w:rFonts w:hint="eastAsia" w:ascii="宋体" w:hAnsi="宋体" w:eastAsia="Times New Roman" w:cs="宋体"/>
                <w:color w:val="auto"/>
                <w:kern w:val="1"/>
                <w:sz w:val="18"/>
                <w:szCs w:val="18"/>
                <w:lang w:val="en-US" w:eastAsia="zh-CN"/>
              </w:rPr>
              <w:t>分；</w:t>
            </w:r>
          </w:p>
          <w:p>
            <w:pPr>
              <w:numPr>
                <w:ilvl w:val="0"/>
                <w:numId w:val="0"/>
              </w:numPr>
              <w:shd w:val="clear" w:color="auto" w:fill="auto"/>
              <w:ind w:left="0" w:leftChars="0" w:right="0" w:rightChars="0" w:firstLine="0" w:firstLineChars="0"/>
              <w:rPr>
                <w:rFonts w:hint="default" w:ascii="宋体" w:hAnsi="宋体" w:eastAsia="Times New Roman" w:cs="宋体"/>
                <w:color w:val="auto"/>
                <w:spacing w:val="0"/>
                <w:w w:val="100"/>
                <w:kern w:val="1"/>
                <w:position w:val="0"/>
                <w:sz w:val="18"/>
                <w:szCs w:val="18"/>
                <w:shd w:val="clear" w:color="auto" w:fill="auto"/>
                <w:lang w:val="en-US" w:eastAsia="en-US" w:bidi="en-US"/>
              </w:rPr>
            </w:pPr>
            <w:r>
              <w:rPr>
                <w:rFonts w:hint="eastAsia" w:ascii="宋体" w:hAnsi="宋体" w:eastAsia="Times New Roman" w:cs="宋体"/>
                <w:color w:val="auto"/>
                <w:kern w:val="1"/>
                <w:sz w:val="18"/>
                <w:szCs w:val="18"/>
                <w:lang w:val="en-US" w:eastAsia="zh-CN"/>
              </w:rPr>
              <w:t>提供的售后服务方案一般，基本能保障本地化技术服务及售后服务的协调性、及时性。提供售后服务内容、服务响应方式及响应时间，提供故障处理流程、维护保障流程及组织架构内容不够详实、不够完整、不够准确的得</w:t>
            </w:r>
            <w:r>
              <w:rPr>
                <w:rFonts w:hint="eastAsia" w:ascii="宋体" w:hAnsi="宋体" w:cs="宋体"/>
                <w:color w:val="auto"/>
                <w:kern w:val="1"/>
                <w:sz w:val="18"/>
                <w:szCs w:val="18"/>
                <w:lang w:val="en-US" w:eastAsia="zh-CN"/>
              </w:rPr>
              <w:t>0-2.9</w:t>
            </w:r>
            <w:r>
              <w:rPr>
                <w:rFonts w:hint="eastAsia" w:ascii="宋体" w:hAnsi="宋体" w:eastAsia="Times New Roman" w:cs="宋体"/>
                <w:color w:val="auto"/>
                <w:kern w:val="1"/>
                <w:sz w:val="18"/>
                <w:szCs w:val="18"/>
                <w:lang w:val="en-US" w:eastAsia="zh-CN"/>
              </w:rPr>
              <w:t>分。</w:t>
            </w:r>
          </w:p>
        </w:tc>
        <w:tc>
          <w:tcPr>
            <w:tcW w:w="570" w:type="dxa"/>
            <w:tcBorders>
              <w:top w:val="single" w:color="auto" w:sz="4" w:space="0"/>
              <w:left w:val="nil"/>
              <w:right w:val="single" w:color="auto" w:sz="4" w:space="0"/>
            </w:tcBorders>
            <w:noWrap w:val="0"/>
            <w:vAlign w:val="center"/>
          </w:tcPr>
          <w:p>
            <w:pPr>
              <w:shd w:val="clear" w:color="auto" w:fill="auto"/>
              <w:ind w:left="0" w:leftChars="0" w:right="0" w:rightChars="0" w:firstLine="0" w:firstLineChars="0"/>
              <w:jc w:val="center"/>
              <w:rPr>
                <w:rFonts w:hint="default" w:ascii="宋体" w:hAnsi="宋体" w:eastAsia="宋体" w:cs="宋体"/>
                <w:color w:val="auto"/>
                <w:spacing w:val="0"/>
                <w:w w:val="100"/>
                <w:kern w:val="1"/>
                <w:position w:val="0"/>
                <w:sz w:val="18"/>
                <w:szCs w:val="18"/>
                <w:shd w:val="clear" w:color="auto" w:fill="auto"/>
                <w:lang w:val="en-US" w:eastAsia="zh-CN" w:bidi="en-US"/>
              </w:rPr>
            </w:pPr>
            <w:r>
              <w:rPr>
                <w:rFonts w:hint="eastAsia" w:ascii="宋体" w:hAnsi="宋体" w:eastAsia="宋体" w:cs="宋体"/>
                <w:color w:val="auto"/>
                <w:kern w:val="1"/>
                <w:sz w:val="18"/>
                <w:szCs w:val="18"/>
                <w:lang w:val="en-US" w:eastAsia="zh-CN"/>
              </w:rPr>
              <w:t>5</w:t>
            </w:r>
          </w:p>
        </w:tc>
      </w:tr>
      <w:tr>
        <w:tblPrEx>
          <w:tblCellMar>
            <w:top w:w="0" w:type="dxa"/>
            <w:left w:w="108" w:type="dxa"/>
            <w:bottom w:w="0" w:type="dxa"/>
            <w:right w:w="108" w:type="dxa"/>
          </w:tblCellMar>
        </w:tblPrEx>
        <w:trPr>
          <w:cantSplit/>
          <w:trHeight w:val="793" w:hRule="atLeast"/>
        </w:trPr>
        <w:tc>
          <w:tcPr>
            <w:tcW w:w="879" w:type="dxa"/>
            <w:vMerge w:val="continue"/>
            <w:tcBorders>
              <w:left w:val="single" w:color="auto" w:sz="4" w:space="0"/>
              <w:right w:val="single" w:color="auto" w:sz="4" w:space="0"/>
            </w:tcBorders>
            <w:noWrap w:val="0"/>
            <w:vAlign w:val="center"/>
          </w:tcPr>
          <w:p>
            <w:pPr>
              <w:shd w:val="clear" w:color="auto" w:fill="auto"/>
              <w:rPr>
                <w:rFonts w:hint="eastAsia" w:ascii="宋体" w:hAnsi="宋体" w:cs="宋体"/>
                <w:color w:val="auto"/>
                <w:kern w:val="1"/>
                <w:sz w:val="18"/>
                <w:szCs w:val="18"/>
              </w:rPr>
            </w:pPr>
          </w:p>
        </w:tc>
        <w:tc>
          <w:tcPr>
            <w:tcW w:w="1158" w:type="dxa"/>
            <w:tcBorders>
              <w:top w:val="single" w:color="auto" w:sz="4" w:space="0"/>
              <w:left w:val="nil"/>
              <w:right w:val="single" w:color="auto" w:sz="4" w:space="0"/>
            </w:tcBorders>
            <w:shd w:val="clear" w:color="auto" w:fill="auto"/>
            <w:noWrap w:val="0"/>
            <w:vAlign w:val="center"/>
          </w:tcPr>
          <w:p>
            <w:pPr>
              <w:shd w:val="clear" w:color="auto" w:fill="auto"/>
              <w:ind w:left="0" w:leftChars="0" w:right="0" w:rightChars="0" w:firstLine="0" w:firstLineChars="0"/>
              <w:rPr>
                <w:rFonts w:hint="eastAsia" w:ascii="宋体" w:hAnsi="宋体" w:cs="宋体"/>
                <w:color w:val="auto"/>
                <w:kern w:val="2"/>
                <w:sz w:val="18"/>
                <w:szCs w:val="18"/>
                <w:lang w:val="en-US" w:eastAsia="zh-CN"/>
              </w:rPr>
            </w:pPr>
            <w:r>
              <w:rPr>
                <w:rFonts w:hint="eastAsia" w:ascii="宋体" w:hAnsi="宋体" w:cs="宋体"/>
                <w:color w:val="auto"/>
                <w:kern w:val="2"/>
                <w:sz w:val="18"/>
                <w:szCs w:val="18"/>
                <w:lang w:val="en-US" w:eastAsia="zh-CN"/>
              </w:rPr>
              <w:t>人员配备</w:t>
            </w:r>
          </w:p>
          <w:p>
            <w:pPr>
              <w:shd w:val="clear" w:color="auto" w:fill="auto"/>
              <w:ind w:left="0" w:leftChars="0" w:right="0" w:rightChars="0" w:firstLine="0" w:firstLineChars="0"/>
              <w:rPr>
                <w:rFonts w:hint="eastAsia" w:ascii="宋体" w:hAnsi="宋体" w:cs="宋体"/>
                <w:color w:val="auto"/>
                <w:kern w:val="2"/>
                <w:sz w:val="18"/>
                <w:szCs w:val="18"/>
                <w:lang w:val="en-US" w:eastAsia="zh-CN"/>
              </w:rPr>
            </w:pPr>
            <w:r>
              <w:rPr>
                <w:rFonts w:hint="eastAsia" w:ascii="宋体" w:hAnsi="宋体" w:cs="宋体"/>
                <w:color w:val="auto"/>
                <w:kern w:val="2"/>
                <w:sz w:val="18"/>
                <w:szCs w:val="18"/>
                <w:lang w:val="en-US" w:eastAsia="zh-CN"/>
              </w:rPr>
              <w:t>（5分）</w:t>
            </w:r>
          </w:p>
        </w:tc>
        <w:tc>
          <w:tcPr>
            <w:tcW w:w="7137" w:type="dxa"/>
            <w:tcBorders>
              <w:top w:val="single" w:color="auto" w:sz="4" w:space="0"/>
              <w:left w:val="nil"/>
              <w:bottom w:val="single" w:color="auto" w:sz="4" w:space="0"/>
              <w:right w:val="single" w:color="auto" w:sz="4" w:space="0"/>
            </w:tcBorders>
            <w:noWrap w:val="0"/>
            <w:vAlign w:val="center"/>
          </w:tcPr>
          <w:p>
            <w:pPr>
              <w:shd w:val="clear" w:color="auto" w:fill="auto"/>
              <w:ind w:left="0" w:leftChars="0" w:right="0" w:rightChars="0" w:firstLine="0" w:firstLineChars="0"/>
              <w:rPr>
                <w:rFonts w:hint="eastAsia" w:ascii="宋体" w:hAnsi="宋体" w:eastAsia="Times New Roman" w:cs="宋体"/>
                <w:color w:val="auto"/>
                <w:spacing w:val="0"/>
                <w:w w:val="100"/>
                <w:kern w:val="1"/>
                <w:position w:val="0"/>
                <w:sz w:val="18"/>
                <w:szCs w:val="18"/>
                <w:shd w:val="clear" w:color="auto" w:fill="auto"/>
                <w:lang w:val="en-US" w:eastAsia="en-US" w:bidi="en-US"/>
              </w:rPr>
            </w:pPr>
            <w:r>
              <w:rPr>
                <w:rFonts w:hint="eastAsia" w:ascii="宋体" w:hAnsi="宋体" w:eastAsia="Times New Roman" w:cs="宋体"/>
                <w:color w:val="auto"/>
                <w:spacing w:val="0"/>
                <w:w w:val="100"/>
                <w:kern w:val="1"/>
                <w:position w:val="0"/>
                <w:sz w:val="18"/>
                <w:szCs w:val="18"/>
                <w:shd w:val="clear" w:color="auto" w:fill="auto"/>
                <w:lang w:val="en-US" w:eastAsia="en-US" w:bidi="en-US"/>
              </w:rPr>
              <w:t>根据投标人配备的企业项目负责人、</w:t>
            </w:r>
            <w:r>
              <w:rPr>
                <w:rFonts w:hint="eastAsia" w:ascii="宋体" w:hAnsi="宋体" w:eastAsia="宋体" w:cs="宋体"/>
                <w:color w:val="auto"/>
                <w:spacing w:val="0"/>
                <w:w w:val="100"/>
                <w:kern w:val="1"/>
                <w:position w:val="0"/>
                <w:sz w:val="18"/>
                <w:szCs w:val="18"/>
                <w:shd w:val="clear" w:color="auto" w:fill="auto"/>
                <w:lang w:val="en-US" w:eastAsia="zh-CN" w:bidi="en-US"/>
              </w:rPr>
              <w:t>团队</w:t>
            </w:r>
            <w:r>
              <w:rPr>
                <w:rFonts w:hint="eastAsia" w:ascii="宋体" w:hAnsi="宋体" w:eastAsia="Times New Roman" w:cs="宋体"/>
                <w:color w:val="auto"/>
                <w:spacing w:val="0"/>
                <w:w w:val="100"/>
                <w:kern w:val="1"/>
                <w:position w:val="0"/>
                <w:sz w:val="18"/>
                <w:szCs w:val="18"/>
                <w:shd w:val="clear" w:color="auto" w:fill="auto"/>
                <w:lang w:val="en-US" w:eastAsia="en-US" w:bidi="en-US"/>
              </w:rPr>
              <w:t>人员的技术能力、从业经验等因素进行综合评定，优得</w:t>
            </w:r>
            <w:r>
              <w:rPr>
                <w:rFonts w:hint="eastAsia" w:ascii="宋体" w:hAnsi="宋体" w:eastAsia="宋体" w:cs="宋体"/>
                <w:color w:val="auto"/>
                <w:spacing w:val="0"/>
                <w:w w:val="100"/>
                <w:kern w:val="1"/>
                <w:position w:val="0"/>
                <w:sz w:val="18"/>
                <w:szCs w:val="18"/>
                <w:shd w:val="clear" w:color="auto" w:fill="auto"/>
                <w:lang w:val="en-US" w:eastAsia="zh-CN" w:bidi="en-US"/>
              </w:rPr>
              <w:t>4-5</w:t>
            </w:r>
            <w:r>
              <w:rPr>
                <w:rFonts w:hint="eastAsia" w:ascii="宋体" w:hAnsi="宋体" w:eastAsia="Times New Roman" w:cs="宋体"/>
                <w:color w:val="auto"/>
                <w:spacing w:val="0"/>
                <w:w w:val="100"/>
                <w:kern w:val="1"/>
                <w:position w:val="0"/>
                <w:sz w:val="18"/>
                <w:szCs w:val="18"/>
                <w:shd w:val="clear" w:color="auto" w:fill="auto"/>
                <w:lang w:val="en-US" w:eastAsia="en-US" w:bidi="en-US"/>
              </w:rPr>
              <w:t>分，良好得</w:t>
            </w:r>
            <w:r>
              <w:rPr>
                <w:rFonts w:hint="eastAsia" w:ascii="宋体" w:hAnsi="宋体" w:eastAsia="宋体" w:cs="宋体"/>
                <w:color w:val="auto"/>
                <w:spacing w:val="0"/>
                <w:w w:val="100"/>
                <w:kern w:val="1"/>
                <w:position w:val="0"/>
                <w:sz w:val="18"/>
                <w:szCs w:val="18"/>
                <w:shd w:val="clear" w:color="auto" w:fill="auto"/>
                <w:lang w:val="en-US" w:eastAsia="zh-CN" w:bidi="en-US"/>
              </w:rPr>
              <w:t>2-3.9</w:t>
            </w:r>
            <w:r>
              <w:rPr>
                <w:rFonts w:hint="eastAsia" w:ascii="宋体" w:hAnsi="宋体" w:eastAsia="Times New Roman" w:cs="宋体"/>
                <w:color w:val="auto"/>
                <w:spacing w:val="0"/>
                <w:w w:val="100"/>
                <w:kern w:val="1"/>
                <w:position w:val="0"/>
                <w:sz w:val="18"/>
                <w:szCs w:val="18"/>
                <w:shd w:val="clear" w:color="auto" w:fill="auto"/>
                <w:lang w:val="en-US" w:eastAsia="en-US" w:bidi="en-US"/>
              </w:rPr>
              <w:t>分，中得</w:t>
            </w:r>
            <w:r>
              <w:rPr>
                <w:rFonts w:hint="eastAsia" w:ascii="宋体" w:hAnsi="宋体" w:eastAsia="宋体" w:cs="宋体"/>
                <w:color w:val="auto"/>
                <w:spacing w:val="0"/>
                <w:w w:val="100"/>
                <w:kern w:val="1"/>
                <w:position w:val="0"/>
                <w:sz w:val="18"/>
                <w:szCs w:val="18"/>
                <w:shd w:val="clear" w:color="auto" w:fill="auto"/>
                <w:lang w:val="en-US" w:eastAsia="zh-CN" w:bidi="en-US"/>
              </w:rPr>
              <w:t>0.1-1.9</w:t>
            </w:r>
            <w:r>
              <w:rPr>
                <w:rFonts w:hint="eastAsia" w:ascii="宋体" w:hAnsi="宋体" w:eastAsia="Times New Roman" w:cs="宋体"/>
                <w:color w:val="auto"/>
                <w:spacing w:val="0"/>
                <w:w w:val="100"/>
                <w:kern w:val="1"/>
                <w:position w:val="0"/>
                <w:sz w:val="18"/>
                <w:szCs w:val="18"/>
                <w:shd w:val="clear" w:color="auto" w:fill="auto"/>
                <w:lang w:val="en-US" w:eastAsia="en-US" w:bidi="en-US"/>
              </w:rPr>
              <w:t>分，不提供不得分。</w:t>
            </w:r>
          </w:p>
        </w:tc>
        <w:tc>
          <w:tcPr>
            <w:tcW w:w="570" w:type="dxa"/>
            <w:tcBorders>
              <w:top w:val="single" w:color="auto" w:sz="4" w:space="0"/>
              <w:left w:val="nil"/>
              <w:bottom w:val="single" w:color="auto" w:sz="4" w:space="0"/>
              <w:right w:val="single" w:color="auto" w:sz="4" w:space="0"/>
            </w:tcBorders>
            <w:noWrap w:val="0"/>
            <w:vAlign w:val="center"/>
          </w:tcPr>
          <w:p>
            <w:pPr>
              <w:shd w:val="clear" w:color="auto" w:fill="auto"/>
              <w:ind w:left="0" w:leftChars="0" w:right="0" w:rightChars="0" w:firstLine="0" w:firstLineChars="0"/>
              <w:jc w:val="center"/>
              <w:rPr>
                <w:rFonts w:hint="default" w:ascii="宋体" w:hAnsi="宋体" w:eastAsia="宋体" w:cs="宋体"/>
                <w:color w:val="auto"/>
                <w:spacing w:val="0"/>
                <w:w w:val="100"/>
                <w:kern w:val="1"/>
                <w:position w:val="0"/>
                <w:sz w:val="18"/>
                <w:szCs w:val="18"/>
                <w:shd w:val="clear" w:color="auto" w:fill="auto"/>
                <w:lang w:val="en-US" w:eastAsia="zh-CN" w:bidi="en-US"/>
              </w:rPr>
            </w:pPr>
            <w:r>
              <w:rPr>
                <w:rFonts w:hint="eastAsia" w:ascii="宋体" w:hAnsi="宋体" w:eastAsia="宋体" w:cs="宋体"/>
                <w:color w:val="auto"/>
                <w:spacing w:val="0"/>
                <w:w w:val="100"/>
                <w:kern w:val="1"/>
                <w:position w:val="0"/>
                <w:sz w:val="18"/>
                <w:szCs w:val="18"/>
                <w:shd w:val="clear" w:color="auto" w:fill="auto"/>
                <w:lang w:val="en-US" w:eastAsia="zh-CN" w:bidi="en-US"/>
              </w:rPr>
              <w:t>5</w:t>
            </w:r>
          </w:p>
        </w:tc>
      </w:tr>
      <w:tr>
        <w:tblPrEx>
          <w:tblCellMar>
            <w:top w:w="0" w:type="dxa"/>
            <w:left w:w="108" w:type="dxa"/>
            <w:bottom w:w="0" w:type="dxa"/>
            <w:right w:w="108" w:type="dxa"/>
          </w:tblCellMar>
        </w:tblPrEx>
        <w:trPr>
          <w:cantSplit/>
          <w:trHeight w:val="497" w:hRule="atLeast"/>
        </w:trPr>
        <w:tc>
          <w:tcPr>
            <w:tcW w:w="9174" w:type="dxa"/>
            <w:gridSpan w:val="3"/>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kern w:val="1"/>
                <w:sz w:val="18"/>
                <w:szCs w:val="18"/>
                <w:lang w:val="en-US" w:eastAsia="zh-CN"/>
              </w:rPr>
            </w:pPr>
            <w:r>
              <w:rPr>
                <w:rFonts w:hint="eastAsia" w:ascii="宋体" w:hAnsi="宋体" w:eastAsia="宋体" w:cs="宋体"/>
                <w:color w:val="auto"/>
                <w:kern w:val="1"/>
                <w:sz w:val="18"/>
                <w:szCs w:val="18"/>
                <w:lang w:val="en-US" w:eastAsia="zh-CN"/>
              </w:rPr>
              <w:t>合计</w:t>
            </w:r>
          </w:p>
        </w:tc>
        <w:tc>
          <w:tcPr>
            <w:tcW w:w="570" w:type="dxa"/>
            <w:tcBorders>
              <w:top w:val="single" w:color="auto" w:sz="4" w:space="0"/>
              <w:left w:val="nil"/>
              <w:bottom w:val="single" w:color="auto" w:sz="4" w:space="0"/>
              <w:right w:val="single" w:color="auto" w:sz="4" w:space="0"/>
            </w:tcBorders>
            <w:noWrap w:val="0"/>
            <w:vAlign w:val="center"/>
          </w:tcPr>
          <w:p>
            <w:pPr>
              <w:shd w:val="clear" w:color="auto" w:fill="auto"/>
              <w:jc w:val="center"/>
              <w:rPr>
                <w:rFonts w:hint="eastAsia" w:ascii="宋体" w:hAnsi="宋体" w:cs="宋体"/>
                <w:color w:val="auto"/>
                <w:kern w:val="1"/>
                <w:sz w:val="18"/>
                <w:szCs w:val="18"/>
              </w:rPr>
            </w:pPr>
            <w:r>
              <w:rPr>
                <w:rFonts w:hint="eastAsia" w:ascii="宋体" w:hAnsi="宋体" w:cs="宋体"/>
                <w:color w:val="auto"/>
                <w:kern w:val="1"/>
                <w:sz w:val="18"/>
                <w:szCs w:val="18"/>
              </w:rPr>
              <w:t>100</w:t>
            </w:r>
          </w:p>
        </w:tc>
      </w:tr>
    </w:tbl>
    <w:p>
      <w:pPr>
        <w:rPr>
          <w:color w:val="auto"/>
          <w:sz w:val="22"/>
          <w:szCs w:val="22"/>
        </w:rPr>
      </w:pPr>
    </w:p>
    <w:p>
      <w:pPr>
        <w:pStyle w:val="43"/>
        <w:shd w:val="clear" w:color="auto" w:fill="auto"/>
        <w:tabs>
          <w:tab w:val="left" w:pos="1701"/>
        </w:tabs>
        <w:spacing w:line="440" w:lineRule="exact"/>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val="en-US" w:eastAsia="zh-CN" w:bidi="ar-SA"/>
        </w:rPr>
        <w:t>10.2.2</w:t>
      </w:r>
      <w:r>
        <w:rPr>
          <w:rFonts w:hint="eastAsia" w:ascii="仿宋" w:hAnsi="仿宋" w:eastAsia="仿宋" w:cs="仿宋"/>
          <w:color w:val="auto"/>
          <w:szCs w:val="21"/>
          <w:highlight w:val="none"/>
          <w:lang w:bidi="ar-SA"/>
        </w:rPr>
        <w:t>价格评分方法</w:t>
      </w:r>
    </w:p>
    <w:p>
      <w:pPr>
        <w:shd w:val="clear" w:color="auto" w:fill="auto"/>
        <w:spacing w:line="440" w:lineRule="exact"/>
        <w:ind w:firstLine="480" w:firstLineChars="200"/>
        <w:jc w:val="left"/>
        <w:rPr>
          <w:rFonts w:hint="eastAsia"/>
          <w:color w:val="auto"/>
        </w:rPr>
      </w:pPr>
      <w:r>
        <w:rPr>
          <w:rFonts w:hint="eastAsia" w:ascii="仿宋" w:hAnsi="仿宋" w:eastAsia="仿宋" w:cs="仿宋"/>
          <w:color w:val="auto"/>
          <w:szCs w:val="21"/>
          <w:highlight w:val="none"/>
          <w:lang w:bidi="ar-SA"/>
        </w:rPr>
        <w:t>满足招标文件技术要求且投标价格最低的投标报价为评标基准价，其价格分为满分。其他投标人的价格分别按照下列公式计算： 投标报价得分=（评标基准价/投标报价）×价格权重</w:t>
      </w:r>
      <w:r>
        <w:rPr>
          <w:rFonts w:hint="eastAsia" w:ascii="仿宋" w:hAnsi="仿宋" w:eastAsia="仿宋" w:cs="仿宋"/>
          <w:color w:val="auto"/>
          <w:szCs w:val="21"/>
          <w:highlight w:val="none"/>
          <w:lang w:eastAsia="zh-CN" w:bidi="ar-SA"/>
        </w:rPr>
        <w:t>。</w:t>
      </w:r>
    </w:p>
    <w:p>
      <w:pPr>
        <w:shd w:val="clear" w:color="auto" w:fill="auto"/>
        <w:spacing w:before="156" w:beforeLines="50" w:line="400" w:lineRule="exact"/>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  推荐中标候选人</w:t>
      </w:r>
      <w:bookmarkEnd w:id="47"/>
      <w:bookmarkEnd w:id="48"/>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11.1</w:t>
      </w:r>
      <w:r>
        <w:rPr>
          <w:rFonts w:hint="eastAsia" w:ascii="仿宋" w:hAnsi="仿宋" w:eastAsia="仿宋" w:cs="仿宋"/>
          <w:color w:val="auto"/>
          <w:szCs w:val="21"/>
          <w:highlight w:val="none"/>
        </w:rPr>
        <w:t>评标委员会推荐</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名中标候选人，并标明排序。</w:t>
      </w:r>
    </w:p>
    <w:p>
      <w:pPr>
        <w:shd w:val="clear" w:color="auto" w:fill="auto"/>
        <w:spacing w:line="400" w:lineRule="exact"/>
        <w:ind w:firstLine="470"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11.2</w:t>
      </w:r>
      <w:r>
        <w:rPr>
          <w:rFonts w:hint="eastAsia" w:ascii="仿宋" w:hAnsi="仿宋" w:eastAsia="仿宋" w:cs="仿宋"/>
          <w:color w:val="auto"/>
          <w:szCs w:val="21"/>
          <w:highlight w:val="none"/>
        </w:rPr>
        <w:t>如出现报价相同情况，则由招标人现场抽签确定中标候选人排名顺序。</w:t>
      </w:r>
    </w:p>
    <w:bookmarkEnd w:id="43"/>
    <w:p>
      <w:pPr>
        <w:shd w:val="clear" w:color="auto" w:fill="auto"/>
        <w:snapToGrid w:val="0"/>
        <w:spacing w:line="40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12.</w:t>
      </w:r>
      <w:r>
        <w:rPr>
          <w:rFonts w:hint="eastAsia" w:ascii="仿宋" w:hAnsi="仿宋" w:eastAsia="仿宋" w:cs="仿宋"/>
          <w:b/>
          <w:color w:val="auto"/>
          <w:szCs w:val="21"/>
          <w:highlight w:val="none"/>
        </w:rPr>
        <w:t>无效投标条款</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.1投标文件有下列情形之一的,其投标文件拒收:</w:t>
      </w:r>
    </w:p>
    <w:p>
      <w:pPr>
        <w:shd w:val="clear" w:color="auto" w:fill="auto"/>
        <w:snapToGrid w:val="0"/>
        <w:spacing w:line="400" w:lineRule="exac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b/>
          <w:bCs/>
          <w:color w:val="auto"/>
          <w:szCs w:val="21"/>
          <w:highlight w:val="none"/>
        </w:rPr>
        <w:t xml:space="preserve"> (1) 未在开标截止时间前通过网上招标投标系统递交有效电子投标文件的，开标系统不予接收。</w:t>
      </w:r>
    </w:p>
    <w:p>
      <w:pPr>
        <w:shd w:val="clear" w:color="auto" w:fill="auto"/>
        <w:snapToGrid w:val="0"/>
        <w:spacing w:line="400" w:lineRule="exact"/>
        <w:ind w:firstLine="480"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w:t>
      </w:r>
      <w:r>
        <w:rPr>
          <w:rFonts w:hint="eastAsia" w:ascii="仿宋" w:hAnsi="仿宋" w:eastAsia="仿宋" w:cs="仿宋"/>
          <w:b/>
          <w:color w:val="auto"/>
          <w:szCs w:val="21"/>
          <w:highlight w:val="none"/>
        </w:rPr>
        <w:t>所有投标人应在规定时间里完成投标文件的解密工作</w:t>
      </w:r>
      <w:r>
        <w:rPr>
          <w:rFonts w:hint="eastAsia" w:ascii="仿宋" w:hAnsi="仿宋" w:eastAsia="仿宋" w:cs="仿宋"/>
          <w:b/>
          <w:bCs/>
          <w:color w:val="auto"/>
          <w:szCs w:val="21"/>
          <w:highlight w:val="none"/>
        </w:rPr>
        <w:t>【投标人</w:t>
      </w:r>
      <w:r>
        <w:rPr>
          <w:rFonts w:hint="eastAsia" w:ascii="仿宋" w:hAnsi="仿宋" w:eastAsia="仿宋" w:cs="仿宋"/>
          <w:b/>
          <w:bCs/>
          <w:color w:val="auto"/>
          <w:szCs w:val="21"/>
          <w:highlight w:val="none"/>
          <w:lang w:eastAsia="zh-CN"/>
        </w:rPr>
        <w:t>使用</w:t>
      </w:r>
      <w:r>
        <w:rPr>
          <w:rFonts w:hint="eastAsia" w:ascii="仿宋" w:hAnsi="仿宋" w:eastAsia="仿宋" w:cs="仿宋"/>
          <w:b/>
          <w:bCs/>
          <w:color w:val="auto"/>
          <w:szCs w:val="21"/>
          <w:highlight w:val="none"/>
        </w:rPr>
        <w:t>其有效加密锁（CA锁）</w:t>
      </w:r>
      <w:r>
        <w:rPr>
          <w:rFonts w:hint="eastAsia" w:ascii="仿宋" w:hAnsi="仿宋" w:eastAsia="仿宋" w:cs="仿宋"/>
          <w:b/>
          <w:bCs/>
          <w:color w:val="auto"/>
          <w:szCs w:val="21"/>
          <w:highlight w:val="none"/>
          <w:lang w:eastAsia="zh-CN"/>
        </w:rPr>
        <w:t>进行</w:t>
      </w:r>
      <w:r>
        <w:rPr>
          <w:rFonts w:hint="eastAsia" w:ascii="仿宋" w:hAnsi="仿宋" w:eastAsia="仿宋" w:cs="仿宋"/>
          <w:b/>
          <w:bCs/>
          <w:color w:val="auto"/>
          <w:szCs w:val="21"/>
          <w:highlight w:val="none"/>
        </w:rPr>
        <w:t>解密（因投标人原因未能提供有效CA锁对其投标文件进行解密的，其投标文件按无效标处理），以网上招投标系统解密倒计时为准】</w:t>
      </w:r>
      <w:r>
        <w:rPr>
          <w:rFonts w:hint="eastAsia" w:ascii="仿宋" w:hAnsi="仿宋" w:eastAsia="仿宋" w:cs="仿宋"/>
          <w:b/>
          <w:color w:val="auto"/>
          <w:szCs w:val="21"/>
          <w:highlight w:val="none"/>
        </w:rPr>
        <w:t>，因系统原因未能成功解密的投标文件，可导入</w:t>
      </w:r>
      <w:r>
        <w:rPr>
          <w:rFonts w:hint="eastAsia" w:ascii="仿宋" w:hAnsi="仿宋" w:eastAsia="仿宋" w:cs="仿宋"/>
          <w:b/>
          <w:color w:val="auto"/>
          <w:szCs w:val="21"/>
          <w:highlight w:val="none"/>
          <w:lang w:eastAsia="zh-CN"/>
        </w:rPr>
        <w:t>备份投标文件</w:t>
      </w:r>
      <w:r>
        <w:rPr>
          <w:rFonts w:hint="eastAsia" w:ascii="仿宋" w:hAnsi="仿宋" w:eastAsia="仿宋" w:cs="仿宋"/>
          <w:b/>
          <w:color w:val="auto"/>
          <w:szCs w:val="21"/>
          <w:highlight w:val="none"/>
        </w:rPr>
        <w:t>。</w:t>
      </w:r>
      <w:r>
        <w:rPr>
          <w:rFonts w:hint="eastAsia" w:ascii="仿宋" w:hAnsi="仿宋" w:eastAsia="仿宋" w:cs="仿宋"/>
          <w:b/>
          <w:color w:val="auto"/>
          <w:szCs w:val="21"/>
          <w:highlight w:val="none"/>
          <w:lang w:eastAsia="zh-CN"/>
        </w:rPr>
        <w:t>备份投标文件</w:t>
      </w:r>
      <w:r>
        <w:rPr>
          <w:rFonts w:hint="eastAsia" w:ascii="仿宋" w:hAnsi="仿宋" w:eastAsia="仿宋" w:cs="仿宋"/>
          <w:b/>
          <w:color w:val="auto"/>
          <w:szCs w:val="21"/>
          <w:highlight w:val="none"/>
        </w:rPr>
        <w:t>也无法导入的，则投标文件被否决。</w:t>
      </w:r>
    </w:p>
    <w:p>
      <w:pPr>
        <w:shd w:val="clear" w:color="auto" w:fill="auto"/>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.2投标人有下列情形之一的,资格审查后其投标作无效投标处理：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(2)投标人为本项目提供招标代理服务的；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(3)投标人与在本项目代理机构存在相互任职或工作的；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(4)投标保证金未按规定要求缴纳的；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r>
        <w:rPr>
          <w:rFonts w:hint="eastAsia" w:ascii="仿宋" w:hAnsi="仿宋" w:eastAsia="仿宋" w:cs="仿宋"/>
          <w:b w:val="0"/>
          <w:bCs w:val="0"/>
          <w:color w:val="auto"/>
          <w:szCs w:val="21"/>
          <w:highlight w:val="none"/>
        </w:rPr>
        <w:t>)评标专家无法查看并检验电子标书中相关资料的；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(6)投标人超出营业范围投标的；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(7)联合体投标未提交联合体协议的；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(8)被暂停营业的；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(9)被暂停或取消投标资格的；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(10)财产被接管或冻结的；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(11)投标人单位负责人为同一人或者存在控股、管理关系的不同单位的；</w:t>
      </w: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（12）投标人基本资格条件和特定资格条件中有一项及以上不符合要求的；</w:t>
      </w:r>
    </w:p>
    <w:p>
      <w:pPr>
        <w:shd w:val="clear" w:color="auto" w:fill="auto"/>
        <w:snapToGrid w:val="0"/>
        <w:spacing w:line="400" w:lineRule="exact"/>
        <w:ind w:firstLine="360" w:firstLineChars="15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（13）投标人使用相同的MAC地址进行报名的</w:t>
      </w:r>
      <w:r>
        <w:rPr>
          <w:rFonts w:hint="eastAsia" w:ascii="仿宋" w:hAnsi="仿宋" w:eastAsia="仿宋" w:cs="仿宋"/>
          <w:color w:val="auto"/>
          <w:szCs w:val="21"/>
          <w:highlight w:val="none"/>
          <w:lang w:eastAsia="zh-CN"/>
        </w:rPr>
        <w:t>；</w:t>
      </w: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（14）其它情形，经评标委员会提出按无效投标处理，并经公共资源交易监督部门核准的；</w:t>
      </w: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（15）投标人使用相同IP地址报名的，一经发现，监管部门将进一步核实，查实后按串通投标处理；</w:t>
      </w: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shd w:val="clear" w:color="auto" w:fill="auto"/>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.3 投标人有下列情形之一的,符合性审查后其投标按无效投标处理：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 投标文件</w:t>
      </w:r>
      <w:r>
        <w:rPr>
          <w:rFonts w:hint="eastAsia" w:ascii="仿宋" w:hAnsi="仿宋" w:eastAsia="仿宋" w:cs="仿宋"/>
          <w:color w:val="auto"/>
          <w:szCs w:val="21"/>
          <w:highlight w:val="none"/>
          <w:lang w:eastAsia="zh-CN"/>
        </w:rPr>
        <w:t>签章</w:t>
      </w:r>
      <w:r>
        <w:rPr>
          <w:rFonts w:hint="eastAsia" w:ascii="仿宋" w:hAnsi="仿宋" w:eastAsia="仿宋" w:cs="仿宋"/>
          <w:color w:val="auto"/>
          <w:szCs w:val="21"/>
          <w:highlight w:val="none"/>
        </w:rPr>
        <w:t>、盖章不全，经评标委员会一致认定对开评标内容有实质性影响并经监督部门核准的；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)未按规定的格式填写，实质性内容不全或关键字迹模糊、无法辨认; 经监督部门核准的；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)同一投标人提交两个以上不同的投标文件或者投标报价，但</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规定提交备选方案的除外；</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)投标文件没有对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的实质性要求和条件作出响应;</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)投标报价超出规定的投标限价或公布的采购预算的；注：投标人的投标报价各项单价均不得高于招标文件给定的单价最高限价，否则，其投标文件将按无效投标处理。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)不按评标委员会要求澄清、说明或补正的，或者评标委员会根据</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的规定对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的计算错误进行修正后，投标人不接受修正的投标报价的。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）其它情形，经评标委员会提出按无效投标处理，并经公共资源交易监督部门核准的；</w:t>
      </w:r>
    </w:p>
    <w:p>
      <w:pPr>
        <w:widowControl/>
        <w:shd w:val="clear" w:color="auto" w:fill="auto"/>
        <w:spacing w:line="5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shd w:val="clear" w:color="auto" w:fill="FFFFFF"/>
          <w:lang w:bidi="ar"/>
        </w:rPr>
        <w:t>未按照招标文件的规定提交投标保证金的；</w:t>
      </w:r>
    </w:p>
    <w:p>
      <w:pPr>
        <w:widowControl/>
        <w:shd w:val="clear" w:color="auto" w:fill="auto"/>
        <w:spacing w:line="5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shd w:val="clear" w:color="auto" w:fill="FFFFFF"/>
          <w:lang w:bidi="ar"/>
        </w:rPr>
        <w:t>投标文件含有采购人不能接受的附加条件的;</w:t>
      </w:r>
    </w:p>
    <w:p>
      <w:pPr>
        <w:shd w:val="clear" w:color="auto" w:fill="auto"/>
        <w:tabs>
          <w:tab w:val="left" w:pos="1123"/>
        </w:tabs>
        <w:snapToGrid w:val="0"/>
        <w:spacing w:line="5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.4 投标人有下列情形之一的, 详细评审后其投标按无效投标处理：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(1)投标产品不符合必须强制执行的国家标准的；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(2)投标人有串通投标、弄虚作假、行贿等违法行为；</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(3)投标文件含有违反国家法律、法规的内容，或附有招标人不能接受的条件的；</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（4）在同一项目（或同一标段）中有多个投标人有效投标报价接近最高限价，且评标委员会认为报价出现异常的，可以宣布其投标无效；</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（5）报价明显低于其他投标人，且不能证明报价合理性的投标无效；</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（6）拒不确认评标委员会评审修正的投标无效；</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（7）其它情形，经评标委员会提出按无效投标处理，并经公共资源交易监督部门核准的；</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（8）</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pageBreakBefore/>
        <w:shd w:val="clear" w:color="auto" w:fill="auto"/>
        <w:spacing w:line="360" w:lineRule="auto"/>
        <w:jc w:val="center"/>
        <w:outlineLvl w:val="0"/>
        <w:rPr>
          <w:rFonts w:hint="eastAsia" w:ascii="仿宋" w:hAnsi="仿宋" w:eastAsia="仿宋" w:cs="仿宋"/>
          <w:b/>
          <w:color w:val="auto"/>
          <w:sz w:val="32"/>
          <w:szCs w:val="32"/>
          <w:highlight w:val="none"/>
        </w:rPr>
        <w:sectPr>
          <w:footerReference r:id="rId7" w:type="default"/>
          <w:pgSz w:w="11906" w:h="16838"/>
          <w:pgMar w:top="1440" w:right="1080" w:bottom="1440" w:left="1080" w:header="851" w:footer="992" w:gutter="0"/>
          <w:pgNumType w:fmt="decimal" w:start="1"/>
          <w:cols w:space="720" w:num="1"/>
          <w:docGrid w:type="linesAndChars" w:linePitch="312" w:charSpace="0"/>
        </w:sectPr>
      </w:pPr>
    </w:p>
    <w:bookmarkEnd w:id="2"/>
    <w:p>
      <w:pPr>
        <w:pStyle w:val="3"/>
        <w:bidi w:val="0"/>
        <w:jc w:val="center"/>
        <w:rPr>
          <w:rFonts w:hint="eastAsia"/>
          <w:color w:val="auto"/>
          <w:lang w:eastAsia="zh-CN"/>
        </w:rPr>
      </w:pPr>
      <w:r>
        <w:rPr>
          <w:rFonts w:hint="eastAsia"/>
          <w:color w:val="auto"/>
          <w:lang w:eastAsia="zh-CN"/>
        </w:rPr>
        <w:t>第四章</w:t>
      </w:r>
      <w:r>
        <w:rPr>
          <w:rFonts w:hint="eastAsia"/>
          <w:color w:val="auto"/>
          <w:lang w:val="en-US" w:eastAsia="zh-CN"/>
        </w:rPr>
        <w:t xml:space="preserve">  采购货物清单</w:t>
      </w:r>
      <w:bookmarkEnd w:id="3"/>
      <w:bookmarkStart w:id="49" w:name="_Toc267320052"/>
      <w:bookmarkStart w:id="50" w:name="_Toc340225294"/>
    </w:p>
    <w:p>
      <w:pPr>
        <w:spacing w:line="360" w:lineRule="auto"/>
        <w:rPr>
          <w:rFonts w:hint="eastAsia" w:ascii="仿宋" w:hAnsi="仿宋" w:eastAsia="仿宋" w:cs="仿宋"/>
          <w:b/>
          <w:bCs/>
          <w:color w:val="auto"/>
          <w:sz w:val="24"/>
          <w:szCs w:val="24"/>
          <w:lang w:eastAsia="zh-CN"/>
        </w:rPr>
      </w:pPr>
    </w:p>
    <w:tbl>
      <w:tblPr>
        <w:tblStyle w:val="23"/>
        <w:tblW w:w="99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881"/>
        <w:gridCol w:w="5663"/>
        <w:gridCol w:w="844"/>
        <w:gridCol w:w="236"/>
        <w:gridCol w:w="570"/>
        <w:gridCol w:w="3"/>
        <w:gridCol w:w="765"/>
        <w:gridCol w:w="222"/>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3" w:type="dxa"/>
          <w:trHeight w:val="351" w:hRule="atLeast"/>
        </w:trPr>
        <w:tc>
          <w:tcPr>
            <w:tcW w:w="8700" w:type="dxa"/>
            <w:gridSpan w:val="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一、室内体育馆LED屏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3" w:type="dxa"/>
          <w:trHeight w:val="343" w:hRule="atLeast"/>
        </w:trPr>
        <w:tc>
          <w:tcPr>
            <w:tcW w:w="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设备名称</w:t>
            </w:r>
          </w:p>
        </w:tc>
        <w:tc>
          <w:tcPr>
            <w:tcW w:w="5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参数及特征描述</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80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预采购数量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3" w:type="dxa"/>
          <w:trHeight w:val="7018"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P2.0mm  LED显示屏</w:t>
            </w:r>
          </w:p>
        </w:tc>
        <w:tc>
          <w:tcPr>
            <w:tcW w:w="5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1.像素点间距:≤2.0mm；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2.像素密度≥250000点/㎡；屏体净画面尺寸为：14.08m*7.68m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3.单元箱体成品尺寸：长640mm*宽320mm*厚19mm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4.单元箱体显示比例：2：1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5.箱体平整度≤0.05mm，单元箱体/模组间水平、垂直相对错位值≤0.05mm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6.1R1G1B，SMD 表贴三合一，坚向线性排列；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7.白平衡亮度(nit) ≥1200cd/m’，支持屏体亮度在0-100%任意可调，持续亮度在 0-255级灰度可调;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8.色温1000K～20000K 无级可调，NTSC色域覆盖率≥125%NTSC；</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9.可视角度水平≥178°，垂直≥178°；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10.亮度均匀性≥99.7%；</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11.对比度≥18000:1；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12.灰度及颜色等级≥18bit；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13.刷新率≥3840HZ;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同时兼容前，后维护:模组采用前维护磁吸式结构,支持用户级模组前维护，可正面拆卸、安装灯板、接收卡、电源。同时箱体结构满足模组、电源、转接板等全部用户级模组后维护。支持模组、接收卡的带电维护、热插拔；（提供CNAS,CMA认证的第三方检测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15.支持软件实现 0-100%不同亮度情况下，灰度12-16bits 任意设置:100%亮度@16bits，50%亮度@14bits，20%亮度@12bits，同时支持 EPWM 灰阶控制技术提升低灰视觉效果，0-100%亮度时，8-16bits 任意灰度设置，70%亮度时，灰度≥16bits；（提供CNAS,CMA认证的第三方检测报告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16.亮度鉴别等级：SJ/T11141-20175.10.6规定;C级；（提供CNAS,CMA认证的第三方检测报告）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17.使用寿命≥200000小时；灯珠寿命 ≥200000 小时（提供CNAS,CMA认证的第三方检测报告）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18.符合 IEC62471:2006 标准的光生物安全及蓝光危害评估检测的无危害 类要求(豁免级),具备防蓝光护眼模式防眩光功能，（提供CNAS,CMA认证的第三方检测报告）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19.屏体可以实现支持双电力备份，屏体可以同时接入2 路电力供电互为备份方式，任意一电力故障不影响单元显示；（提供CNAS,CMA认证的第三方检测报告）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20.防反光工艺：屏体正面为黑色哑光处理，反光率小于0.2%；（提供CNAS,CMA认证的第三方检测报告）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21.灯珠外层：灯珠外层具备透明哑光保护层，采用纳米涂覆技术，阻隔灯珠与外部的接触，材质硬度等级 HRC8级，灯珠表面使用无划痕；（提供CNAS,CMA认证的第三方检测报告）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23.响应国家号召减少碳排放。（提供CNAS,CMA认证的第三方检测报告）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24.产品可通过控制系统可实现远程监督控制,对可能发生的潜在故障记录日志，并向操作员发出警报信号（提供CNAS,CMA认证的第三方检测报告）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25.屏体可以支特配置 3D 视频处理器、换帧频率120Hz时的3D画面显示；（提供CNAS,CMA认证的第三方检测报告）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26.投标产品支持对图像清晰度、饱和度、色度调节、对比度亮度进行综合式一键视觉修正,具备降噪、增强运动补偿、色坐标色彩变换处理、钝化处理功能，支持 HDR 高动态范围图像技术显示。（提供CNAS,CMA认证的第三方检测报告）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27.投标产品需具备阻燃测试：PCB、线材、面罩、满足 UL94V-0 阻燃等级要求（依据 GB/T2408-2008, GB/T5169.16-2008 标准测试，模组PCB、电源 PCB、接收卡 PCB 以及 HUB 板等组件阻燃等级符合 V-0 级标准）；（提供CNAS,CMA认证的第三方检测报告）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28.语音控制：屏体可以支持语音指令识别,可通过语音实现屏幕亮度调节、色温切换、场景切换、系统信息查看；（提供CNAS,CMA认证的第三方检测报告）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29.抗紫外线：在以下环境条件下，8h 干燥，辐照度：340nm 时， 0.76W·m-2·nm-1,黑标温度：60℃±3℃;4h 凝露，关闭光源，黑标温度：50℃±3℃. 循环测试 168 小时。试验后产品应正常工作。（提供CNAS,CMA认证的第三方检测报告）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30.具有LED控制系统操控软件著作权证书、LED显示管理软件著作权证书、多语言管理服务软件著作权证书，提供原件彩色扫描件和和可查询的真伪证明。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31.为保证产品的可靠性和稳定性，LED显示屏制造商具备质量/服务诚信单位等级为AAA级及以上，提供原件彩色扫描件和和可查询的真伪证明。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32.为有效保证产品质量，产品需具有3C认证，证书中委托人名称、生产者名称、生产企业必须为同一名称，提供原件彩色扫描件和和可查询的真伪证明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33.需提供LED显示屏生产厂商出具的售后服务承诺函。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34.质保期限三年</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80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23" w:type="dxa"/>
          <w:trHeight w:val="883"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信号接收卡</w:t>
            </w:r>
          </w:p>
        </w:tc>
        <w:tc>
          <w:tcPr>
            <w:tcW w:w="566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1.集成HUB75，无需再配转接板，更方便，成本更低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2.减少接插连接件，减少故障点，故障率更低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3.支持常规芯片实现高刷新、高灰度、高亮度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4.全新灰度引擎，低灰度表现更佳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5.细节处理更完美，可消除单元板设计引起的某行偏暗、低灰偏红、鬼影等问题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6.支持高精度的色度、亮度一体化逐点校正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7.支持市场主流的常规芯片、PWM芯片、士兰芯片等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8.支持静态到128扫之间的任意扫描类型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9.支持任意抽点，支持数据组偏移，可轻松实现各种异型屏、球形屏、创意显示屏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10.支持任意抽行抽列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11.支持箱体标定标序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12.单卡支持16组RGB信号输出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13.支持超大带载面积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14.支持DC3.8V~5.5V超宽工作电压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15.运输及存储温度为-40℃至125℃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16.工作温度范围为-25℃至75℃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17.提供厂家售后服务承诺书；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18.大屏幕参数设置必须提供国家新闻出版广电总局、广播电视规划院、广播电视计量检测中心检测报告；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19.为保证接收卡能够持久运行，需具有电击和能量危险的防护（并提供CMA、CNAS、的第三方厂家盖章检测报告）</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批</w:t>
            </w:r>
          </w:p>
        </w:tc>
        <w:tc>
          <w:tcPr>
            <w:tcW w:w="80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226" w:type="dxa"/>
          <w:trHeight w:val="211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视频控制处理器</w:t>
            </w:r>
          </w:p>
        </w:tc>
        <w:tc>
          <w:tcPr>
            <w:tcW w:w="5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1.设备支持DVI、HDMI1.4、3G-SDI等多类型输入板卡，最大支持4路1920×1200@60Hz。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2.支持HDMI2.0、DP1.2接口，单路接口最大支持4096×2160@60Hz。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3.支持输入23.98Hz至144Hz帧率，支持8/10bit视频源输入。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4.高清接口支持HDCP协议的高带宽数字内容保护技术。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5.支持输入源自定义名称，在线状态实时监测。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6.4路HDMI输入卡：采用4路HDMI1.4接口，支持4路接口同时输入2K信号；单路最大输入分辨率为1920×1200@60Hz；每路信号支持自定义分辨率和EDID管理；每路信号支持独立裁剪、缩放；单路极限宽度4096（4096×512@60Hz）；单路极限高度4096（512×4096@60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7.6张10路网口输出卡：采用10路RJ45千兆网口；单路输出8bit、60Hz时，最大带载为65万像素点；单张板卡最大带载650万像素，最宽或最高16384像素。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8.提供厂家售后服务承诺书；                                                                                                                                                                                     9.支持倍帧倍频功能，可以将输入为30Hz的信号转成60Hz信号输出。（提供CMA、CNAS的第三方厂家盖章检测报告）                                                                                                  10.支持输出画质调整，包括0-100亮度自由调节、对比度、饱和度、色调 、亮度补偿、gamma等，测试画面调整，结合现场环境便于测试调节。（提供CMA、CNAS的第三方厂家盖章检测报告）                                                                                                  11.支持多种视频输出模式，单卡支持16个图层， 有效提高屏幕利用率， 可实现单卡任意开窗、叠加、脱开、拼接、无极缩放；支持图层画面截取、图层设置、 图层翻转。（提供CMA、CNAS的第三方厂家盖章检测报告）                                                                                                                                                                                                           12.为简化系统架构，减少维修成本，设备需支持输出卡集成LED发送卡，可直接对接LED接收卡，光口、网口可选，支持超远距离传输。（提供CMA、CNAS。的第三方厂家盖章检测报告）                                                ★13.最大支持32 (16X2) 个输入源、真4K(3840*2160@60Hz, RGB4:4:4,8bit, 10bit) 分辨确保画面流畅，最大支持64KK点对点， 提供无与伦比的HDR显示体验。（提供CMA、CNAS的第三方厂家盖章检测报告）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14.支持安卓9. 0以上和 IOS 系统10.3以上；支持用户权限管理； 支持信号源名称自定义修改；支持预设模式、 场景预览、 支持平板回显预览号；支持字幕设置等。（提供CMA、CNAS的第三方厂家盖章检测报告）                                                              15.提供LED显示屏专业拼控软件软著证书、提供多画面处理器软件软著证书、提供二合一视频处理器软件软著证书。</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226" w:type="dxa"/>
          <w:trHeight w:val="707" w:hRule="atLeast"/>
        </w:trPr>
        <w:tc>
          <w:tcPr>
            <w:tcW w:w="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操控软件</w:t>
            </w:r>
          </w:p>
        </w:tc>
        <w:tc>
          <w:tcPr>
            <w:tcW w:w="5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提供LED显示屏控制和播放软件（该电脑软件与LED电源及专用配电柜相联动，实现用操控软件启动、关闭LED大屏）</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226" w:type="dxa"/>
          <w:trHeight w:val="357" w:hRule="atLeast"/>
        </w:trPr>
        <w:tc>
          <w:tcPr>
            <w:tcW w:w="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控制电脑</w:t>
            </w:r>
          </w:p>
        </w:tc>
        <w:tc>
          <w:tcPr>
            <w:tcW w:w="5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台式电脑(13代i5-13400 16G 1TB HDD+512G SSD win11)23英寸</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226" w:type="dxa"/>
          <w:trHeight w:val="357" w:hRule="atLeast"/>
        </w:trPr>
        <w:tc>
          <w:tcPr>
            <w:tcW w:w="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显示屏安装支架</w:t>
            </w:r>
          </w:p>
        </w:tc>
        <w:tc>
          <w:tcPr>
            <w:tcW w:w="5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落地式钢架安装，采用镀锌钢材焊接，双层70公分后维护结构</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226" w:type="dxa"/>
          <w:trHeight w:val="707" w:hRule="atLeast"/>
        </w:trPr>
        <w:tc>
          <w:tcPr>
            <w:tcW w:w="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边框结构处理</w:t>
            </w:r>
          </w:p>
        </w:tc>
        <w:tc>
          <w:tcPr>
            <w:tcW w:w="5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显示屏四周需使用铝塑板（或按甲方要求材质）封包装饰，采用镀锌钢管作龙骨，与显示屏支架焊接一起。</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226" w:type="dxa"/>
          <w:trHeight w:val="357" w:hRule="atLeast"/>
        </w:trPr>
        <w:tc>
          <w:tcPr>
            <w:tcW w:w="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边框包边</w:t>
            </w:r>
          </w:p>
        </w:tc>
        <w:tc>
          <w:tcPr>
            <w:tcW w:w="5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采用无指纹拉丝不锈钢，颜色现场调配。</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226" w:type="dxa"/>
          <w:trHeight w:val="343" w:hRule="atLeast"/>
        </w:trPr>
        <w:tc>
          <w:tcPr>
            <w:tcW w:w="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信号传输</w:t>
            </w:r>
          </w:p>
        </w:tc>
        <w:tc>
          <w:tcPr>
            <w:tcW w:w="5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六类网线</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箱</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226" w:type="dxa"/>
          <w:trHeight w:val="343" w:hRule="atLeast"/>
        </w:trPr>
        <w:tc>
          <w:tcPr>
            <w:tcW w:w="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电源线</w:t>
            </w:r>
          </w:p>
        </w:tc>
        <w:tc>
          <w:tcPr>
            <w:tcW w:w="5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特变RVV3*4mm²</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226" w:type="dxa"/>
          <w:trHeight w:val="343" w:hRule="atLeast"/>
        </w:trPr>
        <w:tc>
          <w:tcPr>
            <w:tcW w:w="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主电缆线</w:t>
            </w:r>
          </w:p>
        </w:tc>
        <w:tc>
          <w:tcPr>
            <w:tcW w:w="5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特变4*90+1电缆</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226" w:type="dxa"/>
          <w:trHeight w:val="343" w:hRule="atLeast"/>
        </w:trPr>
        <w:tc>
          <w:tcPr>
            <w:tcW w:w="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动力配电柜</w:t>
            </w:r>
          </w:p>
        </w:tc>
        <w:tc>
          <w:tcPr>
            <w:tcW w:w="5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根据现场配电需要配备180KW带载</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226" w:type="dxa"/>
          <w:trHeight w:val="357" w:hRule="atLeast"/>
        </w:trPr>
        <w:tc>
          <w:tcPr>
            <w:tcW w:w="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安装辅材</w:t>
            </w:r>
          </w:p>
        </w:tc>
        <w:tc>
          <w:tcPr>
            <w:tcW w:w="5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屏体内电源线、排线、网线、磁吸；穿线PVC管、扣件等</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批</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226" w:type="dxa"/>
          <w:trHeight w:val="707" w:hRule="atLeast"/>
        </w:trPr>
        <w:tc>
          <w:tcPr>
            <w:tcW w:w="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LED电源及专用配电柜</w:t>
            </w:r>
          </w:p>
        </w:tc>
        <w:tc>
          <w:tcPr>
            <w:tcW w:w="5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120KW配电柜/ 配电箱需支持PLC远程多功能上电控制，手自动切换、分时上电、延时启动、延时关闭、断电回复。</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226" w:type="dxa"/>
          <w:trHeight w:val="532" w:hRule="atLeast"/>
        </w:trPr>
        <w:tc>
          <w:tcPr>
            <w:tcW w:w="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开关电源</w:t>
            </w:r>
          </w:p>
        </w:tc>
        <w:tc>
          <w:tcPr>
            <w:tcW w:w="5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200W/5V/40A/具有短路保护、过流过压过载保护等功能；支持80%到100%带载调节。</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批</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226" w:type="dxa"/>
          <w:trHeight w:val="357" w:hRule="atLeast"/>
        </w:trPr>
        <w:tc>
          <w:tcPr>
            <w:tcW w:w="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备品备件</w:t>
            </w:r>
          </w:p>
        </w:tc>
        <w:tc>
          <w:tcPr>
            <w:tcW w:w="5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成品箱体6台，电源三芯线20根，排线50根，专用吸盘2台等。</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503"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auto"/>
                <w:sz w:val="21"/>
                <w:szCs w:val="21"/>
                <w:u w:val="none"/>
              </w:rPr>
            </w:pPr>
          </w:p>
        </w:tc>
        <w:tc>
          <w:tcPr>
            <w:tcW w:w="881"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auto"/>
                <w:sz w:val="21"/>
                <w:szCs w:val="21"/>
                <w:u w:val="none"/>
              </w:rPr>
            </w:pPr>
          </w:p>
        </w:tc>
        <w:tc>
          <w:tcPr>
            <w:tcW w:w="5663" w:type="dxa"/>
            <w:tcBorders>
              <w:top w:val="nil"/>
              <w:left w:val="nil"/>
              <w:bottom w:val="nil"/>
              <w:right w:val="nil"/>
            </w:tcBorders>
            <w:shd w:val="clear" w:color="auto" w:fill="FFFFFF"/>
            <w:vAlign w:val="center"/>
          </w:tcPr>
          <w:p>
            <w:pPr>
              <w:jc w:val="left"/>
              <w:rPr>
                <w:rFonts w:hint="eastAsia" w:ascii="宋体" w:hAnsi="宋体" w:eastAsia="宋体" w:cs="宋体"/>
                <w:i w:val="0"/>
                <w:iCs w:val="0"/>
                <w:color w:val="auto"/>
                <w:sz w:val="21"/>
                <w:szCs w:val="21"/>
                <w:u w:val="none"/>
              </w:rPr>
            </w:pPr>
          </w:p>
        </w:tc>
        <w:tc>
          <w:tcPr>
            <w:tcW w:w="844"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auto"/>
                <w:sz w:val="21"/>
                <w:szCs w:val="21"/>
                <w:u w:val="none"/>
              </w:rPr>
            </w:pPr>
          </w:p>
        </w:tc>
        <w:tc>
          <w:tcPr>
            <w:tcW w:w="236"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auto"/>
                <w:sz w:val="21"/>
                <w:szCs w:val="21"/>
                <w:u w:val="none"/>
              </w:rPr>
            </w:pPr>
          </w:p>
        </w:tc>
        <w:tc>
          <w:tcPr>
            <w:tcW w:w="1338" w:type="dxa"/>
            <w:gridSpan w:val="3"/>
            <w:tcBorders>
              <w:top w:val="nil"/>
              <w:left w:val="nil"/>
              <w:bottom w:val="nil"/>
              <w:right w:val="nil"/>
            </w:tcBorders>
            <w:shd w:val="clear" w:color="auto" w:fill="FFFFFF"/>
            <w:vAlign w:val="center"/>
          </w:tcPr>
          <w:p>
            <w:pPr>
              <w:jc w:val="center"/>
              <w:rPr>
                <w:rFonts w:hint="eastAsia" w:ascii="宋体" w:hAnsi="宋体" w:eastAsia="宋体" w:cs="宋体"/>
                <w:i w:val="0"/>
                <w:iCs w:val="0"/>
                <w:color w:val="auto"/>
                <w:sz w:val="21"/>
                <w:szCs w:val="21"/>
                <w:u w:val="none"/>
              </w:rPr>
            </w:pPr>
          </w:p>
        </w:tc>
        <w:tc>
          <w:tcPr>
            <w:tcW w:w="222"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1"/>
                <w:szCs w:val="21"/>
                <w:u w:val="none"/>
              </w:rPr>
            </w:pPr>
          </w:p>
        </w:tc>
        <w:tc>
          <w:tcPr>
            <w:tcW w:w="236"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23" w:type="dxa"/>
          <w:trHeight w:val="697" w:hRule="atLeast"/>
        </w:trPr>
        <w:tc>
          <w:tcPr>
            <w:tcW w:w="8700"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1、所投产品原厂保修贰年，保修卡加盖厂家公章。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2、为保证系统的稳定性，</w:t>
            </w:r>
            <w:r>
              <w:rPr>
                <w:rFonts w:hint="eastAsia" w:ascii="宋体" w:hAnsi="宋体" w:eastAsia="宋体" w:cs="宋体"/>
                <w:i w:val="0"/>
                <w:iCs w:val="0"/>
                <w:color w:val="auto"/>
                <w:kern w:val="0"/>
                <w:sz w:val="21"/>
                <w:szCs w:val="21"/>
                <w:u w:val="none"/>
                <w:shd w:val="clear"/>
                <w:lang w:val="en-US" w:eastAsia="zh-CN" w:bidi="ar"/>
              </w:rPr>
              <w:t>所选用主设备及其他配套设备应为统一品牌。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3、所投产品需提供国家省级或以上检测机构出具的检测报告，检测机构须通过“CMA”、“CNAS”认证资格。</w:t>
            </w:r>
          </w:p>
        </w:tc>
      </w:tr>
    </w:tbl>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tbl>
      <w:tblPr>
        <w:tblStyle w:val="23"/>
        <w:tblW w:w="88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9"/>
        <w:gridCol w:w="1116"/>
        <w:gridCol w:w="4834"/>
        <w:gridCol w:w="563"/>
        <w:gridCol w:w="423"/>
        <w:gridCol w:w="477"/>
        <w:gridCol w:w="87"/>
        <w:gridCol w:w="373"/>
        <w:gridCol w:w="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682" w:type="dxa"/>
          <w:trHeight w:val="553" w:hRule="atLeast"/>
        </w:trPr>
        <w:tc>
          <w:tcPr>
            <w:tcW w:w="8172" w:type="dxa"/>
            <w:gridSpan w:val="6"/>
            <w:tcBorders>
              <w:top w:val="nil"/>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红色教育系统(中标商赠送)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682" w:type="dxa"/>
          <w:trHeight w:val="309"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设备名称</w:t>
            </w:r>
          </w:p>
        </w:tc>
        <w:tc>
          <w:tcPr>
            <w:tcW w:w="4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参数及特征描述</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预采购数量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682" w:type="dxa"/>
          <w:trHeight w:val="6645"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VR头显</w:t>
            </w:r>
          </w:p>
        </w:tc>
        <w:tc>
          <w:tcPr>
            <w:tcW w:w="4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4K超清（含256g存储卡）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高通骁龙835 八核2.45GHz，64位，Kryo280 CPU，10nm制程工艺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Adreno 540 GPU</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Hexagon 682 DSP</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屏幕：3840x2160 5.5寸显示屏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75Hz刷新率，Fast-Switch快速响应技术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镜片：菲涅尔镜片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视场角：101°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可佩戴眼镜设计，无需视力调节，自适应瞳距</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内置“护眼模式”，可在系统设置中开启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内存： 4GB LPDDR4X 1866MHz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闪存： 32GB UFS2.1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最高支持256GB Micro-SD卡扩展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高精度九轴传感器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距离传感器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头盔：轻质聚合物机身，薄壁注塑工艺，航空级轻金属，织物材质前面板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面罩：高透气性泡棉，轻质复合支撑结构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佩戴：T型佩戴结构，自适应顶部绑带，机身电池后置设计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一体机电池：3500mAh 电池，约3小时影音连续使用时间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体感手柄：两节AAA电池，约40小时使用时间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一体机无线功能：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802.11b/g/n/ac 2.4G/5G WIFI连接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手柄无线功能：蓝牙4.2无线连接</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82" w:type="dxa"/>
          <w:trHeight w:val="36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无线路由</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（联播版）</w:t>
            </w:r>
          </w:p>
        </w:tc>
        <w:tc>
          <w:tcPr>
            <w:tcW w:w="4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类型：企业级无线路由器；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传输频段：2.4GHz频段；5GHz频段；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传输速率：≥2600M；无线桥接：支持；天线增益：≥5dBi；</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传输标准：IEEE 802.11n；IEEE 802.11g；IEEE 802.11b；IEEE 802.11.ac；IEEE 802.11.a；IEEE 802.3；IEEE 802.3u；IEEE 802.3ab；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工作温度：0℃～40℃；存储温度：-40℃～70℃；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安全标准：支持WPA/WPA2-PSK加密、防暴力破解算法、访客Wi-Fi隔离、一键拉黑、MAC地址过滤、防可疑包攻击、防Flood攻击等网络安全防护；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特性：微信连wifi/防火墙/上网行为管理/VPN/千兆有线/双频高速；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无线带机量：≥150（2.4GHz≥50台+5GHz≥100台）；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接口：≥1个千兆WAN口，≥1个千兆LAN口，≥3个千兆WAN/LAN可变口。</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682" w:type="dxa"/>
          <w:trHeight w:val="141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耳机</w:t>
            </w:r>
          </w:p>
        </w:tc>
        <w:tc>
          <w:tcPr>
            <w:tcW w:w="4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连接方式3.5mm插头 发声原理动圈耳机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佩戴方式入耳式，耳塞式 频响范围20-20000Hz 产品阻抗32欧姆 灵敏度 100dB 额定功率5W 插头类型I直型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其他参数 线控器 支持纠错 耳机线 1.25m 外形设计45°斜角入耳式设计 外壳材质漆包铜线.</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682" w:type="dxa"/>
          <w:trHeight w:val="300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高性能服务器（联播版）</w:t>
            </w:r>
          </w:p>
        </w:tc>
        <w:tc>
          <w:tcPr>
            <w:tcW w:w="4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CPU系列英特尔 酷睿i7 10代系列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CPU&gt;CPU主频2.8GHz最高睿频3.8GHz运行流畅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核心/线程数四核心/八线程多任务运行强更多四核心/八线程笔记本&gt;三级缓存6MB总线规格DMI 8 GT/s核心架构Kaby Lake&gt;制程工艺14nm功耗45W耗电高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内存容量8GB（8GB×1）运行流畅热门游戏本&gt;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内存类型DDR4 2400MHz插槽数量2xSO-DIMM最大内存容量32GB硬盘容量512GB&gt;硬盘描述SSD固态硬盘&gt;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光驱类型无内置光驱&gt;显示屏触控屏 不支持触控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屏幕尺寸15.6英寸15.6游戏、便捷更多15.6英寸笔记本&gt;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显示比例16:9屏幕分辨率 1920x1080全高清屏更多全高清屏笔记本&gt;屏幕技术FHD，LED背光&gt;，72%色域，雾面IPS高清屏显卡显卡类型发烧级独立显卡显卡芯片NVIDIA GeForce GTX 1060显存容量6GB显示流畅更多6GB显存笔记本&gt;显存类型GDDR5&gt;显存位宽192bit&gt;多媒体设备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摄像头 1.0M HD视频摄像头高清音频系统内置音效芯片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扬声器 低音炮麦克风 内置麦克风网络通信无线网卡Intel 3165 AC，支持802.11a/b/g/n/ac无线协议，支持双频（2.4GHz+5GHz）有线网卡 1000Mbps以太网卡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蓝牙 支持，蓝牙4.0模块I/O接口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数据接口2×USB3.0，USB3.1 Type-C接口，USB3.1 Type-A接口视频接口HDMI&gt;，Mini DisplayPort&gt;音频接口耳机输出接口，麦克风输入接口其它接口RJ45（网络接口），电源接口读卡器 4合1读卡器（MMC，SD，SDHC，SDXC）</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682" w:type="dxa"/>
          <w:trHeight w:val="3327"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联播系统</w:t>
            </w:r>
          </w:p>
        </w:tc>
        <w:tc>
          <w:tcPr>
            <w:tcW w:w="4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控制模式：集体控制多用户同步体验同一VR内容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自由模式：控制端放权给用户，用户自由选择VR内容体验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混选模式：控制部分用户集体体验，部分用户自由体验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支持VR视频体验（包含2D/360/3D360/3D180等多种视频格式）支持VR全景图体验 支持VR安卓应用体验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支持各形式VR内容多级分类查找，快速查找VR内容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支持256G扩展内存，存储更多资源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高安全级别的自研加密算法 支持对VR视频、VR全景图片、VR应用加密 控制端实时获取各个VR设备的运行状态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控制端实时查看各个VR设备电量信息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控制端实时监控某个用户的客户端画面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控制端实时控制用户体验进度</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82" w:type="dxa"/>
          <w:trHeight w:val="12175"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内容系统 《红色教育》系列课程</w:t>
            </w:r>
          </w:p>
        </w:tc>
        <w:tc>
          <w:tcPr>
            <w:tcW w:w="4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★1.所有 VR 红色教育资源内容均为红色教育基地实地真实场景全景拍摄，且为非建模类全景视频资源，红色育基地 VR 资源内容不少于 70 个，每个资源内容时长不少于 8 分钟；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★2.视频规格:分辨率:4k，广播级色域及白平衡标准；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★3.每个红色教育基地 VR 资源内容均有专业主持人全程讲解，重点内容有解说字幕，cg 特效展示；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▲4.因涉及党史国史，须提供 VR 红色教育资源内容拍摄方的广播电视节目制作经营许可证（复印件）、▲须提供拍摄方省级及以上宣传部对于红色 VR内容的批示许可文件（复印件）、▲并须提供 VR 资源内容版权所有方授权书（扫描件）；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★5、资源内容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1.百团大战纪念馆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2.八路军115师司令部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3.八路军西安办事处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4.滨海红色文化纪念园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5.陈云故居暨青浦纪念馆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6.邓小平故居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7.地雷战纪念馆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8.第一次全国代表大会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9.古田会议纪念馆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10.广西烈士陵园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11.广州起义烈士陵园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12.海军博物馆核潜艇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13.海军博物馆水面舰艇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14.海军诞生地纪念馆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15.红军突破湘江纪念馆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16.红军西路军纪念馆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17.红军长征过丽江纪念馆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18.葫芦岛塔山烈士陵园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19.沪太路-好把脸</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20.华东烈士陵园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21.淮海战役烈士纪念塔</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22.黄桥战役纪念馆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23.济南革命烈士陵园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24.冀鲁豫边区革命纪念馆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25.金乡战役纪念馆最终版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26.井冈山革命纪念地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27.孔子故居-孔林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28.孔子故居-孔府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29.孔子故居-孔庙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30.拉萨烈士林园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31.莱芜站以纪念馆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32.兰州市烈士陵园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33.雷锋纪念馆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34.聊城孔繁森纪念馆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35.刘少奇纪念馆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36.六盘山红军长征纪念馆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37.鲁西南战役指挥部旧址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38.茅山新四军纪念馆39.孟良崮战役纪念馆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40.南昌八一起义纪念馆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41.南湖革命纪念馆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42.南京路-好八连</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43.平津战役纪念馆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44.平型关战役遗址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45.清苑冉庄地道战遗址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46.瑞金中央革命根据地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47.沙家浜革命历史纪念馆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48.山东省博物馆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49.商丘淮海战役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50.上海龙华烈士陵园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51.韶山毛泽东纪念馆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52.世界反法西斯纪念园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53.四平战役纪念馆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54.台儿庄大战纪念馆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55.太原解放纪念馆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56.天福山革命一直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57.铁道游击队纪念园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58.铁人王进喜纪念馆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59.王稼祥纪念园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60.武昌农民运动讲习所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61.西柏坡中共中央旧址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62.新四军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63.新四军纪念馆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64.新四军江南指挥部纪念馆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65.雨花台烈士陵园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66.中共二大会址纪念馆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67.中国甲午海战博物馆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68.中国抗日战争纪念馆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69.周恩来纪念馆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70.遵义会议纪念馆</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682" w:type="dxa"/>
          <w:trHeight w:val="2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u w:val="none"/>
              </w:rPr>
            </w:pPr>
          </w:p>
        </w:tc>
        <w:tc>
          <w:tcPr>
            <w:tcW w:w="48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59"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21"/>
                <w:szCs w:val="21"/>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21"/>
                <w:szCs w:val="21"/>
                <w:u w:val="none"/>
              </w:rPr>
            </w:pPr>
          </w:p>
        </w:tc>
        <w:tc>
          <w:tcPr>
            <w:tcW w:w="4834"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21"/>
                <w:szCs w:val="21"/>
                <w:u w:val="none"/>
              </w:rPr>
            </w:pPr>
          </w:p>
        </w:tc>
        <w:tc>
          <w:tcPr>
            <w:tcW w:w="563"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21"/>
                <w:szCs w:val="21"/>
                <w:u w:val="none"/>
              </w:rPr>
            </w:pPr>
          </w:p>
        </w:tc>
        <w:tc>
          <w:tcPr>
            <w:tcW w:w="423"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21"/>
                <w:szCs w:val="21"/>
                <w:u w:val="none"/>
              </w:rPr>
            </w:pPr>
          </w:p>
        </w:tc>
        <w:tc>
          <w:tcPr>
            <w:tcW w:w="564"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auto"/>
                <w:sz w:val="21"/>
                <w:szCs w:val="21"/>
                <w:u w:val="none"/>
              </w:rPr>
            </w:pPr>
          </w:p>
        </w:tc>
        <w:tc>
          <w:tcPr>
            <w:tcW w:w="373"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21"/>
                <w:szCs w:val="21"/>
                <w:u w:val="none"/>
              </w:rPr>
            </w:pPr>
          </w:p>
        </w:tc>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682" w:type="dxa"/>
          <w:trHeight w:val="277" w:hRule="atLeast"/>
        </w:trPr>
        <w:tc>
          <w:tcPr>
            <w:tcW w:w="8172"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注意：1、招标方不再支付设备运输、安装等费用。2、投标人可按招标文件中发布的时间勘测到现场勘测。</w:t>
            </w:r>
          </w:p>
        </w:tc>
      </w:tr>
    </w:tbl>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tbl>
      <w:tblPr>
        <w:tblStyle w:val="23"/>
        <w:tblW w:w="8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808"/>
        <w:gridCol w:w="5599"/>
        <w:gridCol w:w="585"/>
        <w:gridCol w:w="9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8600" w:type="dxa"/>
            <w:gridSpan w:val="5"/>
            <w:tcBorders>
              <w:top w:val="nil"/>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三、室内体育馆主席台灯光设备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设备名称</w:t>
            </w:r>
          </w:p>
        </w:tc>
        <w:tc>
          <w:tcPr>
            <w:tcW w:w="5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参数及特征描述</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9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预采购数量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5"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摇头光束灯</w:t>
            </w:r>
          </w:p>
        </w:tc>
        <w:tc>
          <w:tcPr>
            <w:tcW w:w="5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电压：110-240V,50/60HZ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耗电功率：600W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通道模式2024CH国际标准DMX512通道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光源：原装进口欧司朗380W 灯泡；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七彩：6色+白光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色温8400K</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双调焦：一个调焦一个放大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出光角度0-2°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水平540°,解析角度8/18Bit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频闪0-30秒,并不可选择随机频闪及脉冲频闪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垂直270°,解析角度8/18Bit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显示2.8寸彩屏显示:中英文切换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调光0-100%线性调光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雾化0-100%线性雾化雾化角度15°-60°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颜色盘14个颜色+白光带双向旋转的彩虹效果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图案盘：4个旋转图案流水转动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固定图案盘：17个固定图案+白光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棱镜：排镜+8棱镜/32棱镜,8+16棱镜/3层8+16+24棱镜,可叠加实现15种棱镜效果独立6釆棱镜效果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灯具附件</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3"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面光灯     （LED成像灯）</w:t>
            </w:r>
          </w:p>
        </w:tc>
        <w:tc>
          <w:tcPr>
            <w:tcW w:w="5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电源：AC100-240V50-60HZ，信号：DMX512信号，电源消耗功率：最大220W， 超高亮度200W ，COB集成光源LED，色温3200K（6500K），显色性指数：CRI&gt;85， 控制：3DMX通道，LCD显示屏，4种调光曲线，可选择，主从机同步，单独自走，光束角度：手动17-50度，光学照度：2400Lux/5m，刷新频率：2000HZ，散热处理：铜管导热+静音风扇，防水等级：IP20，工作时温度：LED中心温度&gt;40度， 防伪：机身携防伪标志，可通过网站查询产品身份。灯具附件</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面光顶光灯</w:t>
            </w:r>
          </w:p>
        </w:tc>
        <w:tc>
          <w:tcPr>
            <w:tcW w:w="5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光源：36颗10W 高亮度LED</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四合一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寿命：6-10万小时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LED 角度：15°,25°,45°（可供选择）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控制：DMX512、主从控制、自走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通道： 8通道（数码显示）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灯具附件</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一道顶光灯</w:t>
            </w:r>
          </w:p>
        </w:tc>
        <w:tc>
          <w:tcPr>
            <w:tcW w:w="5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光源：36颗10W 高亮度LED</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四合一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寿命：6-10万小时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LED 角度：15°,25°,45°（可供选择）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控制：DMX512、主从控制、自走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通道： 8通道（数码显示）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灯具附件</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6"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二道顶光灯</w:t>
            </w:r>
          </w:p>
        </w:tc>
        <w:tc>
          <w:tcPr>
            <w:tcW w:w="5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65"/>
                <w:rFonts w:hint="eastAsia" w:ascii="宋体" w:hAnsi="宋体" w:eastAsia="宋体" w:cs="宋体"/>
                <w:color w:val="auto"/>
                <w:sz w:val="21"/>
                <w:szCs w:val="21"/>
                <w:lang w:val="en-US" w:eastAsia="zh-CN" w:bidi="ar"/>
              </w:rPr>
              <w:t xml:space="preserve">输入电压： AC100-240V 50/60Hz </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LED光源： 每颗：</w:t>
            </w:r>
            <w:r>
              <w:rPr>
                <w:rStyle w:val="48"/>
                <w:rFonts w:hint="eastAsia" w:ascii="宋体" w:hAnsi="宋体" w:eastAsia="宋体" w:cs="宋体"/>
                <w:color w:val="auto"/>
                <w:sz w:val="21"/>
                <w:szCs w:val="21"/>
                <w:lang w:val="en-US" w:eastAsia="zh-CN" w:bidi="ar"/>
              </w:rPr>
              <w:t>≧</w:t>
            </w:r>
            <w:r>
              <w:rPr>
                <w:rStyle w:val="65"/>
                <w:rFonts w:hint="eastAsia" w:ascii="宋体" w:hAnsi="宋体" w:eastAsia="宋体" w:cs="宋体"/>
                <w:color w:val="auto"/>
                <w:sz w:val="21"/>
                <w:szCs w:val="21"/>
                <w:lang w:val="en-US" w:eastAsia="zh-CN" w:bidi="ar"/>
              </w:rPr>
              <w:t>5W（RGBW）</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功     率：≧470W</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数     量：≧84颗（20R＋22G＋22B+20W）</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寿     命：50000小时</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色温校正： 7200K~3200K线性调节</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颜    色： RGBW(红/绿/蓝/白)线性混色；内置宏功能</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光束角度： 22°；可选17°/60°/61°</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线性调光： 独立电子线性调光0~100%</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高速频闪： 独立电子频闪1-25Hz，可随机频闪，脉冲频闪，同步异步频闪</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控制通道： 8个控制通道</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协    议： 标准DMX512协议，主从控制模式</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菜单显示： LED显示</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DMX信号连接：三芯XLR输入/输出</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安全保护：过流、过压、电子感应过热保护</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工作环境： -40°C～+45°C</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灯具附件</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6"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三道顶光灯</w:t>
            </w:r>
          </w:p>
        </w:tc>
        <w:tc>
          <w:tcPr>
            <w:tcW w:w="5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65"/>
                <w:rFonts w:hint="eastAsia" w:ascii="宋体" w:hAnsi="宋体" w:eastAsia="宋体" w:cs="宋体"/>
                <w:color w:val="auto"/>
                <w:sz w:val="21"/>
                <w:szCs w:val="21"/>
                <w:lang w:val="en-US" w:eastAsia="zh-CN" w:bidi="ar"/>
              </w:rPr>
              <w:t xml:space="preserve">输入电压： AC100-240V 50/60Hz </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LED光源： 每颗：</w:t>
            </w:r>
            <w:r>
              <w:rPr>
                <w:rStyle w:val="48"/>
                <w:rFonts w:hint="eastAsia" w:ascii="宋体" w:hAnsi="宋体" w:eastAsia="宋体" w:cs="宋体"/>
                <w:color w:val="auto"/>
                <w:sz w:val="21"/>
                <w:szCs w:val="21"/>
                <w:lang w:val="en-US" w:eastAsia="zh-CN" w:bidi="ar"/>
              </w:rPr>
              <w:t>≧</w:t>
            </w:r>
            <w:r>
              <w:rPr>
                <w:rStyle w:val="65"/>
                <w:rFonts w:hint="eastAsia" w:ascii="宋体" w:hAnsi="宋体" w:eastAsia="宋体" w:cs="宋体"/>
                <w:color w:val="auto"/>
                <w:sz w:val="21"/>
                <w:szCs w:val="21"/>
                <w:lang w:val="en-US" w:eastAsia="zh-CN" w:bidi="ar"/>
              </w:rPr>
              <w:t>5W（RGBW）</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功     率：</w:t>
            </w:r>
            <w:r>
              <w:rPr>
                <w:rStyle w:val="48"/>
                <w:rFonts w:hint="eastAsia" w:ascii="宋体" w:hAnsi="宋体" w:eastAsia="宋体" w:cs="宋体"/>
                <w:color w:val="auto"/>
                <w:sz w:val="21"/>
                <w:szCs w:val="21"/>
                <w:lang w:val="en-US" w:eastAsia="zh-CN" w:bidi="ar"/>
              </w:rPr>
              <w:t>≧</w:t>
            </w:r>
            <w:r>
              <w:rPr>
                <w:rStyle w:val="65"/>
                <w:rFonts w:hint="eastAsia" w:ascii="宋体" w:hAnsi="宋体" w:eastAsia="宋体" w:cs="宋体"/>
                <w:color w:val="auto"/>
                <w:sz w:val="21"/>
                <w:szCs w:val="21"/>
                <w:lang w:val="en-US" w:eastAsia="zh-CN" w:bidi="ar"/>
              </w:rPr>
              <w:t>470W</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数     量：</w:t>
            </w:r>
            <w:r>
              <w:rPr>
                <w:rStyle w:val="48"/>
                <w:rFonts w:hint="eastAsia" w:ascii="宋体" w:hAnsi="宋体" w:eastAsia="宋体" w:cs="宋体"/>
                <w:color w:val="auto"/>
                <w:sz w:val="21"/>
                <w:szCs w:val="21"/>
                <w:lang w:val="en-US" w:eastAsia="zh-CN" w:bidi="ar"/>
              </w:rPr>
              <w:t>≧</w:t>
            </w:r>
            <w:r>
              <w:rPr>
                <w:rStyle w:val="65"/>
                <w:rFonts w:hint="eastAsia" w:ascii="宋体" w:hAnsi="宋体" w:eastAsia="宋体" w:cs="宋体"/>
                <w:color w:val="auto"/>
                <w:sz w:val="21"/>
                <w:szCs w:val="21"/>
                <w:lang w:val="en-US" w:eastAsia="zh-CN" w:bidi="ar"/>
              </w:rPr>
              <w:t>84颗（20R＋22G＋22B+20W）</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寿     命：50000小时</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色温校正： 7200K~3200K线性调节</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颜    色： RGBW(红/绿/蓝/白)线性混色；内置宏功能</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光束角度： 22°；可选17°/60°/61°</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线性调光： 独立电子线性调光0~100%</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高速频闪： 独立电子频闪1-25Hz，可随机频闪，脉冲频闪，同步异步频闪</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控制通道： 8个控制通道</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协    议： 标准DMX512协议，主从控制模式</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菜单显示： LED显示</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DMX信号连接：三芯XLR输入/输出</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安全保护：过流、过压、电子感应过热保护</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工作环境： -40°C～+45°C</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附件</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6"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灯光控制台</w:t>
            </w:r>
          </w:p>
        </w:tc>
        <w:tc>
          <w:tcPr>
            <w:tcW w:w="5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65"/>
                <w:rFonts w:hint="eastAsia" w:ascii="宋体" w:hAnsi="宋体" w:eastAsia="宋体" w:cs="宋体"/>
                <w:color w:val="auto"/>
                <w:sz w:val="21"/>
                <w:szCs w:val="21"/>
                <w:lang w:val="en-US" w:eastAsia="zh-CN" w:bidi="ar"/>
              </w:rPr>
              <w:t>i5  CPU（intel），</w:t>
            </w:r>
            <w:r>
              <w:rPr>
                <w:rStyle w:val="48"/>
                <w:rFonts w:hint="eastAsia" w:ascii="宋体" w:hAnsi="宋体" w:eastAsia="宋体" w:cs="宋体"/>
                <w:color w:val="auto"/>
                <w:sz w:val="21"/>
                <w:szCs w:val="21"/>
                <w:lang w:val="en-US" w:eastAsia="zh-CN" w:bidi="ar"/>
              </w:rPr>
              <w:t>≧</w:t>
            </w:r>
            <w:r>
              <w:rPr>
                <w:rStyle w:val="65"/>
                <w:rFonts w:hint="eastAsia" w:ascii="宋体" w:hAnsi="宋体" w:eastAsia="宋体" w:cs="宋体"/>
                <w:color w:val="auto"/>
                <w:sz w:val="21"/>
                <w:szCs w:val="21"/>
                <w:lang w:val="en-US" w:eastAsia="zh-CN" w:bidi="ar"/>
              </w:rPr>
              <w:t>120GB高速固态硬盘，8GB内存；</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内置1个15.6寸高分辩率触摸屏（工业屏），</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支持联网到计算机设备控制各种灯光3D可视化软件；</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 xml:space="preserve">内置UPS电源，不接入220V交流电源可正常操作1小时                     </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 xml:space="preserve">支持中文菜单显示，内置多国语言        </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控台自带12个DMX输出，</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支持涂鸦式屏幕标识功能，支持Art-Net网络功能,</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10宏功能按钮，可让你更快的操作控台；</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20个重放推杆，支持1000个以上的程序重放；</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 xml:space="preserve">强大的属性控制窗口，CMY\RGB拾色板系统；                                 </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快捷易用的图形发生器，分类的内置图形更易使用；</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支持CIPT协议，可以在控台上直接看到媒体服务器里媒体片段的图像缩略图；</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内置数千种灯库，内置灯库编辑软件，你可以随时在控台上编灯库；</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内置Visualiser线条式灯光可视化软件，想预编程！</w:t>
            </w:r>
            <w:r>
              <w:rPr>
                <w:rStyle w:val="65"/>
                <w:rFonts w:hint="eastAsia" w:ascii="宋体" w:hAnsi="宋体" w:eastAsia="宋体" w:cs="宋体"/>
                <w:color w:val="auto"/>
                <w:sz w:val="21"/>
                <w:szCs w:val="21"/>
                <w:lang w:val="en-US" w:eastAsia="zh-CN" w:bidi="ar"/>
              </w:rPr>
              <w:br w:type="textWrapping"/>
            </w:r>
            <w:r>
              <w:rPr>
                <w:rStyle w:val="65"/>
                <w:rFonts w:hint="eastAsia" w:ascii="宋体" w:hAnsi="宋体" w:eastAsia="宋体" w:cs="宋体"/>
                <w:color w:val="auto"/>
                <w:sz w:val="21"/>
                <w:szCs w:val="21"/>
                <w:lang w:val="en-US" w:eastAsia="zh-CN" w:bidi="ar"/>
              </w:rPr>
              <w:t>支持MIDI时间码声光同步功能，也可以在控台里播放音乐发送时间码来控制灯光程序重放。</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3"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DMX信号放大器</w:t>
            </w:r>
          </w:p>
        </w:tc>
        <w:tc>
          <w:tcPr>
            <w:tcW w:w="5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1路DMX512数码输入，1DMX数码输出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输入/输出光电隔离</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4或8路独立放大驱动输出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信号放大整形功能，延长信号传输距离</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增强数据总线接入设备数量的能力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保护灯光控制台DMX512输出接口，故障现场隔离</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提高数字式灯光控制系统的安全可靠性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独立的LED信号指示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电源：AC100-240V/50-60Hz</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灯钩</w:t>
            </w:r>
          </w:p>
        </w:tc>
        <w:tc>
          <w:tcPr>
            <w:tcW w:w="5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铸铝</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保险绳</w:t>
            </w:r>
          </w:p>
        </w:tc>
        <w:tc>
          <w:tcPr>
            <w:tcW w:w="5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1米</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橡套电缆</w:t>
            </w:r>
          </w:p>
        </w:tc>
        <w:tc>
          <w:tcPr>
            <w:tcW w:w="5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国标 2*2.5平方</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9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信号线</w:t>
            </w:r>
          </w:p>
        </w:tc>
        <w:tc>
          <w:tcPr>
            <w:tcW w:w="5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auto"/>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9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电源控制箱机柜</w:t>
            </w:r>
          </w:p>
        </w:tc>
        <w:tc>
          <w:tcPr>
            <w:tcW w:w="5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auto"/>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桥架</w:t>
            </w:r>
          </w:p>
        </w:tc>
        <w:tc>
          <w:tcPr>
            <w:tcW w:w="5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auto"/>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9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固定灯杆</w:t>
            </w:r>
          </w:p>
        </w:tc>
        <w:tc>
          <w:tcPr>
            <w:tcW w:w="5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灯光吊杆</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w:t>
            </w:r>
          </w:p>
        </w:tc>
        <w:tc>
          <w:tcPr>
            <w:tcW w:w="9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辅料</w:t>
            </w:r>
          </w:p>
        </w:tc>
        <w:tc>
          <w:tcPr>
            <w:tcW w:w="5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auto"/>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批</w:t>
            </w:r>
          </w:p>
        </w:tc>
        <w:tc>
          <w:tcPr>
            <w:tcW w:w="9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运输、安装、调试（免费）</w:t>
            </w:r>
          </w:p>
        </w:tc>
        <w:tc>
          <w:tcPr>
            <w:tcW w:w="5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8600"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1、所投产品原厂保修贰年，保修卡加盖厂家公章。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2、为保证系统的稳定性，所选用主设备及其他配套设备应为统一品牌。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3、所投产品需提供国家省级或以上检测机构出具的检测报告，检测机构须通过“CMA”、“CNAS”认证资格。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8600"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注意：1、招标方不再支付设备运输、安装等费用。2、投标人可按招标文件中发布的时间勘测到现场勘测。</w:t>
            </w:r>
          </w:p>
        </w:tc>
      </w:tr>
    </w:tbl>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tbl>
      <w:tblPr>
        <w:tblStyle w:val="23"/>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0"/>
        <w:gridCol w:w="1087"/>
        <w:gridCol w:w="6311"/>
        <w:gridCol w:w="285"/>
        <w:gridCol w:w="3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 w:hRule="atLeast"/>
          <w:jc w:val="center"/>
        </w:trPr>
        <w:tc>
          <w:tcPr>
            <w:tcW w:w="8522" w:type="dxa"/>
            <w:gridSpan w:val="5"/>
            <w:tcBorders>
              <w:top w:val="nil"/>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室内体育馆主席台音响设备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设备名称</w:t>
            </w:r>
          </w:p>
        </w:tc>
        <w:tc>
          <w:tcPr>
            <w:tcW w:w="63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参数及特征描述</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预采购数量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8"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主席台左右扩声音箱</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64"/>
                <w:rFonts w:hint="eastAsia" w:ascii="宋体" w:hAnsi="宋体" w:eastAsia="宋体" w:cs="宋体"/>
                <w:color w:val="auto"/>
                <w:sz w:val="21"/>
                <w:szCs w:val="21"/>
                <w:lang w:val="en-US" w:eastAsia="zh-CN" w:bidi="ar"/>
              </w:rPr>
              <w:t>语言扩声等系统类型 System type  2x10”两路内分频线阵模块</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频率响应 Frequency  52Hz-19kHz±3dB</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灵敏度    Sensitivity   105dB/1W/1M@±2dB</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额定功率 Power Rating  650W/8Ω</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峰值功率 Peak Power  1300W/8Ω</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高音单元 Tweeter Unit  1.73”×2</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低音单元 Woofer Unit  10”×2</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声压级    SPL  127dB Continuous  133dB Peak</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连接器    Cannon Plug  NL4 x 2</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箱体材料 Box materials  18mm/优质多层桦木胶合板</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表面处理 Protective Finish  黑色浮点耐磨喷漆</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 xml:space="preserve">尺寸     </w:t>
            </w:r>
            <w:r>
              <w:rPr>
                <w:rStyle w:val="50"/>
                <w:rFonts w:hint="eastAsia" w:ascii="宋体" w:hAnsi="宋体" w:eastAsia="宋体" w:cs="宋体"/>
                <w:color w:val="auto"/>
                <w:sz w:val="21"/>
                <w:szCs w:val="21"/>
                <w:lang w:val="en-US" w:eastAsia="zh-CN" w:bidi="ar"/>
              </w:rPr>
              <w:t>≧</w:t>
            </w:r>
            <w:r>
              <w:rPr>
                <w:rStyle w:val="64"/>
                <w:rFonts w:hint="eastAsia" w:ascii="宋体" w:hAnsi="宋体" w:eastAsia="宋体" w:cs="宋体"/>
                <w:color w:val="auto"/>
                <w:sz w:val="21"/>
                <w:szCs w:val="21"/>
                <w:lang w:val="en-US" w:eastAsia="zh-CN" w:bidi="ar"/>
              </w:rPr>
              <w:t xml:space="preserve"> 815×325×415(mm)</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主席台左右扩声次低音箱</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64"/>
                <w:rFonts w:hint="eastAsia" w:ascii="宋体" w:hAnsi="宋体" w:eastAsia="宋体" w:cs="宋体"/>
                <w:color w:val="auto"/>
                <w:sz w:val="21"/>
                <w:szCs w:val="21"/>
                <w:lang w:val="en-US" w:eastAsia="zh-CN" w:bidi="ar"/>
              </w:rPr>
              <w:t>系统类型 System type  18”低频线阵模块</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频率响应 Frequency  35Hz-350kHz±3dB</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灵敏度    Sensitivity  106dB/1W/1M@±2dB</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额定功率 Power Rating  600W/8Ω</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峰值功率 Peak Power  1200W/8Ω</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低音单元 Woofer Unit  18”×1</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声压级    SPL  126dB Continuous  133dB Peak</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连接器    Cannon Plug  NL4 x 2</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箱体材料 Box materials  18mm/优质多层桦木胶合板</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表面处理 Protective Finish  黑色浮点耐磨喷漆</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 xml:space="preserve">尺寸  </w:t>
            </w:r>
            <w:r>
              <w:rPr>
                <w:rStyle w:val="50"/>
                <w:rFonts w:hint="eastAsia" w:ascii="宋体" w:hAnsi="宋体" w:eastAsia="宋体" w:cs="宋体"/>
                <w:color w:val="auto"/>
                <w:sz w:val="21"/>
                <w:szCs w:val="21"/>
                <w:lang w:val="en-US" w:eastAsia="zh-CN" w:bidi="ar"/>
              </w:rPr>
              <w:t>≧</w:t>
            </w:r>
            <w:r>
              <w:rPr>
                <w:rStyle w:val="64"/>
                <w:rFonts w:hint="eastAsia" w:ascii="宋体" w:hAnsi="宋体" w:eastAsia="宋体" w:cs="宋体"/>
                <w:color w:val="auto"/>
                <w:sz w:val="21"/>
                <w:szCs w:val="21"/>
                <w:lang w:val="en-US" w:eastAsia="zh-CN" w:bidi="ar"/>
              </w:rPr>
              <w:t>815×560×595(mm)</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8"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返听音箱</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64"/>
                <w:rFonts w:hint="eastAsia" w:ascii="宋体" w:hAnsi="宋体" w:eastAsia="宋体" w:cs="宋体"/>
                <w:color w:val="auto"/>
                <w:sz w:val="21"/>
                <w:szCs w:val="21"/>
                <w:lang w:val="en-US" w:eastAsia="zh-CN" w:bidi="ar"/>
              </w:rPr>
              <w:t>1.采用同轴单元，高音单元和低音单元的组合体，高音放置在低音振膜的中心处能保证高、低音的声学中心是同一个点;高、中、低音全音域声音的传播相位保真度高。2.产品采用单片高、低音分颁器，台湾顶级音频电容，大功率无感铝壳电阻，大线径高纯度空芯电感。3.音箱系统采用前导向喇叭直接辐射式设计人声干净;中频圆润、甜美而又饱满;高频柔和而细腻自主研发高性能稳定的喇叭单元，独特的空气动力结构方式，多点面设计，使声场覆盖更均匀。</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4.高强度的铁网，表面采用内贴防尘网布，即能有效降低奇次谐波，增强视觉美观，又能有效地保护系统单元的使用安全。</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5.箱体采用高密度桦木夹板制作，木胶粉粘合，角码加强工艺，表面采用最流行的水性洒点耐磨喷漆工艺，经久耐用。</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6.产品配置有支撑竿座方便移动应用。箱体有横、竖吊挂预埋螺丝，并有方便安装的底座孔可以适应各种不同环境的安装需要。</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7、频率响应：38Hz-20kHz±3dB</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8、灵敏度： 109dB/1W/1M@±2dB</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9、额定功率：500W/8Ω</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10、峰值功率： 1000W/8Ω</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11、高音单元： 3"x1</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12、低音单元 ：15"x1</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13、声压级：127dB Continuous 133dB Peak</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14、连接器： NL4x2</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15、箱体材料：18mm/BB级桦木夹板</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16、表面处理：黑色浮点耐磨喷漆</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17、指向性：100X100(Deg)</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18、尺寸：</w:t>
            </w:r>
            <w:r>
              <w:rPr>
                <w:rStyle w:val="50"/>
                <w:rFonts w:hint="eastAsia" w:ascii="宋体" w:hAnsi="宋体" w:eastAsia="宋体" w:cs="宋体"/>
                <w:color w:val="auto"/>
                <w:sz w:val="21"/>
                <w:szCs w:val="21"/>
                <w:lang w:val="en-US" w:eastAsia="zh-CN" w:bidi="ar"/>
              </w:rPr>
              <w:t>≧</w:t>
            </w:r>
            <w:r>
              <w:rPr>
                <w:rStyle w:val="64"/>
                <w:rFonts w:hint="eastAsia" w:ascii="宋体" w:hAnsi="宋体" w:eastAsia="宋体" w:cs="宋体"/>
                <w:color w:val="auto"/>
                <w:sz w:val="21"/>
                <w:szCs w:val="21"/>
                <w:lang w:val="en-US" w:eastAsia="zh-CN" w:bidi="ar"/>
              </w:rPr>
              <w:t>575x411x500(mm)</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7"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补声音箱功放</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64"/>
                <w:rFonts w:hint="eastAsia" w:ascii="宋体" w:hAnsi="宋体" w:eastAsia="宋体" w:cs="宋体"/>
                <w:color w:val="auto"/>
                <w:sz w:val="21"/>
                <w:szCs w:val="21"/>
                <w:lang w:val="en-US" w:eastAsia="zh-CN" w:bidi="ar"/>
              </w:rPr>
              <w:t>高标准设计的分频器，耐高温的全玻纤PC板，高品质专业音频电容、大线径高纯度漆包线电感，剔除杂音。</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分频器采用单片高、低音分颁器，顶級音频电容，大功率无感鋁壳电阻，大线径高纯度空芯电感。</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高效率高音驱动器安装于可以90度旋转的高强度玻璃钢号角上，号角的指向性为水平80度，垂直50度，配备多达13个M8的吊点，可以适应各种不同环境的吊装需要，适应使用钢丝绳，吊架等多种安装方式，优化的箱体外形设计，采用全对称的箱体结构，使得腔体真有良好的声学特性，配置2个把手，方便移动。</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高强度的铁网，表面采用内贴防尘网布，即能有效降低奇次谐波，增强视觉美观，又能有效地保护系统单元的使用安全。</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箱体采用精选高密度桦木夹板制作，木胶粉粘合，角码加强工艺，表面采用最流行的水性洒点耐磨喷漆工艺，经久耐用。</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安装轻便简捷,声轴调整方便。</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底部配置有支撑竿座,方便移动应用。</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箱体有横、竖吊挂预埋螺丝，并有方便安装的底座孔。</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系统类型  System type 12”二分频全频音箱</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频率响应  Frequency 55Hz-20kHz±3dB</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灵敏度     Sensitivity 105dB/1W/1M@±2dB</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额定功率  Power Rating 360W/8Ω</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峰值功率  Peak Power 720W/8Ω</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高音单元  Tweeter Unit 1.36”×1</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低音单元  Woofer Unit 12”×1</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声压级     SPL 117dB Continuous 123dB Peak</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连接器     Cannon Plug NL4 x 2</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箱体材料  Box materials 15mm/BB级桦木夹板</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表面处理  Protective Finish 黑色浮点耐磨喷漆</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指向性     Directivity 80 X 50(Deg)</w:t>
            </w:r>
            <w:r>
              <w:rPr>
                <w:rStyle w:val="64"/>
                <w:rFonts w:hint="eastAsia" w:ascii="宋体" w:hAnsi="宋体" w:eastAsia="宋体" w:cs="宋体"/>
                <w:color w:val="auto"/>
                <w:sz w:val="21"/>
                <w:szCs w:val="21"/>
                <w:lang w:val="en-US" w:eastAsia="zh-CN" w:bidi="ar"/>
              </w:rPr>
              <w:br w:type="textWrapping"/>
            </w:r>
            <w:r>
              <w:rPr>
                <w:rStyle w:val="64"/>
                <w:rFonts w:hint="eastAsia" w:ascii="宋体" w:hAnsi="宋体" w:eastAsia="宋体" w:cs="宋体"/>
                <w:color w:val="auto"/>
                <w:sz w:val="21"/>
                <w:szCs w:val="21"/>
                <w:lang w:val="en-US" w:eastAsia="zh-CN" w:bidi="ar"/>
              </w:rPr>
              <w:t xml:space="preserve">尺寸     </w:t>
            </w:r>
            <w:r>
              <w:rPr>
                <w:rStyle w:val="50"/>
                <w:rFonts w:hint="eastAsia" w:ascii="宋体" w:hAnsi="宋体" w:eastAsia="宋体" w:cs="宋体"/>
                <w:color w:val="auto"/>
                <w:sz w:val="21"/>
                <w:szCs w:val="21"/>
                <w:lang w:val="en-US" w:eastAsia="zh-CN" w:bidi="ar"/>
              </w:rPr>
              <w:t>≧</w:t>
            </w:r>
            <w:r>
              <w:rPr>
                <w:rStyle w:val="64"/>
                <w:rFonts w:hint="eastAsia" w:ascii="宋体" w:hAnsi="宋体" w:eastAsia="宋体" w:cs="宋体"/>
                <w:color w:val="auto"/>
                <w:sz w:val="21"/>
                <w:szCs w:val="21"/>
                <w:lang w:val="en-US" w:eastAsia="zh-CN" w:bidi="ar"/>
              </w:rPr>
              <w:t xml:space="preserve"> 350×591×360(mm)</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主席台左右扩声音箱功放</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1.采用最新设计的散热系统，全方位散热效果，可在立体声，桥接推动模式之间转换； 为满足此项要求需提供：“具有多种安装结构的新型功放”新型专利证书；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2.储备功率充足，采用大功率优质三极管，确保输出不出现过载；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3.面板特设有电源/桥接指示灯，信号指示灯，保护指示灯及失真指示灯，各工作状态一目了然；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4.全功能保护电路：开机延时保护，输出短路保护，温度保护。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5.散热器电力悬空，功率晶体与散热器直接压合，抛开传统绝缘层的传递阻隔，功率晶体得以释放淤积热量，与散热体实现无温差传热。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6.各功率晶体均匀的最短距离接近冷风进口，使各功率晶体之间温度均匀，均匀负担输出。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7.额定功率：立体声/并接模式，4X1300W/8Ω. 立体声/并接模式，4X1550W/4Ω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8.总谐波失真:1KHZ＜0.08%.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9.互调失真:60HZ/7HZ 4 ：1＜0.05%.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10.频率响应:20-20KHZ＜±0.1dB.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11.信噪比:单通道工作，8Ω负载A计权＞96dB.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12.阻尼系数:单通道工作，8Ω负载400HZ ≥280.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13.转换速率:单通道工作，8Ω负载10HZ方波 ≥30V/us.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14.输入灵敏度:单通道工作，8Ω负载 0.775V.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15.输入阻抗:正常工作条件，1HZ20Kohms 平衡输入，10Kohms 非平衡输入,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16.最低负载阻抗:单通道工作 ＞4Ω.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17.输入接口:XLR卡侬公/XLR卡侬母.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18.输出接口:卡侬/接线柱.</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19.保护模式:过热，过载，欠压，输出直流.</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主席台左右扩声次低音箱功放</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1.采用最新设计的散热系统，全方位散热效果，可在立体声，桥接推动模式之间转换。2.储备功率充足，采用大功率优质三极管，确保输出不出现过载；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3.面板特设有电源/桥接指示灯，信号指示灯，保护指示灯及失真指示灯，各工作状态一目了然；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4.全功能保护电路：开机延时保护，输出短路保护，温度保护。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5.散热器电力悬空，功率晶体与散热器直接压合，抛开传统绝缘层的传递阻隔，功率晶体得以释放淤积热量，与散热体实现无温差传热。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6.各功率晶体均匀的最短距离接近冷风进口，使各功率晶体之间温度均匀，均匀负担输出。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7.额定功率：立体声/并接模式，2X1500W/8Ω. 立体声/并接模式，2X1780W/4Ω  桥接：4200W/8Ω 桥接：5600W/4Ω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8.总谐波失真:1KHZ＜0.08%.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9.互调失真:60HZ/7HZ 4 ：1＜0.05%.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10.频率响应:20-20KHZ＜±0.1dB.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11.信噪比:单通道工作，8Ω负载A计权＞98dB.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12.阻尼系数:单通道工作，8Ω负载400HZ ≥280.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13.转换速率:单通道工作，8Ω负载10HZ方波 ≥30V/us.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14.输入灵敏度:单通道工作，8Ω负载 0.775V.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15.输入阻抗:正常工作条件，1HZ20Kohms 平衡输入，10Kohms 非平衡输入,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16.最低负载阻抗:单通道工作 ＞4Ω.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17.输入接口:XLR卡侬公/XLR卡侬母.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18.输出接口:卡侬/接线柱.</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19.保护模式:过热，过载，欠压，输出直流.</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8"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返送音箱功放</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1.采用最新设计的散热系统，全方位散热效果，可在立体声，桥接推动模式之间转换； 为满足此项要求需提供：“具有多种安装结构的新型功放”新型专利证书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2.储备功率充足，采用大功率优质三极管，确保输出不出现过载；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3.面板特设有电源/桥接指示灯，信号指示灯，保护指示灯及失真指示灯，各工作状态一目了然；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4.全功能保护电路：开机延时保护，输出短路保护，温度保护。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5.散热器电力悬空，功率晶体与散热器直接压合，抛开传统绝缘层的传递阻隔，功率晶体得以释放淤积热量，与散热体实现无温差传热。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6.各功率晶体均匀的最短距离接近冷风进口，使各功率晶体之间温度均匀，均匀负担输出。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7.额定功率：立体声/并接模式，2X800W/8Ω. 立体声/并接模式，2X1550W/4Ω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8.总谐波失真:1KHZ＜0.08%.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9.互调失真:60HZ/7HZ 4 ：1＜0.05%.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10.频率响应:20-20KHZ＜±0.1dB.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11.信噪比:单通道工作，8Ω负载A计权＞96dB.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12.阻尼系数:单通道工作，8Ω负载400HZ ≥280.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13.转换速率:单通道工作，8Ω负载10HZ方波 ≥30V/us.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14.输入灵敏度:单通道工作，8Ω负载 0.775V.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15.输入阻抗:正常工作条件，1HZ20Kohms 平衡输入，10Kohms 非平衡输入,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16.最低负载阻抗:单通道工作 ＞4Ω.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17.输入接口:XLR卡侬公/XLR卡侬母.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18.输出接口:卡侬/接线柱.</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19.保护模式:过热，过载，欠压，输出直流.</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3"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补声音箱功放</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1.采用最新设计的散热系统，全方位散热效果，可在立体声，桥接推动模式之间转换。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2.储备功率充足，采用大功率优质三极管，确保输出不出现过载；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3.面板特设有电源/桥接指示灯，信号指示灯，保护指示灯及失真指示灯，各工作状态一目了然；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4.全功能保护电路：开机延时保护，输出短路保护，温度保护。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5.散热器电力悬空，功率晶体与散热器直接压合，抛开传统绝缘层的传递阻隔，功率晶体得以释放淤积热量，与散热体实现无温差传热。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6.各功率晶体均匀的最短距离接近冷风进口，使各功率晶体之间温度均匀，均匀负担输出。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7.额定功率：立体声/并接模式，2X800W/8Ω. 立体声/并接模式，2X1550W/4Ω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8.总谐波失真:1KHZ＜0.08%.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9.互调失真:60HZ/7HZ 4 ：1＜0.05%.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10.频率响应:20-20KHZ＜±0.1dB.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11.信噪比:单通道工作，8Ω负载A计权＞96dB.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12.阻尼系数:单通道工作，8Ω负载400HZ ≥280.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13.转换速率:单通道工作，8Ω负载10HZ方波 ≥30V/us.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14.输入灵敏度:单通道工作，8Ω负载 0.775V.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15.输入阻抗:正常工作条件，1HZ20Kohms 平衡输入，10Kohms 非平衡输入,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16.最低负载阻抗:单通道工作 ＞4Ω.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17.输入接口:XLR卡侬公/XLR卡侬母.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18.输出接口:卡侬/接线柱.</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19.保护模式:过热，过载，欠压，输出直流.</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6"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调音台</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麦克风前置功放，具有低噪声性能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每通道支持扫频中频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Lexicon效果引擎，混响时间长，合唱和调制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输入通道均提供 dbx 限幅器(高比率压缩器)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 路输入/2 路输出 U等 音频播放和录音*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适于吉他，贝斯和其他乐器的可切换Hi-Z 输入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所有麦克风通道均提供高通滤波器(低阻)和 48V幻像电源Soundcraft Ghost 通道数16；前置话放:12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Soundcraft Sapphyre EQ:4 频段(2 频段为扫频中频)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dbx 输入限幅:4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Lexicon效果器:单引擎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U等 接口:2-in/2-out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辅助输出:4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子编组:4 mono/2 stereo</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数字处理器</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以DSP为基础，体积紧凑、1U机架高度，4个输入8个输出，可灵活组合多种分频模式。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1、96KHz采样频率，32-bit DSP处理器，24-bit A/D及D/A转换；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 提供USB、RS485、RS232 接口可连接电脑PC软件，通过RS485接口可最多连接250台机器，且超过1500米的距离外用电脑来控制；并且特设有RS232串连接中控系统控制，方便不同场合应用需要，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3、直接用面板的功能键和编码轮进行功能设置或连接电脑通过PC控制软件来控制，均十分方便、直观和简洁；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4、单机或PC控制软件均可存储12种用户应用程序；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5、可通过面板的SYSTEM按键来设定密码锁定面板控制功能，以防止闲杂人员的操作破坏机器的工作状态；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 每路输入均有31段GEQ+10段PEQ，输出10段PEQ；</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 2×24 LCD蓝色背光显示功能设置，6段LED显示输入/输出的精确数字电平表、静音及编辑状态；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8、可变高/低通滤波器的斜率均可设置，其中贝塞尔(Bessel)、巴特沃斯(Butterworth)可设置为12dB、18dB、24dB每倍频程，林克维茨-瑞莱(Linkwitz-Riley)可设置12dB、24dB、36dB、48dB每倍频程；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 高/低通滤波器的参数可以独立调整，能够实现不对称的分频功能；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 每路输入/输出均有延时和相位控制及静音设置，延时最长可达1000ms，延时单位可选择毫秒(ms)，米(m)，英尺(ft)三种；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11、输出通道还可控制增益、压限及选择输入通道信号，并能同时选择多个输出通道关联同步调整所有参数。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12、输入通道及插座 4路XLR母卡侬座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13、输出通道及插座 8路XLR母卡侬座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14、输入阻抗 平衡:20KQ</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15、输出阻抗 平衡：100Q</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16、PC接口 面板1个USB接口，后板2个RS485接口 （RJ-45座），RS232接口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17、共模拟制比 &gt;70dB(lKHz)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18、输入范围 &gt;17dBu</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19、频率响应 20Hz-20KHz(-0.5dB)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20、信噪比 &gt; HOdB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21、失真度 &lt;0. 01%OUTPUT=0dBu/lKHz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22、通道分离 度 &gt;80dB(lKHz)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23、输入通道功能 静音 每个通道设立单独静音控制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24、延时 每路输入通道有独立延时控制。延时值为O-lOOOms，小于10ms,步 距为21“s;大于10ms,步距为1ms。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25、极性 同相、反相、均衡 每路输入通道有31段GEQ和10段PEQ。在PEg态下调整参数为:中心 频率点：20Hz-20KHz,步诳：1Hz, Q值：0.404到28. 8,增益：±20 dB,步距为0. IdB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26、输出通道功能 静音 每个通道设立单独静音控制选择 每个输出通道可单独选择不同的输入通道，也可以选择输入通道的任意组合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27、增益 调节范围：-36dB到+12dB,步距为0. IdB延时 每路输出通道有独立延时控制。延时值为O-lOOOms，小于10ms,步 施为21“s;大于10ms,步距为1ms。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28极性 同相、反相，均衡 每个输出通道可设10个均衡，均衡方式为：PEQ/Lo-Shelf/Hi-Shelf</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29.分频器 每个输出通道可单独设置高通滤波（HPF）和低通滤波（LPF）,可选择响应 为：Bessel （贝赛尔）,But terworth （巴特沃斯）,Linkwitz-Riley（林克维 茨■瑞莱），频率转折点：20Hz-20KHz,其中Bessel, Butterworth衰减斜 率为：12dB/oct、18dB/oct、24dB/oct; Linkwitz-Riley衰减斜率： 12dB/oct、 24dB/oct^ 36dB/oct^ 48dB/octo</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30.压缩器 每个输出通道可单独设置压境器，可调整参数为：门限值：±20dB“，步距 为0.05dB”起动时间:3ms-100ms，小于1ms,步距为0. 1ms;大于1ms,步 距为1ms释放时间：可设定为2倍、4倍、喑、8倍、1喑、32倍起动时间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31.处理器 96KHz采样频率，32-bit DSP处理器，24-bitA/DRD/A?§换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32.显示屏 2X24LCD蓝色背光显示设置,6段LED显示输入/输出的精确数字电平表、静音 及编辑状态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33.功耗 &lt;30W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34.电源 AC 90V/240V 50Hz/60Hz</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6"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数字电源时序器</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 面板颜色：黑色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 电力输入条件(单相3线)：AC190-250V 50-60HZ两相（三线：零，火，地）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 通道数量：8路万用插座继电器受控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 继电器受控输出最大承受单路功率/总功率(无功功率）：6000W/10000W最大承受无功功率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 输出电源插座规格：阻燃ABS材料，最大可承受13A电流磷铜材质，标准万用插座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 点阵功能显示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 液晶电压显示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8 密码设定开机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9 顺序开启逆序关闭，自由设定通道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 COM中控控制（指令控制）或自带软件控制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 时间间隔可调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 自由通道关闭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13 级联叠机ID:0-255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 中控外控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 面板通道独立关闭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 每路开关间隔时间/定时时间：默认1秒（可以自由设置）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17 输出继电器触点电流：30A 277VAC</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18 电路板规格：双面纤维板，主电源走线二次加厚加粗处理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19 供电规格：内置开关电源，适用全球电压AC90-260V 50-60HZ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 主电缆线规格：3*4平方电缆线，总长度为1.5米欧式插头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  开启类型：按键式轻触开关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 单路独立开关功能：支持面板独立控制（可软件设定控制）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  功能显示电压显示表类型：点阵功能显示电压表与功能菜单,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  叠机级联功能：可选配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25  外接控制开关接口:RS232 COM接口控制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26 随机控制软件及支持中控功能与ID数量分配：自带指令代码与控制软件，支持中控控制，ID:0-255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27  电源净化功能（EMI专业电网滤波器）：无（可选配单独或每路带滤波器）</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高速反馈抑制器</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1.利用超快速反馈检测算法，可自动“智能” 地在每个声道中查找多达 20 个反馈频率。然后该算法设置非常窄的陷波滤波器（高达八度音的 1/60），以 “消灭” 反馈频率，使信号的其余部分几乎不变。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陷波滤波器的精度：能够非常准确的发现反馈频点，不论是静态陷波器，还是动态陷波器，都有着很高的分辨率，最低误差可在1Hz范围内。恒定窄带宽滤波器能够保证FBX8000有着良好的相位响应，不会降低声音质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3.采用DSP设计，内置18段A,B双通道高精度数字限波器，可精准找到啸叫的频率点而将其消除，同时兼备具自动移相移频功能，啸叫抑制能力强。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4.配备双12段参量均衡，高低通分频，进而对不同的环境声学缺陷进行修正。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5.超宽频响电路技术，无变音，无金属尾音，强力抑制回声，数字移频技术，超强防啸叫，声音圆润稳定，根据应用场合定制合适音频频谱，从而大幅度提升系统增益。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6.配备12个场景保存调用功能，可保存和调用12个场景的12段均衡和啸叫抑制滤波器的参数，下次开机，自动调用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7.本机支持电脑软件控制，可通过USB连接本机，在电脑是进行调节,所有参数和所检测到啸叫点直接于电脑软件上可见，操作更加方便直观。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8.自适应性过滤器能够以较慢的速度收敛，从而抑制更多的混响成分。在声学反馈发生之前，可以额外获得多达 12dB 的增益。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输入通道Iput Channel:2CH-XLR/TRS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输出通道Ouput Channel:2CH-XLR/TRS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频率响应Frequency response:20Hz-20KHz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输入灵敏度lnput Sensitivity:0dB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输入阻抗lnput impedance:20Kohm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输出阻抗Ouput impedance:20Kohm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信噪比Signai noise ratio:&gt;105dB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自动混音Auto Mix:可开/关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分频控制X-over:高低通类型/频率/可调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均衡控制EQ:12段频率/Q值/增益可调式参量PEG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输出电平Ouout Level:-20dB 0dB 10dB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场景设置sence:4场景可储存调用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陷波器点数Notch Num:双18段静态动态可选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啸叫识别速度SPEED:高中低可设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压缩功能Comperessor:-40-+12dB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工作模式选择Work Mode:检测模式/运行模式/直通模式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操作语言Langurge:中文/英文可切换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面板锁PanelLock:面板密码锁定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显示Display:2.0寸真彩TFT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面板控制Front panel control:USB接口、编辑轮设置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后板控制Rear panel control:线路输入输出/电源接口/开关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消耗电源Power consumption:&lt;30W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电源Power supply:AC90V-AC240V 50-60Hz国际通用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工作温度Operating Temperature-20°...85°</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0"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真分集远程（演出/主持）一拖二无线手持话筒</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200个频道可供选择（远离干扰频道）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红外对频技术（选频更方便）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二重静噪控制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接收灵敏度在一定范围内连续可调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可配合扇形外置无线麦克风放大器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频率范围：730-790MHz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振荡模式：双相位锁定频率合成(PII)</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调节方式：FM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最大频偏：±50KHz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灵敏度： 18dBuV（可调）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信噪比： ≥89dB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音频响应：60Hz-15KHz(±3dB)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音频输出：0-300mV/600 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平衡输出：0-300mV/600 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动态范围：≥105dB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显示： 液晶显示频道数</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4"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真分集远程（演出/主持）一拖二无线领夹话筒</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红外对频技术（选频更方便）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二重静噪控制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接收灵敏度在一定范围内连续可调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可配合扇形外置无线麦克风放大器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频率范围：730-790MHz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振荡模式：双相位锁定频率合成(PII)</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调节方式：FM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最大频偏：±50KHz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灵敏度： 18dBuV（可调）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信噪比： ≥89dB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音频响应：60Hz-15KHz(±3dB)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音频输出：0-300mV/600 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平衡输出：0-300mV/600 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动态范围：≥105dB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显示： 液晶显示频道数</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天线放大器</w:t>
            </w:r>
          </w:p>
        </w:tc>
        <w:tc>
          <w:tcPr>
            <w:tcW w:w="6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输入阻抗( lnput Impedance)：50Ω   输出阻抗( Output Impedance)：50Ω 天线输入插座(Antenna input Plug)：BNC   天线输出插座(Antenna Output Plug)：BNC  增益(Antenna Gain)：3dB、12dB   带宽(Band Width)：500MHz  供电(Power Supply)：DC9V  </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设备机柜</w:t>
            </w:r>
          </w:p>
        </w:tc>
        <w:tc>
          <w:tcPr>
            <w:tcW w:w="6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42U</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音响线</w:t>
            </w:r>
          </w:p>
        </w:tc>
        <w:tc>
          <w:tcPr>
            <w:tcW w:w="6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专业、双屏蔽层</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信号连接线</w:t>
            </w:r>
          </w:p>
        </w:tc>
        <w:tc>
          <w:tcPr>
            <w:tcW w:w="6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主设备原厂配套</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运输、安装、调试（免费）</w:t>
            </w:r>
          </w:p>
        </w:tc>
        <w:tc>
          <w:tcPr>
            <w:tcW w:w="6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8522"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1、所投产品原厂保修贰年，保修卡加盖厂家公章。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2、为保证系统的稳定性，所选用扬声器应与扬声器功放及其他配套设备应为统一品牌。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3、所投主设备产品需提供国家省级或以上检测机构出具的检测报告，检测机构须通过“CMA”、“CNAS”认证资格。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 w:hRule="atLeast"/>
          <w:jc w:val="center"/>
        </w:trPr>
        <w:tc>
          <w:tcPr>
            <w:tcW w:w="8522"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注意：1、招标方不再支付设备运输、安装等费用。2、投标人可按招标文件中发布的时间勘测到现场勘测。</w:t>
            </w:r>
          </w:p>
        </w:tc>
      </w:tr>
    </w:tbl>
    <w:p>
      <w:pPr>
        <w:rPr>
          <w:rFonts w:hint="eastAsia" w:ascii="宋体" w:hAnsi="宋体" w:eastAsia="宋体" w:cs="宋体"/>
          <w:color w:val="auto"/>
          <w:sz w:val="21"/>
          <w:szCs w:val="21"/>
        </w:rPr>
      </w:pPr>
    </w:p>
    <w:p>
      <w:pPr>
        <w:spacing w:line="360" w:lineRule="auto"/>
        <w:rPr>
          <w:rFonts w:hint="eastAsia" w:ascii="仿宋" w:hAnsi="仿宋" w:eastAsia="仿宋" w:cs="仿宋"/>
          <w:b/>
          <w:bCs/>
          <w:color w:val="auto"/>
          <w:sz w:val="24"/>
          <w:szCs w:val="24"/>
          <w:lang w:eastAsia="zh-CN"/>
        </w:rPr>
      </w:pPr>
    </w:p>
    <w:p>
      <w:pPr>
        <w:pStyle w:val="9"/>
        <w:rPr>
          <w:rFonts w:hint="eastAsia" w:ascii="仿宋" w:hAnsi="仿宋" w:eastAsia="仿宋" w:cs="仿宋"/>
          <w:b/>
          <w:bCs/>
          <w:color w:val="auto"/>
          <w:sz w:val="24"/>
          <w:szCs w:val="24"/>
          <w:lang w:eastAsia="zh-CN"/>
        </w:rPr>
      </w:pPr>
    </w:p>
    <w:p>
      <w:pPr>
        <w:rPr>
          <w:rFonts w:hint="eastAsia" w:ascii="仿宋" w:hAnsi="仿宋" w:eastAsia="仿宋" w:cs="仿宋"/>
          <w:b/>
          <w:bCs/>
          <w:color w:val="auto"/>
          <w:sz w:val="24"/>
          <w:szCs w:val="24"/>
          <w:lang w:eastAsia="zh-CN"/>
        </w:rPr>
      </w:pPr>
    </w:p>
    <w:p>
      <w:pPr>
        <w:pStyle w:val="9"/>
        <w:rPr>
          <w:rFonts w:hint="eastAsia" w:ascii="仿宋" w:hAnsi="仿宋" w:eastAsia="仿宋" w:cs="仿宋"/>
          <w:b/>
          <w:bCs/>
          <w:color w:val="auto"/>
          <w:sz w:val="24"/>
          <w:szCs w:val="24"/>
          <w:lang w:eastAsia="zh-CN"/>
        </w:rPr>
      </w:pPr>
    </w:p>
    <w:p>
      <w:pPr>
        <w:rPr>
          <w:rFonts w:hint="eastAsia" w:ascii="仿宋" w:hAnsi="仿宋" w:eastAsia="仿宋" w:cs="仿宋"/>
          <w:b/>
          <w:bCs/>
          <w:color w:val="auto"/>
          <w:sz w:val="24"/>
          <w:szCs w:val="24"/>
          <w:lang w:eastAsia="zh-CN"/>
        </w:rPr>
      </w:pPr>
    </w:p>
    <w:p>
      <w:pPr>
        <w:pStyle w:val="9"/>
        <w:rPr>
          <w:rFonts w:hint="eastAsia" w:ascii="仿宋" w:hAnsi="仿宋" w:eastAsia="仿宋" w:cs="仿宋"/>
          <w:b/>
          <w:bCs/>
          <w:color w:val="auto"/>
          <w:sz w:val="24"/>
          <w:szCs w:val="24"/>
          <w:lang w:eastAsia="zh-CN"/>
        </w:rPr>
      </w:pPr>
    </w:p>
    <w:p>
      <w:pPr>
        <w:rPr>
          <w:rFonts w:hint="eastAsia" w:ascii="仿宋" w:hAnsi="仿宋" w:eastAsia="仿宋" w:cs="仿宋"/>
          <w:b/>
          <w:bCs/>
          <w:color w:val="auto"/>
          <w:sz w:val="24"/>
          <w:szCs w:val="24"/>
          <w:lang w:eastAsia="zh-CN"/>
        </w:rPr>
      </w:pPr>
    </w:p>
    <w:p>
      <w:pPr>
        <w:pStyle w:val="9"/>
        <w:rPr>
          <w:rFonts w:hint="eastAsia" w:ascii="仿宋" w:hAnsi="仿宋" w:eastAsia="仿宋" w:cs="仿宋"/>
          <w:b/>
          <w:bCs/>
          <w:color w:val="auto"/>
          <w:sz w:val="24"/>
          <w:szCs w:val="24"/>
          <w:lang w:eastAsia="zh-CN"/>
        </w:rPr>
      </w:pPr>
    </w:p>
    <w:p>
      <w:pPr>
        <w:rPr>
          <w:rFonts w:hint="eastAsia" w:ascii="仿宋" w:hAnsi="仿宋" w:eastAsia="仿宋" w:cs="仿宋"/>
          <w:b/>
          <w:bCs/>
          <w:color w:val="auto"/>
          <w:sz w:val="24"/>
          <w:szCs w:val="24"/>
          <w:lang w:eastAsia="zh-CN"/>
        </w:rPr>
      </w:pPr>
    </w:p>
    <w:p>
      <w:pPr>
        <w:pStyle w:val="9"/>
        <w:rPr>
          <w:rFonts w:hint="eastAsia" w:ascii="仿宋" w:hAnsi="仿宋" w:eastAsia="仿宋" w:cs="仿宋"/>
          <w:b/>
          <w:bCs/>
          <w:color w:val="auto"/>
          <w:sz w:val="24"/>
          <w:szCs w:val="24"/>
          <w:lang w:eastAsia="zh-CN"/>
        </w:rPr>
      </w:pPr>
    </w:p>
    <w:p>
      <w:pPr>
        <w:rPr>
          <w:rFonts w:hint="eastAsia" w:ascii="仿宋" w:hAnsi="仿宋" w:eastAsia="仿宋" w:cs="仿宋"/>
          <w:b/>
          <w:bCs/>
          <w:color w:val="auto"/>
          <w:sz w:val="24"/>
          <w:szCs w:val="24"/>
          <w:lang w:eastAsia="zh-CN"/>
        </w:rPr>
      </w:pPr>
    </w:p>
    <w:p>
      <w:pPr>
        <w:pStyle w:val="9"/>
        <w:rPr>
          <w:rFonts w:hint="eastAsia" w:ascii="仿宋" w:hAnsi="仿宋" w:eastAsia="仿宋" w:cs="仿宋"/>
          <w:b/>
          <w:bCs/>
          <w:color w:val="auto"/>
          <w:sz w:val="24"/>
          <w:szCs w:val="24"/>
          <w:lang w:eastAsia="zh-CN"/>
        </w:rPr>
      </w:pPr>
    </w:p>
    <w:p>
      <w:pPr>
        <w:rPr>
          <w:rFonts w:hint="eastAsia" w:ascii="仿宋" w:hAnsi="仿宋" w:eastAsia="仿宋" w:cs="仿宋"/>
          <w:b/>
          <w:bCs/>
          <w:color w:val="auto"/>
          <w:sz w:val="24"/>
          <w:szCs w:val="24"/>
          <w:lang w:eastAsia="zh-CN"/>
        </w:rPr>
      </w:pPr>
    </w:p>
    <w:p>
      <w:pPr>
        <w:pStyle w:val="9"/>
        <w:rPr>
          <w:rFonts w:hint="eastAsia" w:ascii="仿宋" w:hAnsi="仿宋" w:eastAsia="仿宋" w:cs="仿宋"/>
          <w:b/>
          <w:bCs/>
          <w:color w:val="auto"/>
          <w:sz w:val="24"/>
          <w:szCs w:val="24"/>
          <w:lang w:eastAsia="zh-CN"/>
        </w:rPr>
      </w:pPr>
    </w:p>
    <w:p>
      <w:pPr>
        <w:rPr>
          <w:rFonts w:hint="eastAsia" w:ascii="仿宋" w:hAnsi="仿宋" w:eastAsia="仿宋" w:cs="仿宋"/>
          <w:b/>
          <w:bCs/>
          <w:color w:val="auto"/>
          <w:sz w:val="24"/>
          <w:szCs w:val="24"/>
          <w:lang w:eastAsia="zh-CN"/>
        </w:rPr>
      </w:pPr>
    </w:p>
    <w:p>
      <w:pPr>
        <w:pStyle w:val="9"/>
        <w:rPr>
          <w:rFonts w:hint="eastAsia"/>
          <w:lang w:eastAsia="zh-CN"/>
        </w:rPr>
      </w:pPr>
    </w:p>
    <w:bookmarkEnd w:id="4"/>
    <w:bookmarkEnd w:id="49"/>
    <w:bookmarkEnd w:id="50"/>
    <w:p>
      <w:pPr>
        <w:pStyle w:val="18"/>
        <w:rPr>
          <w:rFonts w:hint="eastAsia" w:ascii="仿宋" w:hAnsi="仿宋" w:eastAsia="仿宋" w:cs="仿宋"/>
          <w:color w:val="auto"/>
          <w:sz w:val="24"/>
          <w:szCs w:val="24"/>
          <w:lang w:eastAsia="zh-CN"/>
        </w:rPr>
      </w:pPr>
      <w:bookmarkStart w:id="51" w:name="_Toc469495740"/>
    </w:p>
    <w:p>
      <w:pPr>
        <w:pStyle w:val="18"/>
        <w:rPr>
          <w:rFonts w:hint="eastAsia" w:ascii="仿宋" w:hAnsi="仿宋" w:eastAsia="仿宋" w:cs="仿宋"/>
          <w:color w:val="auto"/>
          <w:sz w:val="24"/>
          <w:szCs w:val="24"/>
          <w:lang w:eastAsia="zh-CN"/>
        </w:rPr>
      </w:pPr>
    </w:p>
    <w:p>
      <w:pPr>
        <w:pStyle w:val="18"/>
        <w:rPr>
          <w:rFonts w:hint="eastAsia" w:ascii="仿宋" w:hAnsi="仿宋" w:eastAsia="仿宋" w:cs="仿宋"/>
          <w:color w:val="auto"/>
          <w:sz w:val="24"/>
          <w:szCs w:val="24"/>
          <w:lang w:eastAsia="zh-CN"/>
        </w:rPr>
      </w:pPr>
    </w:p>
    <w:bookmarkEnd w:id="51"/>
    <w:p>
      <w:pPr>
        <w:pStyle w:val="3"/>
        <w:bidi w:val="0"/>
        <w:rPr>
          <w:rFonts w:hint="eastAsia"/>
          <w:color w:val="auto"/>
        </w:rPr>
      </w:pPr>
      <w:bookmarkStart w:id="52" w:name="_Toc17529"/>
      <w:r>
        <w:rPr>
          <w:rFonts w:hint="eastAsia"/>
          <w:color w:val="auto"/>
          <w:lang w:eastAsia="zh-CN"/>
        </w:rPr>
        <w:t>第五章</w:t>
      </w:r>
      <w:r>
        <w:rPr>
          <w:rFonts w:hint="eastAsia"/>
          <w:color w:val="auto"/>
          <w:lang w:val="en-US" w:eastAsia="zh-CN"/>
        </w:rPr>
        <w:t xml:space="preserve">   </w:t>
      </w:r>
      <w:r>
        <w:rPr>
          <w:rFonts w:hint="eastAsia"/>
          <w:lang w:val="en-US" w:eastAsia="zh-CN"/>
        </w:rPr>
        <w:t>合同条款及格式</w:t>
      </w:r>
    </w:p>
    <w:p>
      <w:pPr>
        <w:pStyle w:val="18"/>
        <w:numPr>
          <w:ilvl w:val="0"/>
          <w:numId w:val="0"/>
        </w:numPr>
        <w:ind w:leftChars="0" w:right="0" w:rightChars="0"/>
        <w:rPr>
          <w:rFonts w:hint="eastAsia"/>
          <w:color w:val="auto"/>
        </w:rPr>
      </w:pPr>
    </w:p>
    <w:p>
      <w:pPr>
        <w:spacing w:line="360" w:lineRule="auto"/>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（本合同为合同样稿，最终稿由供需双方协商后确定</w:t>
      </w:r>
      <w:r>
        <w:rPr>
          <w:rFonts w:hint="eastAsia" w:ascii="仿宋" w:hAnsi="仿宋" w:eastAsia="仿宋" w:cs="仿宋"/>
          <w:b/>
          <w:bCs/>
          <w:color w:val="auto"/>
          <w:sz w:val="24"/>
          <w:szCs w:val="24"/>
          <w:lang w:eastAsia="zh-CN"/>
        </w:rPr>
        <w:t>）</w:t>
      </w:r>
    </w:p>
    <w:p>
      <w:pPr>
        <w:pStyle w:val="18"/>
        <w:rPr>
          <w:rFonts w:hint="eastAsia"/>
          <w:color w:val="auto"/>
        </w:rPr>
      </w:pPr>
    </w:p>
    <w:p>
      <w:pPr>
        <w:spacing w:line="440" w:lineRule="exact"/>
        <w:jc w:val="center"/>
        <w:rPr>
          <w:rFonts w:hint="eastAsia" w:ascii="宋体" w:hAnsi="宋体" w:cs="宋体"/>
          <w:color w:val="auto"/>
          <w:szCs w:val="21"/>
        </w:rPr>
      </w:pPr>
      <w:r>
        <w:rPr>
          <w:rFonts w:hint="eastAsia" w:ascii="宋体" w:hAnsi="宋体" w:eastAsia="宋体" w:cs="宋体"/>
          <w:color w:val="auto"/>
          <w:szCs w:val="21"/>
          <w:lang w:val="en-US" w:eastAsia="zh-CN"/>
        </w:rPr>
        <w:t xml:space="preserve">                                        </w:t>
      </w:r>
    </w:p>
    <w:p>
      <w:pPr>
        <w:spacing w:line="360" w:lineRule="exact"/>
        <w:jc w:val="left"/>
        <w:rPr>
          <w:rFonts w:hint="eastAsia" w:ascii="宋体" w:hAnsi="宋体"/>
          <w:color w:val="auto"/>
          <w:sz w:val="24"/>
          <w:szCs w:val="24"/>
        </w:rPr>
      </w:pPr>
      <w:r>
        <w:rPr>
          <w:rFonts w:hint="eastAsia" w:ascii="宋体" w:hAnsi="宋体"/>
          <w:color w:val="auto"/>
          <w:sz w:val="24"/>
          <w:szCs w:val="24"/>
        </w:rPr>
        <w:t>合同编号：</w:t>
      </w:r>
    </w:p>
    <w:p>
      <w:pPr>
        <w:spacing w:line="360" w:lineRule="exact"/>
        <w:jc w:val="left"/>
        <w:rPr>
          <w:rFonts w:hint="eastAsia" w:ascii="宋体" w:hAnsi="宋体"/>
          <w:color w:val="auto"/>
          <w:sz w:val="24"/>
          <w:szCs w:val="24"/>
        </w:rPr>
      </w:pPr>
    </w:p>
    <w:p>
      <w:pPr>
        <w:spacing w:line="360" w:lineRule="exact"/>
        <w:ind w:firstLine="560" w:firstLineChars="200"/>
        <w:jc w:val="left"/>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rPr>
        <w:t>采购人（甲方）：</w:t>
      </w:r>
    </w:p>
    <w:p>
      <w:pPr>
        <w:spacing w:line="360" w:lineRule="exact"/>
        <w:ind w:firstLine="560" w:firstLineChars="200"/>
        <w:jc w:val="left"/>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中标人</w:t>
      </w:r>
      <w:r>
        <w:rPr>
          <w:rFonts w:hint="eastAsia" w:ascii="仿宋" w:hAnsi="仿宋" w:eastAsia="仿宋" w:cs="仿宋"/>
          <w:b/>
          <w:color w:val="auto"/>
          <w:sz w:val="28"/>
          <w:szCs w:val="28"/>
        </w:rPr>
        <w:t>（乙方）：</w:t>
      </w:r>
    </w:p>
    <w:p>
      <w:pPr>
        <w:snapToGrid w:val="0"/>
        <w:spacing w:line="360" w:lineRule="exact"/>
        <w:ind w:firstLine="560" w:firstLineChars="200"/>
        <w:jc w:val="left"/>
        <w:rPr>
          <w:rFonts w:hint="eastAsia" w:ascii="宋体" w:hAnsi="宋体"/>
          <w:color w:val="auto"/>
          <w:sz w:val="28"/>
          <w:szCs w:val="28"/>
        </w:rPr>
      </w:pP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根据《中华人民共和国政府采购法》、《中华人民共和国</w:t>
      </w:r>
      <w:r>
        <w:rPr>
          <w:rFonts w:hint="eastAsia" w:ascii="仿宋" w:hAnsi="仿宋" w:eastAsia="仿宋" w:cs="仿宋"/>
          <w:color w:val="auto"/>
          <w:sz w:val="28"/>
          <w:szCs w:val="28"/>
          <w:lang w:eastAsia="zh-CN"/>
        </w:rPr>
        <w:t>民法典</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通过呼图壁县第三中学委托</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进行招标</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lang w:val="en-US" w:eastAsia="zh-CN"/>
        </w:rPr>
        <w:t>[项目编号：</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乙方取得该项目的中标资格，双方在平等互利、协商一致的基础上，坚持公平、公开、公正、诚实信用的原则订立本合同。详细技术说明及其他有关合同项目的特定信息由合同附件予以说明，合同附件及本项目的招标文件、投标文件、《成交通知书》等均为本合同不可分割的部分。</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一、货币种类：人民币（元）        </w:t>
      </w:r>
    </w:p>
    <w:tbl>
      <w:tblPr>
        <w:tblStyle w:val="23"/>
        <w:tblpPr w:leftFromText="180" w:rightFromText="180" w:vertAnchor="text" w:horzAnchor="page" w:tblpX="1058" w:tblpY="513"/>
        <w:tblOverlap w:val="never"/>
        <w:tblW w:w="10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595"/>
        <w:gridCol w:w="1758"/>
        <w:gridCol w:w="978"/>
        <w:gridCol w:w="1514"/>
        <w:gridCol w:w="1468"/>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trPr>
        <w:tc>
          <w:tcPr>
            <w:tcW w:w="825" w:type="dxa"/>
            <w:noWrap w:val="0"/>
            <w:vAlign w:val="center"/>
          </w:tcPr>
          <w:p>
            <w:pPr>
              <w:keepNext w:val="0"/>
              <w:keepLines w:val="0"/>
              <w:pageBreakBefore w:val="0"/>
              <w:widowControl/>
              <w:tabs>
                <w:tab w:val="left" w:pos="432"/>
              </w:tabs>
              <w:kinsoku/>
              <w:wordWrap/>
              <w:overflowPunct/>
              <w:topLinePunct w:val="0"/>
              <w:autoSpaceDE/>
              <w:autoSpaceDN/>
              <w:bidi w:val="0"/>
              <w:adjustRightInd/>
              <w:spacing w:line="360" w:lineRule="auto"/>
              <w:ind w:left="-237" w:leftChars="-99"/>
              <w:jc w:val="center"/>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 xml:space="preserve"> 序号</w:t>
            </w:r>
          </w:p>
        </w:tc>
        <w:tc>
          <w:tcPr>
            <w:tcW w:w="1595" w:type="dxa"/>
            <w:noWrap w:val="0"/>
            <w:vAlign w:val="center"/>
          </w:tcPr>
          <w:p>
            <w:pPr>
              <w:keepNext w:val="0"/>
              <w:keepLines w:val="0"/>
              <w:pageBreakBefore w:val="0"/>
              <w:widowControl/>
              <w:tabs>
                <w:tab w:val="left" w:pos="0"/>
                <w:tab w:val="left" w:pos="540"/>
              </w:tabs>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产品名称</w:t>
            </w:r>
          </w:p>
        </w:tc>
        <w:tc>
          <w:tcPr>
            <w:tcW w:w="1758" w:type="dxa"/>
            <w:noWrap w:val="0"/>
            <w:vAlign w:val="center"/>
          </w:tcPr>
          <w:p>
            <w:pPr>
              <w:keepNext w:val="0"/>
              <w:keepLines w:val="0"/>
              <w:pageBreakBefore w:val="0"/>
              <w:widowControl/>
              <w:tabs>
                <w:tab w:val="left" w:pos="0"/>
                <w:tab w:val="left" w:pos="540"/>
              </w:tabs>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品牌、型号</w:t>
            </w:r>
          </w:p>
        </w:tc>
        <w:tc>
          <w:tcPr>
            <w:tcW w:w="978" w:type="dxa"/>
            <w:noWrap w:val="0"/>
            <w:vAlign w:val="center"/>
          </w:tcPr>
          <w:p>
            <w:pPr>
              <w:keepNext w:val="0"/>
              <w:keepLines w:val="0"/>
              <w:pageBreakBefore w:val="0"/>
              <w:widowControl/>
              <w:shd w:val="clear" w:color="auto" w:fill="auto"/>
              <w:tabs>
                <w:tab w:val="left" w:pos="0"/>
                <w:tab w:val="left" w:pos="540"/>
              </w:tabs>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数量</w:t>
            </w:r>
          </w:p>
        </w:tc>
        <w:tc>
          <w:tcPr>
            <w:tcW w:w="1514" w:type="dxa"/>
            <w:noWrap w:val="0"/>
            <w:vAlign w:val="center"/>
          </w:tcPr>
          <w:p>
            <w:pPr>
              <w:keepNext w:val="0"/>
              <w:keepLines w:val="0"/>
              <w:pageBreakBefore w:val="0"/>
              <w:widowControl/>
              <w:shd w:val="clear" w:color="auto" w:fill="auto"/>
              <w:tabs>
                <w:tab w:val="left" w:pos="0"/>
                <w:tab w:val="left" w:pos="540"/>
              </w:tabs>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单价</w:t>
            </w:r>
            <w:r>
              <w:rPr>
                <w:rFonts w:hint="eastAsia" w:ascii="仿宋" w:hAnsi="仿宋" w:eastAsia="仿宋" w:cs="仿宋"/>
                <w:color w:val="auto"/>
                <w:sz w:val="28"/>
                <w:szCs w:val="28"/>
                <w:lang w:eastAsia="zh-CN"/>
              </w:rPr>
              <w:t>（元）</w:t>
            </w:r>
          </w:p>
        </w:tc>
        <w:tc>
          <w:tcPr>
            <w:tcW w:w="1468" w:type="dxa"/>
            <w:noWrap w:val="0"/>
            <w:vAlign w:val="center"/>
          </w:tcPr>
          <w:p>
            <w:pPr>
              <w:keepNext w:val="0"/>
              <w:keepLines w:val="0"/>
              <w:pageBreakBefore w:val="0"/>
              <w:widowControl/>
              <w:shd w:val="clear" w:color="auto" w:fill="auto"/>
              <w:tabs>
                <w:tab w:val="left" w:pos="0"/>
                <w:tab w:val="left" w:pos="540"/>
              </w:tabs>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合计</w:t>
            </w:r>
            <w:r>
              <w:rPr>
                <w:rFonts w:hint="eastAsia" w:ascii="仿宋" w:hAnsi="仿宋" w:eastAsia="仿宋" w:cs="仿宋"/>
                <w:color w:val="auto"/>
                <w:sz w:val="28"/>
                <w:szCs w:val="28"/>
                <w:lang w:eastAsia="zh-CN"/>
              </w:rPr>
              <w:t>（元）</w:t>
            </w:r>
          </w:p>
        </w:tc>
        <w:tc>
          <w:tcPr>
            <w:tcW w:w="1998" w:type="dxa"/>
            <w:noWrap w:val="0"/>
            <w:vAlign w:val="center"/>
          </w:tcPr>
          <w:p>
            <w:pPr>
              <w:keepNext w:val="0"/>
              <w:keepLines w:val="0"/>
              <w:pageBreakBefore w:val="0"/>
              <w:widowControl/>
              <w:shd w:val="clear" w:color="auto" w:fill="auto"/>
              <w:tabs>
                <w:tab w:val="left" w:pos="0"/>
                <w:tab w:val="left" w:pos="540"/>
              </w:tabs>
              <w:kinsoku/>
              <w:wordWrap/>
              <w:overflowPunct/>
              <w:topLinePunct w:val="0"/>
              <w:autoSpaceDE/>
              <w:autoSpaceDN/>
              <w:bidi w:val="0"/>
              <w:adjustRightInd/>
              <w:spacing w:line="360" w:lineRule="auto"/>
              <w:jc w:val="center"/>
              <w:textAlignment w:val="baseline"/>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投标产品图片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exact"/>
        </w:trPr>
        <w:tc>
          <w:tcPr>
            <w:tcW w:w="825" w:type="dxa"/>
            <w:noWrap w:val="0"/>
            <w:vAlign w:val="center"/>
          </w:tcPr>
          <w:p>
            <w:pPr>
              <w:keepNext w:val="0"/>
              <w:keepLines w:val="0"/>
              <w:pageBreakBefore w:val="0"/>
              <w:widowControl/>
              <w:tabs>
                <w:tab w:val="left" w:pos="0"/>
                <w:tab w:val="left" w:pos="540"/>
              </w:tabs>
              <w:kinsoku/>
              <w:wordWrap/>
              <w:overflowPunct/>
              <w:topLinePunct w:val="0"/>
              <w:autoSpaceDE/>
              <w:autoSpaceDN/>
              <w:bidi w:val="0"/>
              <w:adjustRightInd/>
              <w:spacing w:line="360" w:lineRule="auto"/>
              <w:jc w:val="center"/>
              <w:textAlignment w:val="baseline"/>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p>
        </w:tc>
        <w:tc>
          <w:tcPr>
            <w:tcW w:w="1595" w:type="dxa"/>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sz w:val="28"/>
                <w:szCs w:val="28"/>
                <w:lang w:val="en-US" w:eastAsia="zh-CN"/>
              </w:rPr>
            </w:pPr>
          </w:p>
        </w:tc>
        <w:tc>
          <w:tcPr>
            <w:tcW w:w="1758" w:type="dxa"/>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sz w:val="28"/>
                <w:szCs w:val="28"/>
                <w:lang w:val="en-US" w:eastAsia="zh-CN"/>
              </w:rPr>
            </w:pPr>
          </w:p>
        </w:tc>
        <w:tc>
          <w:tcPr>
            <w:tcW w:w="978" w:type="dxa"/>
            <w:noWrap w:val="0"/>
            <w:vAlign w:val="center"/>
          </w:tcPr>
          <w:p>
            <w:pPr>
              <w:keepNext w:val="0"/>
              <w:keepLines w:val="0"/>
              <w:pageBreakBefore w:val="0"/>
              <w:widowControl/>
              <w:kinsoku/>
              <w:wordWrap/>
              <w:overflowPunct/>
              <w:topLinePunct w:val="0"/>
              <w:autoSpaceDE/>
              <w:autoSpaceDN/>
              <w:bidi w:val="0"/>
              <w:adjustRightInd/>
              <w:spacing w:line="360" w:lineRule="auto"/>
              <w:jc w:val="both"/>
              <w:textAlignment w:val="baseline"/>
              <w:rPr>
                <w:rFonts w:hint="eastAsia" w:ascii="仿宋" w:hAnsi="仿宋" w:eastAsia="仿宋" w:cs="仿宋"/>
                <w:color w:val="auto"/>
                <w:sz w:val="28"/>
                <w:szCs w:val="28"/>
                <w:lang w:val="en-US" w:eastAsia="zh-CN"/>
              </w:rPr>
            </w:pPr>
          </w:p>
        </w:tc>
        <w:tc>
          <w:tcPr>
            <w:tcW w:w="1514" w:type="dxa"/>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sz w:val="28"/>
                <w:szCs w:val="28"/>
                <w:lang w:val="en-US" w:eastAsia="zh-CN"/>
              </w:rPr>
            </w:pPr>
          </w:p>
        </w:tc>
        <w:tc>
          <w:tcPr>
            <w:tcW w:w="1468" w:type="dxa"/>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sz w:val="28"/>
                <w:szCs w:val="28"/>
                <w:lang w:val="en-US" w:eastAsia="zh-CN"/>
              </w:rPr>
            </w:pPr>
          </w:p>
        </w:tc>
        <w:tc>
          <w:tcPr>
            <w:tcW w:w="1998" w:type="dxa"/>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exact"/>
        </w:trPr>
        <w:tc>
          <w:tcPr>
            <w:tcW w:w="825" w:type="dxa"/>
            <w:noWrap w:val="0"/>
            <w:vAlign w:val="center"/>
          </w:tcPr>
          <w:p>
            <w:pPr>
              <w:keepNext w:val="0"/>
              <w:keepLines w:val="0"/>
              <w:pageBreakBefore w:val="0"/>
              <w:widowControl/>
              <w:tabs>
                <w:tab w:val="left" w:pos="0"/>
                <w:tab w:val="left" w:pos="540"/>
              </w:tabs>
              <w:kinsoku/>
              <w:wordWrap/>
              <w:overflowPunct/>
              <w:topLinePunct w:val="0"/>
              <w:autoSpaceDE/>
              <w:autoSpaceDN/>
              <w:bidi w:val="0"/>
              <w:adjustRightInd/>
              <w:spacing w:line="360" w:lineRule="auto"/>
              <w:jc w:val="center"/>
              <w:textAlignment w:val="baseline"/>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p>
        </w:tc>
        <w:tc>
          <w:tcPr>
            <w:tcW w:w="1595" w:type="dxa"/>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sz w:val="28"/>
                <w:szCs w:val="28"/>
                <w:lang w:val="en-US" w:eastAsia="zh-CN"/>
              </w:rPr>
            </w:pPr>
          </w:p>
        </w:tc>
        <w:tc>
          <w:tcPr>
            <w:tcW w:w="1758" w:type="dxa"/>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sz w:val="28"/>
                <w:szCs w:val="28"/>
                <w:lang w:val="en-US" w:eastAsia="zh-CN"/>
              </w:rPr>
            </w:pPr>
          </w:p>
        </w:tc>
        <w:tc>
          <w:tcPr>
            <w:tcW w:w="978" w:type="dxa"/>
            <w:noWrap w:val="0"/>
            <w:vAlign w:val="center"/>
          </w:tcPr>
          <w:p>
            <w:pPr>
              <w:keepNext w:val="0"/>
              <w:keepLines w:val="0"/>
              <w:pageBreakBefore w:val="0"/>
              <w:widowControl/>
              <w:kinsoku/>
              <w:wordWrap/>
              <w:overflowPunct/>
              <w:topLinePunct w:val="0"/>
              <w:autoSpaceDE/>
              <w:autoSpaceDN/>
              <w:bidi w:val="0"/>
              <w:adjustRightInd/>
              <w:spacing w:line="360" w:lineRule="auto"/>
              <w:jc w:val="both"/>
              <w:textAlignment w:val="baseline"/>
              <w:rPr>
                <w:rFonts w:hint="eastAsia" w:ascii="仿宋" w:hAnsi="仿宋" w:eastAsia="仿宋" w:cs="仿宋"/>
                <w:color w:val="auto"/>
                <w:sz w:val="28"/>
                <w:szCs w:val="28"/>
                <w:lang w:val="en-US" w:eastAsia="zh-CN"/>
              </w:rPr>
            </w:pPr>
          </w:p>
        </w:tc>
        <w:tc>
          <w:tcPr>
            <w:tcW w:w="1514" w:type="dxa"/>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sz w:val="28"/>
                <w:szCs w:val="28"/>
                <w:lang w:val="en-US" w:eastAsia="zh-CN"/>
              </w:rPr>
            </w:pPr>
          </w:p>
        </w:tc>
        <w:tc>
          <w:tcPr>
            <w:tcW w:w="1468" w:type="dxa"/>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sz w:val="28"/>
                <w:szCs w:val="28"/>
                <w:lang w:val="en-US" w:eastAsia="zh-CN"/>
              </w:rPr>
            </w:pPr>
          </w:p>
        </w:tc>
        <w:tc>
          <w:tcPr>
            <w:tcW w:w="1998" w:type="dxa"/>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exact"/>
        </w:trPr>
        <w:tc>
          <w:tcPr>
            <w:tcW w:w="825" w:type="dxa"/>
            <w:noWrap w:val="0"/>
            <w:vAlign w:val="center"/>
          </w:tcPr>
          <w:p>
            <w:pPr>
              <w:keepNext w:val="0"/>
              <w:keepLines w:val="0"/>
              <w:pageBreakBefore w:val="0"/>
              <w:widowControl/>
              <w:tabs>
                <w:tab w:val="left" w:pos="0"/>
                <w:tab w:val="left" w:pos="540"/>
              </w:tabs>
              <w:kinsoku/>
              <w:wordWrap/>
              <w:overflowPunct/>
              <w:topLinePunct w:val="0"/>
              <w:autoSpaceDE/>
              <w:autoSpaceDN/>
              <w:bidi w:val="0"/>
              <w:adjustRightInd/>
              <w:spacing w:line="360" w:lineRule="auto"/>
              <w:jc w:val="center"/>
              <w:textAlignment w:val="baseline"/>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w:t>
            </w:r>
          </w:p>
        </w:tc>
        <w:tc>
          <w:tcPr>
            <w:tcW w:w="1595" w:type="dxa"/>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sz w:val="28"/>
                <w:szCs w:val="28"/>
                <w:lang w:val="en-US" w:eastAsia="zh-CN"/>
              </w:rPr>
            </w:pPr>
          </w:p>
        </w:tc>
        <w:tc>
          <w:tcPr>
            <w:tcW w:w="1758" w:type="dxa"/>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sz w:val="28"/>
                <w:szCs w:val="28"/>
                <w:lang w:val="en-US" w:eastAsia="zh-CN"/>
              </w:rPr>
            </w:pPr>
          </w:p>
        </w:tc>
        <w:tc>
          <w:tcPr>
            <w:tcW w:w="978" w:type="dxa"/>
            <w:noWrap w:val="0"/>
            <w:vAlign w:val="center"/>
          </w:tcPr>
          <w:p>
            <w:pPr>
              <w:keepNext w:val="0"/>
              <w:keepLines w:val="0"/>
              <w:pageBreakBefore w:val="0"/>
              <w:widowControl/>
              <w:kinsoku/>
              <w:wordWrap/>
              <w:overflowPunct/>
              <w:topLinePunct w:val="0"/>
              <w:autoSpaceDE/>
              <w:autoSpaceDN/>
              <w:bidi w:val="0"/>
              <w:adjustRightInd/>
              <w:spacing w:line="360" w:lineRule="auto"/>
              <w:jc w:val="both"/>
              <w:textAlignment w:val="baseline"/>
              <w:rPr>
                <w:rFonts w:hint="eastAsia" w:ascii="仿宋" w:hAnsi="仿宋" w:eastAsia="仿宋" w:cs="仿宋"/>
                <w:color w:val="auto"/>
                <w:sz w:val="28"/>
                <w:szCs w:val="28"/>
                <w:lang w:val="en-US" w:eastAsia="zh-CN"/>
              </w:rPr>
            </w:pPr>
          </w:p>
        </w:tc>
        <w:tc>
          <w:tcPr>
            <w:tcW w:w="1514" w:type="dxa"/>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sz w:val="28"/>
                <w:szCs w:val="28"/>
                <w:lang w:val="en-US" w:eastAsia="zh-CN"/>
              </w:rPr>
            </w:pPr>
          </w:p>
        </w:tc>
        <w:tc>
          <w:tcPr>
            <w:tcW w:w="1468" w:type="dxa"/>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sz w:val="28"/>
                <w:szCs w:val="28"/>
                <w:lang w:val="en-US" w:eastAsia="zh-CN"/>
              </w:rPr>
            </w:pPr>
          </w:p>
        </w:tc>
        <w:tc>
          <w:tcPr>
            <w:tcW w:w="1998" w:type="dxa"/>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exact"/>
        </w:trPr>
        <w:tc>
          <w:tcPr>
            <w:tcW w:w="10136" w:type="dxa"/>
            <w:gridSpan w:val="7"/>
            <w:noWrap w:val="0"/>
            <w:vAlign w:val="center"/>
          </w:tcPr>
          <w:p>
            <w:pPr>
              <w:keepNext w:val="0"/>
              <w:keepLines w:val="0"/>
              <w:pageBreakBefore w:val="0"/>
              <w:widowControl/>
              <w:tabs>
                <w:tab w:val="left" w:pos="-809"/>
                <w:tab w:val="left" w:pos="540"/>
              </w:tabs>
              <w:kinsoku/>
              <w:wordWrap/>
              <w:overflowPunct/>
              <w:topLinePunct w:val="0"/>
              <w:autoSpaceDE/>
              <w:autoSpaceDN/>
              <w:bidi w:val="0"/>
              <w:adjustRightInd/>
              <w:spacing w:line="360" w:lineRule="auto"/>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成交总价（大写）：</w:t>
            </w:r>
          </w:p>
          <w:p>
            <w:pPr>
              <w:keepNext w:val="0"/>
              <w:keepLines w:val="0"/>
              <w:pageBreakBefore w:val="0"/>
              <w:widowControl/>
              <w:tabs>
                <w:tab w:val="left" w:pos="0"/>
                <w:tab w:val="left" w:pos="1152"/>
              </w:tabs>
              <w:kinsoku/>
              <w:wordWrap/>
              <w:overflowPunct/>
              <w:topLinePunct w:val="0"/>
              <w:autoSpaceDE/>
              <w:autoSpaceDN/>
              <w:bidi w:val="0"/>
              <w:adjustRightInd/>
              <w:spacing w:line="360" w:lineRule="auto"/>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总计（小写）：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7" w:hRule="exact"/>
        </w:trPr>
        <w:tc>
          <w:tcPr>
            <w:tcW w:w="10136" w:type="dxa"/>
            <w:gridSpan w:val="7"/>
            <w:noWrap w:val="0"/>
            <w:vAlign w:val="center"/>
          </w:tcPr>
          <w:p>
            <w:pPr>
              <w:keepNext w:val="0"/>
              <w:keepLines w:val="0"/>
              <w:pageBreakBefore w:val="0"/>
              <w:widowControl/>
              <w:tabs>
                <w:tab w:val="left" w:pos="0"/>
                <w:tab w:val="left" w:pos="540"/>
              </w:tabs>
              <w:kinsoku/>
              <w:wordWrap/>
              <w:overflowPunct/>
              <w:topLinePunct w:val="0"/>
              <w:autoSpaceDE/>
              <w:autoSpaceDN/>
              <w:bidi w:val="0"/>
              <w:adjustRightInd/>
              <w:spacing w:line="360" w:lineRule="auto"/>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备注：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exact"/>
        </w:trPr>
        <w:tc>
          <w:tcPr>
            <w:tcW w:w="10136" w:type="dxa"/>
            <w:gridSpan w:val="7"/>
            <w:noWrap w:val="0"/>
            <w:vAlign w:val="center"/>
          </w:tcPr>
          <w:p>
            <w:pPr>
              <w:keepNext w:val="0"/>
              <w:keepLines w:val="0"/>
              <w:pageBreakBefore w:val="0"/>
              <w:widowControl/>
              <w:tabs>
                <w:tab w:val="left" w:pos="0"/>
                <w:tab w:val="left" w:pos="540"/>
                <w:tab w:val="left" w:pos="9042"/>
              </w:tabs>
              <w:kinsoku/>
              <w:wordWrap/>
              <w:overflowPunct/>
              <w:topLinePunct w:val="0"/>
              <w:autoSpaceDE/>
              <w:autoSpaceDN/>
              <w:bidi w:val="0"/>
              <w:adjustRightInd/>
              <w:spacing w:line="360" w:lineRule="auto"/>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设备</w:t>
            </w:r>
            <w:r>
              <w:rPr>
                <w:rFonts w:hint="eastAsia" w:ascii="仿宋" w:hAnsi="仿宋" w:eastAsia="仿宋" w:cs="仿宋"/>
                <w:color w:val="auto"/>
                <w:sz w:val="28"/>
                <w:szCs w:val="28"/>
                <w:lang w:eastAsia="zh-CN"/>
              </w:rPr>
              <w:t>附件及备品备件（耗材）</w:t>
            </w:r>
            <w:r>
              <w:rPr>
                <w:rFonts w:hint="eastAsia" w:ascii="仿宋" w:hAnsi="仿宋" w:eastAsia="仿宋" w:cs="仿宋"/>
                <w:color w:val="auto"/>
                <w:sz w:val="28"/>
                <w:szCs w:val="28"/>
              </w:rPr>
              <w:t>清单：（见附页） 共   页 ，以验收签字认可的配置为准。</w:t>
            </w:r>
          </w:p>
        </w:tc>
      </w:tr>
    </w:tbl>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 xml:space="preserve"> 注：产品名称、型号、生产国应与注册证中注册相同；属于法定商检的需进行商检；乙方保证成交价格不高于市场成交价，若高于市场成交价乙方应承担超出部分。属于计量器具的需提交计量检定证书或进口型式批准证书，乙方提供的产品应能保证计量合格，乙方应承担初次计量检测费用。若不能达到上述要求，一切相关违约责任由乙方承担。</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b/>
          <w:color w:val="auto"/>
          <w:sz w:val="28"/>
          <w:szCs w:val="28"/>
        </w:rPr>
        <w:t>二、 设备的交付期:</w:t>
      </w:r>
      <w:r>
        <w:rPr>
          <w:rFonts w:hint="eastAsia" w:ascii="仿宋" w:hAnsi="仿宋" w:eastAsia="仿宋" w:cs="仿宋"/>
          <w:color w:val="auto"/>
          <w:sz w:val="28"/>
          <w:szCs w:val="28"/>
        </w:rPr>
        <w:t xml:space="preserve"> 乙方在合同生效的</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天内向甲方交付上述设备</w:t>
      </w:r>
      <w:r>
        <w:rPr>
          <w:rFonts w:hint="eastAsia" w:ascii="仿宋" w:hAnsi="仿宋" w:eastAsia="仿宋" w:cs="仿宋"/>
          <w:color w:val="auto"/>
          <w:sz w:val="28"/>
          <w:szCs w:val="28"/>
          <w:lang w:eastAsia="zh-CN"/>
        </w:rPr>
        <w:t>（部分设备受场地限制，需按甲方要求时间延期交付）</w:t>
      </w:r>
      <w:r>
        <w:rPr>
          <w:rFonts w:hint="eastAsia" w:ascii="仿宋" w:hAnsi="仿宋" w:eastAsia="仿宋" w:cs="仿宋"/>
          <w:color w:val="auto"/>
          <w:sz w:val="28"/>
          <w:szCs w:val="28"/>
        </w:rPr>
        <w:t xml:space="preserve">，逾期将按照第6条规定执行。 </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三、 设备运输、安装和验收 </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3.1乙方按甲方约定的时间将货物送到甲方</w:t>
      </w:r>
      <w:r>
        <w:rPr>
          <w:rFonts w:hint="eastAsia" w:ascii="仿宋" w:hAnsi="仿宋" w:eastAsia="仿宋" w:cs="仿宋"/>
          <w:color w:val="auto"/>
          <w:sz w:val="28"/>
          <w:szCs w:val="28"/>
          <w:lang w:eastAsia="zh-CN"/>
        </w:rPr>
        <w:t>指</w:t>
      </w:r>
      <w:r>
        <w:rPr>
          <w:rFonts w:hint="eastAsia" w:ascii="仿宋" w:hAnsi="仿宋" w:eastAsia="仿宋" w:cs="仿宋"/>
          <w:color w:val="auto"/>
          <w:sz w:val="28"/>
          <w:szCs w:val="28"/>
        </w:rPr>
        <w:t>定地点。乙方确保设备安全无损地运抵甲方指定现场,并承担设备的运费、保险费、装卸费等费用。超期承担甲方业务损失，每晚到1天扣0.2%设备款。</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3.2甲乙双方对设备进行开箱清点检查验收，如果发现数量不足或有质量、技术等问题，乙方应在10天内，按照甲方的要求，采取补足、更换或退货等处理措施，并承担由此发生的一切损失和费用。</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3.3设备到货后，甲、乙双方在符合国家相关技术标准的基础上，根据招标的技术文件及合同约定的内容进行设备验收，验收合格后，双方在验收合格单上签字确认。如果提供产品不能满足招标技术要求，甲方无条件退货。并追究乙方责任。</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3.4乙方应在接到甲方通知后安装调试设备，安装完成组织人员培训。正常使用1周以上，得到使用科室的认可签字后办理入库手续。</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4、付款方式 </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lang w:val="en-US" w:eastAsia="zh-CN"/>
        </w:rPr>
        <w:t>。</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b/>
          <w:color w:val="auto"/>
          <w:sz w:val="28"/>
          <w:szCs w:val="28"/>
        </w:rPr>
      </w:pPr>
      <w:r>
        <w:rPr>
          <w:rFonts w:hint="eastAsia" w:ascii="仿宋" w:hAnsi="仿宋" w:eastAsia="仿宋" w:cs="仿宋"/>
          <w:b/>
          <w:color w:val="auto"/>
          <w:sz w:val="28"/>
          <w:szCs w:val="28"/>
        </w:rPr>
        <w:t>5、质量保证及售后服务</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5.1乙方应提供免费保修期为</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个月，保修期的期限应以甲乙双方的验收合格之日起计算，保修期内免费更换零配件及工时费，若因机器本身的质量而不能正常使用，乙方应免费更换货物。开机率≥98%，乙方需要在当地设有售后服务机构，并配备受过专业培训的售后服务人员。</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5.2报修响应时间_</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_小时，到场时间__24_小时（不可抗拒力量下除外）。</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5.3乙方负责设备的终身维修并应继续提供优质的服务，储备足够的零配件备库，维修期间只收取零配件费用。</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6、索赔条款 </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6.1 乙方应在规定时间内向甲方提供以上产品并符合招标技术文件。如需换货，换货必须全新并符合本合同规定的规格，质量和性能，卖方并负责因此而产生的一切费用和买方的一切直接损失。</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6.2乙方应保证甲方和使用单位在使用该设备或其任何一部分时免受第三方提出侵犯其专利权、商标权或工业产权的起诉。</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b/>
          <w:color w:val="auto"/>
          <w:sz w:val="28"/>
          <w:szCs w:val="28"/>
        </w:rPr>
      </w:pPr>
      <w:r>
        <w:rPr>
          <w:rFonts w:hint="eastAsia" w:ascii="仿宋" w:hAnsi="仿宋" w:eastAsia="仿宋" w:cs="仿宋"/>
          <w:b/>
          <w:color w:val="auto"/>
          <w:sz w:val="28"/>
          <w:szCs w:val="28"/>
        </w:rPr>
        <w:t>7、培训</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7.1乙方负责对甲方使用人员现场培训，</w:t>
      </w:r>
      <w:r>
        <w:rPr>
          <w:rFonts w:hint="eastAsia" w:ascii="仿宋" w:hAnsi="仿宋" w:eastAsia="仿宋" w:cs="仿宋"/>
          <w:color w:val="auto"/>
          <w:sz w:val="28"/>
          <w:szCs w:val="28"/>
          <w:lang w:eastAsia="zh-CN"/>
        </w:rPr>
        <w:t>学会为止</w:t>
      </w:r>
      <w:r>
        <w:rPr>
          <w:rFonts w:hint="eastAsia" w:ascii="仿宋" w:hAnsi="仿宋" w:eastAsia="仿宋" w:cs="仿宋"/>
          <w:color w:val="auto"/>
          <w:sz w:val="28"/>
          <w:szCs w:val="28"/>
        </w:rPr>
        <w:t>；</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 xml:space="preserve">8、争端的解决 </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8.1合同双方如有一方不履行合同义务或者履行合同义务不符合合同约定给对方造成损失,则全部损失及责任由违约方承担。</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8.2双方如在履行合同中发生纠纷，首先应友好协商，协商不成，双方均应向合同签订地法院起诉。</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9、合同生效 </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9.1 本合同在甲、乙双方签字盖章后生效。</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9.2 本合同一式</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份，甲方执</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份、乙方执</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份，具有相同的法律效应。</w:t>
      </w:r>
    </w:p>
    <w:tbl>
      <w:tblPr>
        <w:tblStyle w:val="23"/>
        <w:tblpPr w:leftFromText="180" w:rightFromText="180" w:vertAnchor="text" w:horzAnchor="page" w:tblpX="1352" w:tblpY="337"/>
        <w:tblOverlap w:val="never"/>
        <w:tblW w:w="0" w:type="auto"/>
        <w:tblInd w:w="0" w:type="dxa"/>
        <w:tblLayout w:type="fixed"/>
        <w:tblCellMar>
          <w:top w:w="0" w:type="dxa"/>
          <w:left w:w="108" w:type="dxa"/>
          <w:bottom w:w="0" w:type="dxa"/>
          <w:right w:w="108" w:type="dxa"/>
        </w:tblCellMar>
      </w:tblPr>
      <w:tblGrid>
        <w:gridCol w:w="4981"/>
        <w:gridCol w:w="4981"/>
      </w:tblGrid>
      <w:tr>
        <w:tblPrEx>
          <w:tblCellMar>
            <w:top w:w="0" w:type="dxa"/>
            <w:left w:w="108" w:type="dxa"/>
            <w:bottom w:w="0" w:type="dxa"/>
            <w:right w:w="108" w:type="dxa"/>
          </w:tblCellMar>
        </w:tblPrEx>
        <w:tc>
          <w:tcPr>
            <w:tcW w:w="4981" w:type="dxa"/>
            <w:noWrap w:val="0"/>
            <w:vAlign w:val="top"/>
          </w:tcPr>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甲方：</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 xml:space="preserve">（盖章）                                                                                                                                                      </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单位地址 :                                                                             </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法人代表签字:</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 xml:space="preserve">法人委托人签字:                                   </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 xml:space="preserve">邮政编码:            </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 xml:space="preserve">电话号码 :                                                        </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 xml:space="preserve">年   月 　  日 </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tc>
        <w:tc>
          <w:tcPr>
            <w:tcW w:w="4981" w:type="dxa"/>
            <w:noWrap w:val="0"/>
            <w:vAlign w:val="top"/>
          </w:tcPr>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b/>
                <w:color w:val="auto"/>
                <w:sz w:val="28"/>
                <w:szCs w:val="28"/>
                <w:lang w:val="en-US" w:eastAsia="zh-CN"/>
              </w:rPr>
            </w:pPr>
            <w:r>
              <w:rPr>
                <w:rFonts w:hint="eastAsia" w:ascii="仿宋" w:hAnsi="仿宋" w:eastAsia="仿宋" w:cs="仿宋"/>
                <w:color w:val="auto"/>
                <w:sz w:val="28"/>
                <w:szCs w:val="28"/>
              </w:rPr>
              <w:t>乙方：</w:t>
            </w:r>
          </w:p>
          <w:p>
            <w:pPr>
              <w:keepNext w:val="0"/>
              <w:keepLines w:val="0"/>
              <w:pageBreakBefore w:val="0"/>
              <w:widowControl/>
              <w:kinsoku/>
              <w:wordWrap/>
              <w:overflowPunct/>
              <w:topLinePunct w:val="0"/>
              <w:autoSpaceDE/>
              <w:autoSpaceDN/>
              <w:bidi w:val="0"/>
              <w:adjustRightInd/>
              <w:spacing w:line="360" w:lineRule="auto"/>
              <w:ind w:left="319" w:leftChars="133" w:firstLine="280" w:firstLineChars="1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 xml:space="preserve">（盖章）                               </w:t>
            </w:r>
          </w:p>
          <w:p>
            <w:pPr>
              <w:keepNext w:val="0"/>
              <w:keepLines w:val="0"/>
              <w:pageBreakBefore w:val="0"/>
              <w:widowControl/>
              <w:kinsoku/>
              <w:wordWrap/>
              <w:overflowPunct/>
              <w:topLinePunct w:val="0"/>
              <w:autoSpaceDE/>
              <w:autoSpaceDN/>
              <w:bidi w:val="0"/>
              <w:adjustRightInd/>
              <w:spacing w:line="360" w:lineRule="auto"/>
              <w:ind w:left="2040" w:leftChars="267" w:hanging="1400" w:hangingChars="5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单位地址:                               </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 xml:space="preserve">法人代表签字:    </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 xml:space="preserve">法人委托人签字:               </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 xml:space="preserve">邮政编码 :  </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 xml:space="preserve">电话及传真:              </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 xml:space="preserve">年   月 　  日       </w:t>
            </w:r>
          </w:p>
        </w:tc>
      </w:tr>
    </w:tbl>
    <w:p>
      <w:pPr>
        <w:rPr>
          <w:rFonts w:hint="eastAsia" w:ascii="仿宋" w:hAnsi="仿宋" w:eastAsia="仿宋" w:cs="仿宋"/>
          <w:color w:val="auto"/>
          <w:lang w:val="en-US" w:eastAsia="zh-CN"/>
        </w:rPr>
      </w:pPr>
    </w:p>
    <w:p>
      <w:pPr>
        <w:pStyle w:val="9"/>
        <w:rPr>
          <w:rFonts w:hint="eastAsia" w:ascii="仿宋" w:hAnsi="仿宋" w:eastAsia="仿宋" w:cs="仿宋"/>
          <w:color w:val="auto"/>
          <w:lang w:val="en-US" w:eastAsia="zh-CN"/>
        </w:rPr>
      </w:pPr>
    </w:p>
    <w:p>
      <w:pPr>
        <w:rPr>
          <w:rFonts w:hint="eastAsia" w:ascii="仿宋" w:hAnsi="仿宋" w:eastAsia="仿宋" w:cs="仿宋"/>
          <w:color w:val="auto"/>
          <w:lang w:val="en-US" w:eastAsia="zh-CN"/>
        </w:rPr>
      </w:pPr>
    </w:p>
    <w:p>
      <w:pPr>
        <w:pStyle w:val="29"/>
        <w:rPr>
          <w:rFonts w:hint="eastAsia" w:ascii="仿宋" w:hAnsi="仿宋" w:eastAsia="仿宋" w:cs="仿宋"/>
          <w:color w:val="auto"/>
          <w:lang w:val="en-US" w:eastAsia="zh-CN"/>
        </w:rPr>
      </w:pPr>
    </w:p>
    <w:p>
      <w:pPr>
        <w:rPr>
          <w:rFonts w:hint="eastAsia" w:ascii="仿宋" w:hAnsi="仿宋" w:eastAsia="仿宋" w:cs="仿宋"/>
          <w:color w:val="auto"/>
          <w:lang w:val="en-US" w:eastAsia="zh-CN"/>
        </w:rPr>
      </w:pPr>
    </w:p>
    <w:p>
      <w:pPr>
        <w:numPr>
          <w:ilvl w:val="0"/>
          <w:numId w:val="0"/>
        </w:numPr>
        <w:spacing w:line="400" w:lineRule="exact"/>
        <w:ind w:firstLine="3360" w:firstLineChars="1200"/>
        <w:jc w:val="both"/>
        <w:textAlignment w:val="baseline"/>
        <w:rPr>
          <w:rStyle w:val="57"/>
          <w:rFonts w:hint="eastAsia" w:ascii="仿宋" w:hAnsi="仿宋" w:eastAsia="仿宋" w:cs="仿宋"/>
          <w:b/>
          <w:bCs/>
          <w:color w:val="auto"/>
          <w:kern w:val="2"/>
          <w:sz w:val="28"/>
          <w:szCs w:val="28"/>
          <w:lang w:val="en-US" w:eastAsia="zh-CN" w:bidi="ar-SA"/>
        </w:rPr>
      </w:pPr>
      <w:r>
        <w:rPr>
          <w:rStyle w:val="57"/>
          <w:rFonts w:hint="eastAsia" w:ascii="仿宋" w:hAnsi="仿宋" w:eastAsia="仿宋" w:cs="仿宋"/>
          <w:b/>
          <w:bCs/>
          <w:color w:val="auto"/>
          <w:kern w:val="2"/>
          <w:sz w:val="28"/>
          <w:szCs w:val="28"/>
          <w:lang w:val="en-US" w:eastAsia="zh-CN" w:bidi="ar-SA"/>
        </w:rPr>
        <w:t>售后服务承诺</w:t>
      </w:r>
    </w:p>
    <w:p>
      <w:pPr>
        <w:spacing w:line="400" w:lineRule="exact"/>
        <w:jc w:val="both"/>
        <w:textAlignment w:val="baseline"/>
        <w:rPr>
          <w:rStyle w:val="57"/>
          <w:rFonts w:hint="eastAsia" w:ascii="仿宋" w:hAnsi="仿宋" w:eastAsia="仿宋" w:cs="仿宋"/>
          <w:b/>
          <w:bCs/>
          <w:color w:val="auto"/>
          <w:kern w:val="2"/>
          <w:sz w:val="28"/>
          <w:szCs w:val="28"/>
          <w:lang w:val="en-US" w:eastAsia="zh-CN" w:bidi="ar-SA"/>
        </w:rPr>
      </w:pPr>
    </w:p>
    <w:p>
      <w:pPr>
        <w:spacing w:line="560" w:lineRule="exact"/>
        <w:ind w:firstLine="560" w:firstLineChars="200"/>
        <w:jc w:val="both"/>
        <w:textAlignment w:val="baseline"/>
        <w:rPr>
          <w:rStyle w:val="57"/>
          <w:rFonts w:hint="eastAsia" w:ascii="仿宋" w:hAnsi="仿宋" w:eastAsia="仿宋" w:cs="仿宋"/>
          <w:bCs/>
          <w:color w:val="auto"/>
          <w:kern w:val="2"/>
          <w:sz w:val="28"/>
          <w:szCs w:val="28"/>
          <w:lang w:val="en-US" w:eastAsia="zh-CN" w:bidi="ar-SA"/>
        </w:rPr>
      </w:pPr>
      <w:r>
        <w:rPr>
          <w:rStyle w:val="57"/>
          <w:rFonts w:hint="eastAsia" w:ascii="仿宋" w:hAnsi="仿宋" w:eastAsia="仿宋" w:cs="仿宋"/>
          <w:bCs/>
          <w:color w:val="auto"/>
          <w:kern w:val="2"/>
          <w:sz w:val="28"/>
          <w:szCs w:val="28"/>
          <w:lang w:val="en-US" w:eastAsia="zh-CN" w:bidi="ar-SA"/>
        </w:rPr>
        <w:t>在交付使用后，卖方应对保修期及其以后的服务做出承诺，并具有切实可行的服务措施。不能及时兑现服务承诺内容而影响买方使用时，卖方应给予补偿的承诺，在投标书中均应明确说明。</w:t>
      </w:r>
    </w:p>
    <w:p>
      <w:pPr>
        <w:shd w:val="clear" w:color="auto" w:fill="auto"/>
        <w:spacing w:line="360" w:lineRule="auto"/>
        <w:ind w:firstLine="360" w:firstLineChars="150"/>
        <w:rPr>
          <w:rFonts w:hint="eastAsia" w:ascii="仿宋" w:hAnsi="仿宋" w:eastAsia="仿宋" w:cs="仿宋"/>
          <w:b/>
          <w:color w:val="auto"/>
          <w:sz w:val="32"/>
          <w:szCs w:val="32"/>
          <w:highlight w:val="none"/>
        </w:rPr>
        <w:sectPr>
          <w:footerReference r:id="rId8" w:type="default"/>
          <w:pgSz w:w="11906" w:h="16838"/>
          <w:pgMar w:top="1440" w:right="1080" w:bottom="1440" w:left="1080" w:header="851" w:footer="992" w:gutter="0"/>
          <w:pgNumType w:fmt="decimal"/>
          <w:cols w:space="720" w:num="1"/>
          <w:docGrid w:type="linesAndChars" w:linePitch="312" w:charSpace="0"/>
        </w:sectPr>
      </w:pPr>
      <w:r>
        <w:rPr>
          <w:rFonts w:hint="eastAsia" w:ascii="仿宋" w:hAnsi="仿宋" w:eastAsia="仿宋" w:cs="仿宋"/>
          <w:color w:val="auto"/>
          <w:szCs w:val="21"/>
          <w:highlight w:val="none"/>
        </w:rPr>
        <w:t>形。</w:t>
      </w:r>
      <w:bookmarkStart w:id="53" w:name="_Toc469495737"/>
    </w:p>
    <w:bookmarkEnd w:id="52"/>
    <w:bookmarkEnd w:id="53"/>
    <w:p>
      <w:pPr>
        <w:pStyle w:val="9"/>
        <w:rPr>
          <w:rFonts w:hint="eastAsia"/>
          <w:color w:val="auto"/>
        </w:rPr>
      </w:pPr>
      <w:bookmarkStart w:id="54" w:name="_Toc7146"/>
    </w:p>
    <w:p>
      <w:pPr>
        <w:rPr>
          <w:rFonts w:hint="eastAsia"/>
        </w:rPr>
      </w:pPr>
    </w:p>
    <w:p>
      <w:pPr>
        <w:pStyle w:val="3"/>
        <w:bidi w:val="0"/>
        <w:rPr>
          <w:rFonts w:hint="eastAsia"/>
          <w:color w:val="auto"/>
        </w:rPr>
      </w:pPr>
      <w:r>
        <w:rPr>
          <w:rFonts w:hint="eastAsia"/>
          <w:color w:val="auto"/>
        </w:rPr>
        <w:t>第</w:t>
      </w:r>
      <w:r>
        <w:rPr>
          <w:rFonts w:hint="eastAsia"/>
          <w:color w:val="auto"/>
          <w:lang w:eastAsia="zh-CN"/>
        </w:rPr>
        <w:t>六章</w:t>
      </w:r>
      <w:r>
        <w:rPr>
          <w:rFonts w:hint="eastAsia"/>
          <w:color w:val="auto"/>
          <w:lang w:val="en-US" w:eastAsia="zh-CN"/>
        </w:rPr>
        <w:t xml:space="preserve">   </w:t>
      </w:r>
      <w:r>
        <w:rPr>
          <w:rFonts w:hint="eastAsia"/>
          <w:color w:val="auto"/>
        </w:rPr>
        <w:t>投标文件格式</w:t>
      </w:r>
      <w:bookmarkEnd w:id="54"/>
    </w:p>
    <w:p>
      <w:pPr>
        <w:adjustRightInd w:val="0"/>
        <w:snapToGrid w:val="0"/>
        <w:spacing w:line="360" w:lineRule="auto"/>
        <w:jc w:val="center"/>
        <w:rPr>
          <w:rFonts w:hint="eastAsia" w:ascii="仿宋" w:hAnsi="仿宋" w:eastAsia="仿宋" w:cs="仿宋"/>
          <w:b/>
          <w:caps/>
          <w:color w:val="auto"/>
          <w:sz w:val="24"/>
          <w:szCs w:val="24"/>
        </w:rPr>
      </w:pPr>
      <w:bookmarkStart w:id="55" w:name="bookmark196"/>
    </w:p>
    <w:p>
      <w:pPr>
        <w:adjustRightInd w:val="0"/>
        <w:snapToGrid w:val="0"/>
        <w:spacing w:line="360" w:lineRule="auto"/>
        <w:jc w:val="center"/>
        <w:rPr>
          <w:rFonts w:hint="eastAsia" w:ascii="仿宋" w:hAnsi="仿宋" w:eastAsia="仿宋" w:cs="仿宋"/>
          <w:b/>
          <w:caps/>
          <w:color w:val="auto"/>
          <w:sz w:val="32"/>
          <w:szCs w:val="32"/>
        </w:rPr>
      </w:pPr>
    </w:p>
    <w:p>
      <w:pPr>
        <w:adjustRightInd w:val="0"/>
        <w:snapToGrid w:val="0"/>
        <w:spacing w:line="360" w:lineRule="auto"/>
        <w:jc w:val="center"/>
        <w:rPr>
          <w:rFonts w:hint="eastAsia" w:ascii="仿宋" w:hAnsi="仿宋" w:eastAsia="仿宋" w:cs="仿宋"/>
          <w:b/>
          <w:caps/>
          <w:color w:val="auto"/>
          <w:sz w:val="32"/>
          <w:szCs w:val="32"/>
        </w:rPr>
      </w:pPr>
    </w:p>
    <w:p>
      <w:pPr>
        <w:adjustRightInd w:val="0"/>
        <w:snapToGrid w:val="0"/>
        <w:spacing w:line="360" w:lineRule="auto"/>
        <w:jc w:val="center"/>
        <w:rPr>
          <w:rFonts w:hint="eastAsia" w:ascii="仿宋" w:hAnsi="仿宋" w:eastAsia="仿宋" w:cs="仿宋"/>
          <w:bCs/>
          <w:color w:val="auto"/>
          <w:sz w:val="32"/>
          <w:szCs w:val="32"/>
        </w:rPr>
      </w:pPr>
      <w:r>
        <w:rPr>
          <w:rFonts w:hint="eastAsia" w:ascii="仿宋" w:hAnsi="仿宋" w:eastAsia="仿宋" w:cs="仿宋"/>
          <w:b/>
          <w:caps/>
          <w:color w:val="auto"/>
          <w:sz w:val="32"/>
          <w:szCs w:val="32"/>
        </w:rPr>
        <w:t>（项目名称</w:t>
      </w:r>
      <w:r>
        <w:rPr>
          <w:rFonts w:hint="eastAsia" w:ascii="仿宋" w:hAnsi="仿宋" w:eastAsia="仿宋" w:cs="仿宋"/>
          <w:b/>
          <w:caps/>
          <w:color w:val="auto"/>
          <w:sz w:val="32"/>
          <w:szCs w:val="32"/>
          <w:lang w:val="en-US" w:eastAsia="zh-CN"/>
        </w:rPr>
        <w:t>+标段</w:t>
      </w:r>
      <w:r>
        <w:rPr>
          <w:rFonts w:hint="eastAsia" w:ascii="仿宋" w:hAnsi="仿宋" w:eastAsia="仿宋" w:cs="仿宋"/>
          <w:b/>
          <w:caps/>
          <w:color w:val="auto"/>
          <w:sz w:val="32"/>
          <w:szCs w:val="32"/>
        </w:rPr>
        <w:t>）</w:t>
      </w:r>
    </w:p>
    <w:p>
      <w:pPr>
        <w:adjustRightInd w:val="0"/>
        <w:snapToGrid w:val="0"/>
        <w:spacing w:line="360" w:lineRule="auto"/>
        <w:jc w:val="both"/>
        <w:rPr>
          <w:rFonts w:hint="eastAsia" w:ascii="仿宋" w:hAnsi="仿宋" w:eastAsia="仿宋" w:cs="仿宋"/>
          <w:b/>
          <w:bCs/>
          <w:color w:val="auto"/>
          <w:sz w:val="44"/>
          <w:szCs w:val="44"/>
          <w:lang w:eastAsia="zh-CN"/>
        </w:rPr>
      </w:pPr>
    </w:p>
    <w:p>
      <w:pPr>
        <w:adjustRightInd w:val="0"/>
        <w:snapToGrid w:val="0"/>
        <w:spacing w:line="360" w:lineRule="auto"/>
        <w:jc w:val="center"/>
        <w:rPr>
          <w:rFonts w:hint="eastAsia" w:ascii="仿宋" w:hAnsi="仿宋" w:eastAsia="仿宋" w:cs="仿宋"/>
          <w:bCs/>
          <w:color w:val="auto"/>
          <w:sz w:val="32"/>
          <w:szCs w:val="32"/>
          <w:lang w:eastAsia="zh-CN"/>
        </w:rPr>
      </w:pPr>
      <w:r>
        <w:rPr>
          <w:rFonts w:hint="eastAsia" w:ascii="仿宋" w:hAnsi="仿宋" w:eastAsia="仿宋" w:cs="仿宋"/>
          <w:b/>
          <w:bCs/>
          <w:color w:val="auto"/>
          <w:sz w:val="44"/>
          <w:szCs w:val="44"/>
          <w:lang w:eastAsia="zh-CN"/>
        </w:rPr>
        <w:t>投标文件</w:t>
      </w:r>
    </w:p>
    <w:p>
      <w:pPr>
        <w:adjustRightInd w:val="0"/>
        <w:snapToGrid w:val="0"/>
        <w:spacing w:line="360" w:lineRule="auto"/>
        <w:jc w:val="center"/>
        <w:rPr>
          <w:rFonts w:hint="eastAsia" w:ascii="仿宋" w:hAnsi="仿宋" w:eastAsia="仿宋" w:cs="仿宋"/>
          <w:bCs/>
          <w:color w:val="auto"/>
          <w:sz w:val="32"/>
          <w:szCs w:val="32"/>
        </w:rPr>
      </w:pPr>
    </w:p>
    <w:p>
      <w:pPr>
        <w:pStyle w:val="5"/>
        <w:rPr>
          <w:rFonts w:hint="eastAsia"/>
          <w:color w:val="auto"/>
        </w:rPr>
      </w:pPr>
    </w:p>
    <w:p>
      <w:pPr>
        <w:adjustRightInd w:val="0"/>
        <w:snapToGrid w:val="0"/>
        <w:spacing w:line="360" w:lineRule="auto"/>
        <w:jc w:val="both"/>
        <w:rPr>
          <w:rFonts w:hint="eastAsia" w:ascii="仿宋" w:hAnsi="仿宋" w:eastAsia="仿宋" w:cs="仿宋"/>
          <w:bC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154" w:rightChars="-64"/>
        <w:textAlignment w:val="auto"/>
        <w:rPr>
          <w:rFonts w:hint="eastAsia" w:ascii="仿宋" w:hAnsi="仿宋" w:eastAsia="仿宋" w:cs="仿宋"/>
          <w:b/>
          <w:caps/>
          <w:color w:val="auto"/>
          <w:sz w:val="32"/>
          <w:szCs w:val="32"/>
        </w:rPr>
      </w:pPr>
      <w:r>
        <w:rPr>
          <w:rFonts w:hint="eastAsia" w:ascii="仿宋" w:hAnsi="仿宋" w:eastAsia="仿宋" w:cs="仿宋"/>
          <w:b/>
          <w:caps/>
          <w:color w:val="auto"/>
          <w:spacing w:val="0"/>
          <w:w w:val="87"/>
          <w:kern w:val="0"/>
          <w:sz w:val="32"/>
          <w:szCs w:val="32"/>
          <w:fitText w:val="2810" w:id="173286817"/>
        </w:rPr>
        <w:t>供应商名称（公章）</w:t>
      </w:r>
      <w:r>
        <w:rPr>
          <w:rFonts w:hint="eastAsia" w:ascii="仿宋" w:hAnsi="仿宋" w:eastAsia="仿宋" w:cs="仿宋"/>
          <w:b/>
          <w:caps/>
          <w:color w:val="auto"/>
          <w:spacing w:val="3"/>
          <w:w w:val="87"/>
          <w:kern w:val="0"/>
          <w:sz w:val="32"/>
          <w:szCs w:val="32"/>
          <w:fitText w:val="2810" w:id="173286817"/>
        </w:rPr>
        <w:t>：</w:t>
      </w:r>
    </w:p>
    <w:p>
      <w:pPr>
        <w:keepNext w:val="0"/>
        <w:keepLines w:val="0"/>
        <w:pageBreakBefore w:val="0"/>
        <w:widowControl w:val="0"/>
        <w:kinsoku/>
        <w:wordWrap/>
        <w:overflowPunct/>
        <w:topLinePunct w:val="0"/>
        <w:autoSpaceDE/>
        <w:autoSpaceDN/>
        <w:bidi w:val="0"/>
        <w:adjustRightInd w:val="0"/>
        <w:snapToGrid w:val="0"/>
        <w:spacing w:line="240" w:lineRule="auto"/>
        <w:ind w:right="-154" w:rightChars="-64"/>
        <w:textAlignment w:val="auto"/>
        <w:rPr>
          <w:rFonts w:hint="eastAsia" w:ascii="仿宋" w:hAnsi="仿宋" w:eastAsia="仿宋" w:cs="仿宋"/>
          <w:b/>
          <w:cap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154" w:rightChars="-64"/>
        <w:textAlignment w:val="auto"/>
        <w:rPr>
          <w:rFonts w:hint="eastAsia" w:ascii="仿宋" w:hAnsi="仿宋" w:eastAsia="仿宋" w:cs="仿宋"/>
          <w:b/>
          <w:caps/>
          <w:color w:val="auto"/>
          <w:sz w:val="32"/>
          <w:szCs w:val="32"/>
        </w:rPr>
      </w:pPr>
      <w:r>
        <w:rPr>
          <w:rFonts w:hint="eastAsia" w:ascii="仿宋" w:hAnsi="仿宋" w:eastAsia="仿宋" w:cs="仿宋"/>
          <w:b/>
          <w:caps/>
          <w:color w:val="auto"/>
          <w:spacing w:val="0"/>
          <w:w w:val="67"/>
          <w:kern w:val="0"/>
          <w:sz w:val="32"/>
          <w:szCs w:val="32"/>
          <w:fitText w:val="2810" w:id="1823047076"/>
        </w:rPr>
        <w:t>法定代表人（</w:t>
      </w:r>
      <w:r>
        <w:rPr>
          <w:rFonts w:hint="eastAsia" w:ascii="仿宋" w:hAnsi="仿宋" w:eastAsia="仿宋" w:cs="仿宋"/>
          <w:b/>
          <w:caps/>
          <w:color w:val="auto"/>
          <w:spacing w:val="0"/>
          <w:w w:val="67"/>
          <w:kern w:val="0"/>
          <w:sz w:val="32"/>
          <w:szCs w:val="32"/>
          <w:fitText w:val="2810" w:id="1823047076"/>
          <w:lang w:eastAsia="zh-CN"/>
        </w:rPr>
        <w:t>签字</w:t>
      </w:r>
      <w:r>
        <w:rPr>
          <w:rFonts w:hint="eastAsia" w:ascii="仿宋" w:hAnsi="仿宋" w:eastAsia="仿宋" w:cs="仿宋"/>
          <w:b/>
          <w:caps/>
          <w:color w:val="auto"/>
          <w:spacing w:val="0"/>
          <w:w w:val="67"/>
          <w:kern w:val="0"/>
          <w:sz w:val="32"/>
          <w:szCs w:val="32"/>
          <w:fitText w:val="2810" w:id="1823047076"/>
        </w:rPr>
        <w:t>或盖章）</w:t>
      </w:r>
      <w:r>
        <w:rPr>
          <w:rFonts w:hint="eastAsia" w:ascii="仿宋" w:hAnsi="仿宋" w:eastAsia="仿宋" w:cs="仿宋"/>
          <w:b/>
          <w:caps/>
          <w:color w:val="auto"/>
          <w:spacing w:val="5"/>
          <w:w w:val="67"/>
          <w:kern w:val="0"/>
          <w:sz w:val="32"/>
          <w:szCs w:val="32"/>
          <w:fitText w:val="2810" w:id="1823047076"/>
        </w:rPr>
        <w:t>：</w:t>
      </w:r>
    </w:p>
    <w:p>
      <w:pPr>
        <w:keepNext w:val="0"/>
        <w:keepLines w:val="0"/>
        <w:pageBreakBefore w:val="0"/>
        <w:widowControl w:val="0"/>
        <w:kinsoku/>
        <w:wordWrap/>
        <w:overflowPunct/>
        <w:topLinePunct w:val="0"/>
        <w:autoSpaceDE/>
        <w:autoSpaceDN/>
        <w:bidi w:val="0"/>
        <w:adjustRightInd w:val="0"/>
        <w:snapToGrid w:val="0"/>
        <w:spacing w:line="240" w:lineRule="auto"/>
        <w:ind w:right="-154" w:rightChars="-64"/>
        <w:textAlignment w:val="auto"/>
        <w:rPr>
          <w:rFonts w:hint="eastAsia" w:ascii="仿宋" w:hAnsi="仿宋" w:eastAsia="仿宋" w:cs="仿宋"/>
          <w:b/>
          <w:cap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154" w:rightChars="-64"/>
        <w:textAlignment w:val="auto"/>
        <w:rPr>
          <w:rFonts w:hint="eastAsia" w:ascii="仿宋" w:hAnsi="仿宋" w:eastAsia="仿宋" w:cs="仿宋"/>
          <w:b/>
          <w:caps/>
          <w:color w:val="auto"/>
          <w:sz w:val="32"/>
          <w:szCs w:val="32"/>
        </w:rPr>
      </w:pPr>
      <w:r>
        <w:rPr>
          <w:rFonts w:hint="eastAsia" w:ascii="仿宋" w:hAnsi="仿宋" w:eastAsia="仿宋" w:cs="仿宋"/>
          <w:b/>
          <w:caps/>
          <w:color w:val="auto"/>
          <w:spacing w:val="89"/>
          <w:kern w:val="0"/>
          <w:sz w:val="32"/>
          <w:szCs w:val="32"/>
          <w:fitText w:val="2810" w:id="1233616176"/>
        </w:rPr>
        <w:t>供应商地址</w:t>
      </w:r>
      <w:r>
        <w:rPr>
          <w:rFonts w:hint="eastAsia" w:ascii="仿宋" w:hAnsi="仿宋" w:eastAsia="仿宋" w:cs="仿宋"/>
          <w:b/>
          <w:caps/>
          <w:color w:val="auto"/>
          <w:spacing w:val="0"/>
          <w:kern w:val="0"/>
          <w:sz w:val="32"/>
          <w:szCs w:val="32"/>
          <w:fitText w:val="2810" w:id="1233616176"/>
        </w:rPr>
        <w:t>：</w:t>
      </w:r>
    </w:p>
    <w:p>
      <w:pPr>
        <w:keepNext w:val="0"/>
        <w:keepLines w:val="0"/>
        <w:pageBreakBefore w:val="0"/>
        <w:widowControl w:val="0"/>
        <w:kinsoku/>
        <w:wordWrap/>
        <w:overflowPunct/>
        <w:topLinePunct w:val="0"/>
        <w:autoSpaceDE/>
        <w:autoSpaceDN/>
        <w:bidi w:val="0"/>
        <w:adjustRightInd w:val="0"/>
        <w:snapToGrid w:val="0"/>
        <w:spacing w:line="240" w:lineRule="auto"/>
        <w:ind w:right="-154" w:rightChars="-64"/>
        <w:textAlignment w:val="auto"/>
        <w:rPr>
          <w:rFonts w:hint="eastAsia" w:ascii="仿宋" w:hAnsi="仿宋" w:eastAsia="仿宋" w:cs="仿宋"/>
          <w:b/>
          <w:cap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154" w:rightChars="-64"/>
        <w:textAlignment w:val="auto"/>
        <w:rPr>
          <w:rFonts w:hint="eastAsia" w:ascii="仿宋" w:hAnsi="仿宋" w:eastAsia="仿宋" w:cs="仿宋"/>
          <w:b/>
          <w:caps/>
          <w:color w:val="auto"/>
          <w:sz w:val="32"/>
          <w:szCs w:val="32"/>
        </w:rPr>
      </w:pPr>
      <w:r>
        <w:rPr>
          <w:rFonts w:hint="eastAsia" w:ascii="仿宋" w:hAnsi="仿宋" w:eastAsia="仿宋" w:cs="仿宋"/>
          <w:b/>
          <w:caps/>
          <w:color w:val="auto"/>
          <w:spacing w:val="255"/>
          <w:kern w:val="0"/>
          <w:sz w:val="32"/>
          <w:szCs w:val="32"/>
          <w:fitText w:val="2810" w:id="1426482856"/>
        </w:rPr>
        <w:t>联系人</w:t>
      </w:r>
      <w:r>
        <w:rPr>
          <w:rFonts w:hint="eastAsia" w:ascii="仿宋" w:hAnsi="仿宋" w:eastAsia="仿宋" w:cs="仿宋"/>
          <w:b/>
          <w:caps/>
          <w:color w:val="auto"/>
          <w:spacing w:val="0"/>
          <w:kern w:val="0"/>
          <w:sz w:val="32"/>
          <w:szCs w:val="32"/>
          <w:fitText w:val="2810" w:id="1426482856"/>
        </w:rPr>
        <w:t>：</w:t>
      </w:r>
    </w:p>
    <w:p>
      <w:pPr>
        <w:keepNext w:val="0"/>
        <w:keepLines w:val="0"/>
        <w:pageBreakBefore w:val="0"/>
        <w:widowControl w:val="0"/>
        <w:kinsoku/>
        <w:wordWrap/>
        <w:overflowPunct/>
        <w:topLinePunct w:val="0"/>
        <w:autoSpaceDE/>
        <w:autoSpaceDN/>
        <w:bidi w:val="0"/>
        <w:adjustRightInd w:val="0"/>
        <w:snapToGrid w:val="0"/>
        <w:spacing w:line="240" w:lineRule="auto"/>
        <w:ind w:right="-154" w:rightChars="-64"/>
        <w:textAlignment w:val="auto"/>
        <w:rPr>
          <w:rFonts w:hint="eastAsia" w:ascii="仿宋" w:hAnsi="仿宋" w:eastAsia="仿宋" w:cs="仿宋"/>
          <w:b/>
          <w:cap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154" w:rightChars="-64"/>
        <w:textAlignment w:val="auto"/>
        <w:rPr>
          <w:rFonts w:hint="eastAsia" w:ascii="仿宋" w:hAnsi="仿宋" w:eastAsia="仿宋" w:cs="仿宋"/>
          <w:b/>
          <w:caps/>
          <w:color w:val="auto"/>
          <w:sz w:val="32"/>
          <w:szCs w:val="32"/>
        </w:rPr>
      </w:pPr>
      <w:r>
        <w:rPr>
          <w:rFonts w:hint="eastAsia" w:ascii="仿宋" w:hAnsi="仿宋" w:eastAsia="仿宋" w:cs="仿宋"/>
          <w:b/>
          <w:caps/>
          <w:color w:val="auto"/>
          <w:spacing w:val="151"/>
          <w:kern w:val="0"/>
          <w:sz w:val="32"/>
          <w:szCs w:val="32"/>
          <w:fitText w:val="2810" w:id="1710822429"/>
        </w:rPr>
        <w:t>联系电话</w:t>
      </w:r>
      <w:r>
        <w:rPr>
          <w:rFonts w:hint="eastAsia" w:ascii="仿宋" w:hAnsi="仿宋" w:eastAsia="仿宋" w:cs="仿宋"/>
          <w:b/>
          <w:caps/>
          <w:color w:val="auto"/>
          <w:spacing w:val="1"/>
          <w:kern w:val="0"/>
          <w:sz w:val="32"/>
          <w:szCs w:val="32"/>
          <w:fitText w:val="2810" w:id="1710822429"/>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cap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32"/>
          <w:szCs w:val="32"/>
        </w:rPr>
        <w:t>年</w:t>
      </w: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32"/>
          <w:szCs w:val="32"/>
        </w:rPr>
        <w:t>月</w:t>
      </w: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32"/>
          <w:szCs w:val="32"/>
        </w:rPr>
        <w:t>日</w:t>
      </w:r>
    </w:p>
    <w:p>
      <w:pPr>
        <w:pStyle w:val="36"/>
        <w:keepNext w:val="0"/>
        <w:keepLines w:val="0"/>
        <w:widowControl w:val="0"/>
        <w:shd w:val="clear" w:color="auto" w:fill="auto"/>
        <w:bidi w:val="0"/>
        <w:spacing w:before="0" w:after="340" w:line="240" w:lineRule="auto"/>
        <w:ind w:left="0" w:right="0" w:firstLine="0"/>
        <w:jc w:val="left"/>
        <w:rPr>
          <w:rFonts w:hint="eastAsia" w:ascii="仿宋" w:hAnsi="仿宋" w:eastAsia="仿宋" w:cs="仿宋"/>
          <w:color w:val="auto"/>
          <w:spacing w:val="0"/>
          <w:w w:val="100"/>
          <w:position w:val="0"/>
        </w:rPr>
      </w:pPr>
    </w:p>
    <w:p>
      <w:pPr>
        <w:pStyle w:val="36"/>
        <w:keepNext w:val="0"/>
        <w:keepLines w:val="0"/>
        <w:widowControl w:val="0"/>
        <w:shd w:val="clear" w:color="auto" w:fill="auto"/>
        <w:bidi w:val="0"/>
        <w:spacing w:before="0" w:after="340" w:line="240" w:lineRule="auto"/>
        <w:ind w:left="0" w:right="0" w:firstLine="0"/>
        <w:jc w:val="left"/>
        <w:rPr>
          <w:rFonts w:hint="eastAsia" w:ascii="仿宋" w:hAnsi="仿宋" w:eastAsia="仿宋" w:cs="仿宋"/>
          <w:color w:val="auto"/>
          <w:spacing w:val="0"/>
          <w:w w:val="100"/>
          <w:position w:val="0"/>
        </w:rPr>
      </w:pPr>
    </w:p>
    <w:bookmarkEnd w:id="55"/>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第一部分　商务部分</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一、投标函(格式附后)</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附件1－1　法定代表人身份证明复印件(法定代表人参加投标)</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附件1－2　法定代表人授权书(授权代表参加投标)</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二、开标一览表（包含报价明细表）(格式附后)</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三、商务条款偏离表(格式附后)</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四、投标保证金(格式附后)</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五、供应商的资格证明材料</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(一)供应商基本情况表(附件5－1)</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(二)参加政府采购活动的供应商应当具备《政府采购法》第二十二条第一款规定的条件，提供下列材料：</w:t>
      </w:r>
    </w:p>
    <w:p>
      <w:pPr>
        <w:spacing w:line="5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附件5－</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　法人或者其他组织的营业执照副本复印件或自然人的身份证明复印件</w:t>
      </w:r>
      <w:r>
        <w:rPr>
          <w:rFonts w:hint="eastAsia" w:asciiTheme="minorEastAsia" w:hAnsiTheme="minorEastAsia" w:eastAsiaTheme="minorEastAsia" w:cstheme="minorEastAsia"/>
          <w:sz w:val="24"/>
          <w:szCs w:val="24"/>
          <w:lang w:val="en-US" w:eastAsia="zh-CN"/>
        </w:rPr>
        <w:t>；</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附件5－</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－2　</w:t>
      </w:r>
      <w:r>
        <w:rPr>
          <w:rFonts w:hint="eastAsia" w:asciiTheme="minorEastAsia" w:hAnsiTheme="minorEastAsia" w:eastAsiaTheme="minorEastAsia" w:cstheme="minorEastAsia"/>
          <w:sz w:val="24"/>
          <w:szCs w:val="24"/>
          <w:lang w:val="en-US" w:eastAsia="zh-CN"/>
        </w:rPr>
        <w:t>具有履行合同所必需的设备和专业技术能力(声明函格式自拟)即具有完成本项目采购能力</w:t>
      </w:r>
      <w:r>
        <w:rPr>
          <w:rFonts w:hint="eastAsia" w:asciiTheme="minorEastAsia" w:hAnsiTheme="minorEastAsia" w:eastAsiaTheme="minorEastAsia" w:cstheme="minorEastAsia"/>
          <w:sz w:val="24"/>
          <w:szCs w:val="24"/>
        </w:rPr>
        <w:t>；</w:t>
      </w:r>
    </w:p>
    <w:p>
      <w:pPr>
        <w:spacing w:line="5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附件5－</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  具有依法缴纳税收和社会保障资金的良好记录(提供相应证明材料或声明函格式自拟)</w:t>
      </w:r>
      <w:r>
        <w:rPr>
          <w:rFonts w:hint="eastAsia" w:asciiTheme="minorEastAsia" w:hAnsiTheme="minorEastAsia" w:eastAsiaTheme="minorEastAsia" w:cstheme="minorEastAsia"/>
          <w:sz w:val="24"/>
          <w:szCs w:val="24"/>
        </w:rPr>
        <w:t>；</w:t>
      </w:r>
    </w:p>
    <w:p>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附件5－</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－4　</w:t>
      </w:r>
      <w:r>
        <w:rPr>
          <w:rFonts w:hint="eastAsia" w:asciiTheme="minorEastAsia" w:hAnsiTheme="minorEastAsia" w:eastAsiaTheme="minorEastAsia" w:cstheme="minorEastAsia"/>
          <w:sz w:val="24"/>
          <w:szCs w:val="24"/>
          <w:lang w:val="en-US" w:eastAsia="zh-CN"/>
        </w:rPr>
        <w:t>单位负责人为同一人或者存在直接控股、管理关系的不同供应商，不得参加同一合同项下的政府采购活动(提供声明函格式自拟)；</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附件5－</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  参加政府采购活动前三年内在经营活动中没有重大违法记录的书面声明</w:t>
      </w:r>
      <w:r>
        <w:rPr>
          <w:rFonts w:hint="eastAsia" w:asciiTheme="minorEastAsia" w:hAnsiTheme="minorEastAsia" w:eastAsiaTheme="minorEastAsia" w:cstheme="minorEastAsia"/>
          <w:sz w:val="24"/>
          <w:szCs w:val="24"/>
        </w:rPr>
        <w:t>；</w:t>
      </w:r>
    </w:p>
    <w:p>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附件5－</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无不良信用记录承诺函；</w:t>
      </w:r>
    </w:p>
    <w:p>
      <w:pPr>
        <w:shd w:val="clear" w:color="auto" w:fill="auto"/>
        <w:spacing w:line="5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附件5－2－7  供应商参加政府采购活动前三年内，在经营活动中没有重大违法记录，在“信用中国”网站（www.creditchina.gov.cn）、中国政府采购网（www.ccgp.gov.cn）没有被列入失信被执行人、重大税收违法失信主体名单、政府采购严重违法失信行为记录名单及其他不符合规定条件。（提供查询结果网页截图并加盖供应商公章）。</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六、提供符合政府采购政策的证明材料</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附件6－1　中小企业声明函(格式附后)</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七、供应商须知前附表要求的其他投标资料</w:t>
      </w:r>
    </w:p>
    <w:p>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八、供应商须提供类似业绩</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供应商认为需提供的其他资料</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sz w:val="24"/>
          <w:szCs w:val="24"/>
        </w:rPr>
        <w:t>第二部分　技术部分</w:t>
      </w:r>
    </w:p>
    <w:p>
      <w:pPr>
        <w:spacing w:line="400" w:lineRule="exact"/>
        <w:ind w:firstLine="480" w:firstLineChars="200"/>
        <w:rPr>
          <w:rFonts w:ascii="宋体" w:hAnsi="宋体"/>
          <w:sz w:val="24"/>
        </w:rPr>
      </w:pPr>
      <w:r>
        <w:rPr>
          <w:rFonts w:hint="eastAsia" w:ascii="宋体" w:hAnsi="宋体"/>
          <w:sz w:val="24"/>
        </w:rPr>
        <w:t>投标人应根据项目采购需求、评标办法及</w:t>
      </w:r>
      <w:r>
        <w:rPr>
          <w:rFonts w:hint="eastAsia" w:ascii="宋体" w:hAnsi="宋体"/>
          <w:spacing w:val="-2"/>
          <w:sz w:val="24"/>
        </w:rPr>
        <w:t>评审内容和实际情况增加内容，但不得擅自减少有关内容</w:t>
      </w:r>
      <w:r>
        <w:rPr>
          <w:rFonts w:hint="eastAsia" w:ascii="宋体" w:hAnsi="宋体"/>
          <w:sz w:val="24"/>
        </w:rPr>
        <w:t>，</w:t>
      </w:r>
      <w:r>
        <w:rPr>
          <w:rFonts w:hint="eastAsia" w:ascii="宋体" w:hAnsi="宋体"/>
          <w:spacing w:val="-2"/>
          <w:sz w:val="24"/>
        </w:rPr>
        <w:t>所有不完整的投标将可能被否决其参选，</w:t>
      </w:r>
      <w:r>
        <w:rPr>
          <w:rFonts w:hint="eastAsia" w:ascii="宋体" w:hAnsi="宋体"/>
          <w:sz w:val="24"/>
        </w:rPr>
        <w:t>格式自拟，包括但不限于：</w:t>
      </w:r>
    </w:p>
    <w:p>
      <w:pPr>
        <w:spacing w:line="400" w:lineRule="exact"/>
        <w:ind w:firstLine="480" w:firstLineChars="200"/>
        <w:rPr>
          <w:rFonts w:ascii="宋体" w:hAnsi="宋体"/>
          <w:sz w:val="24"/>
        </w:rPr>
      </w:pPr>
      <w:r>
        <w:rPr>
          <w:rFonts w:hint="eastAsia" w:ascii="宋体" w:hAnsi="宋体"/>
          <w:sz w:val="24"/>
        </w:rPr>
        <w:t>投标人应提交完整的组织方案至少应包括以下内容：</w:t>
      </w:r>
    </w:p>
    <w:p>
      <w:pPr>
        <w:spacing w:line="500" w:lineRule="exact"/>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 项目实施方案、技术方案、服务方案或供货方案；</w:t>
      </w:r>
    </w:p>
    <w:p>
      <w:pPr>
        <w:spacing w:line="500" w:lineRule="exact"/>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 投标供应商必须提供投标货物的详细参数说明；</w:t>
      </w:r>
    </w:p>
    <w:p>
      <w:pPr>
        <w:spacing w:line="500" w:lineRule="exact"/>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 投标产品性能和质量；</w:t>
      </w:r>
    </w:p>
    <w:p>
      <w:pPr>
        <w:spacing w:line="500" w:lineRule="exact"/>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四、 配送方案；</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t>五、 到货要求；</w:t>
      </w:r>
    </w:p>
    <w:p>
      <w:pPr>
        <w:spacing w:line="500" w:lineRule="exact"/>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六、 质量保证措施；</w:t>
      </w:r>
    </w:p>
    <w:p>
      <w:pPr>
        <w:spacing w:line="500" w:lineRule="exact"/>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七、 技术条款偏离表；</w:t>
      </w:r>
    </w:p>
    <w:p>
      <w:pPr>
        <w:spacing w:line="500" w:lineRule="exact"/>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八、 使用说明书、产品图册等证明材料须附彩色复印件；</w:t>
      </w:r>
    </w:p>
    <w:p>
      <w:pPr>
        <w:spacing w:line="500" w:lineRule="exact"/>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九、 投标人售后服务承诺；</w:t>
      </w:r>
    </w:p>
    <w:p>
      <w:pPr>
        <w:pStyle w:val="9"/>
        <w:rPr>
          <w:b w:val="0"/>
          <w:bCs w:val="0"/>
        </w:rPr>
      </w:pPr>
      <w:r>
        <w:rPr>
          <w:rFonts w:hint="eastAsia" w:asciiTheme="minorEastAsia" w:hAnsiTheme="minorEastAsia" w:eastAsiaTheme="minorEastAsia" w:cstheme="minorEastAsia"/>
          <w:b w:val="0"/>
          <w:bCs w:val="0"/>
          <w:szCs w:val="24"/>
        </w:rPr>
        <w:t>十、</w:t>
      </w:r>
      <w:r>
        <w:rPr>
          <w:rFonts w:hint="eastAsia" w:asciiTheme="minorEastAsia" w:hAnsiTheme="minorEastAsia" w:eastAsiaTheme="minorEastAsia" w:cstheme="minorEastAsia"/>
          <w:b w:val="0"/>
          <w:bCs w:val="0"/>
          <w:szCs w:val="24"/>
          <w:lang w:val="en-US" w:eastAsia="zh-CN"/>
        </w:rPr>
        <w:t xml:space="preserve"> </w:t>
      </w:r>
      <w:r>
        <w:rPr>
          <w:rFonts w:hint="eastAsia" w:asciiTheme="minorEastAsia" w:hAnsiTheme="minorEastAsia" w:eastAsiaTheme="minorEastAsia" w:cstheme="minorEastAsia"/>
          <w:b w:val="0"/>
          <w:bCs w:val="0"/>
          <w:szCs w:val="24"/>
        </w:rPr>
        <w:t>优惠条件；</w:t>
      </w:r>
    </w:p>
    <w:p>
      <w:pPr>
        <w:spacing w:line="5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十一、投标供应商认为有必要提供的声明及文件资料</w:t>
      </w:r>
    </w:p>
    <w:p>
      <w:pPr>
        <w:spacing w:line="500" w:lineRule="exact"/>
        <w:jc w:val="left"/>
        <w:rPr>
          <w:rFonts w:asciiTheme="minorEastAsia" w:hAnsiTheme="minorEastAsia" w:eastAsiaTheme="minorEastAsia" w:cstheme="minorEastAsia"/>
          <w:sz w:val="24"/>
          <w:szCs w:val="24"/>
        </w:rPr>
      </w:pPr>
    </w:p>
    <w:p>
      <w:pPr>
        <w:spacing w:line="500" w:lineRule="exact"/>
        <w:jc w:val="left"/>
        <w:rPr>
          <w:rFonts w:asciiTheme="minorEastAsia" w:hAnsiTheme="minorEastAsia" w:eastAsiaTheme="minorEastAsia" w:cstheme="minorEastAsia"/>
          <w:sz w:val="24"/>
          <w:szCs w:val="24"/>
        </w:rPr>
      </w:pPr>
    </w:p>
    <w:p>
      <w:pPr>
        <w:spacing w:line="500" w:lineRule="exact"/>
        <w:jc w:val="left"/>
        <w:rPr>
          <w:rFonts w:asciiTheme="minorEastAsia" w:hAnsiTheme="minorEastAsia" w:eastAsiaTheme="minorEastAsia" w:cstheme="minorEastAsia"/>
          <w:sz w:val="24"/>
          <w:szCs w:val="24"/>
        </w:rPr>
      </w:pPr>
    </w:p>
    <w:p>
      <w:pPr>
        <w:spacing w:line="500" w:lineRule="exact"/>
        <w:jc w:val="left"/>
        <w:rPr>
          <w:rFonts w:asciiTheme="minorEastAsia" w:hAnsiTheme="minorEastAsia" w:eastAsiaTheme="minorEastAsia" w:cstheme="minorEastAsia"/>
          <w:sz w:val="24"/>
          <w:szCs w:val="24"/>
        </w:rPr>
      </w:pPr>
    </w:p>
    <w:p>
      <w:pPr>
        <w:spacing w:line="500" w:lineRule="exact"/>
        <w:jc w:val="left"/>
        <w:rPr>
          <w:rFonts w:asciiTheme="minorEastAsia" w:hAnsiTheme="minorEastAsia" w:eastAsiaTheme="minorEastAsia" w:cstheme="minorEastAsia"/>
          <w:sz w:val="24"/>
          <w:szCs w:val="24"/>
        </w:rPr>
      </w:pPr>
    </w:p>
    <w:p>
      <w:pPr>
        <w:spacing w:line="500" w:lineRule="exact"/>
        <w:jc w:val="left"/>
        <w:rPr>
          <w:rFonts w:asciiTheme="minorEastAsia" w:hAnsiTheme="minorEastAsia" w:eastAsiaTheme="minorEastAsia" w:cstheme="minorEastAsia"/>
          <w:sz w:val="24"/>
          <w:szCs w:val="24"/>
        </w:rPr>
      </w:pPr>
    </w:p>
    <w:p>
      <w:pPr>
        <w:spacing w:line="500" w:lineRule="exact"/>
        <w:jc w:val="left"/>
        <w:rPr>
          <w:rFonts w:asciiTheme="minorEastAsia" w:hAnsiTheme="minorEastAsia" w:eastAsiaTheme="minorEastAsia" w:cstheme="minorEastAsia"/>
          <w:sz w:val="24"/>
          <w:szCs w:val="24"/>
        </w:rPr>
      </w:pPr>
    </w:p>
    <w:p>
      <w:pPr>
        <w:spacing w:line="500" w:lineRule="exact"/>
        <w:jc w:val="left"/>
        <w:rPr>
          <w:rFonts w:asciiTheme="minorEastAsia" w:hAnsiTheme="minorEastAsia" w:eastAsiaTheme="minorEastAsia" w:cstheme="minorEastAsia"/>
          <w:sz w:val="24"/>
          <w:szCs w:val="24"/>
        </w:rPr>
      </w:pPr>
    </w:p>
    <w:p>
      <w:pPr>
        <w:spacing w:line="500" w:lineRule="exact"/>
        <w:jc w:val="left"/>
        <w:rPr>
          <w:rFonts w:asciiTheme="minorEastAsia" w:hAnsiTheme="minorEastAsia" w:eastAsiaTheme="minorEastAsia" w:cstheme="minorEastAsia"/>
          <w:sz w:val="24"/>
          <w:szCs w:val="24"/>
        </w:rPr>
      </w:pPr>
    </w:p>
    <w:p>
      <w:pPr>
        <w:spacing w:line="500" w:lineRule="exact"/>
        <w:jc w:val="left"/>
        <w:rPr>
          <w:rFonts w:asciiTheme="minorEastAsia" w:hAnsiTheme="minorEastAsia" w:eastAsiaTheme="minorEastAsia" w:cstheme="minorEastAsia"/>
          <w:sz w:val="24"/>
          <w:szCs w:val="24"/>
        </w:rPr>
      </w:pPr>
    </w:p>
    <w:p>
      <w:pPr>
        <w:spacing w:line="500" w:lineRule="exact"/>
        <w:jc w:val="left"/>
        <w:rPr>
          <w:rFonts w:asciiTheme="minorEastAsia" w:hAnsiTheme="minorEastAsia" w:eastAsiaTheme="minorEastAsia" w:cstheme="minorEastAsia"/>
          <w:sz w:val="24"/>
          <w:szCs w:val="24"/>
        </w:rPr>
      </w:pPr>
    </w:p>
    <w:p>
      <w:pPr>
        <w:spacing w:line="500" w:lineRule="exact"/>
        <w:jc w:val="left"/>
        <w:rPr>
          <w:rFonts w:asciiTheme="minorEastAsia" w:hAnsiTheme="minorEastAsia" w:eastAsiaTheme="minorEastAsia" w:cstheme="minorEastAsia"/>
          <w:sz w:val="24"/>
          <w:szCs w:val="24"/>
        </w:rPr>
      </w:pPr>
    </w:p>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第一部分  商务部分</w:t>
      </w:r>
    </w:p>
    <w:p>
      <w:pPr>
        <w:spacing w:line="500" w:lineRule="exact"/>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一、投标函</w:t>
      </w:r>
    </w:p>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　标　函</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致____________(采购人或采购代理机构)：</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根据________(项目名称</w:t>
      </w:r>
      <w:r>
        <w:rPr>
          <w:rFonts w:hint="eastAsia" w:asciiTheme="minorEastAsia" w:hAnsiTheme="minorEastAsia" w:eastAsiaTheme="minorEastAsia" w:cstheme="minorEastAsia"/>
          <w:sz w:val="24"/>
          <w:szCs w:val="24"/>
          <w:lang w:val="en-US" w:eastAsia="zh-CN"/>
        </w:rPr>
        <w:t>+标段</w:t>
      </w:r>
      <w:r>
        <w:rPr>
          <w:rFonts w:hint="eastAsia" w:asciiTheme="minorEastAsia" w:hAnsiTheme="minorEastAsia" w:eastAsiaTheme="minorEastAsia" w:cstheme="minorEastAsia"/>
          <w:sz w:val="24"/>
          <w:szCs w:val="24"/>
        </w:rPr>
        <w:t>)(项目编号：________)的投标邀请，________(姓名、职务)代表供应商________(供应商名称、地址)参加本项目招标的有关活动。据此函，作如下承诺：</w:t>
      </w:r>
    </w:p>
    <w:p>
      <w:pPr>
        <w:spacing w:line="5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1.愿意按照招标文件的一切要求，提供和交付的货物和服务投标总价为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元</w:t>
      </w:r>
      <w:r>
        <w:rPr>
          <w:rFonts w:hint="eastAsia" w:asciiTheme="minorEastAsia" w:hAnsiTheme="minorEastAsia" w:eastAsiaTheme="minorEastAsia" w:cstheme="minorEastAsia"/>
          <w:sz w:val="24"/>
          <w:szCs w:val="24"/>
          <w:u w:val="none"/>
          <w:lang w:eastAsia="zh-CN"/>
        </w:rPr>
        <w:t>（</w:t>
      </w:r>
      <w:r>
        <w:rPr>
          <w:rFonts w:hint="eastAsia" w:asciiTheme="minorEastAsia" w:hAnsiTheme="minorEastAsia" w:eastAsiaTheme="minorEastAsia" w:cstheme="minorEastAsia"/>
          <w:sz w:val="24"/>
          <w:szCs w:val="24"/>
          <w:u w:val="none"/>
          <w:lang w:val="en-US" w:eastAsia="zh-CN"/>
        </w:rPr>
        <w:t>小写</w:t>
      </w:r>
      <w:r>
        <w:rPr>
          <w:rFonts w:hint="eastAsia" w:asciiTheme="minorEastAsia" w:hAnsiTheme="minorEastAsia" w:eastAsiaTheme="minorEastAsia" w:cstheme="minorEastAsia"/>
          <w:sz w:val="24"/>
          <w:szCs w:val="24"/>
          <w:u w:val="none"/>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元（大写，</w:t>
      </w:r>
      <w:r>
        <w:rPr>
          <w:rFonts w:hint="eastAsia" w:asciiTheme="minorEastAsia" w:hAnsiTheme="minorEastAsia" w:eastAsiaTheme="minorEastAsia" w:cstheme="minorEastAsia"/>
          <w:sz w:val="24"/>
          <w:szCs w:val="24"/>
          <w:u w:val="none"/>
        </w:rPr>
        <w:t>注明币种）</w:t>
      </w:r>
      <w:r>
        <w:rPr>
          <w:rFonts w:hint="eastAsia" w:asciiTheme="minorEastAsia" w:hAnsiTheme="minorEastAsia" w:eastAsiaTheme="minorEastAsia" w:cstheme="minorEastAsia"/>
          <w:sz w:val="24"/>
          <w:szCs w:val="24"/>
        </w:rPr>
        <w:t>；</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2.同意在本项目招标文件中规定的开标日起______天遵守本投标文件中的承诺，且在期满之前均具有约束力。</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3.具备政府采购相关法律法规规定的参加政府采购活动的供应商应当具备的条件：</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(1)具有独立承担民事责任的能力；</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(2)具有良好的商业信誉和健全的财务会计制度；</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(3)具有履行合同所必需的设备和专业技术能力；</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(4)有依法缴纳税收和社会保障资金的良好记录；</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(5)参加此项采购活动前3年内，在经营活动中没有重大违法记录。</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4.具备本项目招标文件中规定的其他资格条件。</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5.提供供应商须知规定的全部投标文件。</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6.已详细审阅全部招标文件(包括招标文件澄清函)，理解供应商须知的所有条款。</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.接受招标文件中全部合同条款，且无任何异议；保证忠实地执行双方所签订的合同，并承担合同规定的责任和义务。</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.完全满足和响应招标文件中的各项商务和技术要求，若有偏差，已在投标文件中明确说明。</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.如果在开标后规定的投标有效期内撤回投标，贵方可不予退还我方的投标保证金。</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.愿意提供任何与投标有关的数据、情况和技术资料等。</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.我方已详细审核全部投标文件、参考资料及有关附件，确认无误。</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.对本次招标内容及与本项目有关的知识产权、技术资料、商业秘密及相关信息保密。</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.与采购人和采购代理机构无任何的隶属关系或者其他利害关系。</w:t>
      </w: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pStyle w:val="9"/>
      </w:pP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供应商名称：____________供应商公章：____________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供应商地址：____________邮编：____________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电话：____________传真：____________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法定代表人或供应商代表(签字或盖章)：____________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sz w:val="24"/>
          <w:szCs w:val="24"/>
        </w:rPr>
        <w:t>附件1－1　法定代表人身份证明复印件(法定代表人参加投标)</w:t>
      </w:r>
    </w:p>
    <w:p>
      <w:pPr>
        <w:spacing w:line="500" w:lineRule="exact"/>
        <w:rPr>
          <w:rFonts w:asciiTheme="minorEastAsia" w:hAnsiTheme="minorEastAsia" w:eastAsiaTheme="minorEastAsia" w:cstheme="minorEastAsia"/>
          <w:sz w:val="24"/>
          <w:szCs w:val="24"/>
        </w:rPr>
      </w:pPr>
    </w:p>
    <w:tbl>
      <w:tblPr>
        <w:tblStyle w:val="23"/>
        <w:tblW w:w="5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118" w:type="dxa"/>
            <w:tcBorders>
              <w:top w:val="single" w:color="auto" w:sz="4" w:space="0"/>
              <w:bottom w:val="single" w:color="auto" w:sz="4" w:space="0"/>
            </w:tcBorders>
            <w:vAlign w:val="center"/>
          </w:tcPr>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法定代表人身份证明复印件</w:t>
            </w:r>
          </w:p>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正反面</w:t>
            </w:r>
          </w:p>
        </w:tc>
      </w:tr>
    </w:tbl>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附件1－2　法定代表人授权委托书(授权代表参加投标)</w:t>
      </w:r>
    </w:p>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法定代表人授权委托书</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____________(供应商名称)的法定代表人________(姓名、职务)授权________(供应商代表姓名、职务)为本公司的供应商代表，就________(项目名称)投标及相关事务代表本公司处理与之有关的一切事务。</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委托期限：____________________。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代理人无转委托权。</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本授权书于______年____月____日签字生效，特此声明。</w:t>
      </w:r>
    </w:p>
    <w:tbl>
      <w:tblPr>
        <w:tblStyle w:val="23"/>
        <w:tblpPr w:leftFromText="180" w:rightFromText="180" w:vertAnchor="text" w:horzAnchor="page" w:tblpX="6447" w:tblpY="354"/>
        <w:tblOverlap w:val="never"/>
        <w:tblW w:w="319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1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trPr>
        <w:tc>
          <w:tcPr>
            <w:tcW w:w="3196" w:type="dxa"/>
            <w:tcBorders>
              <w:top w:val="single" w:color="auto" w:sz="4" w:space="0"/>
              <w:bottom w:val="single" w:color="auto" w:sz="4" w:space="0"/>
            </w:tcBorders>
            <w:vAlign w:val="center"/>
          </w:tcPr>
          <w:p>
            <w:pPr>
              <w:spacing w:line="500" w:lineRule="exact"/>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授权代表身份证明复印件</w:t>
            </w:r>
          </w:p>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正反面</w:t>
            </w:r>
          </w:p>
        </w:tc>
      </w:tr>
    </w:tbl>
    <w:tbl>
      <w:tblPr>
        <w:tblStyle w:val="23"/>
        <w:tblpPr w:leftFromText="180" w:rightFromText="180" w:vertAnchor="text" w:horzAnchor="page" w:tblpX="2305" w:tblpY="423"/>
        <w:tblOverlap w:val="never"/>
        <w:tblW w:w="31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1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3" w:hRule="atLeast"/>
        </w:trPr>
        <w:tc>
          <w:tcPr>
            <w:tcW w:w="3140" w:type="dxa"/>
            <w:tcBorders>
              <w:top w:val="single" w:color="auto" w:sz="4" w:space="0"/>
              <w:bottom w:val="single" w:color="auto" w:sz="4" w:space="0"/>
            </w:tcBorders>
            <w:vAlign w:val="center"/>
          </w:tcPr>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法定代表人身份证明复印件</w:t>
            </w:r>
          </w:p>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正反面</w:t>
            </w:r>
          </w:p>
        </w:tc>
      </w:tr>
    </w:tbl>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供应商名称(公章)：____________________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法定代表人(签字或盖章)：____________________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授权代表(签字或盖章)：____________________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______年____月____日</w:t>
      </w: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b/>
          <w:bCs/>
          <w:sz w:val="24"/>
          <w:szCs w:val="24"/>
        </w:rPr>
        <w:t>　二、开标一览表</w:t>
      </w:r>
    </w:p>
    <w:p>
      <w:pPr>
        <w:pStyle w:val="13"/>
        <w:rPr>
          <w:rFonts w:ascii="Times New Roman" w:hAnsi="Times New Roman" w:cs="Times New Roman"/>
          <w:sz w:val="24"/>
          <w:szCs w:val="24"/>
        </w:rPr>
      </w:pPr>
    </w:p>
    <w:tbl>
      <w:tblPr>
        <w:tblStyle w:val="23"/>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63"/>
        <w:gridCol w:w="2496"/>
        <w:gridCol w:w="1236"/>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3"/>
              <w:jc w:val="center"/>
              <w:rPr>
                <w:rFonts w:ascii="Times New Roman" w:hAnsi="Times New Roman" w:cs="Times New Roman"/>
                <w:sz w:val="24"/>
                <w:szCs w:val="24"/>
              </w:rPr>
            </w:pPr>
            <w:r>
              <w:rPr>
                <w:rFonts w:hint="eastAsia" w:ascii="Times New Roman" w:hAnsi="Times New Roman" w:cs="Times New Roman"/>
                <w:sz w:val="24"/>
                <w:szCs w:val="24"/>
              </w:rPr>
              <w:t>序号</w:t>
            </w:r>
          </w:p>
        </w:tc>
        <w:tc>
          <w:tcPr>
            <w:tcW w:w="2563" w:type="dxa"/>
            <w:vAlign w:val="center"/>
          </w:tcPr>
          <w:p>
            <w:pPr>
              <w:pStyle w:val="13"/>
              <w:jc w:val="center"/>
              <w:rPr>
                <w:rFonts w:ascii="Times New Roman" w:hAnsi="Times New Roman" w:cs="Times New Roman"/>
                <w:sz w:val="24"/>
                <w:szCs w:val="24"/>
              </w:rPr>
            </w:pPr>
            <w:r>
              <w:rPr>
                <w:rFonts w:hint="eastAsia" w:ascii="Times New Roman" w:hAnsi="Times New Roman" w:cs="Times New Roman"/>
                <w:sz w:val="24"/>
                <w:szCs w:val="24"/>
              </w:rPr>
              <w:t>项目名称</w:t>
            </w:r>
          </w:p>
        </w:tc>
        <w:tc>
          <w:tcPr>
            <w:tcW w:w="2496" w:type="dxa"/>
            <w:vAlign w:val="center"/>
          </w:tcPr>
          <w:p>
            <w:pPr>
              <w:pStyle w:val="13"/>
              <w:jc w:val="center"/>
              <w:rPr>
                <w:rFonts w:ascii="Times New Roman" w:hAnsi="Times New Roman" w:cs="Times New Roman"/>
                <w:sz w:val="24"/>
                <w:szCs w:val="24"/>
              </w:rPr>
            </w:pPr>
          </w:p>
        </w:tc>
        <w:tc>
          <w:tcPr>
            <w:tcW w:w="1236" w:type="dxa"/>
            <w:vAlign w:val="center"/>
          </w:tcPr>
          <w:p>
            <w:pPr>
              <w:pStyle w:val="13"/>
              <w:jc w:val="center"/>
              <w:rPr>
                <w:rFonts w:ascii="Times New Roman" w:hAnsi="Times New Roman" w:cs="Times New Roman"/>
                <w:sz w:val="24"/>
                <w:szCs w:val="24"/>
              </w:rPr>
            </w:pPr>
            <w:r>
              <w:rPr>
                <w:rFonts w:hint="eastAsia" w:ascii="Times New Roman" w:hAnsi="Times New Roman" w:cs="Times New Roman"/>
                <w:sz w:val="24"/>
                <w:szCs w:val="24"/>
              </w:rPr>
              <w:t>项目编号</w:t>
            </w:r>
          </w:p>
        </w:tc>
        <w:tc>
          <w:tcPr>
            <w:tcW w:w="1362" w:type="dxa"/>
            <w:vAlign w:val="center"/>
          </w:tcPr>
          <w:p>
            <w:pPr>
              <w:pStyle w:val="13"/>
              <w:jc w:val="center"/>
              <w:rPr>
                <w:rFonts w:ascii="MingLiU_HKSCS" w:hAnsi="MingLiU_HKSCS" w:eastAsia="MingLiU_HKSCS" w:cs="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59" w:type="dxa"/>
            <w:vAlign w:val="center"/>
          </w:tcPr>
          <w:p>
            <w:pPr>
              <w:pStyle w:val="13"/>
              <w:jc w:val="center"/>
              <w:rPr>
                <w:rFonts w:ascii="Times New Roman" w:hAnsi="Times New Roman" w:cs="Times New Roman"/>
                <w:sz w:val="24"/>
                <w:szCs w:val="24"/>
              </w:rPr>
            </w:pPr>
            <w:r>
              <w:rPr>
                <w:rFonts w:ascii="Times New Roman" w:hAnsi="Times New Roman" w:cs="Times New Roman"/>
                <w:sz w:val="24"/>
                <w:szCs w:val="24"/>
              </w:rPr>
              <w:t>1</w:t>
            </w:r>
          </w:p>
        </w:tc>
        <w:tc>
          <w:tcPr>
            <w:tcW w:w="2563" w:type="dxa"/>
            <w:vAlign w:val="center"/>
          </w:tcPr>
          <w:p>
            <w:pPr>
              <w:pStyle w:val="13"/>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标段</w:t>
            </w:r>
          </w:p>
        </w:tc>
        <w:tc>
          <w:tcPr>
            <w:tcW w:w="5094" w:type="dxa"/>
            <w:gridSpan w:val="3"/>
            <w:vAlign w:val="center"/>
          </w:tcPr>
          <w:p>
            <w:pPr>
              <w:pStyle w:val="13"/>
              <w:jc w:val="center"/>
              <w:rPr>
                <w:rFonts w:ascii="Times New Roman" w:hAnsi="Times New Roman" w:eastAsia="MingLiU_HKSC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959" w:type="dxa"/>
            <w:vAlign w:val="center"/>
          </w:tcPr>
          <w:p>
            <w:pPr>
              <w:pStyle w:val="13"/>
              <w:jc w:val="center"/>
              <w:rPr>
                <w:rFonts w:ascii="Times New Roman" w:hAnsi="Times New Roman" w:cs="Times New Roman"/>
                <w:sz w:val="24"/>
                <w:szCs w:val="24"/>
              </w:rPr>
            </w:pPr>
            <w:r>
              <w:rPr>
                <w:rFonts w:ascii="Times New Roman" w:hAnsi="Times New Roman" w:cs="Times New Roman"/>
                <w:sz w:val="24"/>
                <w:szCs w:val="24"/>
              </w:rPr>
              <w:t>2</w:t>
            </w:r>
          </w:p>
        </w:tc>
        <w:tc>
          <w:tcPr>
            <w:tcW w:w="2563" w:type="dxa"/>
            <w:vAlign w:val="center"/>
          </w:tcPr>
          <w:p>
            <w:pPr>
              <w:pStyle w:val="13"/>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rPr>
              <w:t>投标总报价</w:t>
            </w:r>
            <w:r>
              <w:rPr>
                <w:rFonts w:hint="eastAsia" w:ascii="Times New Roman" w:hAnsi="Times New Roman" w:cs="Times New Roman"/>
                <w:sz w:val="24"/>
                <w:szCs w:val="24"/>
              </w:rPr>
              <w:br w:type="textWrapping"/>
            </w:r>
            <w:r>
              <w:rPr>
                <w:rFonts w:hint="eastAsia" w:ascii="Times New Roman" w:hAnsi="Times New Roman" w:cs="Times New Roman"/>
                <w:sz w:val="24"/>
                <w:szCs w:val="24"/>
                <w:lang w:eastAsia="zh-CN"/>
              </w:rPr>
              <w:t>（元）</w:t>
            </w:r>
          </w:p>
        </w:tc>
        <w:tc>
          <w:tcPr>
            <w:tcW w:w="5094" w:type="dxa"/>
            <w:gridSpan w:val="3"/>
            <w:vAlign w:val="center"/>
          </w:tcPr>
          <w:p>
            <w:pPr>
              <w:pStyle w:val="60"/>
              <w:snapToGrid w:val="0"/>
              <w:spacing w:line="400" w:lineRule="exact"/>
              <w:jc w:val="both"/>
              <w:rPr>
                <w:rFonts w:ascii="宋体" w:hAnsi="宋体"/>
                <w:color w:val="auto"/>
              </w:rPr>
            </w:pPr>
            <w:r>
              <w:rPr>
                <w:rFonts w:hint="eastAsia" w:ascii="宋体" w:hAnsi="宋体"/>
                <w:color w:val="auto"/>
              </w:rPr>
              <w:t>小写：</w:t>
            </w:r>
            <w:r>
              <w:rPr>
                <w:rFonts w:hint="eastAsia" w:ascii="宋体" w:hAnsi="宋体"/>
                <w:color w:val="auto"/>
                <w:u w:val="single"/>
              </w:rPr>
              <w:t xml:space="preserve">                </w:t>
            </w:r>
            <w:r>
              <w:rPr>
                <w:rFonts w:hint="eastAsia" w:ascii="宋体" w:hAnsi="宋体"/>
                <w:color w:val="auto"/>
              </w:rPr>
              <w:t>；</w:t>
            </w:r>
          </w:p>
          <w:p>
            <w:pPr>
              <w:pStyle w:val="60"/>
              <w:snapToGrid w:val="0"/>
              <w:spacing w:line="400" w:lineRule="exact"/>
              <w:jc w:val="both"/>
              <w:rPr>
                <w:rFonts w:eastAsia="MingLiU_HKSCS"/>
                <w:color w:val="auto"/>
              </w:rPr>
            </w:pPr>
            <w:r>
              <w:rPr>
                <w:rFonts w:hint="eastAsia" w:ascii="宋体" w:hAnsi="宋体"/>
                <w:color w:val="auto"/>
              </w:rPr>
              <w:t>大写：</w:t>
            </w:r>
            <w:r>
              <w:rPr>
                <w:rFonts w:hint="eastAsia" w:ascii="宋体" w:hAnsi="宋体"/>
                <w:color w:val="auto"/>
                <w:u w:val="single"/>
              </w:rPr>
              <w:t xml:space="preserve">                </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59" w:type="dxa"/>
            <w:vAlign w:val="center"/>
          </w:tcPr>
          <w:p>
            <w:pPr>
              <w:pStyle w:val="13"/>
              <w:jc w:val="center"/>
              <w:rPr>
                <w:rFonts w:ascii="Times New Roman" w:hAnsi="Times New Roman" w:cs="Times New Roman"/>
                <w:sz w:val="24"/>
                <w:szCs w:val="24"/>
              </w:rPr>
            </w:pPr>
            <w:r>
              <w:rPr>
                <w:rFonts w:ascii="Times New Roman" w:hAnsi="Times New Roman" w:cs="Times New Roman"/>
                <w:sz w:val="24"/>
                <w:szCs w:val="24"/>
              </w:rPr>
              <w:t>3</w:t>
            </w:r>
          </w:p>
        </w:tc>
        <w:tc>
          <w:tcPr>
            <w:tcW w:w="2563" w:type="dxa"/>
            <w:vAlign w:val="center"/>
          </w:tcPr>
          <w:p>
            <w:pPr>
              <w:pStyle w:val="13"/>
              <w:jc w:val="center"/>
              <w:rPr>
                <w:rFonts w:hint="eastAsia" w:ascii="Times New Roman" w:hAnsi="Times New Roman" w:eastAsia="宋体" w:cs="Times New Roman"/>
                <w:sz w:val="24"/>
                <w:szCs w:val="24"/>
                <w:lang w:eastAsia="zh-CN"/>
              </w:rPr>
            </w:pPr>
            <w:r>
              <w:rPr>
                <w:rFonts w:hint="eastAsia" w:ascii="Times New Roman" w:cs="Times New Roman"/>
                <w:sz w:val="24"/>
                <w:szCs w:val="24"/>
                <w:lang w:eastAsia="zh-CN"/>
              </w:rPr>
              <w:t>供货期</w:t>
            </w:r>
          </w:p>
        </w:tc>
        <w:tc>
          <w:tcPr>
            <w:tcW w:w="5094" w:type="dxa"/>
            <w:gridSpan w:val="3"/>
            <w:vAlign w:val="center"/>
          </w:tcPr>
          <w:p>
            <w:pPr>
              <w:pStyle w:val="13"/>
              <w:jc w:val="center"/>
              <w:rPr>
                <w:rFonts w:ascii="Times New Roman" w:hAnsi="Times New Roman" w:eastAsia="MingLiU_HKSC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9" w:type="dxa"/>
            <w:vAlign w:val="center"/>
          </w:tcPr>
          <w:p>
            <w:pPr>
              <w:pStyle w:val="13"/>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w:t>
            </w:r>
          </w:p>
        </w:tc>
        <w:tc>
          <w:tcPr>
            <w:tcW w:w="2563" w:type="dxa"/>
            <w:vAlign w:val="center"/>
          </w:tcPr>
          <w:p>
            <w:pPr>
              <w:pStyle w:val="13"/>
              <w:jc w:val="center"/>
              <w:rPr>
                <w:rFonts w:ascii="Times New Roman" w:hAnsi="Times New Roman" w:cs="Times New Roman"/>
                <w:sz w:val="24"/>
                <w:szCs w:val="24"/>
              </w:rPr>
            </w:pPr>
            <w:r>
              <w:rPr>
                <w:rFonts w:hint="eastAsia" w:ascii="Times New Roman" w:hAnsi="Times New Roman" w:cs="Times New Roman"/>
                <w:sz w:val="24"/>
                <w:szCs w:val="24"/>
              </w:rPr>
              <w:t>备注</w:t>
            </w:r>
          </w:p>
        </w:tc>
        <w:tc>
          <w:tcPr>
            <w:tcW w:w="5094" w:type="dxa"/>
            <w:gridSpan w:val="3"/>
            <w:vAlign w:val="center"/>
          </w:tcPr>
          <w:p>
            <w:pPr>
              <w:pStyle w:val="13"/>
              <w:jc w:val="center"/>
              <w:rPr>
                <w:rFonts w:ascii="Times New Roman" w:hAnsi="Times New Roman" w:eastAsia="MingLiU_HKSCS" w:cs="Times New Roman"/>
                <w:sz w:val="24"/>
                <w:szCs w:val="24"/>
              </w:rPr>
            </w:pPr>
          </w:p>
        </w:tc>
      </w:tr>
    </w:tbl>
    <w:p>
      <w:pPr>
        <w:pStyle w:val="13"/>
        <w:ind w:firstLine="480" w:firstLineChars="200"/>
        <w:rPr>
          <w:rFonts w:ascii="Times New Roman" w:hAnsi="Times New Roman" w:eastAsia="MingLiU_HKSCS" w:cs="Times New Roman"/>
          <w:sz w:val="24"/>
          <w:szCs w:val="24"/>
        </w:rPr>
      </w:pPr>
    </w:p>
    <w:p>
      <w:pPr>
        <w:jc w:val="left"/>
        <w:rPr>
          <w:rFonts w:ascii="宋体" w:hAnsi="宋体"/>
          <w:b/>
          <w:szCs w:val="21"/>
        </w:rPr>
      </w:pPr>
      <w:r>
        <w:rPr>
          <w:rFonts w:hint="eastAsia" w:ascii="宋体" w:hAnsi="宋体"/>
          <w:b/>
          <w:szCs w:val="21"/>
        </w:rPr>
        <w:t xml:space="preserve">注：1.表中大小写不一致时，以大写为准。     </w:t>
      </w:r>
    </w:p>
    <w:p>
      <w:pPr>
        <w:autoSpaceDE w:val="0"/>
        <w:autoSpaceDN w:val="0"/>
        <w:adjustRightInd w:val="0"/>
        <w:jc w:val="left"/>
        <w:rPr>
          <w:rFonts w:ascii="宋体" w:hAnsi="宋体"/>
          <w:b/>
          <w:color w:val="0000FF"/>
          <w:szCs w:val="21"/>
        </w:rPr>
      </w:pPr>
      <w:r>
        <w:rPr>
          <w:rFonts w:hint="eastAsia" w:ascii="宋体" w:hAnsi="宋体"/>
          <w:b/>
          <w:szCs w:val="21"/>
        </w:rPr>
        <w:t xml:space="preserve">    </w:t>
      </w:r>
      <w:r>
        <w:rPr>
          <w:rFonts w:hint="eastAsia" w:ascii="宋体" w:hAnsi="宋体" w:eastAsia="宋体"/>
          <w:b/>
          <w:szCs w:val="21"/>
          <w:lang w:val="en-US" w:eastAsia="zh-CN"/>
        </w:rPr>
        <w:t>2</w:t>
      </w:r>
      <w:r>
        <w:rPr>
          <w:rFonts w:hint="eastAsia" w:ascii="宋体" w:hAnsi="宋体" w:eastAsia="宋体"/>
          <w:b/>
          <w:color w:val="auto"/>
          <w:szCs w:val="21"/>
          <w:lang w:val="en-US" w:eastAsia="zh-CN"/>
        </w:rPr>
        <w:t>.</w:t>
      </w:r>
      <w:r>
        <w:rPr>
          <w:rFonts w:hint="eastAsia" w:ascii="宋体" w:hAnsi="宋体"/>
          <w:b/>
          <w:color w:val="auto"/>
          <w:szCs w:val="21"/>
        </w:rPr>
        <w:t>投标报价为完成本次采购项目的供货、配送等一切相关费用。</w:t>
      </w:r>
    </w:p>
    <w:p>
      <w:pPr>
        <w:autoSpaceDE w:val="0"/>
        <w:autoSpaceDN w:val="0"/>
        <w:adjustRightInd w:val="0"/>
        <w:jc w:val="left"/>
        <w:rPr>
          <w:rFonts w:ascii="宋体" w:hAnsi="宋体"/>
          <w:b/>
          <w:szCs w:val="21"/>
        </w:rPr>
      </w:pPr>
      <w:r>
        <w:rPr>
          <w:rFonts w:hint="eastAsia" w:ascii="宋体" w:hAnsi="宋体"/>
          <w:b/>
          <w:szCs w:val="21"/>
        </w:rPr>
        <w:t xml:space="preserve">    </w:t>
      </w:r>
      <w:r>
        <w:rPr>
          <w:rFonts w:hint="eastAsia" w:ascii="宋体" w:hAnsi="宋体" w:eastAsia="宋体"/>
          <w:b/>
          <w:szCs w:val="21"/>
          <w:lang w:val="en-US" w:eastAsia="zh-CN"/>
        </w:rPr>
        <w:t>3</w:t>
      </w:r>
      <w:r>
        <w:rPr>
          <w:rFonts w:hint="eastAsia" w:ascii="宋体" w:hAnsi="宋体"/>
          <w:b/>
          <w:szCs w:val="21"/>
        </w:rPr>
        <w:t>.本表中“投标总报价”必须与《投标函》中的“投标总价”及《报价明细表》中的“</w:t>
      </w:r>
      <w:r>
        <w:rPr>
          <w:rFonts w:hint="eastAsia" w:ascii="宋体" w:hAnsi="宋体"/>
          <w:b/>
          <w:bCs/>
          <w:szCs w:val="21"/>
        </w:rPr>
        <w:t>投标总报价</w:t>
      </w:r>
      <w:r>
        <w:rPr>
          <w:rFonts w:hint="eastAsia" w:ascii="宋体" w:hAnsi="宋体"/>
          <w:b/>
          <w:szCs w:val="21"/>
        </w:rPr>
        <w:t>”均保持一致，如不一致，以《开标一览表》为准。</w:t>
      </w:r>
    </w:p>
    <w:p>
      <w:pPr>
        <w:spacing w:line="500" w:lineRule="exact"/>
        <w:rPr>
          <w:rFonts w:asciiTheme="minorEastAsia" w:hAnsiTheme="minorEastAsia" w:eastAsiaTheme="minorEastAsia" w:cstheme="minorEastAsia"/>
          <w:sz w:val="24"/>
          <w:szCs w:val="24"/>
        </w:rPr>
      </w:pPr>
    </w:p>
    <w:p>
      <w:pPr>
        <w:pStyle w:val="9"/>
        <w:rPr>
          <w:rFonts w:asciiTheme="minorEastAsia" w:hAnsiTheme="minorEastAsia" w:eastAsiaTheme="minorEastAsia" w:cstheme="minorEastAsia"/>
          <w:szCs w:val="24"/>
        </w:rPr>
      </w:pPr>
    </w:p>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供应商名称(公章)：____________________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法定代表人或其授权代表</w:t>
      </w:r>
      <w:r>
        <w:rPr>
          <w:rFonts w:hint="eastAsia" w:asciiTheme="minorEastAsia" w:hAnsiTheme="minorEastAsia" w:eastAsiaTheme="minorEastAsia" w:cstheme="minorEastAsia"/>
          <w:sz w:val="24"/>
          <w:szCs w:val="24"/>
          <w:lang w:eastAsia="zh-CN"/>
        </w:rPr>
        <w:t>（签字或盖章）</w:t>
      </w:r>
      <w:r>
        <w:rPr>
          <w:rFonts w:hint="eastAsia" w:asciiTheme="minorEastAsia" w:hAnsiTheme="minorEastAsia" w:eastAsiaTheme="minorEastAsia" w:cstheme="minorEastAsia"/>
          <w:sz w:val="24"/>
          <w:szCs w:val="24"/>
        </w:rPr>
        <w:t>：____________________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日期：______年____月____日</w:t>
      </w:r>
    </w:p>
    <w:p>
      <w:pPr>
        <w:spacing w:line="500" w:lineRule="exact"/>
        <w:jc w:val="center"/>
        <w:rPr>
          <w:rFonts w:hint="eastAsia" w:asciiTheme="minorEastAsia" w:hAnsiTheme="minorEastAsia" w:eastAsiaTheme="minorEastAsia" w:cstheme="minorEastAsia"/>
          <w:sz w:val="24"/>
          <w:szCs w:val="24"/>
        </w:rPr>
        <w:sectPr>
          <w:footerReference r:id="rId9" w:type="default"/>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cstheme="minorEastAsia"/>
          <w:sz w:val="24"/>
          <w:szCs w:val="24"/>
        </w:rPr>
        <w:br w:type="page"/>
      </w:r>
    </w:p>
    <w:p>
      <w:pPr>
        <w:pStyle w:val="61"/>
        <w:rPr>
          <w:rFonts w:hint="eastAsia" w:ascii="宋体" w:hAnsi="宋体" w:eastAsia="宋体" w:cs="宋体"/>
          <w:sz w:val="32"/>
          <w:szCs w:val="32"/>
        </w:rPr>
      </w:pPr>
      <w:r>
        <w:rPr>
          <w:rFonts w:hint="eastAsia" w:ascii="宋体" w:hAnsi="宋体" w:eastAsia="宋体" w:cs="宋体"/>
          <w:sz w:val="32"/>
          <w:szCs w:val="32"/>
        </w:rPr>
        <w:t>产品名称、数量、规格及报价明细表</w:t>
      </w:r>
    </w:p>
    <w:p>
      <w:pPr>
        <w:pStyle w:val="62"/>
        <w:ind w:firstLine="560"/>
        <w:rPr>
          <w:rFonts w:hint="eastAsia" w:ascii="宋体" w:hAnsi="宋体" w:eastAsia="宋体" w:cs="宋体"/>
          <w:sz w:val="24"/>
          <w:szCs w:val="24"/>
        </w:rPr>
      </w:pPr>
      <w:r>
        <w:rPr>
          <w:rFonts w:hint="eastAsia" w:ascii="宋体" w:hAnsi="宋体" w:eastAsia="宋体" w:cs="宋体"/>
          <w:sz w:val="24"/>
          <w:szCs w:val="24"/>
        </w:rPr>
        <w:t>（此表参照下表或者由各投标人自行编制填写，须包括详细的产品清单、价格、供货范围、名称、规格、技术参数、主要</w:t>
      </w:r>
      <w:r>
        <w:rPr>
          <w:rFonts w:hint="eastAsia" w:ascii="宋体" w:hAnsi="宋体" w:eastAsia="宋体" w:cs="宋体"/>
          <w:sz w:val="24"/>
          <w:szCs w:val="24"/>
          <w:lang w:eastAsia="zh-CN"/>
        </w:rPr>
        <w:t>货物</w:t>
      </w:r>
      <w:r>
        <w:rPr>
          <w:rFonts w:hint="eastAsia" w:ascii="宋体" w:hAnsi="宋体" w:eastAsia="宋体" w:cs="宋体"/>
          <w:sz w:val="24"/>
          <w:szCs w:val="24"/>
        </w:rPr>
        <w:t>的品牌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型号</w:t>
      </w:r>
      <w:r>
        <w:rPr>
          <w:rFonts w:hint="eastAsia" w:ascii="宋体" w:hAnsi="宋体" w:eastAsia="宋体" w:cs="宋体"/>
          <w:sz w:val="24"/>
          <w:szCs w:val="24"/>
        </w:rPr>
        <w:t>及</w:t>
      </w:r>
      <w:r>
        <w:rPr>
          <w:rFonts w:hint="eastAsia" w:ascii="宋体" w:hAnsi="宋体" w:eastAsia="宋体" w:cs="宋体"/>
          <w:sz w:val="24"/>
          <w:szCs w:val="24"/>
          <w:lang w:val="en-US" w:eastAsia="zh-CN"/>
        </w:rPr>
        <w:t>生产</w:t>
      </w:r>
      <w:r>
        <w:rPr>
          <w:rFonts w:hint="eastAsia" w:ascii="宋体" w:hAnsi="宋体" w:eastAsia="宋体" w:cs="宋体"/>
          <w:sz w:val="24"/>
          <w:szCs w:val="24"/>
        </w:rPr>
        <w:t>厂家等。）</w:t>
      </w:r>
    </w:p>
    <w:tbl>
      <w:tblPr>
        <w:tblStyle w:val="23"/>
        <w:tblW w:w="14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3371"/>
        <w:gridCol w:w="1933"/>
        <w:gridCol w:w="1438"/>
        <w:gridCol w:w="1701"/>
        <w:gridCol w:w="1786"/>
        <w:gridCol w:w="1437"/>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exact"/>
          <w:jc w:val="center"/>
        </w:trPr>
        <w:tc>
          <w:tcPr>
            <w:tcW w:w="75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3371"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品名</w:t>
            </w:r>
          </w:p>
        </w:tc>
        <w:tc>
          <w:tcPr>
            <w:tcW w:w="193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规格</w:t>
            </w:r>
          </w:p>
        </w:tc>
        <w:tc>
          <w:tcPr>
            <w:tcW w:w="143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1701"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单位</w:t>
            </w:r>
          </w:p>
        </w:tc>
        <w:tc>
          <w:tcPr>
            <w:tcW w:w="178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单价（元）</w:t>
            </w:r>
          </w:p>
        </w:tc>
        <w:tc>
          <w:tcPr>
            <w:tcW w:w="1437"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b w:val="0"/>
                <w:bCs w:val="0"/>
                <w:color w:val="auto"/>
                <w:sz w:val="24"/>
                <w:szCs w:val="24"/>
                <w:lang w:val="en-US" w:eastAsia="zh-CN"/>
              </w:rPr>
              <w:t>品牌、型号</w:t>
            </w:r>
          </w:p>
        </w:tc>
        <w:tc>
          <w:tcPr>
            <w:tcW w:w="216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exact"/>
          <w:jc w:val="center"/>
        </w:trPr>
        <w:tc>
          <w:tcPr>
            <w:tcW w:w="75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337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（所投的全部货物内容）</w:t>
            </w:r>
          </w:p>
        </w:tc>
        <w:tc>
          <w:tcPr>
            <w:tcW w:w="1933" w:type="dxa"/>
            <w:noWrap w:val="0"/>
            <w:vAlign w:val="center"/>
          </w:tcPr>
          <w:p>
            <w:pPr>
              <w:jc w:val="center"/>
              <w:rPr>
                <w:rFonts w:hint="eastAsia" w:ascii="宋体" w:hAnsi="宋体" w:eastAsia="宋体" w:cs="宋体"/>
                <w:sz w:val="24"/>
                <w:szCs w:val="24"/>
              </w:rPr>
            </w:pPr>
          </w:p>
        </w:tc>
        <w:tc>
          <w:tcPr>
            <w:tcW w:w="1438" w:type="dxa"/>
            <w:noWrap w:val="0"/>
            <w:vAlign w:val="center"/>
          </w:tcPr>
          <w:p>
            <w:pPr>
              <w:jc w:val="center"/>
              <w:rPr>
                <w:rFonts w:hint="eastAsia" w:ascii="宋体" w:hAnsi="宋体" w:eastAsia="宋体" w:cs="宋体"/>
                <w:sz w:val="24"/>
                <w:szCs w:val="24"/>
              </w:rPr>
            </w:pPr>
          </w:p>
        </w:tc>
        <w:tc>
          <w:tcPr>
            <w:tcW w:w="1701" w:type="dxa"/>
            <w:noWrap w:val="0"/>
            <w:vAlign w:val="center"/>
          </w:tcPr>
          <w:p>
            <w:pPr>
              <w:jc w:val="center"/>
              <w:rPr>
                <w:rFonts w:hint="eastAsia" w:ascii="宋体" w:hAnsi="宋体" w:eastAsia="宋体" w:cs="宋体"/>
                <w:sz w:val="24"/>
                <w:szCs w:val="24"/>
              </w:rPr>
            </w:pPr>
          </w:p>
        </w:tc>
        <w:tc>
          <w:tcPr>
            <w:tcW w:w="1786" w:type="dxa"/>
            <w:noWrap w:val="0"/>
            <w:vAlign w:val="center"/>
          </w:tcPr>
          <w:p>
            <w:pPr>
              <w:jc w:val="center"/>
              <w:rPr>
                <w:rFonts w:hint="eastAsia" w:ascii="宋体" w:hAnsi="宋体" w:eastAsia="宋体" w:cs="宋体"/>
                <w:sz w:val="24"/>
                <w:szCs w:val="24"/>
              </w:rPr>
            </w:pPr>
          </w:p>
        </w:tc>
        <w:tc>
          <w:tcPr>
            <w:tcW w:w="1437" w:type="dxa"/>
            <w:noWrap w:val="0"/>
            <w:vAlign w:val="center"/>
          </w:tcPr>
          <w:p>
            <w:pPr>
              <w:jc w:val="center"/>
              <w:rPr>
                <w:rFonts w:hint="eastAsia" w:ascii="宋体" w:hAnsi="宋体" w:eastAsia="宋体" w:cs="宋体"/>
                <w:sz w:val="24"/>
                <w:szCs w:val="24"/>
              </w:rPr>
            </w:pPr>
          </w:p>
        </w:tc>
        <w:tc>
          <w:tcPr>
            <w:tcW w:w="2163"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exact"/>
          <w:jc w:val="center"/>
        </w:trPr>
        <w:tc>
          <w:tcPr>
            <w:tcW w:w="75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337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tc>
          <w:tcPr>
            <w:tcW w:w="1933" w:type="dxa"/>
            <w:noWrap w:val="0"/>
            <w:vAlign w:val="center"/>
          </w:tcPr>
          <w:p>
            <w:pPr>
              <w:jc w:val="center"/>
              <w:rPr>
                <w:rFonts w:hint="eastAsia" w:ascii="宋体" w:hAnsi="宋体" w:eastAsia="宋体" w:cs="宋体"/>
                <w:sz w:val="24"/>
                <w:szCs w:val="24"/>
              </w:rPr>
            </w:pPr>
          </w:p>
        </w:tc>
        <w:tc>
          <w:tcPr>
            <w:tcW w:w="1438" w:type="dxa"/>
            <w:noWrap w:val="0"/>
            <w:vAlign w:val="center"/>
          </w:tcPr>
          <w:p>
            <w:pPr>
              <w:jc w:val="center"/>
              <w:rPr>
                <w:rFonts w:hint="eastAsia" w:ascii="宋体" w:hAnsi="宋体" w:eastAsia="宋体" w:cs="宋体"/>
                <w:sz w:val="24"/>
                <w:szCs w:val="24"/>
              </w:rPr>
            </w:pPr>
          </w:p>
        </w:tc>
        <w:tc>
          <w:tcPr>
            <w:tcW w:w="1701" w:type="dxa"/>
            <w:noWrap w:val="0"/>
            <w:vAlign w:val="center"/>
          </w:tcPr>
          <w:p>
            <w:pPr>
              <w:jc w:val="center"/>
              <w:rPr>
                <w:rFonts w:hint="eastAsia" w:ascii="宋体" w:hAnsi="宋体" w:eastAsia="宋体" w:cs="宋体"/>
                <w:sz w:val="24"/>
                <w:szCs w:val="24"/>
              </w:rPr>
            </w:pPr>
          </w:p>
        </w:tc>
        <w:tc>
          <w:tcPr>
            <w:tcW w:w="1786" w:type="dxa"/>
            <w:noWrap w:val="0"/>
            <w:vAlign w:val="center"/>
          </w:tcPr>
          <w:p>
            <w:pPr>
              <w:jc w:val="center"/>
              <w:rPr>
                <w:rFonts w:hint="eastAsia" w:ascii="宋体" w:hAnsi="宋体" w:eastAsia="宋体" w:cs="宋体"/>
                <w:sz w:val="24"/>
                <w:szCs w:val="24"/>
              </w:rPr>
            </w:pPr>
          </w:p>
        </w:tc>
        <w:tc>
          <w:tcPr>
            <w:tcW w:w="1437" w:type="dxa"/>
            <w:noWrap w:val="0"/>
            <w:vAlign w:val="center"/>
          </w:tcPr>
          <w:p>
            <w:pPr>
              <w:jc w:val="center"/>
              <w:rPr>
                <w:rFonts w:hint="eastAsia" w:ascii="宋体" w:hAnsi="宋体" w:eastAsia="宋体" w:cs="宋体"/>
                <w:sz w:val="24"/>
                <w:szCs w:val="24"/>
              </w:rPr>
            </w:pPr>
          </w:p>
        </w:tc>
        <w:tc>
          <w:tcPr>
            <w:tcW w:w="2163"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exact"/>
          <w:jc w:val="center"/>
        </w:trPr>
        <w:tc>
          <w:tcPr>
            <w:tcW w:w="75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337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备品备件</w:t>
            </w:r>
          </w:p>
        </w:tc>
        <w:tc>
          <w:tcPr>
            <w:tcW w:w="1933" w:type="dxa"/>
            <w:noWrap w:val="0"/>
            <w:vAlign w:val="center"/>
          </w:tcPr>
          <w:p>
            <w:pPr>
              <w:jc w:val="center"/>
              <w:rPr>
                <w:rFonts w:hint="eastAsia" w:ascii="宋体" w:hAnsi="宋体" w:eastAsia="宋体" w:cs="宋体"/>
                <w:sz w:val="24"/>
                <w:szCs w:val="24"/>
              </w:rPr>
            </w:pPr>
          </w:p>
        </w:tc>
        <w:tc>
          <w:tcPr>
            <w:tcW w:w="1438" w:type="dxa"/>
            <w:noWrap w:val="0"/>
            <w:vAlign w:val="center"/>
          </w:tcPr>
          <w:p>
            <w:pPr>
              <w:jc w:val="center"/>
              <w:rPr>
                <w:rFonts w:hint="eastAsia" w:ascii="宋体" w:hAnsi="宋体" w:eastAsia="宋体" w:cs="宋体"/>
                <w:sz w:val="24"/>
                <w:szCs w:val="24"/>
              </w:rPr>
            </w:pPr>
          </w:p>
        </w:tc>
        <w:tc>
          <w:tcPr>
            <w:tcW w:w="1701" w:type="dxa"/>
            <w:noWrap w:val="0"/>
            <w:vAlign w:val="center"/>
          </w:tcPr>
          <w:p>
            <w:pPr>
              <w:jc w:val="center"/>
              <w:rPr>
                <w:rFonts w:hint="eastAsia" w:ascii="宋体" w:hAnsi="宋体" w:eastAsia="宋体" w:cs="宋体"/>
                <w:sz w:val="24"/>
                <w:szCs w:val="24"/>
              </w:rPr>
            </w:pPr>
          </w:p>
        </w:tc>
        <w:tc>
          <w:tcPr>
            <w:tcW w:w="1786" w:type="dxa"/>
            <w:noWrap w:val="0"/>
            <w:vAlign w:val="center"/>
          </w:tcPr>
          <w:p>
            <w:pPr>
              <w:jc w:val="center"/>
              <w:rPr>
                <w:rFonts w:hint="eastAsia" w:ascii="宋体" w:hAnsi="宋体" w:eastAsia="宋体" w:cs="宋体"/>
                <w:sz w:val="24"/>
                <w:szCs w:val="24"/>
              </w:rPr>
            </w:pPr>
          </w:p>
        </w:tc>
        <w:tc>
          <w:tcPr>
            <w:tcW w:w="1437" w:type="dxa"/>
            <w:noWrap w:val="0"/>
            <w:vAlign w:val="center"/>
          </w:tcPr>
          <w:p>
            <w:pPr>
              <w:jc w:val="center"/>
              <w:rPr>
                <w:rFonts w:hint="eastAsia" w:ascii="宋体" w:hAnsi="宋体" w:eastAsia="宋体" w:cs="宋体"/>
                <w:sz w:val="24"/>
                <w:szCs w:val="24"/>
              </w:rPr>
            </w:pPr>
          </w:p>
        </w:tc>
        <w:tc>
          <w:tcPr>
            <w:tcW w:w="2163"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75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337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运杂费</w:t>
            </w:r>
          </w:p>
        </w:tc>
        <w:tc>
          <w:tcPr>
            <w:tcW w:w="10458" w:type="dxa"/>
            <w:gridSpan w:val="6"/>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exact"/>
          <w:jc w:val="center"/>
        </w:trPr>
        <w:tc>
          <w:tcPr>
            <w:tcW w:w="755" w:type="dxa"/>
            <w:noWrap w:val="0"/>
            <w:vAlign w:val="center"/>
          </w:tcPr>
          <w:p>
            <w:pPr>
              <w:jc w:val="center"/>
              <w:rPr>
                <w:rFonts w:hint="eastAsia" w:ascii="宋体" w:hAnsi="宋体" w:eastAsia="宋体" w:cs="宋体"/>
                <w:sz w:val="24"/>
                <w:szCs w:val="24"/>
              </w:rPr>
            </w:pPr>
          </w:p>
        </w:tc>
        <w:tc>
          <w:tcPr>
            <w:tcW w:w="3371"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 ...</w:t>
            </w:r>
          </w:p>
        </w:tc>
        <w:tc>
          <w:tcPr>
            <w:tcW w:w="10458" w:type="dxa"/>
            <w:gridSpan w:val="6"/>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4126"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合计总价（元）</w:t>
            </w:r>
          </w:p>
        </w:tc>
        <w:tc>
          <w:tcPr>
            <w:tcW w:w="10458" w:type="dxa"/>
            <w:gridSpan w:val="6"/>
            <w:noWrap w:val="0"/>
            <w:vAlign w:val="center"/>
          </w:tcPr>
          <w:p>
            <w:pPr>
              <w:tabs>
                <w:tab w:val="left" w:pos="9302"/>
              </w:tabs>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ab/>
            </w:r>
          </w:p>
        </w:tc>
      </w:tr>
    </w:tbl>
    <w:p>
      <w:pPr>
        <w:spacing w:before="156" w:beforeLines="50"/>
        <w:jc w:val="left"/>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sz w:val="24"/>
          <w:szCs w:val="24"/>
        </w:rPr>
        <w:t>：</w:t>
      </w:r>
    </w:p>
    <w:p>
      <w:pPr>
        <w:spacing w:line="400" w:lineRule="exact"/>
        <w:ind w:firstLine="307" w:firstLineChars="128"/>
        <w:rPr>
          <w:rFonts w:hint="eastAsia" w:ascii="宋体" w:hAnsi="宋体" w:eastAsia="宋体" w:cs="宋体"/>
          <w:sz w:val="24"/>
          <w:szCs w:val="24"/>
        </w:rPr>
      </w:pPr>
      <w:r>
        <w:rPr>
          <w:rFonts w:hint="eastAsia" w:ascii="宋体" w:hAnsi="宋体" w:eastAsia="宋体" w:cs="宋体"/>
          <w:sz w:val="24"/>
          <w:szCs w:val="24"/>
        </w:rPr>
        <w:t>1、如果按单价计算的结果与总价不一致，以单价为准修正总价。</w:t>
      </w:r>
    </w:p>
    <w:p>
      <w:pPr>
        <w:pStyle w:val="13"/>
        <w:spacing w:line="400" w:lineRule="exact"/>
        <w:ind w:right="-15" w:firstLine="307" w:firstLineChars="128"/>
        <w:rPr>
          <w:rFonts w:hint="eastAsia" w:ascii="宋体" w:hAnsi="宋体" w:eastAsia="宋体" w:cs="宋体"/>
          <w:sz w:val="24"/>
          <w:szCs w:val="24"/>
        </w:rPr>
      </w:pPr>
      <w:r>
        <w:rPr>
          <w:rFonts w:hint="eastAsia" w:ascii="宋体" w:hAnsi="宋体" w:eastAsia="宋体" w:cs="宋体"/>
          <w:sz w:val="24"/>
          <w:szCs w:val="24"/>
        </w:rPr>
        <w:t>2、投标人应详细报出所供</w:t>
      </w:r>
      <w:r>
        <w:rPr>
          <w:rFonts w:hint="eastAsia" w:hAnsi="宋体" w:cs="宋体"/>
          <w:sz w:val="24"/>
          <w:szCs w:val="24"/>
          <w:lang w:eastAsia="zh-CN"/>
        </w:rPr>
        <w:t>货物</w:t>
      </w:r>
      <w:r>
        <w:rPr>
          <w:rFonts w:hint="eastAsia" w:ascii="宋体" w:hAnsi="宋体" w:eastAsia="宋体" w:cs="宋体"/>
          <w:sz w:val="24"/>
          <w:szCs w:val="24"/>
        </w:rPr>
        <w:t>、材料的规格</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品牌和型号</w:t>
      </w:r>
      <w:r>
        <w:rPr>
          <w:rFonts w:hint="eastAsia" w:ascii="宋体" w:hAnsi="宋体" w:eastAsia="宋体" w:cs="宋体"/>
          <w:sz w:val="24"/>
          <w:szCs w:val="24"/>
        </w:rPr>
        <w:t>，并注明生产厂家。</w:t>
      </w:r>
    </w:p>
    <w:p>
      <w:pPr>
        <w:pStyle w:val="13"/>
        <w:spacing w:line="400" w:lineRule="exact"/>
        <w:ind w:right="-15" w:firstLine="307" w:firstLineChars="128"/>
        <w:rPr>
          <w:rFonts w:hint="eastAsia" w:ascii="宋体" w:hAnsi="宋体" w:eastAsia="宋体" w:cs="宋体"/>
          <w:sz w:val="24"/>
          <w:szCs w:val="24"/>
        </w:rPr>
      </w:pPr>
      <w:r>
        <w:rPr>
          <w:rFonts w:hint="eastAsia" w:ascii="宋体" w:hAnsi="宋体" w:eastAsia="宋体" w:cs="宋体"/>
          <w:sz w:val="24"/>
          <w:szCs w:val="24"/>
        </w:rPr>
        <w:t xml:space="preserve">3、如果不提供详细分项报价将视为没有实质性响应招标文件。 </w:t>
      </w:r>
    </w:p>
    <w:p>
      <w:pPr>
        <w:pStyle w:val="13"/>
        <w:spacing w:line="400" w:lineRule="exact"/>
        <w:ind w:right="-15" w:firstLine="307" w:firstLineChars="128"/>
        <w:rPr>
          <w:rFonts w:hint="eastAsia" w:ascii="宋体" w:hAnsi="宋体" w:eastAsia="宋体" w:cs="宋体"/>
          <w:b/>
          <w:bCs/>
          <w:color w:val="auto"/>
          <w:sz w:val="24"/>
          <w:szCs w:val="24"/>
          <w:lang w:val="en-US" w:eastAsia="zh-CN"/>
        </w:rPr>
      </w:pPr>
      <w:r>
        <w:rPr>
          <w:rFonts w:hint="eastAsia" w:hAnsi="宋体" w:cs="宋体"/>
          <w:b/>
          <w:bCs/>
          <w:color w:val="auto"/>
          <w:sz w:val="24"/>
          <w:szCs w:val="24"/>
          <w:lang w:val="en-US" w:eastAsia="zh-CN"/>
        </w:rPr>
        <w:t>4、所报单价与总价均不能超过招标文件规定的限价，超过限价按废标处理。</w:t>
      </w:r>
    </w:p>
    <w:p>
      <w:pPr>
        <w:rPr>
          <w:rFonts w:hint="eastAsia" w:ascii="宋体" w:hAnsi="宋体" w:eastAsia="宋体" w:cs="宋体"/>
          <w:sz w:val="24"/>
          <w:szCs w:val="24"/>
        </w:rPr>
      </w:pPr>
    </w:p>
    <w:p>
      <w:pPr>
        <w:adjustRightInd w:val="0"/>
        <w:snapToGrid w:val="0"/>
        <w:spacing w:line="360" w:lineRule="auto"/>
        <w:ind w:firstLine="8400" w:firstLineChars="3500"/>
        <w:rPr>
          <w:rFonts w:hint="default" w:ascii="宋体" w:hAnsi="宋体" w:eastAsiaTheme="minorEastAsia"/>
          <w:color w:val="auto"/>
          <w:sz w:val="24"/>
          <w:szCs w:val="21"/>
          <w:lang w:val="en-US" w:eastAsia="zh-CN"/>
        </w:rPr>
      </w:pPr>
      <w:r>
        <w:rPr>
          <w:rFonts w:hint="eastAsia" w:asciiTheme="minorEastAsia" w:hAnsiTheme="minorEastAsia" w:eastAsiaTheme="minorEastAsia" w:cstheme="minorEastAsia"/>
          <w:sz w:val="24"/>
          <w:szCs w:val="24"/>
        </w:rPr>
        <w:t>供应商名称(公章)</w:t>
      </w:r>
      <w:r>
        <w:rPr>
          <w:rFonts w:hint="eastAsia" w:ascii="宋体" w:hAnsi="宋体"/>
          <w:color w:val="auto"/>
          <w:sz w:val="24"/>
          <w:szCs w:val="21"/>
        </w:rPr>
        <w:t>：</w:t>
      </w:r>
      <w:r>
        <w:rPr>
          <w:rFonts w:hint="eastAsia" w:asciiTheme="minorEastAsia" w:hAnsiTheme="minorEastAsia" w:eastAsiaTheme="minorEastAsia" w:cstheme="minorEastAsia"/>
          <w:sz w:val="24"/>
          <w:szCs w:val="24"/>
          <w:u w:val="single"/>
          <w:lang w:val="en-US" w:eastAsia="zh-CN"/>
        </w:rPr>
        <w:t xml:space="preserve">                          </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宋体" w:hAnsi="宋体"/>
          <w:color w:val="auto"/>
          <w:sz w:val="24"/>
          <w:szCs w:val="21"/>
        </w:rPr>
        <w:t xml:space="preserve"> </w:t>
      </w:r>
      <w:r>
        <w:rPr>
          <w:rFonts w:hint="eastAsia" w:ascii="宋体" w:hAnsi="宋体"/>
          <w:color w:val="auto"/>
          <w:sz w:val="24"/>
          <w:szCs w:val="21"/>
          <w:lang w:val="en-US" w:eastAsia="zh-CN"/>
        </w:rPr>
        <w:t xml:space="preserve">                                                                     </w:t>
      </w:r>
      <w:r>
        <w:rPr>
          <w:rFonts w:hint="eastAsia" w:asciiTheme="minorEastAsia" w:hAnsiTheme="minorEastAsia" w:eastAsiaTheme="minorEastAsia" w:cstheme="minorEastAsia"/>
          <w:sz w:val="24"/>
          <w:szCs w:val="24"/>
        </w:rPr>
        <w:t>法定代表人或其授权代表</w:t>
      </w:r>
      <w:r>
        <w:rPr>
          <w:rFonts w:hint="eastAsia" w:asciiTheme="minorEastAsia" w:hAnsiTheme="minorEastAsia" w:eastAsiaTheme="minorEastAsia" w:cstheme="minorEastAsia"/>
          <w:sz w:val="24"/>
          <w:szCs w:val="24"/>
          <w:lang w:eastAsia="zh-CN"/>
        </w:rPr>
        <w:t>（签字或盖章）</w:t>
      </w:r>
      <w:r>
        <w:rPr>
          <w:rFonts w:hint="eastAsia" w:asciiTheme="minorEastAsia" w:hAnsiTheme="minorEastAsia" w:eastAsiaTheme="minorEastAsia" w:cstheme="minorEastAsia"/>
          <w:sz w:val="24"/>
          <w:szCs w:val="24"/>
        </w:rPr>
        <w:t>：________</w:t>
      </w:r>
    </w:p>
    <w:p>
      <w:pPr>
        <w:adjustRightInd w:val="0"/>
        <w:snapToGrid w:val="0"/>
        <w:spacing w:line="360" w:lineRule="auto"/>
        <w:ind w:firstLine="8400" w:firstLineChars="3500"/>
        <w:rPr>
          <w:rFonts w:hint="default" w:ascii="宋体" w:hAnsi="宋体" w:eastAsia="宋体" w:cs="宋体"/>
          <w:b/>
          <w:sz w:val="24"/>
          <w:szCs w:val="24"/>
          <w:lang w:val="en-US" w:eastAsia="zh-CN"/>
        </w:rPr>
        <w:sectPr>
          <w:pgSz w:w="16838" w:h="11906" w:orient="landscape"/>
          <w:pgMar w:top="1106" w:right="1304" w:bottom="1304" w:left="1304" w:header="851" w:footer="850" w:gutter="0"/>
          <w:pgNumType w:fmt="decimal"/>
          <w:cols w:space="720" w:num="1"/>
          <w:titlePg/>
          <w:rtlGutter w:val="0"/>
          <w:docGrid w:type="linesAndChars" w:linePitch="316" w:charSpace="0"/>
        </w:sectPr>
      </w:pPr>
      <w:r>
        <w:rPr>
          <w:rFonts w:hint="eastAsia" w:ascii="宋体" w:hAnsi="宋体"/>
          <w:color w:val="auto"/>
          <w:sz w:val="24"/>
          <w:szCs w:val="21"/>
        </w:rPr>
        <w:t>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u w:val="single"/>
          <w:lang w:val="en-US" w:eastAsia="zh-CN"/>
        </w:rPr>
        <w:t xml:space="preserve">     </w:t>
      </w:r>
      <w:r>
        <w:rPr>
          <w:rFonts w:hint="eastAsia" w:ascii="宋体" w:hAnsi="宋体"/>
          <w:color w:val="auto"/>
          <w:sz w:val="24"/>
          <w:szCs w:val="21"/>
          <w:u w:val="none"/>
          <w:lang w:val="en-US" w:eastAsia="zh-CN"/>
        </w:rPr>
        <w:t>日</w:t>
      </w:r>
    </w:p>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三、商务条款偏离表</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项目名称：</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项目编号：</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eastAsia="zh-CN"/>
        </w:rPr>
        <w:t>标段</w:t>
      </w:r>
      <w:r>
        <w:rPr>
          <w:rFonts w:hint="eastAsia" w:asciiTheme="minorEastAsia" w:hAnsiTheme="minorEastAsia" w:eastAsiaTheme="minorEastAsia" w:cstheme="minorEastAsia"/>
          <w:sz w:val="24"/>
          <w:szCs w:val="24"/>
        </w:rPr>
        <w:t>：</w:t>
      </w:r>
    </w:p>
    <w:tbl>
      <w:tblPr>
        <w:tblStyle w:val="23"/>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959"/>
        <w:gridCol w:w="2454"/>
        <w:gridCol w:w="2400"/>
        <w:gridCol w:w="800"/>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Align w:val="center"/>
          </w:tcPr>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959" w:type="dxa"/>
            <w:vAlign w:val="center"/>
          </w:tcPr>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招标文件条目号</w:t>
            </w:r>
          </w:p>
        </w:tc>
        <w:tc>
          <w:tcPr>
            <w:tcW w:w="2454" w:type="dxa"/>
            <w:vAlign w:val="center"/>
          </w:tcPr>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招标文件的商务条款</w:t>
            </w:r>
          </w:p>
        </w:tc>
        <w:tc>
          <w:tcPr>
            <w:tcW w:w="2400" w:type="dxa"/>
            <w:vAlign w:val="center"/>
          </w:tcPr>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投标文件的商务条款</w:t>
            </w:r>
          </w:p>
        </w:tc>
        <w:tc>
          <w:tcPr>
            <w:tcW w:w="800" w:type="dxa"/>
            <w:vAlign w:val="center"/>
          </w:tcPr>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偏离</w:t>
            </w:r>
          </w:p>
        </w:tc>
        <w:tc>
          <w:tcPr>
            <w:tcW w:w="725" w:type="dxa"/>
            <w:vAlign w:val="center"/>
          </w:tcPr>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Align w:val="center"/>
          </w:tcPr>
          <w:p>
            <w:pPr>
              <w:spacing w:line="500" w:lineRule="exact"/>
              <w:rPr>
                <w:rFonts w:asciiTheme="minorEastAsia" w:hAnsiTheme="minorEastAsia" w:eastAsiaTheme="minorEastAsia" w:cstheme="minorEastAsia"/>
                <w:sz w:val="24"/>
                <w:szCs w:val="24"/>
              </w:rPr>
            </w:pPr>
          </w:p>
        </w:tc>
        <w:tc>
          <w:tcPr>
            <w:tcW w:w="1959" w:type="dxa"/>
            <w:vAlign w:val="center"/>
          </w:tcPr>
          <w:p>
            <w:pPr>
              <w:spacing w:line="500" w:lineRule="exact"/>
              <w:rPr>
                <w:rFonts w:asciiTheme="minorEastAsia" w:hAnsiTheme="minorEastAsia" w:eastAsiaTheme="minorEastAsia" w:cstheme="minorEastAsia"/>
                <w:sz w:val="24"/>
                <w:szCs w:val="24"/>
              </w:rPr>
            </w:pPr>
          </w:p>
        </w:tc>
        <w:tc>
          <w:tcPr>
            <w:tcW w:w="2454" w:type="dxa"/>
            <w:vAlign w:val="center"/>
          </w:tcPr>
          <w:p>
            <w:pPr>
              <w:spacing w:line="500" w:lineRule="exact"/>
              <w:rPr>
                <w:rFonts w:asciiTheme="minorEastAsia" w:hAnsiTheme="minorEastAsia" w:eastAsiaTheme="minorEastAsia" w:cstheme="minorEastAsia"/>
                <w:sz w:val="24"/>
                <w:szCs w:val="24"/>
              </w:rPr>
            </w:pPr>
          </w:p>
        </w:tc>
        <w:tc>
          <w:tcPr>
            <w:tcW w:w="2400" w:type="dxa"/>
            <w:vAlign w:val="center"/>
          </w:tcPr>
          <w:p>
            <w:pPr>
              <w:spacing w:line="500" w:lineRule="exact"/>
              <w:rPr>
                <w:rFonts w:asciiTheme="minorEastAsia" w:hAnsiTheme="minorEastAsia" w:eastAsiaTheme="minorEastAsia" w:cstheme="minorEastAsia"/>
                <w:sz w:val="24"/>
                <w:szCs w:val="24"/>
              </w:rPr>
            </w:pPr>
          </w:p>
        </w:tc>
        <w:tc>
          <w:tcPr>
            <w:tcW w:w="800" w:type="dxa"/>
            <w:vAlign w:val="center"/>
          </w:tcPr>
          <w:p>
            <w:pPr>
              <w:spacing w:line="500" w:lineRule="exact"/>
              <w:rPr>
                <w:rFonts w:asciiTheme="minorEastAsia" w:hAnsiTheme="minorEastAsia" w:eastAsiaTheme="minorEastAsia" w:cstheme="minorEastAsia"/>
                <w:sz w:val="24"/>
                <w:szCs w:val="24"/>
              </w:rPr>
            </w:pPr>
          </w:p>
        </w:tc>
        <w:tc>
          <w:tcPr>
            <w:tcW w:w="725" w:type="dxa"/>
            <w:vAlign w:val="center"/>
          </w:tcPr>
          <w:p>
            <w:pPr>
              <w:spacing w:line="5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Align w:val="center"/>
          </w:tcPr>
          <w:p>
            <w:pPr>
              <w:spacing w:line="500" w:lineRule="exact"/>
              <w:rPr>
                <w:rFonts w:asciiTheme="minorEastAsia" w:hAnsiTheme="minorEastAsia" w:eastAsiaTheme="minorEastAsia" w:cstheme="minorEastAsia"/>
                <w:sz w:val="24"/>
                <w:szCs w:val="24"/>
              </w:rPr>
            </w:pPr>
          </w:p>
        </w:tc>
        <w:tc>
          <w:tcPr>
            <w:tcW w:w="1959" w:type="dxa"/>
            <w:vAlign w:val="center"/>
          </w:tcPr>
          <w:p>
            <w:pPr>
              <w:spacing w:line="500" w:lineRule="exact"/>
              <w:rPr>
                <w:rFonts w:asciiTheme="minorEastAsia" w:hAnsiTheme="minorEastAsia" w:eastAsiaTheme="minorEastAsia" w:cstheme="minorEastAsia"/>
                <w:sz w:val="24"/>
                <w:szCs w:val="24"/>
              </w:rPr>
            </w:pPr>
          </w:p>
        </w:tc>
        <w:tc>
          <w:tcPr>
            <w:tcW w:w="2454" w:type="dxa"/>
            <w:vAlign w:val="center"/>
          </w:tcPr>
          <w:p>
            <w:pPr>
              <w:spacing w:line="500" w:lineRule="exact"/>
              <w:rPr>
                <w:rFonts w:asciiTheme="minorEastAsia" w:hAnsiTheme="minorEastAsia" w:eastAsiaTheme="minorEastAsia" w:cstheme="minorEastAsia"/>
                <w:sz w:val="24"/>
                <w:szCs w:val="24"/>
              </w:rPr>
            </w:pPr>
          </w:p>
        </w:tc>
        <w:tc>
          <w:tcPr>
            <w:tcW w:w="2400" w:type="dxa"/>
            <w:vAlign w:val="center"/>
          </w:tcPr>
          <w:p>
            <w:pPr>
              <w:spacing w:line="500" w:lineRule="exact"/>
              <w:rPr>
                <w:rFonts w:asciiTheme="minorEastAsia" w:hAnsiTheme="minorEastAsia" w:eastAsiaTheme="minorEastAsia" w:cstheme="minorEastAsia"/>
                <w:sz w:val="24"/>
                <w:szCs w:val="24"/>
              </w:rPr>
            </w:pPr>
          </w:p>
        </w:tc>
        <w:tc>
          <w:tcPr>
            <w:tcW w:w="800" w:type="dxa"/>
            <w:vAlign w:val="center"/>
          </w:tcPr>
          <w:p>
            <w:pPr>
              <w:spacing w:line="500" w:lineRule="exact"/>
              <w:rPr>
                <w:rFonts w:asciiTheme="minorEastAsia" w:hAnsiTheme="minorEastAsia" w:eastAsiaTheme="minorEastAsia" w:cstheme="minorEastAsia"/>
                <w:sz w:val="24"/>
                <w:szCs w:val="24"/>
              </w:rPr>
            </w:pPr>
          </w:p>
        </w:tc>
        <w:tc>
          <w:tcPr>
            <w:tcW w:w="725" w:type="dxa"/>
            <w:vAlign w:val="center"/>
          </w:tcPr>
          <w:p>
            <w:pPr>
              <w:spacing w:line="5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Align w:val="center"/>
          </w:tcPr>
          <w:p>
            <w:pPr>
              <w:spacing w:line="500" w:lineRule="exact"/>
              <w:rPr>
                <w:rFonts w:asciiTheme="minorEastAsia" w:hAnsiTheme="minorEastAsia" w:eastAsiaTheme="minorEastAsia" w:cstheme="minorEastAsia"/>
                <w:sz w:val="24"/>
                <w:szCs w:val="24"/>
              </w:rPr>
            </w:pPr>
          </w:p>
        </w:tc>
        <w:tc>
          <w:tcPr>
            <w:tcW w:w="1959" w:type="dxa"/>
            <w:vAlign w:val="center"/>
          </w:tcPr>
          <w:p>
            <w:pPr>
              <w:spacing w:line="500" w:lineRule="exact"/>
              <w:rPr>
                <w:rFonts w:asciiTheme="minorEastAsia" w:hAnsiTheme="minorEastAsia" w:eastAsiaTheme="minorEastAsia" w:cstheme="minorEastAsia"/>
                <w:sz w:val="24"/>
                <w:szCs w:val="24"/>
              </w:rPr>
            </w:pPr>
          </w:p>
        </w:tc>
        <w:tc>
          <w:tcPr>
            <w:tcW w:w="2454" w:type="dxa"/>
            <w:vAlign w:val="center"/>
          </w:tcPr>
          <w:p>
            <w:pPr>
              <w:spacing w:line="500" w:lineRule="exact"/>
              <w:rPr>
                <w:rFonts w:asciiTheme="minorEastAsia" w:hAnsiTheme="minorEastAsia" w:eastAsiaTheme="minorEastAsia" w:cstheme="minorEastAsia"/>
                <w:sz w:val="24"/>
                <w:szCs w:val="24"/>
              </w:rPr>
            </w:pPr>
          </w:p>
        </w:tc>
        <w:tc>
          <w:tcPr>
            <w:tcW w:w="2400" w:type="dxa"/>
            <w:vAlign w:val="center"/>
          </w:tcPr>
          <w:p>
            <w:pPr>
              <w:spacing w:line="500" w:lineRule="exact"/>
              <w:rPr>
                <w:rFonts w:asciiTheme="minorEastAsia" w:hAnsiTheme="minorEastAsia" w:eastAsiaTheme="minorEastAsia" w:cstheme="minorEastAsia"/>
                <w:sz w:val="24"/>
                <w:szCs w:val="24"/>
              </w:rPr>
            </w:pPr>
          </w:p>
        </w:tc>
        <w:tc>
          <w:tcPr>
            <w:tcW w:w="800" w:type="dxa"/>
            <w:vAlign w:val="center"/>
          </w:tcPr>
          <w:p>
            <w:pPr>
              <w:spacing w:line="500" w:lineRule="exact"/>
              <w:rPr>
                <w:rFonts w:asciiTheme="minorEastAsia" w:hAnsiTheme="minorEastAsia" w:eastAsiaTheme="minorEastAsia" w:cstheme="minorEastAsia"/>
                <w:sz w:val="24"/>
                <w:szCs w:val="24"/>
              </w:rPr>
            </w:pPr>
          </w:p>
        </w:tc>
        <w:tc>
          <w:tcPr>
            <w:tcW w:w="725" w:type="dxa"/>
            <w:vAlign w:val="center"/>
          </w:tcPr>
          <w:p>
            <w:pPr>
              <w:spacing w:line="5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Align w:val="center"/>
          </w:tcPr>
          <w:p>
            <w:pPr>
              <w:spacing w:line="500" w:lineRule="exact"/>
              <w:rPr>
                <w:rFonts w:asciiTheme="minorEastAsia" w:hAnsiTheme="minorEastAsia" w:eastAsiaTheme="minorEastAsia" w:cstheme="minorEastAsia"/>
                <w:sz w:val="24"/>
                <w:szCs w:val="24"/>
              </w:rPr>
            </w:pPr>
          </w:p>
        </w:tc>
        <w:tc>
          <w:tcPr>
            <w:tcW w:w="1959" w:type="dxa"/>
            <w:vAlign w:val="center"/>
          </w:tcPr>
          <w:p>
            <w:pPr>
              <w:spacing w:line="500" w:lineRule="exact"/>
              <w:rPr>
                <w:rFonts w:asciiTheme="minorEastAsia" w:hAnsiTheme="minorEastAsia" w:eastAsiaTheme="minorEastAsia" w:cstheme="minorEastAsia"/>
                <w:sz w:val="24"/>
                <w:szCs w:val="24"/>
              </w:rPr>
            </w:pPr>
          </w:p>
        </w:tc>
        <w:tc>
          <w:tcPr>
            <w:tcW w:w="2454" w:type="dxa"/>
            <w:vAlign w:val="center"/>
          </w:tcPr>
          <w:p>
            <w:pPr>
              <w:spacing w:line="500" w:lineRule="exact"/>
              <w:rPr>
                <w:rFonts w:asciiTheme="minorEastAsia" w:hAnsiTheme="minorEastAsia" w:eastAsiaTheme="minorEastAsia" w:cstheme="minorEastAsia"/>
                <w:sz w:val="24"/>
                <w:szCs w:val="24"/>
              </w:rPr>
            </w:pPr>
          </w:p>
        </w:tc>
        <w:tc>
          <w:tcPr>
            <w:tcW w:w="2400" w:type="dxa"/>
            <w:vAlign w:val="center"/>
          </w:tcPr>
          <w:p>
            <w:pPr>
              <w:spacing w:line="500" w:lineRule="exact"/>
              <w:rPr>
                <w:rFonts w:asciiTheme="minorEastAsia" w:hAnsiTheme="minorEastAsia" w:eastAsiaTheme="minorEastAsia" w:cstheme="minorEastAsia"/>
                <w:sz w:val="24"/>
                <w:szCs w:val="24"/>
              </w:rPr>
            </w:pPr>
          </w:p>
        </w:tc>
        <w:tc>
          <w:tcPr>
            <w:tcW w:w="800" w:type="dxa"/>
            <w:vAlign w:val="center"/>
          </w:tcPr>
          <w:p>
            <w:pPr>
              <w:spacing w:line="500" w:lineRule="exact"/>
              <w:rPr>
                <w:rFonts w:asciiTheme="minorEastAsia" w:hAnsiTheme="minorEastAsia" w:eastAsiaTheme="minorEastAsia" w:cstheme="minorEastAsia"/>
                <w:sz w:val="24"/>
                <w:szCs w:val="24"/>
              </w:rPr>
            </w:pPr>
          </w:p>
        </w:tc>
        <w:tc>
          <w:tcPr>
            <w:tcW w:w="725" w:type="dxa"/>
            <w:vAlign w:val="center"/>
          </w:tcPr>
          <w:p>
            <w:pPr>
              <w:spacing w:line="5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Align w:val="center"/>
          </w:tcPr>
          <w:p>
            <w:pPr>
              <w:spacing w:line="500" w:lineRule="exact"/>
              <w:rPr>
                <w:rFonts w:asciiTheme="minorEastAsia" w:hAnsiTheme="minorEastAsia" w:eastAsiaTheme="minorEastAsia" w:cstheme="minorEastAsia"/>
                <w:sz w:val="24"/>
                <w:szCs w:val="24"/>
              </w:rPr>
            </w:pPr>
          </w:p>
        </w:tc>
        <w:tc>
          <w:tcPr>
            <w:tcW w:w="1959" w:type="dxa"/>
            <w:vAlign w:val="center"/>
          </w:tcPr>
          <w:p>
            <w:pPr>
              <w:spacing w:line="500" w:lineRule="exact"/>
              <w:rPr>
                <w:rFonts w:asciiTheme="minorEastAsia" w:hAnsiTheme="minorEastAsia" w:eastAsiaTheme="minorEastAsia" w:cstheme="minorEastAsia"/>
                <w:sz w:val="24"/>
                <w:szCs w:val="24"/>
              </w:rPr>
            </w:pPr>
          </w:p>
        </w:tc>
        <w:tc>
          <w:tcPr>
            <w:tcW w:w="2454" w:type="dxa"/>
            <w:vAlign w:val="center"/>
          </w:tcPr>
          <w:p>
            <w:pPr>
              <w:spacing w:line="500" w:lineRule="exact"/>
              <w:rPr>
                <w:rFonts w:asciiTheme="minorEastAsia" w:hAnsiTheme="minorEastAsia" w:eastAsiaTheme="minorEastAsia" w:cstheme="minorEastAsia"/>
                <w:sz w:val="24"/>
                <w:szCs w:val="24"/>
              </w:rPr>
            </w:pPr>
          </w:p>
        </w:tc>
        <w:tc>
          <w:tcPr>
            <w:tcW w:w="2400" w:type="dxa"/>
            <w:vAlign w:val="center"/>
          </w:tcPr>
          <w:p>
            <w:pPr>
              <w:spacing w:line="500" w:lineRule="exact"/>
              <w:rPr>
                <w:rFonts w:asciiTheme="minorEastAsia" w:hAnsiTheme="minorEastAsia" w:eastAsiaTheme="minorEastAsia" w:cstheme="minorEastAsia"/>
                <w:sz w:val="24"/>
                <w:szCs w:val="24"/>
              </w:rPr>
            </w:pPr>
          </w:p>
        </w:tc>
        <w:tc>
          <w:tcPr>
            <w:tcW w:w="800" w:type="dxa"/>
            <w:vAlign w:val="center"/>
          </w:tcPr>
          <w:p>
            <w:pPr>
              <w:spacing w:line="500" w:lineRule="exact"/>
              <w:rPr>
                <w:rFonts w:asciiTheme="minorEastAsia" w:hAnsiTheme="minorEastAsia" w:eastAsiaTheme="minorEastAsia" w:cstheme="minorEastAsia"/>
                <w:sz w:val="24"/>
                <w:szCs w:val="24"/>
              </w:rPr>
            </w:pPr>
          </w:p>
        </w:tc>
        <w:tc>
          <w:tcPr>
            <w:tcW w:w="725" w:type="dxa"/>
            <w:vAlign w:val="center"/>
          </w:tcPr>
          <w:p>
            <w:pPr>
              <w:spacing w:line="5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Align w:val="center"/>
          </w:tcPr>
          <w:p>
            <w:pPr>
              <w:spacing w:line="500" w:lineRule="exact"/>
              <w:rPr>
                <w:rFonts w:asciiTheme="minorEastAsia" w:hAnsiTheme="minorEastAsia" w:eastAsiaTheme="minorEastAsia" w:cstheme="minorEastAsia"/>
                <w:sz w:val="24"/>
                <w:szCs w:val="24"/>
              </w:rPr>
            </w:pPr>
          </w:p>
        </w:tc>
        <w:tc>
          <w:tcPr>
            <w:tcW w:w="1959" w:type="dxa"/>
            <w:vAlign w:val="center"/>
          </w:tcPr>
          <w:p>
            <w:pPr>
              <w:spacing w:line="500" w:lineRule="exact"/>
              <w:rPr>
                <w:rFonts w:asciiTheme="minorEastAsia" w:hAnsiTheme="minorEastAsia" w:eastAsiaTheme="minorEastAsia" w:cstheme="minorEastAsia"/>
                <w:sz w:val="24"/>
                <w:szCs w:val="24"/>
              </w:rPr>
            </w:pPr>
          </w:p>
        </w:tc>
        <w:tc>
          <w:tcPr>
            <w:tcW w:w="2454" w:type="dxa"/>
            <w:vAlign w:val="center"/>
          </w:tcPr>
          <w:p>
            <w:pPr>
              <w:spacing w:line="500" w:lineRule="exact"/>
              <w:rPr>
                <w:rFonts w:asciiTheme="minorEastAsia" w:hAnsiTheme="minorEastAsia" w:eastAsiaTheme="minorEastAsia" w:cstheme="minorEastAsia"/>
                <w:sz w:val="24"/>
                <w:szCs w:val="24"/>
              </w:rPr>
            </w:pPr>
          </w:p>
        </w:tc>
        <w:tc>
          <w:tcPr>
            <w:tcW w:w="2400" w:type="dxa"/>
            <w:vAlign w:val="center"/>
          </w:tcPr>
          <w:p>
            <w:pPr>
              <w:spacing w:line="500" w:lineRule="exact"/>
              <w:rPr>
                <w:rFonts w:asciiTheme="minorEastAsia" w:hAnsiTheme="minorEastAsia" w:eastAsiaTheme="minorEastAsia" w:cstheme="minorEastAsia"/>
                <w:sz w:val="24"/>
                <w:szCs w:val="24"/>
              </w:rPr>
            </w:pPr>
          </w:p>
        </w:tc>
        <w:tc>
          <w:tcPr>
            <w:tcW w:w="800" w:type="dxa"/>
            <w:vAlign w:val="center"/>
          </w:tcPr>
          <w:p>
            <w:pPr>
              <w:spacing w:line="500" w:lineRule="exact"/>
              <w:rPr>
                <w:rFonts w:asciiTheme="minorEastAsia" w:hAnsiTheme="minorEastAsia" w:eastAsiaTheme="minorEastAsia" w:cstheme="minorEastAsia"/>
                <w:sz w:val="24"/>
                <w:szCs w:val="24"/>
              </w:rPr>
            </w:pPr>
          </w:p>
        </w:tc>
        <w:tc>
          <w:tcPr>
            <w:tcW w:w="725" w:type="dxa"/>
            <w:vAlign w:val="center"/>
          </w:tcPr>
          <w:p>
            <w:pPr>
              <w:spacing w:line="500" w:lineRule="exact"/>
              <w:rPr>
                <w:rFonts w:asciiTheme="minorEastAsia" w:hAnsiTheme="minorEastAsia" w:eastAsiaTheme="minorEastAsia" w:cstheme="minorEastAsia"/>
                <w:sz w:val="24"/>
                <w:szCs w:val="24"/>
              </w:rPr>
            </w:pPr>
          </w:p>
        </w:tc>
      </w:tr>
    </w:tbl>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说明：如有偏离，则必须注明“偏离”；未注明偏离的，视为完全响应。</w:t>
      </w:r>
    </w:p>
    <w:p>
      <w:pPr>
        <w:spacing w:line="500" w:lineRule="exact"/>
        <w:rPr>
          <w:rFonts w:hint="eastAsia" w:asciiTheme="minorEastAsia" w:hAnsiTheme="minorEastAsia" w:eastAsiaTheme="minorEastAsia" w:cstheme="minorEastAsia"/>
          <w:sz w:val="24"/>
          <w:szCs w:val="24"/>
        </w:rPr>
      </w:pPr>
    </w:p>
    <w:p>
      <w:pPr>
        <w:spacing w:line="500" w:lineRule="exact"/>
        <w:rPr>
          <w:rFonts w:hint="eastAsia" w:asciiTheme="minorEastAsia" w:hAnsiTheme="minorEastAsia" w:eastAsiaTheme="minorEastAsia" w:cstheme="minorEastAsia"/>
          <w:sz w:val="24"/>
          <w:szCs w:val="24"/>
        </w:rPr>
      </w:pPr>
    </w:p>
    <w:p>
      <w:pPr>
        <w:spacing w:line="500" w:lineRule="exact"/>
        <w:ind w:firstLine="1200" w:firstLineChars="5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供应商名称(公章)：____________________</w:t>
      </w:r>
    </w:p>
    <w:p>
      <w:pPr>
        <w:spacing w:line="500" w:lineRule="exact"/>
        <w:ind w:firstLine="1200" w:firstLineChars="5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法定代表人或其授权代表(签字或盖章)：____________________</w:t>
      </w:r>
    </w:p>
    <w:p>
      <w:pPr>
        <w:spacing w:line="500" w:lineRule="exact"/>
        <w:ind w:firstLine="1200" w:firstLineChars="5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日期：______年____月____日</w:t>
      </w:r>
    </w:p>
    <w:p>
      <w:pPr>
        <w:spacing w:line="500" w:lineRule="exact"/>
        <w:rPr>
          <w:rFonts w:asciiTheme="minorEastAsia" w:hAnsiTheme="minorEastAsia" w:eastAsiaTheme="minorEastAsia" w:cstheme="minorEastAsia"/>
          <w:sz w:val="24"/>
          <w:szCs w:val="24"/>
        </w:rPr>
      </w:pPr>
    </w:p>
    <w:p>
      <w:pPr>
        <w:spacing w:line="500" w:lineRule="exact"/>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b/>
          <w:bCs/>
          <w:sz w:val="24"/>
          <w:szCs w:val="24"/>
        </w:rPr>
        <w:t>四、投标保证金</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说明：可提供付款凭证或金融机构、担保机构出具的保函。</w:t>
      </w:r>
    </w:p>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保证金汇款声明函(适用银行转账)</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致：____________(采购人或采购代理机构)</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我方为____________(项目名称)(项目编号：________)递交保证金人民币________元(大写(人民币</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元)已于______年____月____日以银行主动划账方式划入你方账户。</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详见附件：银行出具的汇款单或转账凭证复印件。</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退还保证金时请按以下内容划入我方账户。若因内容不全、错误、字迹潦草模糊导致该项目保证金未能及时退还或退还过程中发生错误，我方将承担全部责任和损失。</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单位全称：</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开户账号：</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供应商(公章)：　</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　</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电话(手机)：　　</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p>
    <w:p>
      <w:pPr>
        <w:spacing w:line="500" w:lineRule="exact"/>
        <w:rPr>
          <w:rFonts w:asciiTheme="minorEastAsia" w:hAnsiTheme="minorEastAsia" w:eastAsiaTheme="minorEastAsia" w:cstheme="minorEastAsia"/>
          <w:sz w:val="24"/>
          <w:szCs w:val="24"/>
        </w:rPr>
      </w:pPr>
    </w:p>
    <w:tbl>
      <w:tblPr>
        <w:tblStyle w:val="23"/>
        <w:tblW w:w="59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1" w:hRule="atLeast"/>
          <w:jc w:val="center"/>
        </w:trPr>
        <w:tc>
          <w:tcPr>
            <w:tcW w:w="5913" w:type="dxa"/>
            <w:tcBorders>
              <w:top w:val="single" w:color="auto" w:sz="4" w:space="0"/>
              <w:bottom w:val="single" w:color="auto" w:sz="4" w:space="0"/>
            </w:tcBorders>
            <w:vAlign w:val="center"/>
          </w:tcPr>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汇款单或转账凭证复印件</w:t>
            </w:r>
          </w:p>
        </w:tc>
      </w:tr>
    </w:tbl>
    <w:p>
      <w:pPr>
        <w:spacing w:line="500" w:lineRule="exact"/>
        <w:rPr>
          <w:rFonts w:asciiTheme="minorEastAsia" w:hAnsiTheme="minorEastAsia" w:eastAsiaTheme="minorEastAsia" w:cstheme="minorEastAsia"/>
          <w:sz w:val="24"/>
          <w:szCs w:val="24"/>
        </w:rPr>
      </w:pPr>
    </w:p>
    <w:tbl>
      <w:tblPr>
        <w:tblStyle w:val="23"/>
        <w:tblW w:w="59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1" w:hRule="atLeast"/>
          <w:jc w:val="center"/>
        </w:trPr>
        <w:tc>
          <w:tcPr>
            <w:tcW w:w="5913" w:type="dxa"/>
            <w:tcBorders>
              <w:top w:val="single" w:color="auto" w:sz="4" w:space="0"/>
              <w:bottom w:val="single" w:color="auto" w:sz="4" w:space="0"/>
            </w:tcBorders>
            <w:vAlign w:val="center"/>
          </w:tcPr>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开户行许可证复印件</w:t>
            </w:r>
          </w:p>
        </w:tc>
      </w:tr>
    </w:tbl>
    <w:p>
      <w:pPr>
        <w:spacing w:line="500" w:lineRule="exact"/>
        <w:jc w:val="cente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b/>
          <w:bCs/>
          <w:sz w:val="24"/>
          <w:szCs w:val="24"/>
        </w:rPr>
        <w:t>五、供应商</w:t>
      </w:r>
      <w:r>
        <w:rPr>
          <w:rFonts w:hint="eastAsia" w:asciiTheme="minorEastAsia" w:hAnsiTheme="minorEastAsia" w:eastAsiaTheme="minorEastAsia" w:cstheme="minorEastAsia"/>
          <w:b/>
          <w:bCs/>
          <w:color w:val="auto"/>
          <w:sz w:val="24"/>
          <w:szCs w:val="24"/>
        </w:rPr>
        <w:t>具备投标资格的证明文件</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附件5－1</w:t>
      </w:r>
    </w:p>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供应商基本情况表</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供应商：(公章)</w:t>
      </w:r>
    </w:p>
    <w:tbl>
      <w:tblPr>
        <w:tblStyle w:val="23"/>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1991"/>
        <w:gridCol w:w="2154"/>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1991" w:type="dxa"/>
            <w:vAlign w:val="center"/>
          </w:tcPr>
          <w:p>
            <w:pPr>
              <w:spacing w:line="500" w:lineRule="exact"/>
              <w:rPr>
                <w:rFonts w:asciiTheme="minorEastAsia" w:hAnsiTheme="minorEastAsia" w:eastAsiaTheme="minorEastAsia" w:cstheme="minorEastAsia"/>
                <w:sz w:val="24"/>
                <w:szCs w:val="24"/>
              </w:rPr>
            </w:pPr>
          </w:p>
        </w:tc>
        <w:tc>
          <w:tcPr>
            <w:tcW w:w="2154" w:type="dxa"/>
            <w:vAlign w:val="center"/>
          </w:tcPr>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tc>
        <w:tc>
          <w:tcPr>
            <w:tcW w:w="1528" w:type="dxa"/>
            <w:vAlign w:val="center"/>
          </w:tcPr>
          <w:p>
            <w:pPr>
              <w:spacing w:line="5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统一社会信用代码</w:t>
            </w:r>
          </w:p>
        </w:tc>
        <w:tc>
          <w:tcPr>
            <w:tcW w:w="1991" w:type="dxa"/>
            <w:vAlign w:val="center"/>
          </w:tcPr>
          <w:p>
            <w:pPr>
              <w:spacing w:line="500" w:lineRule="exact"/>
              <w:rPr>
                <w:rFonts w:asciiTheme="minorEastAsia" w:hAnsiTheme="minorEastAsia" w:eastAsiaTheme="minorEastAsia" w:cstheme="minorEastAsia"/>
                <w:sz w:val="24"/>
                <w:szCs w:val="24"/>
              </w:rPr>
            </w:pPr>
          </w:p>
        </w:tc>
        <w:tc>
          <w:tcPr>
            <w:tcW w:w="2154" w:type="dxa"/>
            <w:vAlign w:val="center"/>
          </w:tcPr>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8" w:type="dxa"/>
            <w:vAlign w:val="center"/>
          </w:tcPr>
          <w:p>
            <w:pPr>
              <w:spacing w:line="5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w:t>
            </w:r>
          </w:p>
        </w:tc>
        <w:tc>
          <w:tcPr>
            <w:tcW w:w="1991" w:type="dxa"/>
            <w:vAlign w:val="center"/>
          </w:tcPr>
          <w:p>
            <w:pPr>
              <w:spacing w:line="500" w:lineRule="exact"/>
              <w:rPr>
                <w:rFonts w:asciiTheme="minorEastAsia" w:hAnsiTheme="minorEastAsia" w:eastAsiaTheme="minorEastAsia" w:cstheme="minorEastAsia"/>
                <w:sz w:val="24"/>
                <w:szCs w:val="24"/>
              </w:rPr>
            </w:pPr>
          </w:p>
        </w:tc>
        <w:tc>
          <w:tcPr>
            <w:tcW w:w="2154" w:type="dxa"/>
            <w:vAlign w:val="center"/>
          </w:tcPr>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8" w:type="dxa"/>
            <w:vAlign w:val="center"/>
          </w:tcPr>
          <w:p>
            <w:pPr>
              <w:spacing w:line="5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p>
        </w:tc>
        <w:tc>
          <w:tcPr>
            <w:tcW w:w="1991" w:type="dxa"/>
            <w:vAlign w:val="center"/>
          </w:tcPr>
          <w:p>
            <w:pPr>
              <w:spacing w:line="500" w:lineRule="exact"/>
              <w:rPr>
                <w:rFonts w:asciiTheme="minorEastAsia" w:hAnsiTheme="minorEastAsia" w:eastAsiaTheme="minorEastAsia" w:cstheme="minorEastAsia"/>
                <w:sz w:val="24"/>
                <w:szCs w:val="24"/>
              </w:rPr>
            </w:pPr>
          </w:p>
        </w:tc>
        <w:tc>
          <w:tcPr>
            <w:tcW w:w="2154" w:type="dxa"/>
            <w:vAlign w:val="center"/>
          </w:tcPr>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tc>
        <w:tc>
          <w:tcPr>
            <w:tcW w:w="1528" w:type="dxa"/>
            <w:vAlign w:val="center"/>
          </w:tcPr>
          <w:p>
            <w:pPr>
              <w:spacing w:line="5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上年营业收入</w:t>
            </w:r>
          </w:p>
        </w:tc>
        <w:tc>
          <w:tcPr>
            <w:tcW w:w="1991" w:type="dxa"/>
            <w:vAlign w:val="center"/>
          </w:tcPr>
          <w:p>
            <w:pPr>
              <w:spacing w:line="500" w:lineRule="exact"/>
              <w:rPr>
                <w:rFonts w:asciiTheme="minorEastAsia" w:hAnsiTheme="minorEastAsia" w:eastAsiaTheme="minorEastAsia" w:cstheme="minorEastAsia"/>
                <w:sz w:val="24"/>
                <w:szCs w:val="24"/>
              </w:rPr>
            </w:pPr>
          </w:p>
        </w:tc>
        <w:tc>
          <w:tcPr>
            <w:tcW w:w="2154" w:type="dxa"/>
            <w:vAlign w:val="center"/>
          </w:tcPr>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员工总人数</w:t>
            </w:r>
          </w:p>
        </w:tc>
        <w:tc>
          <w:tcPr>
            <w:tcW w:w="1528" w:type="dxa"/>
            <w:vAlign w:val="center"/>
          </w:tcPr>
          <w:p>
            <w:pPr>
              <w:spacing w:line="5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基本账户开户行及账号</w:t>
            </w:r>
          </w:p>
        </w:tc>
        <w:tc>
          <w:tcPr>
            <w:tcW w:w="1991" w:type="dxa"/>
            <w:vAlign w:val="center"/>
          </w:tcPr>
          <w:p>
            <w:pPr>
              <w:spacing w:line="500" w:lineRule="exact"/>
              <w:rPr>
                <w:rFonts w:asciiTheme="minorEastAsia" w:hAnsiTheme="minorEastAsia" w:eastAsiaTheme="minorEastAsia" w:cstheme="minorEastAsia"/>
                <w:sz w:val="24"/>
                <w:szCs w:val="24"/>
              </w:rPr>
            </w:pPr>
          </w:p>
        </w:tc>
        <w:tc>
          <w:tcPr>
            <w:tcW w:w="2154" w:type="dxa"/>
            <w:vAlign w:val="center"/>
          </w:tcPr>
          <w:p>
            <w:pPr>
              <w:spacing w:line="500" w:lineRule="exact"/>
              <w:rPr>
                <w:rFonts w:asciiTheme="minorEastAsia" w:hAnsiTheme="minorEastAsia" w:eastAsiaTheme="minorEastAsia" w:cstheme="minorEastAsia"/>
                <w:sz w:val="24"/>
                <w:szCs w:val="24"/>
              </w:rPr>
            </w:pPr>
          </w:p>
        </w:tc>
        <w:tc>
          <w:tcPr>
            <w:tcW w:w="1528" w:type="dxa"/>
            <w:vAlign w:val="center"/>
          </w:tcPr>
          <w:p>
            <w:pPr>
              <w:spacing w:line="5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税务登记机关</w:t>
            </w:r>
          </w:p>
        </w:tc>
        <w:tc>
          <w:tcPr>
            <w:tcW w:w="1991" w:type="dxa"/>
            <w:vAlign w:val="center"/>
          </w:tcPr>
          <w:p>
            <w:pPr>
              <w:spacing w:line="500" w:lineRule="exact"/>
              <w:rPr>
                <w:rFonts w:asciiTheme="minorEastAsia" w:hAnsiTheme="minorEastAsia" w:eastAsiaTheme="minorEastAsia" w:cstheme="minorEastAsia"/>
                <w:sz w:val="24"/>
                <w:szCs w:val="24"/>
              </w:rPr>
            </w:pPr>
          </w:p>
        </w:tc>
        <w:tc>
          <w:tcPr>
            <w:tcW w:w="2154" w:type="dxa"/>
            <w:vAlign w:val="center"/>
          </w:tcPr>
          <w:p>
            <w:pPr>
              <w:spacing w:line="500" w:lineRule="exact"/>
              <w:rPr>
                <w:rFonts w:asciiTheme="minorEastAsia" w:hAnsiTheme="minorEastAsia" w:eastAsiaTheme="minorEastAsia" w:cstheme="minorEastAsia"/>
                <w:sz w:val="24"/>
                <w:szCs w:val="24"/>
              </w:rPr>
            </w:pPr>
          </w:p>
        </w:tc>
        <w:tc>
          <w:tcPr>
            <w:tcW w:w="1528" w:type="dxa"/>
            <w:vAlign w:val="center"/>
          </w:tcPr>
          <w:p>
            <w:pPr>
              <w:spacing w:line="5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资质名称</w:t>
            </w:r>
          </w:p>
        </w:tc>
        <w:tc>
          <w:tcPr>
            <w:tcW w:w="1991" w:type="dxa"/>
            <w:vAlign w:val="center"/>
          </w:tcPr>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等级</w:t>
            </w:r>
          </w:p>
        </w:tc>
        <w:tc>
          <w:tcPr>
            <w:tcW w:w="2154" w:type="dxa"/>
            <w:vAlign w:val="center"/>
          </w:tcPr>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发证机关</w:t>
            </w:r>
          </w:p>
        </w:tc>
        <w:tc>
          <w:tcPr>
            <w:tcW w:w="1528" w:type="dxa"/>
            <w:vAlign w:val="center"/>
          </w:tcPr>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spacing w:line="500" w:lineRule="exact"/>
              <w:rPr>
                <w:rFonts w:asciiTheme="minorEastAsia" w:hAnsiTheme="minorEastAsia" w:eastAsiaTheme="minorEastAsia" w:cstheme="minorEastAsia"/>
                <w:sz w:val="24"/>
                <w:szCs w:val="24"/>
              </w:rPr>
            </w:pPr>
          </w:p>
        </w:tc>
        <w:tc>
          <w:tcPr>
            <w:tcW w:w="1991" w:type="dxa"/>
            <w:vAlign w:val="center"/>
          </w:tcPr>
          <w:p>
            <w:pPr>
              <w:spacing w:line="500" w:lineRule="exact"/>
              <w:rPr>
                <w:rFonts w:asciiTheme="minorEastAsia" w:hAnsiTheme="minorEastAsia" w:eastAsiaTheme="minorEastAsia" w:cstheme="minorEastAsia"/>
                <w:sz w:val="24"/>
                <w:szCs w:val="24"/>
              </w:rPr>
            </w:pPr>
          </w:p>
        </w:tc>
        <w:tc>
          <w:tcPr>
            <w:tcW w:w="2154" w:type="dxa"/>
            <w:vAlign w:val="center"/>
          </w:tcPr>
          <w:p>
            <w:pPr>
              <w:spacing w:line="500" w:lineRule="exact"/>
              <w:rPr>
                <w:rFonts w:asciiTheme="minorEastAsia" w:hAnsiTheme="minorEastAsia" w:eastAsiaTheme="minorEastAsia" w:cstheme="minorEastAsia"/>
                <w:sz w:val="24"/>
                <w:szCs w:val="24"/>
              </w:rPr>
            </w:pPr>
          </w:p>
        </w:tc>
        <w:tc>
          <w:tcPr>
            <w:tcW w:w="1528" w:type="dxa"/>
            <w:vAlign w:val="center"/>
          </w:tcPr>
          <w:p>
            <w:pPr>
              <w:spacing w:line="5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spacing w:line="500" w:lineRule="exact"/>
              <w:rPr>
                <w:rFonts w:asciiTheme="minorEastAsia" w:hAnsiTheme="minorEastAsia" w:eastAsiaTheme="minorEastAsia" w:cstheme="minorEastAsia"/>
                <w:sz w:val="24"/>
                <w:szCs w:val="24"/>
              </w:rPr>
            </w:pPr>
          </w:p>
        </w:tc>
        <w:tc>
          <w:tcPr>
            <w:tcW w:w="1991" w:type="dxa"/>
            <w:vAlign w:val="center"/>
          </w:tcPr>
          <w:p>
            <w:pPr>
              <w:spacing w:line="500" w:lineRule="exact"/>
              <w:rPr>
                <w:rFonts w:asciiTheme="minorEastAsia" w:hAnsiTheme="minorEastAsia" w:eastAsiaTheme="minorEastAsia" w:cstheme="minorEastAsia"/>
                <w:sz w:val="24"/>
                <w:szCs w:val="24"/>
              </w:rPr>
            </w:pPr>
          </w:p>
        </w:tc>
        <w:tc>
          <w:tcPr>
            <w:tcW w:w="2154" w:type="dxa"/>
            <w:vAlign w:val="center"/>
          </w:tcPr>
          <w:p>
            <w:pPr>
              <w:spacing w:line="500" w:lineRule="exact"/>
              <w:rPr>
                <w:rFonts w:asciiTheme="minorEastAsia" w:hAnsiTheme="minorEastAsia" w:eastAsiaTheme="minorEastAsia" w:cstheme="minorEastAsia"/>
                <w:sz w:val="24"/>
                <w:szCs w:val="24"/>
              </w:rPr>
            </w:pPr>
          </w:p>
        </w:tc>
        <w:tc>
          <w:tcPr>
            <w:tcW w:w="1528" w:type="dxa"/>
            <w:vAlign w:val="center"/>
          </w:tcPr>
          <w:p>
            <w:pPr>
              <w:spacing w:line="5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1991" w:type="dxa"/>
            <w:vAlign w:val="center"/>
          </w:tcPr>
          <w:p>
            <w:pPr>
              <w:spacing w:line="500" w:lineRule="exact"/>
              <w:rPr>
                <w:rFonts w:asciiTheme="minorEastAsia" w:hAnsiTheme="minorEastAsia" w:eastAsiaTheme="minorEastAsia" w:cstheme="minorEastAsia"/>
                <w:sz w:val="24"/>
                <w:szCs w:val="24"/>
              </w:rPr>
            </w:pPr>
          </w:p>
        </w:tc>
        <w:tc>
          <w:tcPr>
            <w:tcW w:w="2154" w:type="dxa"/>
            <w:vAlign w:val="center"/>
          </w:tcPr>
          <w:p>
            <w:pPr>
              <w:spacing w:line="500" w:lineRule="exact"/>
              <w:rPr>
                <w:rFonts w:asciiTheme="minorEastAsia" w:hAnsiTheme="minorEastAsia" w:eastAsiaTheme="minorEastAsia" w:cstheme="minorEastAsia"/>
                <w:sz w:val="24"/>
                <w:szCs w:val="24"/>
              </w:rPr>
            </w:pPr>
          </w:p>
        </w:tc>
        <w:tc>
          <w:tcPr>
            <w:tcW w:w="1528" w:type="dxa"/>
            <w:vAlign w:val="center"/>
          </w:tcPr>
          <w:p>
            <w:pPr>
              <w:spacing w:line="500" w:lineRule="exact"/>
              <w:rPr>
                <w:rFonts w:asciiTheme="minorEastAsia" w:hAnsiTheme="minorEastAsia" w:eastAsiaTheme="minorEastAsia" w:cstheme="minorEastAsia"/>
                <w:sz w:val="24"/>
                <w:szCs w:val="24"/>
              </w:rPr>
            </w:pPr>
          </w:p>
        </w:tc>
      </w:tr>
    </w:tbl>
    <w:p>
      <w:pPr>
        <w:spacing w:line="500" w:lineRule="exact"/>
        <w:rPr>
          <w:rFonts w:asciiTheme="minorEastAsia" w:hAnsiTheme="minorEastAsia" w:eastAsiaTheme="minorEastAsia" w:cstheme="minorEastAsia"/>
          <w:sz w:val="24"/>
          <w:szCs w:val="24"/>
        </w:rPr>
      </w:pPr>
    </w:p>
    <w:p>
      <w:pPr>
        <w:spacing w:line="5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附件5－</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　法人或者其他组织的营业执照副本复印件或自然人的身份证明复印件</w:t>
      </w:r>
      <w:r>
        <w:rPr>
          <w:rFonts w:hint="eastAsia" w:asciiTheme="minorEastAsia" w:hAnsiTheme="minorEastAsia" w:eastAsiaTheme="minorEastAsia" w:cstheme="minorEastAsia"/>
          <w:sz w:val="24"/>
          <w:szCs w:val="24"/>
          <w:lang w:val="en-US" w:eastAsia="zh-CN"/>
        </w:rPr>
        <w:t>；</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附件5－</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－2　</w:t>
      </w:r>
      <w:r>
        <w:rPr>
          <w:rFonts w:hint="eastAsia" w:asciiTheme="minorEastAsia" w:hAnsiTheme="minorEastAsia" w:eastAsiaTheme="minorEastAsia" w:cstheme="minorEastAsia"/>
          <w:sz w:val="24"/>
          <w:szCs w:val="24"/>
          <w:lang w:val="en-US" w:eastAsia="zh-CN"/>
        </w:rPr>
        <w:t>具有履行合同所必需的设备和专业技术能力(声明函格式自拟)即具有完成本项目采购能力</w:t>
      </w:r>
      <w:r>
        <w:rPr>
          <w:rFonts w:hint="eastAsia" w:asciiTheme="minorEastAsia" w:hAnsiTheme="minorEastAsia" w:eastAsiaTheme="minorEastAsia" w:cstheme="minorEastAsia"/>
          <w:sz w:val="24"/>
          <w:szCs w:val="24"/>
        </w:rPr>
        <w:t>；</w:t>
      </w:r>
    </w:p>
    <w:p>
      <w:pPr>
        <w:spacing w:line="5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附件5－</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  具有依法缴纳税收和社会保障资金的良好记录(提供相应证明材料或声明函格式自拟)</w:t>
      </w:r>
      <w:r>
        <w:rPr>
          <w:rFonts w:hint="eastAsia" w:asciiTheme="minorEastAsia" w:hAnsiTheme="minorEastAsia" w:eastAsiaTheme="minorEastAsia" w:cstheme="minorEastAsia"/>
          <w:sz w:val="24"/>
          <w:szCs w:val="24"/>
        </w:rPr>
        <w:t>；</w:t>
      </w:r>
    </w:p>
    <w:p>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附件5－</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－4　</w:t>
      </w:r>
      <w:r>
        <w:rPr>
          <w:rFonts w:hint="eastAsia" w:asciiTheme="minorEastAsia" w:hAnsiTheme="minorEastAsia" w:eastAsiaTheme="minorEastAsia" w:cstheme="minorEastAsia"/>
          <w:sz w:val="24"/>
          <w:szCs w:val="24"/>
          <w:lang w:val="en-US" w:eastAsia="zh-CN"/>
        </w:rPr>
        <w:t>单位负责人为同一人或者存在直接控股、管理关系的不同供应商，不得参加同一合同项下的政府采购活动(提供声明函格式自拟)；</w:t>
      </w:r>
    </w:p>
    <w:p>
      <w:pPr>
        <w:spacing w:line="500" w:lineRule="exact"/>
        <w:rPr>
          <w:rFonts w:asciiTheme="minorEastAsia" w:hAnsiTheme="minorEastAsia" w:eastAsiaTheme="minorEastAsia" w:cstheme="minorEastAsia"/>
          <w:sz w:val="24"/>
          <w:szCs w:val="24"/>
        </w:rPr>
      </w:pPr>
    </w:p>
    <w:p>
      <w:pPr>
        <w:pStyle w:val="9"/>
        <w:rPr>
          <w:rFonts w:asciiTheme="minorEastAsia" w:hAnsiTheme="minorEastAsia" w:eastAsiaTheme="minorEastAsia" w:cstheme="minorEastAsia"/>
          <w:sz w:val="24"/>
          <w:szCs w:val="24"/>
        </w:rPr>
      </w:pPr>
    </w:p>
    <w:p>
      <w:pPr>
        <w:rPr>
          <w:rFonts w:asciiTheme="minorEastAsia" w:hAnsiTheme="minorEastAsia" w:eastAsiaTheme="minorEastAsia" w:cstheme="minorEastAsia"/>
          <w:sz w:val="24"/>
          <w:szCs w:val="24"/>
        </w:rPr>
      </w:pPr>
    </w:p>
    <w:p>
      <w:pPr>
        <w:pStyle w:val="9"/>
        <w:rPr>
          <w:rFonts w:asciiTheme="minorEastAsia" w:hAnsiTheme="minorEastAsia" w:eastAsiaTheme="minorEastAsia" w:cstheme="minorEastAsia"/>
          <w:sz w:val="24"/>
          <w:szCs w:val="24"/>
        </w:rPr>
      </w:pPr>
    </w:p>
    <w:p/>
    <w:p>
      <w:pPr>
        <w:spacing w:line="5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附件5－</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p>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参加政府采购活动前三年内在经营活动中</w:t>
      </w:r>
    </w:p>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没有重大违法记录的书面声明</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本单位郑重声明：</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我单位在参加采购活动前三年内在经营活动中没有《政府采购法》第二十二条第一款第(五)项所称重大违法记录，包括：</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我单位或者其法定代表人、董事、监事、高级管理人员未因经营活动中的违法行为受到刑事处罚或者责令停产停业、吊销许可证或者执照、较大数额罚款等行政处罚。</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特此声明！</w:t>
      </w: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供应商名称(公章)：____________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法定代表人或其授权代表(签字或盖章)：____________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日期：______年____月____日</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sz w:val="24"/>
          <w:szCs w:val="24"/>
        </w:rPr>
        <w:t>附件5－</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6 </w:t>
      </w:r>
      <w:r>
        <w:rPr>
          <w:rFonts w:hint="eastAsia" w:asciiTheme="minorEastAsia" w:hAnsiTheme="minorEastAsia" w:eastAsiaTheme="minorEastAsia" w:cstheme="minorEastAsia"/>
          <w:sz w:val="24"/>
          <w:szCs w:val="24"/>
        </w:rPr>
        <w:t>无不良信用记录承诺函</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致____________(采购人或采购代理机构)：</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本单位郑重承诺，我单位无以下不良信用记录情形：</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1.被人民法院列入失信被执行人；</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2.被税务部门列入</w:t>
      </w:r>
      <w:r>
        <w:rPr>
          <w:rFonts w:hint="eastAsia" w:asciiTheme="minorEastAsia" w:hAnsiTheme="minorEastAsia" w:eastAsiaTheme="minorEastAsia" w:cstheme="minorEastAsia"/>
          <w:sz w:val="24"/>
          <w:szCs w:val="24"/>
          <w:lang w:eastAsia="zh-CN"/>
        </w:rPr>
        <w:t>重大税收违法失信主体名单</w:t>
      </w:r>
      <w:r>
        <w:rPr>
          <w:rFonts w:hint="eastAsia" w:asciiTheme="minorEastAsia" w:hAnsiTheme="minorEastAsia" w:eastAsiaTheme="minorEastAsia" w:cstheme="minorEastAsia"/>
          <w:sz w:val="24"/>
          <w:szCs w:val="24"/>
        </w:rPr>
        <w:t>；</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3.被政府采购监管部门列入政府采购严重违法失信行为记录名单；</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4.不符合《政府采购法》第二十二条规定的条件。</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已就上述不良信用行为按照招标文件中供应商须知前附表规定进行了查询。我单位承诺：合同签订前，若我单位具有不良信用记录情形，贵方可取消我单位中标资格或者不授予合同，所有责任由我单位自行承担。同时，我单位愿意无条件接受监管部门的调查处理。</w:t>
      </w: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供应商名称(公章)：____________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法定代表人或其授权代表(签字或盖章)：____________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日期：______年____月____日</w:t>
      </w:r>
    </w:p>
    <w:p>
      <w:pPr>
        <w:pStyle w:val="9"/>
        <w:rPr>
          <w:rFonts w:asciiTheme="minorEastAsia" w:hAnsiTheme="minorEastAsia" w:eastAsiaTheme="minorEastAsia" w:cstheme="minorEastAsia"/>
          <w:sz w:val="24"/>
          <w:szCs w:val="24"/>
        </w:rPr>
      </w:pPr>
    </w:p>
    <w:p>
      <w:pPr>
        <w:rPr>
          <w:rFonts w:asciiTheme="minorEastAsia" w:hAnsiTheme="minorEastAsia" w:eastAsiaTheme="minorEastAsia" w:cstheme="minorEastAsia"/>
          <w:sz w:val="24"/>
          <w:szCs w:val="24"/>
        </w:rPr>
      </w:pPr>
    </w:p>
    <w:p>
      <w:r>
        <w:rPr>
          <w:rFonts w:hint="eastAsia" w:asciiTheme="minorEastAsia" w:hAnsiTheme="minorEastAsia" w:eastAsiaTheme="minorEastAsia" w:cstheme="minorEastAsia"/>
          <w:sz w:val="24"/>
          <w:szCs w:val="24"/>
        </w:rPr>
        <w:t>附件5－2－</w:t>
      </w:r>
      <w:r>
        <w:rPr>
          <w:rFonts w:hint="eastAsia" w:asciiTheme="minorEastAsia" w:hAnsiTheme="minorEastAsia" w:eastAsiaTheme="minorEastAsia" w:cstheme="minorEastAsia"/>
          <w:sz w:val="24"/>
          <w:szCs w:val="24"/>
          <w:lang w:val="en-US" w:eastAsia="zh-CN"/>
        </w:rPr>
        <w:t>7  供应商参加政府采购活动前三年内，在经营活动中没有重大违法记录，在“信用中国”网站（www.creditchina.gov.cn）、中国政府采购网（www.ccgp.gov.cn）没有被列入失信被执行人、重大税收违法失信主体名单、政府采购严重违法失信行为记录名单及其他不符合规定条件。</w:t>
      </w:r>
      <w:r>
        <w:rPr>
          <w:rFonts w:hint="eastAsia"/>
          <w:lang w:eastAsia="zh-CN"/>
        </w:rPr>
        <w:t>（提供查询结果网页截图并加盖供应商公章）。</w:t>
      </w:r>
    </w:p>
    <w:p>
      <w:pPr>
        <w:spacing w:line="500" w:lineRule="exact"/>
        <w:rPr>
          <w:rFonts w:hint="eastAsia" w:asciiTheme="minorEastAsia" w:hAnsiTheme="minorEastAsia" w:eastAsiaTheme="minorEastAsia" w:cstheme="minorEastAsia"/>
          <w:sz w:val="24"/>
          <w:szCs w:val="24"/>
        </w:rPr>
      </w:pPr>
    </w:p>
    <w:p>
      <w:pPr>
        <w:spacing w:line="500" w:lineRule="exact"/>
        <w:rPr>
          <w:rFonts w:hint="eastAsia" w:asciiTheme="minorEastAsia" w:hAnsiTheme="minorEastAsia" w:eastAsiaTheme="minorEastAsia" w:cstheme="minorEastAsia"/>
          <w:sz w:val="24"/>
          <w:szCs w:val="24"/>
        </w:rPr>
      </w:pPr>
    </w:p>
    <w:p>
      <w:pPr>
        <w:spacing w:line="500" w:lineRule="exact"/>
        <w:rPr>
          <w:rFonts w:hint="eastAsia" w:asciiTheme="minorEastAsia" w:hAnsiTheme="minorEastAsia" w:eastAsiaTheme="minorEastAsia" w:cstheme="minorEastAsia"/>
          <w:sz w:val="24"/>
          <w:szCs w:val="24"/>
        </w:rPr>
      </w:pPr>
    </w:p>
    <w:p>
      <w:pPr>
        <w:spacing w:line="500" w:lineRule="exact"/>
        <w:rPr>
          <w:rFonts w:hint="eastAsia" w:asciiTheme="minorEastAsia" w:hAnsiTheme="minorEastAsia" w:eastAsiaTheme="minorEastAsia" w:cstheme="minorEastAsia"/>
          <w:sz w:val="24"/>
          <w:szCs w:val="24"/>
        </w:rPr>
      </w:pPr>
    </w:p>
    <w:p>
      <w:pPr>
        <w:spacing w:line="500" w:lineRule="exact"/>
        <w:rPr>
          <w:rFonts w:hint="eastAsia" w:asciiTheme="minorEastAsia" w:hAnsiTheme="minorEastAsia" w:eastAsiaTheme="minorEastAsia" w:cstheme="minorEastAsia"/>
          <w:sz w:val="24"/>
          <w:szCs w:val="24"/>
        </w:rPr>
      </w:pPr>
    </w:p>
    <w:p>
      <w:pPr>
        <w:spacing w:line="500" w:lineRule="exact"/>
        <w:rPr>
          <w:rFonts w:hint="eastAsia" w:asciiTheme="minorEastAsia" w:hAnsiTheme="minorEastAsia" w:eastAsiaTheme="minorEastAsia" w:cstheme="minorEastAsia"/>
          <w:sz w:val="24"/>
          <w:szCs w:val="24"/>
        </w:rPr>
      </w:pPr>
    </w:p>
    <w:p>
      <w:pPr>
        <w:spacing w:line="500" w:lineRule="exact"/>
        <w:rPr>
          <w:rFonts w:hint="eastAsia"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六、提供符合政府采购政策的证明材料</w:t>
      </w:r>
    </w:p>
    <w:p>
      <w:pPr>
        <w:spacing w:line="5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附件6－1</w:t>
      </w:r>
      <w:r>
        <w:rPr>
          <w:rFonts w:hint="eastAsia" w:asciiTheme="minorEastAsia" w:hAnsiTheme="minorEastAsia" w:eastAsiaTheme="minorEastAsia" w:cstheme="minorEastAsia"/>
          <w:sz w:val="24"/>
          <w:szCs w:val="24"/>
          <w:lang w:val="en-US" w:eastAsia="zh-CN"/>
        </w:rPr>
        <w:t xml:space="preserve"> 中小企业声明函</w:t>
      </w:r>
    </w:p>
    <w:p>
      <w:pPr>
        <w:widowControl/>
        <w:spacing w:line="400" w:lineRule="exact"/>
        <w:jc w:val="center"/>
        <w:rPr>
          <w:rFonts w:hint="eastAsia" w:ascii="宋体" w:hAnsi="宋体" w:eastAsia="宋体" w:cs="宋体"/>
          <w:i w:val="0"/>
          <w:iCs w:val="0"/>
          <w:sz w:val="24"/>
          <w:szCs w:val="24"/>
        </w:rPr>
      </w:pPr>
      <w:r>
        <w:rPr>
          <w:rFonts w:hint="eastAsia" w:ascii="宋体" w:hAnsi="宋体" w:eastAsia="宋体" w:cs="宋体"/>
          <w:b/>
          <w:i w:val="0"/>
          <w:iCs w:val="0"/>
          <w:sz w:val="24"/>
          <w:szCs w:val="24"/>
        </w:rPr>
        <w:t xml:space="preserve"> </w:t>
      </w:r>
      <w:r>
        <w:rPr>
          <w:rFonts w:hint="eastAsia" w:ascii="宋体" w:hAnsi="宋体" w:eastAsia="宋体" w:cs="宋体"/>
          <w:i w:val="0"/>
          <w:iCs w:val="0"/>
          <w:sz w:val="24"/>
          <w:szCs w:val="24"/>
        </w:rPr>
        <w:t>中小企业声明函（货物）</w:t>
      </w:r>
    </w:p>
    <w:p>
      <w:pPr>
        <w:widowControl/>
        <w:spacing w:line="400" w:lineRule="exact"/>
        <w:jc w:val="center"/>
        <w:rPr>
          <w:rFonts w:hint="eastAsia" w:ascii="宋体" w:hAnsi="宋体" w:eastAsia="宋体" w:cs="宋体"/>
          <w:i w:val="0"/>
          <w:iCs w:val="0"/>
          <w:sz w:val="24"/>
          <w:szCs w:val="24"/>
        </w:rPr>
      </w:pPr>
    </w:p>
    <w:p>
      <w:pPr>
        <w:spacing w:before="156" w:beforeLines="50" w:after="156" w:afterLines="50" w:line="300" w:lineRule="auto"/>
        <w:ind w:firstLine="480" w:firstLineChars="200"/>
        <w:rPr>
          <w:rFonts w:hint="eastAsia" w:ascii="宋体" w:hAnsi="宋体" w:eastAsia="宋体" w:cs="宋体"/>
          <w:bCs/>
          <w:i w:val="0"/>
          <w:iCs w:val="0"/>
          <w:sz w:val="24"/>
          <w:szCs w:val="24"/>
        </w:rPr>
      </w:pPr>
      <w:r>
        <w:rPr>
          <w:rFonts w:hint="eastAsia" w:ascii="宋体" w:hAnsi="宋体" w:eastAsia="宋体" w:cs="宋体"/>
          <w:bCs/>
          <w:i w:val="0"/>
          <w:iCs w:val="0"/>
          <w:sz w:val="24"/>
          <w:szCs w:val="24"/>
        </w:rPr>
        <w:t>本公司（联合体）郑重声明，根据《政府采购促进中小企业发展管理办法》（财库﹝2020﹞46 号）的规定，本公司（联合体）参加（</w:t>
      </w:r>
      <w:r>
        <w:rPr>
          <w:rFonts w:hint="eastAsia" w:ascii="宋体" w:hAnsi="宋体" w:eastAsia="宋体" w:cs="宋体"/>
          <w:bCs/>
          <w:i w:val="0"/>
          <w:iCs w:val="0"/>
          <w:sz w:val="24"/>
          <w:szCs w:val="24"/>
          <w:u w:val="single"/>
        </w:rPr>
        <w:t>单位名称</w:t>
      </w:r>
      <w:r>
        <w:rPr>
          <w:rFonts w:hint="eastAsia" w:ascii="宋体" w:hAnsi="宋体" w:eastAsia="宋体" w:cs="宋体"/>
          <w:bCs/>
          <w:i w:val="0"/>
          <w:iCs w:val="0"/>
          <w:sz w:val="24"/>
          <w:szCs w:val="24"/>
        </w:rPr>
        <w:t>）的（</w:t>
      </w:r>
      <w:r>
        <w:rPr>
          <w:rFonts w:hint="eastAsia" w:ascii="宋体" w:hAnsi="宋体" w:eastAsia="宋体" w:cs="宋体"/>
          <w:bCs/>
          <w:i w:val="0"/>
          <w:iCs w:val="0"/>
          <w:sz w:val="24"/>
          <w:szCs w:val="24"/>
          <w:u w:val="single"/>
        </w:rPr>
        <w:t>项目名称</w:t>
      </w:r>
      <w:r>
        <w:rPr>
          <w:rFonts w:hint="eastAsia" w:ascii="宋体" w:hAnsi="宋体" w:eastAsia="宋体" w:cs="宋体"/>
          <w:bCs/>
          <w:i w:val="0"/>
          <w:iCs w:val="0"/>
          <w:sz w:val="24"/>
          <w:szCs w:val="24"/>
        </w:rPr>
        <w:t>）采购活动，提供的货物全部由符合政策要求的中小企业制造。相关企业（含联合体中的中小企业、签订分包意向协议的中小企业）的具体情况如下：</w:t>
      </w:r>
    </w:p>
    <w:p>
      <w:pPr>
        <w:spacing w:before="156" w:beforeLines="50" w:after="156" w:afterLines="50" w:line="300" w:lineRule="auto"/>
        <w:ind w:firstLine="480" w:firstLineChars="200"/>
        <w:rPr>
          <w:rFonts w:hint="eastAsia" w:ascii="宋体" w:hAnsi="宋体" w:eastAsia="宋体" w:cs="宋体"/>
          <w:bCs/>
          <w:i w:val="0"/>
          <w:iCs w:val="0"/>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u w:val="single"/>
        </w:rPr>
        <w:t>标的名称</w:t>
      </w:r>
      <w:r>
        <w:rPr>
          <w:rFonts w:hint="eastAsia" w:ascii="宋体" w:hAnsi="宋体" w:eastAsia="宋体" w:cs="宋体"/>
          <w:bCs/>
          <w:i w:val="0"/>
          <w:iCs w:val="0"/>
          <w:sz w:val="24"/>
          <w:szCs w:val="24"/>
        </w:rPr>
        <w:t>） ，属于（</w:t>
      </w:r>
      <w:r>
        <w:rPr>
          <w:rFonts w:hint="eastAsia" w:ascii="宋体" w:hAnsi="宋体" w:eastAsia="宋体" w:cs="宋体"/>
          <w:bCs/>
          <w:i w:val="0"/>
          <w:iCs w:val="0"/>
          <w:sz w:val="24"/>
          <w:szCs w:val="24"/>
          <w:u w:val="single"/>
        </w:rPr>
        <w:t>采购文件中明确的所属行业</w:t>
      </w:r>
      <w:r>
        <w:rPr>
          <w:rFonts w:hint="eastAsia" w:ascii="宋体" w:hAnsi="宋体" w:eastAsia="宋体" w:cs="宋体"/>
          <w:bCs/>
          <w:i w:val="0"/>
          <w:iCs w:val="0"/>
          <w:sz w:val="24"/>
          <w:szCs w:val="24"/>
        </w:rPr>
        <w:t>）行业；制造商为（</w:t>
      </w:r>
      <w:r>
        <w:rPr>
          <w:rFonts w:hint="eastAsia" w:ascii="宋体" w:hAnsi="宋体" w:eastAsia="宋体" w:cs="宋体"/>
          <w:bCs/>
          <w:i w:val="0"/>
          <w:iCs w:val="0"/>
          <w:sz w:val="24"/>
          <w:szCs w:val="24"/>
          <w:u w:val="single"/>
        </w:rPr>
        <w:t>企业名称</w:t>
      </w:r>
      <w:r>
        <w:rPr>
          <w:rFonts w:hint="eastAsia" w:ascii="宋体" w:hAnsi="宋体" w:eastAsia="宋体" w:cs="宋体"/>
          <w:bCs/>
          <w:i w:val="0"/>
          <w:iCs w:val="0"/>
          <w:sz w:val="24"/>
          <w:szCs w:val="24"/>
        </w:rPr>
        <w:t>），从业人员</w:t>
      </w:r>
      <w:r>
        <w:rPr>
          <w:rFonts w:hint="eastAsia" w:ascii="宋体" w:hAnsi="宋体" w:eastAsia="宋体" w:cs="宋体"/>
          <w:bCs/>
          <w:i w:val="0"/>
          <w:iCs w:val="0"/>
          <w:sz w:val="24"/>
          <w:szCs w:val="24"/>
          <w:u w:val="single"/>
        </w:rPr>
        <w:t xml:space="preserve">     </w:t>
      </w:r>
      <w:r>
        <w:rPr>
          <w:rFonts w:hint="eastAsia" w:ascii="宋体" w:hAnsi="宋体" w:eastAsia="宋体" w:cs="宋体"/>
          <w:bCs/>
          <w:i w:val="0"/>
          <w:iCs w:val="0"/>
          <w:sz w:val="24"/>
          <w:szCs w:val="24"/>
        </w:rPr>
        <w:t>人，营业收入为</w:t>
      </w:r>
      <w:r>
        <w:rPr>
          <w:rFonts w:hint="eastAsia" w:ascii="宋体" w:hAnsi="宋体" w:eastAsia="宋体" w:cs="宋体"/>
          <w:bCs/>
          <w:i w:val="0"/>
          <w:iCs w:val="0"/>
          <w:sz w:val="24"/>
          <w:szCs w:val="24"/>
          <w:u w:val="single"/>
        </w:rPr>
        <w:t xml:space="preserve">     </w:t>
      </w:r>
      <w:r>
        <w:rPr>
          <w:rFonts w:hint="eastAsia" w:ascii="宋体" w:hAnsi="宋体" w:eastAsia="宋体" w:cs="宋体"/>
          <w:bCs/>
          <w:i w:val="0"/>
          <w:iCs w:val="0"/>
          <w:sz w:val="24"/>
          <w:szCs w:val="24"/>
        </w:rPr>
        <w:t>万元，资产总额为</w:t>
      </w:r>
      <w:r>
        <w:rPr>
          <w:rFonts w:hint="eastAsia" w:ascii="宋体" w:hAnsi="宋体" w:eastAsia="宋体" w:cs="宋体"/>
          <w:bCs/>
          <w:i w:val="0"/>
          <w:iCs w:val="0"/>
          <w:sz w:val="24"/>
          <w:szCs w:val="24"/>
          <w:u w:val="single"/>
        </w:rPr>
        <w:t xml:space="preserve">     </w:t>
      </w:r>
      <w:r>
        <w:rPr>
          <w:rFonts w:hint="eastAsia" w:ascii="宋体" w:hAnsi="宋体" w:eastAsia="宋体" w:cs="宋体"/>
          <w:bCs/>
          <w:i w:val="0"/>
          <w:iCs w:val="0"/>
          <w:sz w:val="24"/>
          <w:szCs w:val="24"/>
        </w:rPr>
        <w:t>万元，属于（</w:t>
      </w:r>
      <w:r>
        <w:rPr>
          <w:rFonts w:hint="eastAsia" w:ascii="宋体" w:hAnsi="宋体" w:eastAsia="宋体" w:cs="宋体"/>
          <w:bCs/>
          <w:i w:val="0"/>
          <w:iCs w:val="0"/>
          <w:sz w:val="24"/>
          <w:szCs w:val="24"/>
          <w:u w:val="single"/>
        </w:rPr>
        <w:t>中型企业、小型企业、微型企业</w:t>
      </w:r>
      <w:r>
        <w:rPr>
          <w:rFonts w:hint="eastAsia" w:ascii="宋体" w:hAnsi="宋体" w:eastAsia="宋体" w:cs="宋体"/>
          <w:bCs/>
          <w:i w:val="0"/>
          <w:iCs w:val="0"/>
          <w:sz w:val="24"/>
          <w:szCs w:val="24"/>
        </w:rPr>
        <w:t>）；</w:t>
      </w:r>
    </w:p>
    <w:p>
      <w:pPr>
        <w:spacing w:before="156" w:beforeLines="50" w:after="156" w:afterLines="50" w:line="300" w:lineRule="auto"/>
        <w:ind w:firstLine="480" w:firstLineChars="200"/>
        <w:rPr>
          <w:rFonts w:hint="eastAsia" w:ascii="宋体" w:hAnsi="宋体" w:eastAsia="宋体" w:cs="宋体"/>
          <w:bCs/>
          <w:i w:val="0"/>
          <w:iCs w:val="0"/>
          <w:sz w:val="24"/>
          <w:szCs w:val="24"/>
        </w:rPr>
      </w:pPr>
      <w:r>
        <w:rPr>
          <w:rFonts w:hint="eastAsia" w:ascii="宋体" w:hAnsi="宋体" w:eastAsia="宋体" w:cs="宋体"/>
          <w:bCs/>
          <w:i w:val="0"/>
          <w:iCs w:val="0"/>
          <w:sz w:val="24"/>
          <w:szCs w:val="24"/>
        </w:rPr>
        <w:t>2.（</w:t>
      </w:r>
      <w:r>
        <w:rPr>
          <w:rFonts w:hint="eastAsia" w:ascii="宋体" w:hAnsi="宋体" w:eastAsia="宋体" w:cs="宋体"/>
          <w:bCs/>
          <w:i w:val="0"/>
          <w:iCs w:val="0"/>
          <w:sz w:val="24"/>
          <w:szCs w:val="24"/>
          <w:u w:val="single"/>
        </w:rPr>
        <w:t>标的名称</w:t>
      </w:r>
      <w:r>
        <w:rPr>
          <w:rFonts w:hint="eastAsia" w:ascii="宋体" w:hAnsi="宋体" w:eastAsia="宋体" w:cs="宋体"/>
          <w:bCs/>
          <w:i w:val="0"/>
          <w:iCs w:val="0"/>
          <w:sz w:val="24"/>
          <w:szCs w:val="24"/>
        </w:rPr>
        <w:t>） ，属于（</w:t>
      </w:r>
      <w:r>
        <w:rPr>
          <w:rFonts w:hint="eastAsia" w:ascii="宋体" w:hAnsi="宋体" w:eastAsia="宋体" w:cs="宋体"/>
          <w:bCs/>
          <w:i w:val="0"/>
          <w:iCs w:val="0"/>
          <w:sz w:val="24"/>
          <w:szCs w:val="24"/>
          <w:u w:val="single"/>
        </w:rPr>
        <w:t>采购文件中明确的所属行业</w:t>
      </w:r>
      <w:r>
        <w:rPr>
          <w:rFonts w:hint="eastAsia" w:ascii="宋体" w:hAnsi="宋体" w:eastAsia="宋体" w:cs="宋体"/>
          <w:bCs/>
          <w:i w:val="0"/>
          <w:iCs w:val="0"/>
          <w:sz w:val="24"/>
          <w:szCs w:val="24"/>
        </w:rPr>
        <w:t>）行业；制造商为（</w:t>
      </w:r>
      <w:r>
        <w:rPr>
          <w:rFonts w:hint="eastAsia" w:ascii="宋体" w:hAnsi="宋体" w:eastAsia="宋体" w:cs="宋体"/>
          <w:bCs/>
          <w:i w:val="0"/>
          <w:iCs w:val="0"/>
          <w:sz w:val="24"/>
          <w:szCs w:val="24"/>
          <w:u w:val="single"/>
        </w:rPr>
        <w:t>企业名称</w:t>
      </w:r>
      <w:r>
        <w:rPr>
          <w:rFonts w:hint="eastAsia" w:ascii="宋体" w:hAnsi="宋体" w:eastAsia="宋体" w:cs="宋体"/>
          <w:bCs/>
          <w:i w:val="0"/>
          <w:iCs w:val="0"/>
          <w:sz w:val="24"/>
          <w:szCs w:val="24"/>
        </w:rPr>
        <w:t>），从业人员</w:t>
      </w:r>
      <w:r>
        <w:rPr>
          <w:rFonts w:hint="eastAsia" w:ascii="宋体" w:hAnsi="宋体" w:eastAsia="宋体" w:cs="宋体"/>
          <w:bCs/>
          <w:i w:val="0"/>
          <w:iCs w:val="0"/>
          <w:sz w:val="24"/>
          <w:szCs w:val="24"/>
          <w:u w:val="single"/>
        </w:rPr>
        <w:t xml:space="preserve">     </w:t>
      </w:r>
      <w:r>
        <w:rPr>
          <w:rFonts w:hint="eastAsia" w:ascii="宋体" w:hAnsi="宋体" w:eastAsia="宋体" w:cs="宋体"/>
          <w:bCs/>
          <w:i w:val="0"/>
          <w:iCs w:val="0"/>
          <w:sz w:val="24"/>
          <w:szCs w:val="24"/>
        </w:rPr>
        <w:t>人，营业收入为</w:t>
      </w:r>
      <w:r>
        <w:rPr>
          <w:rFonts w:hint="eastAsia" w:ascii="宋体" w:hAnsi="宋体" w:eastAsia="宋体" w:cs="宋体"/>
          <w:bCs/>
          <w:i w:val="0"/>
          <w:iCs w:val="0"/>
          <w:sz w:val="24"/>
          <w:szCs w:val="24"/>
          <w:u w:val="single"/>
        </w:rPr>
        <w:t xml:space="preserve">     </w:t>
      </w:r>
      <w:r>
        <w:rPr>
          <w:rFonts w:hint="eastAsia" w:ascii="宋体" w:hAnsi="宋体" w:eastAsia="宋体" w:cs="宋体"/>
          <w:bCs/>
          <w:i w:val="0"/>
          <w:iCs w:val="0"/>
          <w:sz w:val="24"/>
          <w:szCs w:val="24"/>
        </w:rPr>
        <w:t>万元，资产总额为</w:t>
      </w:r>
      <w:r>
        <w:rPr>
          <w:rFonts w:hint="eastAsia" w:ascii="宋体" w:hAnsi="宋体" w:eastAsia="宋体" w:cs="宋体"/>
          <w:bCs/>
          <w:i w:val="0"/>
          <w:iCs w:val="0"/>
          <w:sz w:val="24"/>
          <w:szCs w:val="24"/>
          <w:u w:val="single"/>
        </w:rPr>
        <w:t xml:space="preserve">     </w:t>
      </w:r>
      <w:r>
        <w:rPr>
          <w:rFonts w:hint="eastAsia" w:ascii="宋体" w:hAnsi="宋体" w:eastAsia="宋体" w:cs="宋体"/>
          <w:bCs/>
          <w:i w:val="0"/>
          <w:iCs w:val="0"/>
          <w:sz w:val="24"/>
          <w:szCs w:val="24"/>
        </w:rPr>
        <w:t>万元，属于（</w:t>
      </w:r>
      <w:r>
        <w:rPr>
          <w:rFonts w:hint="eastAsia" w:ascii="宋体" w:hAnsi="宋体" w:eastAsia="宋体" w:cs="宋体"/>
          <w:bCs/>
          <w:i w:val="0"/>
          <w:iCs w:val="0"/>
          <w:sz w:val="24"/>
          <w:szCs w:val="24"/>
          <w:u w:val="single"/>
        </w:rPr>
        <w:t>中型企业、小型企业、微型企业</w:t>
      </w:r>
      <w:r>
        <w:rPr>
          <w:rFonts w:hint="eastAsia" w:ascii="宋体" w:hAnsi="宋体" w:eastAsia="宋体" w:cs="宋体"/>
          <w:bCs/>
          <w:i w:val="0"/>
          <w:iCs w:val="0"/>
          <w:sz w:val="24"/>
          <w:szCs w:val="24"/>
        </w:rPr>
        <w:t>）；</w:t>
      </w:r>
    </w:p>
    <w:p>
      <w:pPr>
        <w:spacing w:before="156" w:beforeLines="50" w:after="156" w:afterLines="50" w:line="300" w:lineRule="auto"/>
        <w:ind w:firstLine="480" w:firstLineChars="200"/>
        <w:rPr>
          <w:rFonts w:hint="eastAsia" w:ascii="宋体" w:hAnsi="宋体" w:eastAsia="宋体" w:cs="宋体"/>
          <w:bCs/>
          <w:i w:val="0"/>
          <w:iCs w:val="0"/>
          <w:sz w:val="24"/>
          <w:szCs w:val="24"/>
        </w:rPr>
      </w:pPr>
      <w:r>
        <w:rPr>
          <w:rFonts w:hint="eastAsia" w:ascii="宋体" w:hAnsi="宋体" w:eastAsia="宋体" w:cs="宋体"/>
          <w:bCs/>
          <w:i w:val="0"/>
          <w:iCs w:val="0"/>
          <w:sz w:val="24"/>
          <w:szCs w:val="24"/>
        </w:rPr>
        <w:t>……</w:t>
      </w:r>
    </w:p>
    <w:p>
      <w:pPr>
        <w:spacing w:before="156" w:beforeLines="50" w:after="156" w:afterLines="50" w:line="300" w:lineRule="auto"/>
        <w:ind w:firstLine="480" w:firstLineChars="200"/>
        <w:rPr>
          <w:rFonts w:hint="eastAsia" w:ascii="宋体" w:hAnsi="宋体" w:eastAsia="宋体" w:cs="宋体"/>
          <w:bCs/>
          <w:i w:val="0"/>
          <w:iCs w:val="0"/>
          <w:sz w:val="24"/>
          <w:szCs w:val="24"/>
        </w:rPr>
      </w:pPr>
      <w:r>
        <w:rPr>
          <w:rFonts w:hint="eastAsia" w:ascii="宋体" w:hAnsi="宋体" w:eastAsia="宋体" w:cs="宋体"/>
          <w:bCs/>
          <w:i w:val="0"/>
          <w:iCs w:val="0"/>
          <w:sz w:val="24"/>
          <w:szCs w:val="24"/>
        </w:rPr>
        <w:t>以上企业，不属于大企业的分支机构，不存在控股股东为大企业的情形，也不存在与大企业的负责人为同一人的情形。</w:t>
      </w:r>
    </w:p>
    <w:p>
      <w:pPr>
        <w:spacing w:before="156" w:beforeLines="50" w:after="156" w:afterLines="50" w:line="300" w:lineRule="auto"/>
        <w:ind w:firstLine="480" w:firstLineChars="200"/>
        <w:rPr>
          <w:rFonts w:hint="eastAsia" w:ascii="宋体" w:hAnsi="宋体" w:eastAsia="宋体" w:cs="宋体"/>
          <w:bCs/>
          <w:i w:val="0"/>
          <w:iCs w:val="0"/>
          <w:sz w:val="24"/>
          <w:szCs w:val="24"/>
        </w:rPr>
      </w:pPr>
      <w:r>
        <w:rPr>
          <w:rFonts w:hint="eastAsia" w:ascii="宋体" w:hAnsi="宋体" w:eastAsia="宋体" w:cs="宋体"/>
          <w:bCs/>
          <w:i w:val="0"/>
          <w:iCs w:val="0"/>
          <w:sz w:val="24"/>
          <w:szCs w:val="24"/>
        </w:rPr>
        <w:t>本企业对上述声明内容的真实性负责。如有虚假，将依法承担相应责任。</w:t>
      </w:r>
    </w:p>
    <w:p>
      <w:pPr>
        <w:spacing w:before="156" w:beforeLines="50" w:after="156" w:afterLines="50" w:line="300" w:lineRule="auto"/>
        <w:rPr>
          <w:rFonts w:hint="eastAsia" w:ascii="宋体" w:hAnsi="宋体" w:eastAsia="宋体" w:cs="宋体"/>
          <w:bCs/>
          <w:i w:val="0"/>
          <w:iCs w:val="0"/>
          <w:sz w:val="24"/>
          <w:szCs w:val="24"/>
        </w:rPr>
      </w:pPr>
    </w:p>
    <w:p>
      <w:pPr>
        <w:spacing w:before="156" w:beforeLines="50" w:after="156" w:afterLines="50" w:line="300" w:lineRule="auto"/>
        <w:rPr>
          <w:rFonts w:hint="eastAsia" w:ascii="宋体" w:hAnsi="宋体" w:eastAsia="宋体" w:cs="宋体"/>
          <w:bCs/>
          <w:i w:val="0"/>
          <w:iCs w:val="0"/>
          <w:sz w:val="24"/>
          <w:szCs w:val="24"/>
        </w:rPr>
      </w:pPr>
    </w:p>
    <w:p>
      <w:pPr>
        <w:spacing w:before="156" w:beforeLines="50" w:after="156" w:afterLines="50" w:line="300" w:lineRule="auto"/>
        <w:ind w:firstLine="4080" w:firstLineChars="1700"/>
        <w:rPr>
          <w:rFonts w:hint="eastAsia" w:ascii="宋体" w:hAnsi="宋体" w:eastAsia="宋体" w:cs="宋体"/>
          <w:bCs/>
          <w:i w:val="0"/>
          <w:iCs w:val="0"/>
          <w:sz w:val="24"/>
          <w:szCs w:val="24"/>
        </w:rPr>
      </w:pPr>
      <w:r>
        <w:rPr>
          <w:rFonts w:hint="eastAsia" w:ascii="宋体" w:hAnsi="宋体" w:eastAsia="宋体" w:cs="宋体"/>
          <w:bCs/>
          <w:i w:val="0"/>
          <w:iCs w:val="0"/>
          <w:sz w:val="24"/>
          <w:szCs w:val="24"/>
        </w:rPr>
        <w:t>企业名称（盖章）：</w:t>
      </w:r>
    </w:p>
    <w:p>
      <w:pPr>
        <w:spacing w:before="156" w:beforeLines="50" w:after="156" w:afterLines="50" w:line="300" w:lineRule="auto"/>
        <w:ind w:firstLine="4080" w:firstLineChars="1700"/>
        <w:rPr>
          <w:rFonts w:hint="eastAsia" w:ascii="宋体" w:hAnsi="宋体" w:eastAsia="宋体" w:cs="宋体"/>
          <w:bCs/>
          <w:i w:val="0"/>
          <w:iCs w:val="0"/>
          <w:sz w:val="24"/>
          <w:szCs w:val="24"/>
        </w:rPr>
      </w:pPr>
      <w:r>
        <w:rPr>
          <w:rFonts w:hint="eastAsia" w:ascii="宋体" w:hAnsi="宋体" w:eastAsia="宋体" w:cs="宋体"/>
          <w:bCs/>
          <w:i w:val="0"/>
          <w:iCs w:val="0"/>
          <w:sz w:val="24"/>
          <w:szCs w:val="24"/>
        </w:rPr>
        <w:t>日期：</w:t>
      </w:r>
    </w:p>
    <w:p>
      <w:pPr>
        <w:pStyle w:val="2"/>
        <w:rPr>
          <w:rFonts w:hint="eastAsia" w:ascii="宋体" w:hAnsi="宋体" w:eastAsia="宋体" w:cs="宋体"/>
          <w:i w:val="0"/>
          <w:iCs w:val="0"/>
          <w:sz w:val="24"/>
          <w:szCs w:val="24"/>
        </w:rPr>
      </w:pPr>
    </w:p>
    <w:p>
      <w:pPr>
        <w:rPr>
          <w:rFonts w:hint="eastAsia" w:ascii="宋体" w:hAnsi="宋体" w:eastAsia="宋体" w:cs="宋体"/>
          <w:i w:val="0"/>
          <w:iCs w:val="0"/>
          <w:sz w:val="24"/>
          <w:szCs w:val="24"/>
        </w:rPr>
      </w:pPr>
    </w:p>
    <w:p>
      <w:pPr>
        <w:widowControl/>
        <w:spacing w:line="400" w:lineRule="exact"/>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t>备注：1、从业人员、营业收入、资产总额填报上一年度数据，无上一年度数据的新成立企业可不填报。</w:t>
      </w:r>
    </w:p>
    <w:p>
      <w:pPr>
        <w:widowControl/>
        <w:numPr>
          <w:ilvl w:val="0"/>
          <w:numId w:val="6"/>
        </w:numPr>
        <w:spacing w:line="400" w:lineRule="exact"/>
        <w:ind w:firstLine="723" w:firstLineChars="300"/>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t>投标人为中小企业时需提供本声明函，并完整填写从业人员、营业收入、资产总额等内容，否则评审时不能享受相应的价格扣除。</w:t>
      </w:r>
    </w:p>
    <w:p>
      <w:pPr>
        <w:pStyle w:val="9"/>
        <w:rPr>
          <w:rFonts w:hint="eastAsia" w:ascii="宋体" w:hAnsi="宋体" w:eastAsia="宋体" w:cs="宋体"/>
          <w:i w:val="0"/>
          <w:iCs w:val="0"/>
          <w:sz w:val="24"/>
          <w:szCs w:val="24"/>
        </w:rPr>
      </w:pPr>
    </w:p>
    <w:p>
      <w:pPr>
        <w:rPr>
          <w:rFonts w:hint="eastAsia" w:ascii="宋体" w:hAnsi="宋体" w:eastAsia="宋体" w:cs="宋体"/>
          <w:i w:val="0"/>
          <w:iCs w:val="0"/>
          <w:sz w:val="24"/>
          <w:szCs w:val="24"/>
        </w:rPr>
      </w:pPr>
    </w:p>
    <w:p>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w:t>
      </w:r>
      <w:r>
        <w:rPr>
          <w:rFonts w:hint="eastAsia" w:asciiTheme="minorEastAsia" w:hAnsiTheme="minorEastAsia" w:eastAsiaTheme="minorEastAsia" w:cstheme="minorEastAsia"/>
          <w:sz w:val="24"/>
          <w:szCs w:val="24"/>
          <w:lang w:val="en-US" w:eastAsia="zh-CN"/>
        </w:rPr>
        <w:t xml:space="preserve">6-2 </w:t>
      </w:r>
      <w:r>
        <w:rPr>
          <w:rFonts w:hint="eastAsia" w:asciiTheme="minorEastAsia" w:hAnsiTheme="minorEastAsia" w:eastAsiaTheme="minorEastAsia" w:cstheme="minorEastAsia"/>
          <w:sz w:val="24"/>
          <w:szCs w:val="24"/>
        </w:rPr>
        <w:t>监狱企业声明函</w:t>
      </w:r>
    </w:p>
    <w:p>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（监狱企业适用）</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本公司郑重声明，根据《关于政府采购支持监狱企业发展有关问题的通知》（财库[2014]68号）的规定，本公司为监狱企业。</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本公司参加______单位的______项目采购活动，采购活动提供本企业（填写制造的货物，由本企业承担工程、提供服务）。</w:t>
      </w:r>
    </w:p>
    <w:p>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本条所称货物不包括使用大型企业注册商标的货物和服务。</w:t>
      </w:r>
    </w:p>
    <w:p>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本公司对上述声明的真实性负责。如有虚假，将依法承担相应责任。</w:t>
      </w:r>
    </w:p>
    <w:p>
      <w:pPr>
        <w:spacing w:line="500" w:lineRule="exact"/>
        <w:ind w:firstLine="4320" w:firstLineChars="18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lang w:val="en-US" w:eastAsia="zh-CN"/>
        </w:rPr>
        <w:t>名称</w:t>
      </w:r>
      <w:r>
        <w:rPr>
          <w:rFonts w:hint="eastAsia" w:asciiTheme="minorEastAsia" w:hAnsiTheme="minorEastAsia" w:eastAsiaTheme="minorEastAsia" w:cstheme="minorEastAsia"/>
          <w:sz w:val="24"/>
          <w:szCs w:val="24"/>
        </w:rPr>
        <w:t>（公章）：</w:t>
      </w:r>
    </w:p>
    <w:p>
      <w:pPr>
        <w:spacing w:line="500" w:lineRule="exact"/>
        <w:ind w:firstLine="3840" w:firstLineChars="1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投标日期：   年   月   日 </w:t>
      </w:r>
    </w:p>
    <w:p>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注：后附监狱企业资格证明文件</w:t>
      </w:r>
    </w:p>
    <w:p>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1.省级以上监狱管理局、戒毒管理局出具的属于监狱企业的证明文件；</w:t>
      </w:r>
    </w:p>
    <w:p>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2.证明材料加盖供应商公章。</w:t>
      </w:r>
    </w:p>
    <w:p>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（若响应性文件中无上述证明文件，则在评审时不考虑对该监狱企业的相关优惠。） </w:t>
      </w:r>
    </w:p>
    <w:p>
      <w:pPr>
        <w:spacing w:line="500" w:lineRule="exact"/>
        <w:rPr>
          <w:rFonts w:hint="eastAsia" w:asciiTheme="minorEastAsia" w:hAnsiTheme="minorEastAsia" w:eastAsiaTheme="minorEastAsia" w:cstheme="minorEastAsia"/>
          <w:sz w:val="24"/>
          <w:szCs w:val="24"/>
        </w:rPr>
      </w:pPr>
    </w:p>
    <w:p>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w:t>
      </w:r>
      <w:r>
        <w:rPr>
          <w:rFonts w:hint="eastAsia" w:asciiTheme="minorEastAsia" w:hAnsiTheme="minorEastAsia" w:eastAsiaTheme="minorEastAsia" w:cstheme="minorEastAsia"/>
          <w:sz w:val="24"/>
          <w:szCs w:val="24"/>
          <w:lang w:val="en-US" w:eastAsia="zh-CN"/>
        </w:rPr>
        <w:t xml:space="preserve">6-3 </w:t>
      </w:r>
      <w:r>
        <w:rPr>
          <w:rFonts w:hint="eastAsia" w:asciiTheme="minorEastAsia" w:hAnsiTheme="minorEastAsia" w:eastAsiaTheme="minorEastAsia" w:cstheme="minorEastAsia"/>
          <w:sz w:val="24"/>
          <w:szCs w:val="24"/>
        </w:rPr>
        <w:t>残疾人福利性单位声明函</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本单位对上述声明的真实性负责。如有虚假，将依法承担相应责任。 </w:t>
      </w:r>
    </w:p>
    <w:p>
      <w:pPr>
        <w:spacing w:line="500" w:lineRule="exact"/>
        <w:rPr>
          <w:rFonts w:hint="eastAsia" w:asciiTheme="minorEastAsia" w:hAnsiTheme="minorEastAsia" w:eastAsiaTheme="minorEastAsia" w:cstheme="minorEastAsia"/>
          <w:sz w:val="24"/>
          <w:szCs w:val="24"/>
        </w:rPr>
      </w:pPr>
    </w:p>
    <w:p>
      <w:pPr>
        <w:spacing w:line="500" w:lineRule="exact"/>
        <w:ind w:firstLine="5040" w:firstLineChars="2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lang w:val="en-US" w:eastAsia="zh-CN"/>
        </w:rPr>
        <w:t>名称</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公</w:t>
      </w:r>
      <w:r>
        <w:rPr>
          <w:rFonts w:hint="eastAsia" w:asciiTheme="minorEastAsia" w:hAnsiTheme="minorEastAsia" w:eastAsiaTheme="minorEastAsia" w:cstheme="minorEastAsia"/>
          <w:sz w:val="24"/>
          <w:szCs w:val="24"/>
        </w:rPr>
        <w:t>章）：</w:t>
      </w:r>
    </w:p>
    <w:p>
      <w:pPr>
        <w:spacing w:line="500" w:lineRule="exact"/>
        <w:ind w:firstLine="4800" w:firstLineChars="20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投标日期：   年   月   日 </w:t>
      </w:r>
    </w:p>
    <w:p>
      <w:pPr>
        <w:spacing w:line="5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sz w:val="24"/>
          <w:szCs w:val="24"/>
        </w:rPr>
        <w:t>七、供应商须知前附表要求的其他投标</w:t>
      </w:r>
      <w:r>
        <w:rPr>
          <w:rFonts w:hint="eastAsia" w:asciiTheme="minorEastAsia" w:hAnsiTheme="minorEastAsia" w:eastAsiaTheme="minorEastAsia" w:cstheme="minorEastAsia"/>
          <w:sz w:val="24"/>
          <w:szCs w:val="24"/>
          <w:lang w:val="en-US" w:eastAsia="zh-CN"/>
        </w:rPr>
        <w:t>资料</w:t>
      </w: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sectPr>
          <w:pgSz w:w="11906" w:h="16838"/>
          <w:pgMar w:top="1440" w:right="1803" w:bottom="1440" w:left="1803" w:header="851" w:footer="992" w:gutter="0"/>
          <w:pgNumType w:fmt="decimal"/>
          <w:cols w:space="0" w:num="1"/>
          <w:rtlGutter w:val="0"/>
          <w:docGrid w:type="lines" w:linePitch="319" w:charSpace="0"/>
        </w:sectPr>
      </w:pP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八、供应商须提供类似业绩</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项目名称：                                  </w:t>
      </w:r>
      <w:r>
        <w:rPr>
          <w:rFonts w:hint="eastAsia" w:asciiTheme="minorEastAsia" w:hAnsiTheme="minorEastAsia" w:eastAsiaTheme="minorEastAsia" w:cstheme="minorEastAsia"/>
          <w:sz w:val="24"/>
          <w:szCs w:val="24"/>
          <w:lang w:eastAsia="zh-CN"/>
        </w:rPr>
        <w:t>标段</w:t>
      </w:r>
      <w:r>
        <w:rPr>
          <w:rFonts w:hint="eastAsia" w:asciiTheme="minorEastAsia" w:hAnsiTheme="minorEastAsia" w:eastAsiaTheme="minorEastAsia" w:cstheme="minorEastAsia"/>
          <w:sz w:val="24"/>
          <w:szCs w:val="24"/>
        </w:rPr>
        <w:t>：</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项目编号：                                </w:t>
      </w:r>
    </w:p>
    <w:tbl>
      <w:tblPr>
        <w:tblStyle w:val="23"/>
        <w:tblW w:w="1411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42"/>
        <w:gridCol w:w="2500"/>
        <w:gridCol w:w="2450"/>
        <w:gridCol w:w="2462"/>
        <w:gridCol w:w="2150"/>
        <w:gridCol w:w="2188"/>
        <w:gridCol w:w="131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42" w:type="dxa"/>
            <w:tcBorders>
              <w:top w:val="single" w:color="auto" w:sz="4" w:space="0"/>
            </w:tcBorders>
            <w:vAlign w:val="center"/>
          </w:tcPr>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500" w:type="dxa"/>
            <w:vAlign w:val="center"/>
          </w:tcPr>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年份</w:t>
            </w:r>
          </w:p>
        </w:tc>
        <w:tc>
          <w:tcPr>
            <w:tcW w:w="2450" w:type="dxa"/>
            <w:vAlign w:val="center"/>
          </w:tcPr>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用户名称</w:t>
            </w:r>
          </w:p>
        </w:tc>
        <w:tc>
          <w:tcPr>
            <w:tcW w:w="2462" w:type="dxa"/>
            <w:vAlign w:val="center"/>
          </w:tcPr>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2150" w:type="dxa"/>
            <w:tcBorders>
              <w:left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合同起止时间</w:t>
            </w:r>
          </w:p>
        </w:tc>
        <w:tc>
          <w:tcPr>
            <w:tcW w:w="2188" w:type="dxa"/>
            <w:tcBorders>
              <w:left w:val="single" w:color="auto" w:sz="4" w:space="0"/>
              <w:right w:val="single" w:color="auto" w:sz="4" w:space="0"/>
            </w:tcBorders>
            <w:vAlign w:val="center"/>
          </w:tcPr>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合同价(元)</w:t>
            </w:r>
          </w:p>
        </w:tc>
        <w:tc>
          <w:tcPr>
            <w:tcW w:w="1318" w:type="dxa"/>
            <w:tcBorders>
              <w:left w:val="single" w:color="auto" w:sz="4" w:space="0"/>
            </w:tcBorders>
            <w:vAlign w:val="center"/>
          </w:tcPr>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42" w:type="dxa"/>
            <w:vAlign w:val="center"/>
          </w:tcPr>
          <w:p>
            <w:pPr>
              <w:spacing w:line="500" w:lineRule="exact"/>
              <w:rPr>
                <w:rFonts w:asciiTheme="minorEastAsia" w:hAnsiTheme="minorEastAsia" w:eastAsiaTheme="minorEastAsia" w:cstheme="minorEastAsia"/>
                <w:sz w:val="24"/>
                <w:szCs w:val="24"/>
              </w:rPr>
            </w:pPr>
          </w:p>
        </w:tc>
        <w:tc>
          <w:tcPr>
            <w:tcW w:w="2500" w:type="dxa"/>
            <w:vAlign w:val="center"/>
          </w:tcPr>
          <w:p>
            <w:pPr>
              <w:spacing w:line="500" w:lineRule="exact"/>
              <w:rPr>
                <w:rFonts w:asciiTheme="minorEastAsia" w:hAnsiTheme="minorEastAsia" w:eastAsiaTheme="minorEastAsia" w:cstheme="minorEastAsia"/>
                <w:sz w:val="24"/>
                <w:szCs w:val="24"/>
              </w:rPr>
            </w:pPr>
          </w:p>
        </w:tc>
        <w:tc>
          <w:tcPr>
            <w:tcW w:w="2450" w:type="dxa"/>
            <w:vAlign w:val="center"/>
          </w:tcPr>
          <w:p>
            <w:pPr>
              <w:spacing w:line="500" w:lineRule="exact"/>
              <w:rPr>
                <w:rFonts w:asciiTheme="minorEastAsia" w:hAnsiTheme="minorEastAsia" w:eastAsiaTheme="minorEastAsia" w:cstheme="minorEastAsia"/>
                <w:sz w:val="24"/>
                <w:szCs w:val="24"/>
              </w:rPr>
            </w:pPr>
          </w:p>
        </w:tc>
        <w:tc>
          <w:tcPr>
            <w:tcW w:w="2462" w:type="dxa"/>
            <w:vAlign w:val="center"/>
          </w:tcPr>
          <w:p>
            <w:pPr>
              <w:spacing w:line="500" w:lineRule="exact"/>
              <w:rPr>
                <w:rFonts w:asciiTheme="minorEastAsia" w:hAnsiTheme="minorEastAsia" w:eastAsiaTheme="minorEastAsia" w:cstheme="minorEastAsia"/>
                <w:sz w:val="24"/>
                <w:szCs w:val="24"/>
              </w:rPr>
            </w:pPr>
          </w:p>
        </w:tc>
        <w:tc>
          <w:tcPr>
            <w:tcW w:w="2150" w:type="dxa"/>
            <w:tcBorders>
              <w:left w:val="single" w:color="auto" w:sz="4" w:space="0"/>
              <w:right w:val="single" w:color="auto" w:sz="4" w:space="0"/>
            </w:tcBorders>
            <w:vAlign w:val="center"/>
          </w:tcPr>
          <w:p>
            <w:pPr>
              <w:spacing w:line="500" w:lineRule="exact"/>
              <w:rPr>
                <w:rFonts w:asciiTheme="minorEastAsia" w:hAnsiTheme="minorEastAsia" w:eastAsiaTheme="minorEastAsia" w:cstheme="minorEastAsia"/>
                <w:sz w:val="24"/>
                <w:szCs w:val="24"/>
              </w:rPr>
            </w:pPr>
          </w:p>
        </w:tc>
        <w:tc>
          <w:tcPr>
            <w:tcW w:w="2188" w:type="dxa"/>
            <w:tcBorders>
              <w:left w:val="single" w:color="auto" w:sz="4" w:space="0"/>
              <w:right w:val="single" w:color="auto" w:sz="4" w:space="0"/>
            </w:tcBorders>
            <w:vAlign w:val="center"/>
          </w:tcPr>
          <w:p>
            <w:pPr>
              <w:spacing w:line="500" w:lineRule="exact"/>
              <w:rPr>
                <w:rFonts w:asciiTheme="minorEastAsia" w:hAnsiTheme="minorEastAsia" w:eastAsiaTheme="minorEastAsia" w:cstheme="minorEastAsia"/>
                <w:sz w:val="24"/>
                <w:szCs w:val="24"/>
              </w:rPr>
            </w:pPr>
          </w:p>
        </w:tc>
        <w:tc>
          <w:tcPr>
            <w:tcW w:w="1318" w:type="dxa"/>
            <w:tcBorders>
              <w:left w:val="single" w:color="auto" w:sz="4" w:space="0"/>
            </w:tcBorders>
            <w:vAlign w:val="center"/>
          </w:tcPr>
          <w:p>
            <w:pPr>
              <w:spacing w:line="5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42" w:type="dxa"/>
            <w:vAlign w:val="center"/>
          </w:tcPr>
          <w:p>
            <w:pPr>
              <w:spacing w:line="500" w:lineRule="exact"/>
              <w:rPr>
                <w:rFonts w:asciiTheme="minorEastAsia" w:hAnsiTheme="minorEastAsia" w:eastAsiaTheme="minorEastAsia" w:cstheme="minorEastAsia"/>
                <w:sz w:val="24"/>
                <w:szCs w:val="24"/>
              </w:rPr>
            </w:pPr>
          </w:p>
        </w:tc>
        <w:tc>
          <w:tcPr>
            <w:tcW w:w="2500" w:type="dxa"/>
            <w:vAlign w:val="center"/>
          </w:tcPr>
          <w:p>
            <w:pPr>
              <w:spacing w:line="500" w:lineRule="exact"/>
              <w:rPr>
                <w:rFonts w:asciiTheme="minorEastAsia" w:hAnsiTheme="minorEastAsia" w:eastAsiaTheme="minorEastAsia" w:cstheme="minorEastAsia"/>
                <w:sz w:val="24"/>
                <w:szCs w:val="24"/>
              </w:rPr>
            </w:pPr>
          </w:p>
        </w:tc>
        <w:tc>
          <w:tcPr>
            <w:tcW w:w="2450" w:type="dxa"/>
            <w:vAlign w:val="center"/>
          </w:tcPr>
          <w:p>
            <w:pPr>
              <w:spacing w:line="500" w:lineRule="exact"/>
              <w:rPr>
                <w:rFonts w:asciiTheme="minorEastAsia" w:hAnsiTheme="minorEastAsia" w:eastAsiaTheme="minorEastAsia" w:cstheme="minorEastAsia"/>
                <w:sz w:val="24"/>
                <w:szCs w:val="24"/>
              </w:rPr>
            </w:pPr>
          </w:p>
        </w:tc>
        <w:tc>
          <w:tcPr>
            <w:tcW w:w="2462" w:type="dxa"/>
            <w:vAlign w:val="center"/>
          </w:tcPr>
          <w:p>
            <w:pPr>
              <w:spacing w:line="500" w:lineRule="exact"/>
              <w:rPr>
                <w:rFonts w:asciiTheme="minorEastAsia" w:hAnsiTheme="minorEastAsia" w:eastAsiaTheme="minorEastAsia" w:cstheme="minorEastAsia"/>
                <w:sz w:val="24"/>
                <w:szCs w:val="24"/>
              </w:rPr>
            </w:pPr>
          </w:p>
        </w:tc>
        <w:tc>
          <w:tcPr>
            <w:tcW w:w="2150" w:type="dxa"/>
            <w:tcBorders>
              <w:left w:val="single" w:color="auto" w:sz="4" w:space="0"/>
              <w:right w:val="single" w:color="auto" w:sz="4" w:space="0"/>
            </w:tcBorders>
            <w:vAlign w:val="center"/>
          </w:tcPr>
          <w:p>
            <w:pPr>
              <w:spacing w:line="500" w:lineRule="exact"/>
              <w:rPr>
                <w:rFonts w:asciiTheme="minorEastAsia" w:hAnsiTheme="minorEastAsia" w:eastAsiaTheme="minorEastAsia" w:cstheme="minorEastAsia"/>
                <w:sz w:val="24"/>
                <w:szCs w:val="24"/>
              </w:rPr>
            </w:pPr>
          </w:p>
        </w:tc>
        <w:tc>
          <w:tcPr>
            <w:tcW w:w="2188" w:type="dxa"/>
            <w:tcBorders>
              <w:left w:val="single" w:color="auto" w:sz="4" w:space="0"/>
              <w:right w:val="single" w:color="auto" w:sz="4" w:space="0"/>
            </w:tcBorders>
            <w:vAlign w:val="center"/>
          </w:tcPr>
          <w:p>
            <w:pPr>
              <w:spacing w:line="500" w:lineRule="exact"/>
              <w:rPr>
                <w:rFonts w:asciiTheme="minorEastAsia" w:hAnsiTheme="minorEastAsia" w:eastAsiaTheme="minorEastAsia" w:cstheme="minorEastAsia"/>
                <w:sz w:val="24"/>
                <w:szCs w:val="24"/>
              </w:rPr>
            </w:pPr>
          </w:p>
        </w:tc>
        <w:tc>
          <w:tcPr>
            <w:tcW w:w="1318" w:type="dxa"/>
            <w:tcBorders>
              <w:left w:val="single" w:color="auto" w:sz="4" w:space="0"/>
            </w:tcBorders>
            <w:vAlign w:val="center"/>
          </w:tcPr>
          <w:p>
            <w:pPr>
              <w:spacing w:line="5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42" w:type="dxa"/>
            <w:vAlign w:val="center"/>
          </w:tcPr>
          <w:p>
            <w:pPr>
              <w:spacing w:line="500" w:lineRule="exact"/>
              <w:rPr>
                <w:rFonts w:asciiTheme="minorEastAsia" w:hAnsiTheme="minorEastAsia" w:eastAsiaTheme="minorEastAsia" w:cstheme="minorEastAsia"/>
                <w:sz w:val="24"/>
                <w:szCs w:val="24"/>
              </w:rPr>
            </w:pPr>
          </w:p>
        </w:tc>
        <w:tc>
          <w:tcPr>
            <w:tcW w:w="2500" w:type="dxa"/>
            <w:vAlign w:val="center"/>
          </w:tcPr>
          <w:p>
            <w:pPr>
              <w:spacing w:line="500" w:lineRule="exact"/>
              <w:rPr>
                <w:rFonts w:asciiTheme="minorEastAsia" w:hAnsiTheme="minorEastAsia" w:eastAsiaTheme="minorEastAsia" w:cstheme="minorEastAsia"/>
                <w:sz w:val="24"/>
                <w:szCs w:val="24"/>
              </w:rPr>
            </w:pPr>
          </w:p>
        </w:tc>
        <w:tc>
          <w:tcPr>
            <w:tcW w:w="2450" w:type="dxa"/>
            <w:vAlign w:val="center"/>
          </w:tcPr>
          <w:p>
            <w:pPr>
              <w:spacing w:line="500" w:lineRule="exact"/>
              <w:rPr>
                <w:rFonts w:asciiTheme="minorEastAsia" w:hAnsiTheme="minorEastAsia" w:eastAsiaTheme="minorEastAsia" w:cstheme="minorEastAsia"/>
                <w:sz w:val="24"/>
                <w:szCs w:val="24"/>
              </w:rPr>
            </w:pPr>
          </w:p>
        </w:tc>
        <w:tc>
          <w:tcPr>
            <w:tcW w:w="2462" w:type="dxa"/>
            <w:vAlign w:val="center"/>
          </w:tcPr>
          <w:p>
            <w:pPr>
              <w:spacing w:line="500" w:lineRule="exact"/>
              <w:rPr>
                <w:rFonts w:asciiTheme="minorEastAsia" w:hAnsiTheme="minorEastAsia" w:eastAsiaTheme="minorEastAsia" w:cstheme="minorEastAsia"/>
                <w:sz w:val="24"/>
                <w:szCs w:val="24"/>
              </w:rPr>
            </w:pPr>
          </w:p>
        </w:tc>
        <w:tc>
          <w:tcPr>
            <w:tcW w:w="2150" w:type="dxa"/>
            <w:tcBorders>
              <w:left w:val="single" w:color="auto" w:sz="4" w:space="0"/>
              <w:right w:val="single" w:color="auto" w:sz="4" w:space="0"/>
            </w:tcBorders>
            <w:vAlign w:val="center"/>
          </w:tcPr>
          <w:p>
            <w:pPr>
              <w:spacing w:line="500" w:lineRule="exact"/>
              <w:rPr>
                <w:rFonts w:asciiTheme="minorEastAsia" w:hAnsiTheme="minorEastAsia" w:eastAsiaTheme="minorEastAsia" w:cstheme="minorEastAsia"/>
                <w:sz w:val="24"/>
                <w:szCs w:val="24"/>
              </w:rPr>
            </w:pPr>
          </w:p>
        </w:tc>
        <w:tc>
          <w:tcPr>
            <w:tcW w:w="2188" w:type="dxa"/>
            <w:tcBorders>
              <w:left w:val="single" w:color="auto" w:sz="4" w:space="0"/>
              <w:right w:val="single" w:color="auto" w:sz="4" w:space="0"/>
            </w:tcBorders>
            <w:vAlign w:val="center"/>
          </w:tcPr>
          <w:p>
            <w:pPr>
              <w:spacing w:line="500" w:lineRule="exact"/>
              <w:rPr>
                <w:rFonts w:asciiTheme="minorEastAsia" w:hAnsiTheme="minorEastAsia" w:eastAsiaTheme="minorEastAsia" w:cstheme="minorEastAsia"/>
                <w:sz w:val="24"/>
                <w:szCs w:val="24"/>
              </w:rPr>
            </w:pPr>
          </w:p>
        </w:tc>
        <w:tc>
          <w:tcPr>
            <w:tcW w:w="1318" w:type="dxa"/>
            <w:tcBorders>
              <w:left w:val="single" w:color="auto" w:sz="4" w:space="0"/>
            </w:tcBorders>
            <w:vAlign w:val="center"/>
          </w:tcPr>
          <w:p>
            <w:pPr>
              <w:spacing w:line="5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42" w:type="dxa"/>
            <w:vAlign w:val="center"/>
          </w:tcPr>
          <w:p>
            <w:pPr>
              <w:spacing w:line="500" w:lineRule="exact"/>
              <w:rPr>
                <w:rFonts w:asciiTheme="minorEastAsia" w:hAnsiTheme="minorEastAsia" w:eastAsiaTheme="minorEastAsia" w:cstheme="minorEastAsia"/>
                <w:sz w:val="24"/>
                <w:szCs w:val="24"/>
              </w:rPr>
            </w:pPr>
          </w:p>
        </w:tc>
        <w:tc>
          <w:tcPr>
            <w:tcW w:w="2500" w:type="dxa"/>
            <w:tcBorders>
              <w:right w:val="single" w:color="auto" w:sz="4" w:space="0"/>
            </w:tcBorders>
            <w:vAlign w:val="center"/>
          </w:tcPr>
          <w:p>
            <w:pPr>
              <w:spacing w:line="500" w:lineRule="exact"/>
              <w:rPr>
                <w:rFonts w:asciiTheme="minorEastAsia" w:hAnsiTheme="minorEastAsia" w:eastAsiaTheme="minorEastAsia" w:cstheme="minorEastAsia"/>
                <w:sz w:val="24"/>
                <w:szCs w:val="24"/>
              </w:rPr>
            </w:pPr>
          </w:p>
        </w:tc>
        <w:tc>
          <w:tcPr>
            <w:tcW w:w="2450" w:type="dxa"/>
            <w:tcBorders>
              <w:right w:val="single" w:color="auto" w:sz="4" w:space="0"/>
            </w:tcBorders>
            <w:vAlign w:val="center"/>
          </w:tcPr>
          <w:p>
            <w:pPr>
              <w:spacing w:line="500" w:lineRule="exact"/>
              <w:rPr>
                <w:rFonts w:asciiTheme="minorEastAsia" w:hAnsiTheme="minorEastAsia" w:eastAsiaTheme="minorEastAsia" w:cstheme="minorEastAsia"/>
                <w:sz w:val="24"/>
                <w:szCs w:val="24"/>
              </w:rPr>
            </w:pPr>
          </w:p>
        </w:tc>
        <w:tc>
          <w:tcPr>
            <w:tcW w:w="2462" w:type="dxa"/>
            <w:tcBorders>
              <w:left w:val="single" w:color="auto" w:sz="4" w:space="0"/>
            </w:tcBorders>
            <w:vAlign w:val="center"/>
          </w:tcPr>
          <w:p>
            <w:pPr>
              <w:spacing w:line="500" w:lineRule="exact"/>
              <w:rPr>
                <w:rFonts w:asciiTheme="minorEastAsia" w:hAnsiTheme="minorEastAsia" w:eastAsiaTheme="minorEastAsia" w:cstheme="minorEastAsia"/>
                <w:sz w:val="24"/>
                <w:szCs w:val="24"/>
              </w:rPr>
            </w:pPr>
          </w:p>
        </w:tc>
        <w:tc>
          <w:tcPr>
            <w:tcW w:w="2150" w:type="dxa"/>
            <w:tcBorders>
              <w:left w:val="single" w:color="auto" w:sz="4" w:space="0"/>
              <w:right w:val="single" w:color="auto" w:sz="4" w:space="0"/>
            </w:tcBorders>
            <w:vAlign w:val="center"/>
          </w:tcPr>
          <w:p>
            <w:pPr>
              <w:spacing w:line="500" w:lineRule="exact"/>
              <w:rPr>
                <w:rFonts w:asciiTheme="minorEastAsia" w:hAnsiTheme="minorEastAsia" w:eastAsiaTheme="minorEastAsia" w:cstheme="minorEastAsia"/>
                <w:sz w:val="24"/>
                <w:szCs w:val="24"/>
              </w:rPr>
            </w:pPr>
          </w:p>
        </w:tc>
        <w:tc>
          <w:tcPr>
            <w:tcW w:w="2188" w:type="dxa"/>
            <w:tcBorders>
              <w:left w:val="single" w:color="auto" w:sz="4" w:space="0"/>
              <w:right w:val="single" w:color="auto" w:sz="4" w:space="0"/>
            </w:tcBorders>
            <w:vAlign w:val="center"/>
          </w:tcPr>
          <w:p>
            <w:pPr>
              <w:spacing w:line="500" w:lineRule="exact"/>
              <w:rPr>
                <w:rFonts w:asciiTheme="minorEastAsia" w:hAnsiTheme="minorEastAsia" w:eastAsiaTheme="minorEastAsia" w:cstheme="minorEastAsia"/>
                <w:sz w:val="24"/>
                <w:szCs w:val="24"/>
              </w:rPr>
            </w:pPr>
          </w:p>
        </w:tc>
        <w:tc>
          <w:tcPr>
            <w:tcW w:w="1318" w:type="dxa"/>
            <w:tcBorders>
              <w:left w:val="single" w:color="auto" w:sz="4" w:space="0"/>
            </w:tcBorders>
            <w:vAlign w:val="center"/>
          </w:tcPr>
          <w:p>
            <w:pPr>
              <w:spacing w:line="5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42" w:type="dxa"/>
            <w:tcBorders>
              <w:right w:val="single" w:color="auto" w:sz="4" w:space="0"/>
            </w:tcBorders>
            <w:vAlign w:val="center"/>
          </w:tcPr>
          <w:p>
            <w:pPr>
              <w:spacing w:line="500" w:lineRule="exact"/>
              <w:rPr>
                <w:rFonts w:asciiTheme="minorEastAsia" w:hAnsiTheme="minorEastAsia" w:eastAsiaTheme="minorEastAsia" w:cstheme="minorEastAsia"/>
                <w:sz w:val="24"/>
                <w:szCs w:val="24"/>
              </w:rPr>
            </w:pPr>
          </w:p>
        </w:tc>
        <w:tc>
          <w:tcPr>
            <w:tcW w:w="2500" w:type="dxa"/>
            <w:tcBorders>
              <w:left w:val="single" w:color="auto" w:sz="4" w:space="0"/>
              <w:right w:val="single" w:color="auto" w:sz="4" w:space="0"/>
            </w:tcBorders>
            <w:vAlign w:val="center"/>
          </w:tcPr>
          <w:p>
            <w:pPr>
              <w:spacing w:line="500" w:lineRule="exact"/>
              <w:rPr>
                <w:rFonts w:asciiTheme="minorEastAsia" w:hAnsiTheme="minorEastAsia" w:eastAsiaTheme="minorEastAsia" w:cstheme="minorEastAsia"/>
                <w:sz w:val="24"/>
                <w:szCs w:val="24"/>
              </w:rPr>
            </w:pPr>
          </w:p>
        </w:tc>
        <w:tc>
          <w:tcPr>
            <w:tcW w:w="2450" w:type="dxa"/>
            <w:tcBorders>
              <w:left w:val="single" w:color="auto" w:sz="4" w:space="0"/>
              <w:right w:val="single" w:color="auto" w:sz="4" w:space="0"/>
            </w:tcBorders>
            <w:vAlign w:val="center"/>
          </w:tcPr>
          <w:p>
            <w:pPr>
              <w:spacing w:line="500" w:lineRule="exact"/>
              <w:rPr>
                <w:rFonts w:asciiTheme="minorEastAsia" w:hAnsiTheme="minorEastAsia" w:eastAsiaTheme="minorEastAsia" w:cstheme="minorEastAsia"/>
                <w:sz w:val="24"/>
                <w:szCs w:val="24"/>
              </w:rPr>
            </w:pPr>
          </w:p>
        </w:tc>
        <w:tc>
          <w:tcPr>
            <w:tcW w:w="2462" w:type="dxa"/>
            <w:tcBorders>
              <w:left w:val="single" w:color="auto" w:sz="4" w:space="0"/>
              <w:right w:val="single" w:color="auto" w:sz="4" w:space="0"/>
            </w:tcBorders>
            <w:vAlign w:val="center"/>
          </w:tcPr>
          <w:p>
            <w:pPr>
              <w:spacing w:line="500" w:lineRule="exact"/>
              <w:rPr>
                <w:rFonts w:asciiTheme="minorEastAsia" w:hAnsiTheme="minorEastAsia" w:eastAsiaTheme="minorEastAsia" w:cstheme="minorEastAsia"/>
                <w:sz w:val="24"/>
                <w:szCs w:val="24"/>
              </w:rPr>
            </w:pPr>
          </w:p>
        </w:tc>
        <w:tc>
          <w:tcPr>
            <w:tcW w:w="2150" w:type="dxa"/>
            <w:tcBorders>
              <w:left w:val="single" w:color="auto" w:sz="4" w:space="0"/>
              <w:right w:val="single" w:color="auto" w:sz="4" w:space="0"/>
            </w:tcBorders>
            <w:vAlign w:val="center"/>
          </w:tcPr>
          <w:p>
            <w:pPr>
              <w:spacing w:line="500" w:lineRule="exact"/>
              <w:rPr>
                <w:rFonts w:asciiTheme="minorEastAsia" w:hAnsiTheme="minorEastAsia" w:eastAsiaTheme="minorEastAsia" w:cstheme="minorEastAsia"/>
                <w:sz w:val="24"/>
                <w:szCs w:val="24"/>
              </w:rPr>
            </w:pPr>
          </w:p>
        </w:tc>
        <w:tc>
          <w:tcPr>
            <w:tcW w:w="2188" w:type="dxa"/>
            <w:tcBorders>
              <w:left w:val="single" w:color="auto" w:sz="4" w:space="0"/>
              <w:right w:val="single" w:color="auto" w:sz="4" w:space="0"/>
            </w:tcBorders>
            <w:vAlign w:val="center"/>
          </w:tcPr>
          <w:p>
            <w:pPr>
              <w:spacing w:line="500" w:lineRule="exact"/>
              <w:rPr>
                <w:rFonts w:asciiTheme="minorEastAsia" w:hAnsiTheme="minorEastAsia" w:eastAsiaTheme="minorEastAsia" w:cstheme="minorEastAsia"/>
                <w:sz w:val="24"/>
                <w:szCs w:val="24"/>
              </w:rPr>
            </w:pPr>
          </w:p>
        </w:tc>
        <w:tc>
          <w:tcPr>
            <w:tcW w:w="1318" w:type="dxa"/>
            <w:tcBorders>
              <w:left w:val="single" w:color="auto" w:sz="4" w:space="0"/>
            </w:tcBorders>
            <w:vAlign w:val="center"/>
          </w:tcPr>
          <w:p>
            <w:pPr>
              <w:spacing w:line="500" w:lineRule="exact"/>
              <w:rPr>
                <w:rFonts w:asciiTheme="minorEastAsia" w:hAnsiTheme="minorEastAsia" w:eastAsiaTheme="minorEastAsia" w:cstheme="minorEastAsia"/>
                <w:sz w:val="24"/>
                <w:szCs w:val="24"/>
              </w:rPr>
            </w:pPr>
          </w:p>
        </w:tc>
      </w:tr>
    </w:tbl>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w:t>
      </w:r>
      <w:r>
        <w:rPr>
          <w:rFonts w:hint="eastAsia" w:asciiTheme="minorEastAsia" w:hAnsiTheme="minorEastAsia" w:eastAsiaTheme="minorEastAsia" w:cstheme="minorEastAsia"/>
          <w:color w:val="auto"/>
          <w:sz w:val="24"/>
          <w:szCs w:val="24"/>
        </w:rPr>
        <w:t>须</w:t>
      </w:r>
      <w:r>
        <w:rPr>
          <w:rFonts w:hint="eastAsia" w:asciiTheme="minorEastAsia" w:hAnsiTheme="minorEastAsia" w:eastAsiaTheme="minorEastAsia" w:cstheme="minorEastAsia"/>
          <w:color w:val="auto"/>
          <w:sz w:val="24"/>
          <w:szCs w:val="24"/>
          <w:lang w:val="en-US" w:eastAsia="zh-CN"/>
        </w:rPr>
        <w:t>提供合同、中标通知书（或成交协议）彩色复印件</w:t>
      </w:r>
      <w:r>
        <w:rPr>
          <w:rFonts w:hint="eastAsia" w:asciiTheme="minorEastAsia" w:hAnsiTheme="minorEastAsia" w:eastAsiaTheme="minorEastAsia" w:cstheme="minorEastAsia"/>
          <w:color w:val="auto"/>
          <w:sz w:val="24"/>
          <w:szCs w:val="24"/>
        </w:rPr>
        <w:t>。</w:t>
      </w:r>
    </w:p>
    <w:p>
      <w:pPr>
        <w:spacing w:line="500" w:lineRule="exact"/>
        <w:rPr>
          <w:rFonts w:hint="eastAsia" w:asciiTheme="minorEastAsia" w:hAnsiTheme="minorEastAsia" w:eastAsiaTheme="minorEastAsia" w:cstheme="minorEastAsia"/>
          <w:sz w:val="24"/>
          <w:szCs w:val="24"/>
        </w:rPr>
      </w:pPr>
    </w:p>
    <w:p>
      <w:pPr>
        <w:spacing w:line="500" w:lineRule="exact"/>
        <w:ind w:firstLine="7680" w:firstLineChars="3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供应商名称(公章)：____________</w:t>
      </w:r>
    </w:p>
    <w:p>
      <w:pPr>
        <w:spacing w:line="500" w:lineRule="exact"/>
        <w:ind w:firstLine="7680" w:firstLineChars="3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法定代表人或其授权代表(签字或盖章)：____________</w:t>
      </w:r>
    </w:p>
    <w:p>
      <w:pPr>
        <w:spacing w:line="500" w:lineRule="exact"/>
        <w:ind w:firstLine="7680" w:firstLineChars="3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日期：______年____月____日</w:t>
      </w:r>
    </w:p>
    <w:p>
      <w:pPr>
        <w:spacing w:line="500" w:lineRule="exact"/>
        <w:rPr>
          <w:rFonts w:hint="eastAsia" w:asciiTheme="minorEastAsia" w:hAnsiTheme="minorEastAsia" w:eastAsiaTheme="minorEastAsia" w:cstheme="minorEastAsia"/>
          <w:sz w:val="24"/>
          <w:szCs w:val="24"/>
        </w:rPr>
        <w:sectPr>
          <w:pgSz w:w="16838" w:h="11906" w:orient="landscape"/>
          <w:pgMar w:top="1803" w:right="1440" w:bottom="1803" w:left="1440" w:header="851" w:footer="992" w:gutter="0"/>
          <w:pgNumType w:fmt="decimal"/>
          <w:cols w:space="0" w:num="1"/>
          <w:rtlGutter w:val="0"/>
          <w:docGrid w:type="lines" w:linePitch="319" w:charSpace="0"/>
        </w:sectPr>
      </w:pPr>
    </w:p>
    <w:p>
      <w:pPr>
        <w:numPr>
          <w:ilvl w:val="0"/>
          <w:numId w:val="0"/>
        </w:numPr>
        <w:spacing w:line="5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供应商认为需提供的其他资料</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numPr>
          <w:ilvl w:val="0"/>
          <w:numId w:val="7"/>
        </w:num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技术部分</w:t>
      </w:r>
    </w:p>
    <w:p>
      <w:pPr>
        <w:spacing w:line="400" w:lineRule="exact"/>
        <w:ind w:firstLine="490" w:firstLineChars="200"/>
        <w:rPr>
          <w:rFonts w:ascii="宋体" w:hAnsi="宋体"/>
          <w:sz w:val="24"/>
        </w:rPr>
      </w:pPr>
      <w:r>
        <w:rPr>
          <w:rFonts w:hint="eastAsia" w:ascii="宋体" w:hAnsi="宋体"/>
          <w:sz w:val="24"/>
        </w:rPr>
        <w:t>投标人应根据项目采购需求、评标办法及</w:t>
      </w:r>
      <w:r>
        <w:rPr>
          <w:rFonts w:hint="eastAsia" w:ascii="宋体" w:hAnsi="宋体"/>
          <w:spacing w:val="-2"/>
          <w:sz w:val="24"/>
        </w:rPr>
        <w:t>评审内容和实际情况增加内容，但不得擅自减少有关内容</w:t>
      </w:r>
      <w:r>
        <w:rPr>
          <w:rFonts w:hint="eastAsia" w:ascii="宋体" w:hAnsi="宋体"/>
          <w:sz w:val="24"/>
        </w:rPr>
        <w:t>，</w:t>
      </w:r>
      <w:r>
        <w:rPr>
          <w:rFonts w:hint="eastAsia" w:ascii="宋体" w:hAnsi="宋体"/>
          <w:spacing w:val="-2"/>
          <w:sz w:val="24"/>
        </w:rPr>
        <w:t>所有不完整的投标将可能被否决其参选，</w:t>
      </w:r>
      <w:r>
        <w:rPr>
          <w:rFonts w:hint="eastAsia" w:ascii="宋体" w:hAnsi="宋体"/>
          <w:sz w:val="24"/>
        </w:rPr>
        <w:t>格式自拟，包括但不限于：</w:t>
      </w:r>
    </w:p>
    <w:p>
      <w:pPr>
        <w:spacing w:line="400" w:lineRule="exact"/>
        <w:ind w:firstLine="490" w:firstLineChars="200"/>
        <w:rPr>
          <w:rFonts w:ascii="宋体" w:hAnsi="宋体"/>
          <w:sz w:val="24"/>
        </w:rPr>
      </w:pPr>
      <w:r>
        <w:rPr>
          <w:rFonts w:hint="eastAsia" w:ascii="宋体" w:hAnsi="宋体"/>
          <w:sz w:val="24"/>
        </w:rPr>
        <w:t>投标人应提交完整的组织方案至少应包括以下内容：</w:t>
      </w:r>
    </w:p>
    <w:p>
      <w:pPr>
        <w:spacing w:line="500" w:lineRule="exact"/>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 项目实施方案、技术方案、服务方案或供货方案；</w:t>
      </w:r>
    </w:p>
    <w:p>
      <w:pPr>
        <w:spacing w:line="500" w:lineRule="exact"/>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 投标供应商必须提供投标货物的详细参数说明；</w:t>
      </w:r>
    </w:p>
    <w:p>
      <w:pPr>
        <w:spacing w:line="500" w:lineRule="exact"/>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 投标产品性能和质量；</w:t>
      </w:r>
    </w:p>
    <w:p>
      <w:pPr>
        <w:spacing w:line="500" w:lineRule="exact"/>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四、 配送方案；</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t>五、 到货要求；</w:t>
      </w:r>
    </w:p>
    <w:p>
      <w:pPr>
        <w:spacing w:line="500" w:lineRule="exact"/>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六、 质量保证措施；</w:t>
      </w:r>
    </w:p>
    <w:p>
      <w:pPr>
        <w:spacing w:line="500" w:lineRule="exact"/>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七、 技术条款偏离表；</w:t>
      </w:r>
    </w:p>
    <w:p>
      <w:pPr>
        <w:spacing w:line="500" w:lineRule="exact"/>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八、 </w:t>
      </w:r>
      <w:r>
        <w:rPr>
          <w:rFonts w:hint="eastAsia" w:asciiTheme="minorEastAsia" w:hAnsiTheme="minorEastAsia" w:eastAsiaTheme="minorEastAsia" w:cstheme="minorEastAsia"/>
          <w:b w:val="0"/>
          <w:bCs w:val="0"/>
          <w:sz w:val="24"/>
          <w:szCs w:val="24"/>
          <w:lang w:val="en-US" w:eastAsia="zh-CN"/>
        </w:rPr>
        <w:t>使用说明书、产品图册等证明材料须附彩色复印件</w:t>
      </w:r>
      <w:r>
        <w:rPr>
          <w:rFonts w:hint="eastAsia" w:asciiTheme="minorEastAsia" w:hAnsiTheme="minorEastAsia" w:eastAsiaTheme="minorEastAsia" w:cstheme="minorEastAsia"/>
          <w:b w:val="0"/>
          <w:bCs w:val="0"/>
          <w:sz w:val="24"/>
          <w:szCs w:val="24"/>
        </w:rPr>
        <w:t>；</w:t>
      </w:r>
    </w:p>
    <w:p>
      <w:pPr>
        <w:spacing w:line="500" w:lineRule="exact"/>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九、 投标人售后服务承诺；</w:t>
      </w:r>
    </w:p>
    <w:p>
      <w:pPr>
        <w:pStyle w:val="9"/>
        <w:rPr>
          <w:b w:val="0"/>
          <w:bCs w:val="0"/>
        </w:rPr>
      </w:pPr>
      <w:r>
        <w:rPr>
          <w:rFonts w:hint="eastAsia" w:asciiTheme="minorEastAsia" w:hAnsiTheme="minorEastAsia" w:eastAsiaTheme="minorEastAsia" w:cstheme="minorEastAsia"/>
          <w:b w:val="0"/>
          <w:bCs w:val="0"/>
          <w:szCs w:val="24"/>
        </w:rPr>
        <w:t>十、</w:t>
      </w:r>
      <w:r>
        <w:rPr>
          <w:rFonts w:hint="eastAsia" w:asciiTheme="minorEastAsia" w:hAnsiTheme="minorEastAsia" w:eastAsiaTheme="minorEastAsia" w:cstheme="minorEastAsia"/>
          <w:b w:val="0"/>
          <w:bCs w:val="0"/>
          <w:szCs w:val="24"/>
          <w:lang w:val="en-US" w:eastAsia="zh-CN"/>
        </w:rPr>
        <w:t xml:space="preserve"> </w:t>
      </w:r>
      <w:r>
        <w:rPr>
          <w:rFonts w:hint="eastAsia" w:asciiTheme="minorEastAsia" w:hAnsiTheme="minorEastAsia" w:eastAsiaTheme="minorEastAsia" w:cstheme="minorEastAsia"/>
          <w:b w:val="0"/>
          <w:bCs w:val="0"/>
          <w:szCs w:val="24"/>
        </w:rPr>
        <w:t>优惠条件；</w:t>
      </w:r>
    </w:p>
    <w:p>
      <w:pPr>
        <w:spacing w:line="5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十一、投标供应商认为有必要提供的声明及文件资料</w:t>
      </w:r>
    </w:p>
    <w:p>
      <w:pPr>
        <w:pStyle w:val="9"/>
      </w:pPr>
    </w:p>
    <w:p>
      <w:pPr>
        <w:spacing w:line="500" w:lineRule="exact"/>
        <w:ind w:firstLine="490" w:firstLineChars="200"/>
        <w:rPr>
          <w:rFonts w:ascii="宋体" w:hAnsi="宋体"/>
          <w:b/>
          <w:bCs/>
          <w:sz w:val="24"/>
          <w:szCs w:val="24"/>
        </w:rPr>
      </w:pPr>
    </w:p>
    <w:p>
      <w:pPr>
        <w:jc w:val="center"/>
        <w:rPr>
          <w:rFonts w:asciiTheme="minorEastAsia" w:hAnsiTheme="minorEastAsia" w:eastAsiaTheme="minorEastAsia" w:cstheme="minorEastAsia"/>
          <w:b/>
          <w:bCs/>
          <w:sz w:val="24"/>
          <w:szCs w:val="24"/>
        </w:rPr>
      </w:pPr>
    </w:p>
    <w:p>
      <w:pPr>
        <w:jc w:val="center"/>
        <w:rPr>
          <w:rFonts w:asciiTheme="minorEastAsia" w:hAnsiTheme="minorEastAsia" w:eastAsiaTheme="minorEastAsia" w:cstheme="minorEastAsia"/>
          <w:b/>
          <w:bCs/>
          <w:sz w:val="24"/>
          <w:szCs w:val="24"/>
        </w:rPr>
      </w:pPr>
    </w:p>
    <w:p>
      <w:pPr>
        <w:jc w:val="center"/>
        <w:rPr>
          <w:rFonts w:asciiTheme="minorEastAsia" w:hAnsiTheme="minorEastAsia" w:eastAsiaTheme="minorEastAsia" w:cstheme="minorEastAsia"/>
          <w:b/>
          <w:bCs/>
          <w:sz w:val="24"/>
          <w:szCs w:val="24"/>
        </w:rPr>
      </w:pPr>
    </w:p>
    <w:p>
      <w:pPr>
        <w:jc w:val="center"/>
        <w:rPr>
          <w:rFonts w:asciiTheme="minorEastAsia" w:hAnsiTheme="minorEastAsia" w:eastAsiaTheme="minorEastAsia" w:cstheme="minorEastAsia"/>
          <w:b/>
          <w:bCs/>
          <w:sz w:val="24"/>
          <w:szCs w:val="24"/>
        </w:rPr>
      </w:pPr>
    </w:p>
    <w:p>
      <w:pPr>
        <w:jc w:val="center"/>
        <w:rPr>
          <w:rFonts w:asciiTheme="minorEastAsia" w:hAnsiTheme="minorEastAsia" w:eastAsiaTheme="minorEastAsia" w:cstheme="minorEastAsia"/>
          <w:b/>
          <w:bCs/>
          <w:sz w:val="24"/>
          <w:szCs w:val="24"/>
        </w:rPr>
      </w:pPr>
    </w:p>
    <w:p>
      <w:pPr>
        <w:pStyle w:val="9"/>
        <w:rPr>
          <w:rFonts w:asciiTheme="minorEastAsia" w:hAnsiTheme="minorEastAsia" w:eastAsiaTheme="minorEastAsia" w:cstheme="minorEastAsia"/>
          <w:b/>
          <w:bCs/>
          <w:szCs w:val="24"/>
        </w:rPr>
      </w:pPr>
    </w:p>
    <w:p>
      <w:pPr>
        <w:rPr>
          <w:rFonts w:asciiTheme="minorEastAsia" w:hAnsiTheme="minorEastAsia" w:eastAsiaTheme="minorEastAsia" w:cstheme="minorEastAsia"/>
          <w:b/>
          <w:bCs/>
          <w:sz w:val="24"/>
          <w:szCs w:val="24"/>
        </w:rPr>
      </w:pPr>
    </w:p>
    <w:p>
      <w:pPr>
        <w:pStyle w:val="9"/>
        <w:rPr>
          <w:rFonts w:asciiTheme="minorEastAsia" w:hAnsiTheme="minorEastAsia" w:eastAsiaTheme="minorEastAsia" w:cstheme="minorEastAsia"/>
          <w:b/>
          <w:bCs/>
          <w:szCs w:val="24"/>
        </w:rPr>
      </w:pPr>
    </w:p>
    <w:p>
      <w:pPr>
        <w:rPr>
          <w:rFonts w:asciiTheme="minorEastAsia" w:hAnsiTheme="minorEastAsia" w:eastAsiaTheme="minorEastAsia" w:cstheme="minorEastAsia"/>
          <w:b/>
          <w:bCs/>
          <w:sz w:val="24"/>
          <w:szCs w:val="24"/>
        </w:rPr>
      </w:pPr>
    </w:p>
    <w:p>
      <w:pPr>
        <w:pStyle w:val="9"/>
        <w:rPr>
          <w:rFonts w:asciiTheme="minorEastAsia" w:hAnsiTheme="minorEastAsia" w:eastAsiaTheme="minorEastAsia" w:cstheme="minorEastAsia"/>
          <w:b/>
          <w:bCs/>
          <w:szCs w:val="24"/>
        </w:rPr>
      </w:pPr>
    </w:p>
    <w:p>
      <w:pPr>
        <w:rPr>
          <w:rFonts w:asciiTheme="minorEastAsia" w:hAnsiTheme="minorEastAsia" w:eastAsiaTheme="minorEastAsia" w:cstheme="minorEastAsia"/>
          <w:b/>
          <w:bCs/>
          <w:sz w:val="24"/>
          <w:szCs w:val="24"/>
        </w:rPr>
      </w:pPr>
    </w:p>
    <w:p>
      <w:pPr>
        <w:pStyle w:val="9"/>
        <w:rPr>
          <w:rFonts w:asciiTheme="minorEastAsia" w:hAnsiTheme="minorEastAsia" w:eastAsiaTheme="minorEastAsia" w:cstheme="minorEastAsia"/>
          <w:b/>
          <w:bCs/>
          <w:szCs w:val="24"/>
        </w:rPr>
      </w:pPr>
    </w:p>
    <w:p>
      <w:pPr>
        <w:rPr>
          <w:rFonts w:asciiTheme="minorEastAsia" w:hAnsiTheme="minorEastAsia" w:eastAsiaTheme="minorEastAsia" w:cstheme="minorEastAsia"/>
          <w:b/>
          <w:bCs/>
          <w:sz w:val="24"/>
          <w:szCs w:val="24"/>
        </w:rPr>
      </w:pPr>
    </w:p>
    <w:p>
      <w:pPr>
        <w:pStyle w:val="9"/>
        <w:rPr>
          <w:rFonts w:asciiTheme="minorEastAsia" w:hAnsiTheme="minorEastAsia" w:eastAsiaTheme="minorEastAsia" w:cstheme="minorEastAsia"/>
          <w:b/>
          <w:bCs/>
          <w:szCs w:val="24"/>
        </w:rPr>
      </w:pPr>
    </w:p>
    <w:p>
      <w:pPr>
        <w:rPr>
          <w:rFonts w:asciiTheme="minorEastAsia" w:hAnsiTheme="minorEastAsia" w:eastAsiaTheme="minorEastAsia" w:cstheme="minorEastAsia"/>
          <w:b/>
          <w:bCs/>
          <w:sz w:val="24"/>
          <w:szCs w:val="24"/>
        </w:rPr>
      </w:pPr>
    </w:p>
    <w:p>
      <w:pPr>
        <w:spacing w:line="5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技术条款偏离表</w:t>
      </w:r>
    </w:p>
    <w:p>
      <w:pPr>
        <w:spacing w:line="500" w:lineRule="exact"/>
        <w:ind w:firstLine="245"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项目编号：</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eastAsia="zh-CN"/>
        </w:rPr>
        <w:t>标段</w:t>
      </w:r>
      <w:r>
        <w:rPr>
          <w:rFonts w:hint="eastAsia" w:asciiTheme="minorEastAsia" w:hAnsiTheme="minorEastAsia" w:eastAsiaTheme="minorEastAsia" w:cstheme="minorEastAsia"/>
          <w:sz w:val="24"/>
          <w:szCs w:val="24"/>
        </w:rPr>
        <w:t>：</w:t>
      </w:r>
    </w:p>
    <w:tbl>
      <w:tblPr>
        <w:tblStyle w:val="23"/>
        <w:tblW w:w="93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050"/>
        <w:gridCol w:w="2463"/>
        <w:gridCol w:w="2451"/>
        <w:gridCol w:w="749"/>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64" w:type="dxa"/>
            <w:vAlign w:val="center"/>
          </w:tcPr>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050" w:type="dxa"/>
            <w:vAlign w:val="center"/>
          </w:tcPr>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招标文件条目号</w:t>
            </w:r>
          </w:p>
        </w:tc>
        <w:tc>
          <w:tcPr>
            <w:tcW w:w="2463" w:type="dxa"/>
            <w:vAlign w:val="center"/>
          </w:tcPr>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招</w:t>
            </w:r>
            <w:r>
              <w:rPr>
                <w:rFonts w:hint="eastAsia" w:asciiTheme="minorEastAsia" w:hAnsiTheme="minorEastAsia" w:eastAsiaTheme="minorEastAsia" w:cstheme="minorEastAsia"/>
                <w:sz w:val="24"/>
                <w:szCs w:val="24"/>
              </w:rPr>
              <w:t>标文件</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rPr>
              <w:t>技术条款</w:t>
            </w:r>
          </w:p>
        </w:tc>
        <w:tc>
          <w:tcPr>
            <w:tcW w:w="2451" w:type="dxa"/>
            <w:vAlign w:val="center"/>
          </w:tcPr>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rPr>
              <w:t>技术条款</w:t>
            </w:r>
          </w:p>
        </w:tc>
        <w:tc>
          <w:tcPr>
            <w:tcW w:w="749" w:type="dxa"/>
            <w:vAlign w:val="center"/>
          </w:tcPr>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偏离</w:t>
            </w:r>
          </w:p>
        </w:tc>
        <w:tc>
          <w:tcPr>
            <w:tcW w:w="888" w:type="dxa"/>
            <w:vAlign w:val="center"/>
          </w:tcPr>
          <w:p>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Align w:val="center"/>
          </w:tcPr>
          <w:p>
            <w:pPr>
              <w:spacing w:line="500" w:lineRule="exact"/>
              <w:rPr>
                <w:rFonts w:asciiTheme="minorEastAsia" w:hAnsiTheme="minorEastAsia" w:eastAsiaTheme="minorEastAsia" w:cstheme="minorEastAsia"/>
                <w:sz w:val="24"/>
                <w:szCs w:val="24"/>
              </w:rPr>
            </w:pPr>
          </w:p>
        </w:tc>
        <w:tc>
          <w:tcPr>
            <w:tcW w:w="2050" w:type="dxa"/>
            <w:vAlign w:val="center"/>
          </w:tcPr>
          <w:p>
            <w:pPr>
              <w:spacing w:line="500" w:lineRule="exact"/>
              <w:rPr>
                <w:rFonts w:asciiTheme="minorEastAsia" w:hAnsiTheme="minorEastAsia" w:eastAsiaTheme="minorEastAsia" w:cstheme="minorEastAsia"/>
                <w:sz w:val="24"/>
                <w:szCs w:val="24"/>
              </w:rPr>
            </w:pPr>
          </w:p>
        </w:tc>
        <w:tc>
          <w:tcPr>
            <w:tcW w:w="2463" w:type="dxa"/>
            <w:vAlign w:val="center"/>
          </w:tcPr>
          <w:p>
            <w:pPr>
              <w:spacing w:line="500" w:lineRule="exact"/>
              <w:rPr>
                <w:rFonts w:asciiTheme="minorEastAsia" w:hAnsiTheme="minorEastAsia" w:eastAsiaTheme="minorEastAsia" w:cstheme="minorEastAsia"/>
                <w:sz w:val="24"/>
                <w:szCs w:val="24"/>
              </w:rPr>
            </w:pPr>
          </w:p>
        </w:tc>
        <w:tc>
          <w:tcPr>
            <w:tcW w:w="2451" w:type="dxa"/>
            <w:vAlign w:val="center"/>
          </w:tcPr>
          <w:p>
            <w:pPr>
              <w:spacing w:line="500" w:lineRule="exact"/>
              <w:rPr>
                <w:rFonts w:asciiTheme="minorEastAsia" w:hAnsiTheme="minorEastAsia" w:eastAsiaTheme="minorEastAsia" w:cstheme="minorEastAsia"/>
                <w:sz w:val="24"/>
                <w:szCs w:val="24"/>
              </w:rPr>
            </w:pPr>
          </w:p>
        </w:tc>
        <w:tc>
          <w:tcPr>
            <w:tcW w:w="749" w:type="dxa"/>
            <w:vAlign w:val="center"/>
          </w:tcPr>
          <w:p>
            <w:pPr>
              <w:spacing w:line="500" w:lineRule="exact"/>
              <w:rPr>
                <w:rFonts w:asciiTheme="minorEastAsia" w:hAnsiTheme="minorEastAsia" w:eastAsiaTheme="minorEastAsia" w:cstheme="minorEastAsia"/>
                <w:sz w:val="24"/>
                <w:szCs w:val="24"/>
              </w:rPr>
            </w:pPr>
          </w:p>
        </w:tc>
        <w:tc>
          <w:tcPr>
            <w:tcW w:w="888" w:type="dxa"/>
            <w:vAlign w:val="center"/>
          </w:tcPr>
          <w:p>
            <w:pPr>
              <w:spacing w:line="5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Align w:val="center"/>
          </w:tcPr>
          <w:p>
            <w:pPr>
              <w:spacing w:line="500" w:lineRule="exact"/>
              <w:rPr>
                <w:rFonts w:asciiTheme="minorEastAsia" w:hAnsiTheme="minorEastAsia" w:eastAsiaTheme="minorEastAsia" w:cstheme="minorEastAsia"/>
                <w:sz w:val="24"/>
                <w:szCs w:val="24"/>
              </w:rPr>
            </w:pPr>
          </w:p>
        </w:tc>
        <w:tc>
          <w:tcPr>
            <w:tcW w:w="2050" w:type="dxa"/>
            <w:vAlign w:val="center"/>
          </w:tcPr>
          <w:p>
            <w:pPr>
              <w:spacing w:line="500" w:lineRule="exact"/>
              <w:rPr>
                <w:rFonts w:asciiTheme="minorEastAsia" w:hAnsiTheme="minorEastAsia" w:eastAsiaTheme="minorEastAsia" w:cstheme="minorEastAsia"/>
                <w:sz w:val="24"/>
                <w:szCs w:val="24"/>
              </w:rPr>
            </w:pPr>
          </w:p>
        </w:tc>
        <w:tc>
          <w:tcPr>
            <w:tcW w:w="2463" w:type="dxa"/>
            <w:vAlign w:val="center"/>
          </w:tcPr>
          <w:p>
            <w:pPr>
              <w:spacing w:line="500" w:lineRule="exact"/>
              <w:rPr>
                <w:rFonts w:asciiTheme="minorEastAsia" w:hAnsiTheme="minorEastAsia" w:eastAsiaTheme="minorEastAsia" w:cstheme="minorEastAsia"/>
                <w:sz w:val="24"/>
                <w:szCs w:val="24"/>
              </w:rPr>
            </w:pPr>
          </w:p>
        </w:tc>
        <w:tc>
          <w:tcPr>
            <w:tcW w:w="2451" w:type="dxa"/>
            <w:vAlign w:val="center"/>
          </w:tcPr>
          <w:p>
            <w:pPr>
              <w:spacing w:line="500" w:lineRule="exact"/>
              <w:rPr>
                <w:rFonts w:asciiTheme="minorEastAsia" w:hAnsiTheme="minorEastAsia" w:eastAsiaTheme="minorEastAsia" w:cstheme="minorEastAsia"/>
                <w:sz w:val="24"/>
                <w:szCs w:val="24"/>
              </w:rPr>
            </w:pPr>
          </w:p>
        </w:tc>
        <w:tc>
          <w:tcPr>
            <w:tcW w:w="749" w:type="dxa"/>
            <w:vAlign w:val="center"/>
          </w:tcPr>
          <w:p>
            <w:pPr>
              <w:spacing w:line="500" w:lineRule="exact"/>
              <w:rPr>
                <w:rFonts w:asciiTheme="minorEastAsia" w:hAnsiTheme="minorEastAsia" w:eastAsiaTheme="minorEastAsia" w:cstheme="minorEastAsia"/>
                <w:sz w:val="24"/>
                <w:szCs w:val="24"/>
              </w:rPr>
            </w:pPr>
          </w:p>
        </w:tc>
        <w:tc>
          <w:tcPr>
            <w:tcW w:w="888" w:type="dxa"/>
            <w:vAlign w:val="center"/>
          </w:tcPr>
          <w:p>
            <w:pPr>
              <w:spacing w:line="5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Align w:val="center"/>
          </w:tcPr>
          <w:p>
            <w:pPr>
              <w:spacing w:line="500" w:lineRule="exact"/>
              <w:rPr>
                <w:rFonts w:asciiTheme="minorEastAsia" w:hAnsiTheme="minorEastAsia" w:eastAsiaTheme="minorEastAsia" w:cstheme="minorEastAsia"/>
                <w:sz w:val="24"/>
                <w:szCs w:val="24"/>
              </w:rPr>
            </w:pPr>
          </w:p>
        </w:tc>
        <w:tc>
          <w:tcPr>
            <w:tcW w:w="2050" w:type="dxa"/>
            <w:vAlign w:val="center"/>
          </w:tcPr>
          <w:p>
            <w:pPr>
              <w:spacing w:line="500" w:lineRule="exact"/>
              <w:rPr>
                <w:rFonts w:asciiTheme="minorEastAsia" w:hAnsiTheme="minorEastAsia" w:eastAsiaTheme="minorEastAsia" w:cstheme="minorEastAsia"/>
                <w:sz w:val="24"/>
                <w:szCs w:val="24"/>
              </w:rPr>
            </w:pPr>
          </w:p>
        </w:tc>
        <w:tc>
          <w:tcPr>
            <w:tcW w:w="2463" w:type="dxa"/>
            <w:vAlign w:val="center"/>
          </w:tcPr>
          <w:p>
            <w:pPr>
              <w:spacing w:line="500" w:lineRule="exact"/>
              <w:rPr>
                <w:rFonts w:asciiTheme="minorEastAsia" w:hAnsiTheme="minorEastAsia" w:eastAsiaTheme="minorEastAsia" w:cstheme="minorEastAsia"/>
                <w:sz w:val="24"/>
                <w:szCs w:val="24"/>
              </w:rPr>
            </w:pPr>
          </w:p>
        </w:tc>
        <w:tc>
          <w:tcPr>
            <w:tcW w:w="2451" w:type="dxa"/>
            <w:vAlign w:val="center"/>
          </w:tcPr>
          <w:p>
            <w:pPr>
              <w:spacing w:line="500" w:lineRule="exact"/>
              <w:rPr>
                <w:rFonts w:asciiTheme="minorEastAsia" w:hAnsiTheme="minorEastAsia" w:eastAsiaTheme="minorEastAsia" w:cstheme="minorEastAsia"/>
                <w:sz w:val="24"/>
                <w:szCs w:val="24"/>
              </w:rPr>
            </w:pPr>
          </w:p>
        </w:tc>
        <w:tc>
          <w:tcPr>
            <w:tcW w:w="749" w:type="dxa"/>
            <w:vAlign w:val="center"/>
          </w:tcPr>
          <w:p>
            <w:pPr>
              <w:spacing w:line="500" w:lineRule="exact"/>
              <w:rPr>
                <w:rFonts w:asciiTheme="minorEastAsia" w:hAnsiTheme="minorEastAsia" w:eastAsiaTheme="minorEastAsia" w:cstheme="minorEastAsia"/>
                <w:sz w:val="24"/>
                <w:szCs w:val="24"/>
              </w:rPr>
            </w:pPr>
          </w:p>
        </w:tc>
        <w:tc>
          <w:tcPr>
            <w:tcW w:w="888" w:type="dxa"/>
            <w:vAlign w:val="center"/>
          </w:tcPr>
          <w:p>
            <w:pPr>
              <w:spacing w:line="5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Align w:val="center"/>
          </w:tcPr>
          <w:p>
            <w:pPr>
              <w:spacing w:line="500" w:lineRule="exact"/>
              <w:rPr>
                <w:rFonts w:asciiTheme="minorEastAsia" w:hAnsiTheme="minorEastAsia" w:eastAsiaTheme="minorEastAsia" w:cstheme="minorEastAsia"/>
                <w:sz w:val="24"/>
                <w:szCs w:val="24"/>
              </w:rPr>
            </w:pPr>
          </w:p>
        </w:tc>
        <w:tc>
          <w:tcPr>
            <w:tcW w:w="2050" w:type="dxa"/>
            <w:vAlign w:val="center"/>
          </w:tcPr>
          <w:p>
            <w:pPr>
              <w:spacing w:line="500" w:lineRule="exact"/>
              <w:rPr>
                <w:rFonts w:asciiTheme="minorEastAsia" w:hAnsiTheme="minorEastAsia" w:eastAsiaTheme="minorEastAsia" w:cstheme="minorEastAsia"/>
                <w:sz w:val="24"/>
                <w:szCs w:val="24"/>
              </w:rPr>
            </w:pPr>
          </w:p>
        </w:tc>
        <w:tc>
          <w:tcPr>
            <w:tcW w:w="2463" w:type="dxa"/>
            <w:vAlign w:val="center"/>
          </w:tcPr>
          <w:p>
            <w:pPr>
              <w:spacing w:line="500" w:lineRule="exact"/>
              <w:rPr>
                <w:rFonts w:asciiTheme="minorEastAsia" w:hAnsiTheme="minorEastAsia" w:eastAsiaTheme="minorEastAsia" w:cstheme="minorEastAsia"/>
                <w:sz w:val="24"/>
                <w:szCs w:val="24"/>
              </w:rPr>
            </w:pPr>
          </w:p>
        </w:tc>
        <w:tc>
          <w:tcPr>
            <w:tcW w:w="2451" w:type="dxa"/>
            <w:vAlign w:val="center"/>
          </w:tcPr>
          <w:p>
            <w:pPr>
              <w:spacing w:line="500" w:lineRule="exact"/>
              <w:rPr>
                <w:rFonts w:asciiTheme="minorEastAsia" w:hAnsiTheme="minorEastAsia" w:eastAsiaTheme="minorEastAsia" w:cstheme="minorEastAsia"/>
                <w:sz w:val="24"/>
                <w:szCs w:val="24"/>
              </w:rPr>
            </w:pPr>
          </w:p>
        </w:tc>
        <w:tc>
          <w:tcPr>
            <w:tcW w:w="749" w:type="dxa"/>
            <w:vAlign w:val="center"/>
          </w:tcPr>
          <w:p>
            <w:pPr>
              <w:spacing w:line="500" w:lineRule="exact"/>
              <w:rPr>
                <w:rFonts w:asciiTheme="minorEastAsia" w:hAnsiTheme="minorEastAsia" w:eastAsiaTheme="minorEastAsia" w:cstheme="minorEastAsia"/>
                <w:sz w:val="24"/>
                <w:szCs w:val="24"/>
              </w:rPr>
            </w:pPr>
          </w:p>
        </w:tc>
        <w:tc>
          <w:tcPr>
            <w:tcW w:w="888" w:type="dxa"/>
            <w:vAlign w:val="center"/>
          </w:tcPr>
          <w:p>
            <w:pPr>
              <w:spacing w:line="5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Align w:val="center"/>
          </w:tcPr>
          <w:p>
            <w:pPr>
              <w:spacing w:line="500" w:lineRule="exact"/>
              <w:rPr>
                <w:rFonts w:asciiTheme="minorEastAsia" w:hAnsiTheme="minorEastAsia" w:eastAsiaTheme="minorEastAsia" w:cstheme="minorEastAsia"/>
                <w:sz w:val="24"/>
                <w:szCs w:val="24"/>
              </w:rPr>
            </w:pPr>
          </w:p>
        </w:tc>
        <w:tc>
          <w:tcPr>
            <w:tcW w:w="2050" w:type="dxa"/>
            <w:vAlign w:val="center"/>
          </w:tcPr>
          <w:p>
            <w:pPr>
              <w:spacing w:line="500" w:lineRule="exact"/>
              <w:rPr>
                <w:rFonts w:asciiTheme="minorEastAsia" w:hAnsiTheme="minorEastAsia" w:eastAsiaTheme="minorEastAsia" w:cstheme="minorEastAsia"/>
                <w:sz w:val="24"/>
                <w:szCs w:val="24"/>
              </w:rPr>
            </w:pPr>
          </w:p>
        </w:tc>
        <w:tc>
          <w:tcPr>
            <w:tcW w:w="2463" w:type="dxa"/>
            <w:vAlign w:val="center"/>
          </w:tcPr>
          <w:p>
            <w:pPr>
              <w:spacing w:line="500" w:lineRule="exact"/>
              <w:rPr>
                <w:rFonts w:asciiTheme="minorEastAsia" w:hAnsiTheme="minorEastAsia" w:eastAsiaTheme="minorEastAsia" w:cstheme="minorEastAsia"/>
                <w:sz w:val="24"/>
                <w:szCs w:val="24"/>
              </w:rPr>
            </w:pPr>
          </w:p>
        </w:tc>
        <w:tc>
          <w:tcPr>
            <w:tcW w:w="2451" w:type="dxa"/>
            <w:vAlign w:val="center"/>
          </w:tcPr>
          <w:p>
            <w:pPr>
              <w:spacing w:line="500" w:lineRule="exact"/>
              <w:rPr>
                <w:rFonts w:asciiTheme="minorEastAsia" w:hAnsiTheme="minorEastAsia" w:eastAsiaTheme="minorEastAsia" w:cstheme="minorEastAsia"/>
                <w:sz w:val="24"/>
                <w:szCs w:val="24"/>
              </w:rPr>
            </w:pPr>
          </w:p>
        </w:tc>
        <w:tc>
          <w:tcPr>
            <w:tcW w:w="749" w:type="dxa"/>
            <w:vAlign w:val="center"/>
          </w:tcPr>
          <w:p>
            <w:pPr>
              <w:spacing w:line="500" w:lineRule="exact"/>
              <w:rPr>
                <w:rFonts w:asciiTheme="minorEastAsia" w:hAnsiTheme="minorEastAsia" w:eastAsiaTheme="minorEastAsia" w:cstheme="minorEastAsia"/>
                <w:sz w:val="24"/>
                <w:szCs w:val="24"/>
              </w:rPr>
            </w:pPr>
          </w:p>
        </w:tc>
        <w:tc>
          <w:tcPr>
            <w:tcW w:w="888" w:type="dxa"/>
            <w:vAlign w:val="center"/>
          </w:tcPr>
          <w:p>
            <w:pPr>
              <w:spacing w:line="50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Align w:val="center"/>
          </w:tcPr>
          <w:p>
            <w:pPr>
              <w:spacing w:line="500" w:lineRule="exact"/>
              <w:rPr>
                <w:rFonts w:asciiTheme="minorEastAsia" w:hAnsiTheme="minorEastAsia" w:eastAsiaTheme="minorEastAsia" w:cstheme="minorEastAsia"/>
                <w:sz w:val="24"/>
                <w:szCs w:val="24"/>
              </w:rPr>
            </w:pPr>
          </w:p>
        </w:tc>
        <w:tc>
          <w:tcPr>
            <w:tcW w:w="2050" w:type="dxa"/>
            <w:vAlign w:val="center"/>
          </w:tcPr>
          <w:p>
            <w:pPr>
              <w:spacing w:line="500" w:lineRule="exact"/>
              <w:rPr>
                <w:rFonts w:asciiTheme="minorEastAsia" w:hAnsiTheme="minorEastAsia" w:eastAsiaTheme="minorEastAsia" w:cstheme="minorEastAsia"/>
                <w:sz w:val="24"/>
                <w:szCs w:val="24"/>
              </w:rPr>
            </w:pPr>
          </w:p>
        </w:tc>
        <w:tc>
          <w:tcPr>
            <w:tcW w:w="2463" w:type="dxa"/>
            <w:vAlign w:val="center"/>
          </w:tcPr>
          <w:p>
            <w:pPr>
              <w:spacing w:line="500" w:lineRule="exact"/>
              <w:rPr>
                <w:rFonts w:asciiTheme="minorEastAsia" w:hAnsiTheme="minorEastAsia" w:eastAsiaTheme="minorEastAsia" w:cstheme="minorEastAsia"/>
                <w:sz w:val="24"/>
                <w:szCs w:val="24"/>
              </w:rPr>
            </w:pPr>
          </w:p>
        </w:tc>
        <w:tc>
          <w:tcPr>
            <w:tcW w:w="2451" w:type="dxa"/>
            <w:vAlign w:val="center"/>
          </w:tcPr>
          <w:p>
            <w:pPr>
              <w:spacing w:line="500" w:lineRule="exact"/>
              <w:rPr>
                <w:rFonts w:asciiTheme="minorEastAsia" w:hAnsiTheme="minorEastAsia" w:eastAsiaTheme="minorEastAsia" w:cstheme="minorEastAsia"/>
                <w:sz w:val="24"/>
                <w:szCs w:val="24"/>
              </w:rPr>
            </w:pPr>
          </w:p>
        </w:tc>
        <w:tc>
          <w:tcPr>
            <w:tcW w:w="749" w:type="dxa"/>
            <w:vAlign w:val="center"/>
          </w:tcPr>
          <w:p>
            <w:pPr>
              <w:spacing w:line="500" w:lineRule="exact"/>
              <w:rPr>
                <w:rFonts w:asciiTheme="minorEastAsia" w:hAnsiTheme="minorEastAsia" w:eastAsiaTheme="minorEastAsia" w:cstheme="minorEastAsia"/>
                <w:sz w:val="24"/>
                <w:szCs w:val="24"/>
              </w:rPr>
            </w:pPr>
          </w:p>
        </w:tc>
        <w:tc>
          <w:tcPr>
            <w:tcW w:w="888" w:type="dxa"/>
            <w:vAlign w:val="center"/>
          </w:tcPr>
          <w:p>
            <w:pPr>
              <w:spacing w:line="500" w:lineRule="exact"/>
              <w:rPr>
                <w:rFonts w:asciiTheme="minorEastAsia" w:hAnsiTheme="minorEastAsia" w:eastAsiaTheme="minorEastAsia" w:cstheme="minorEastAsia"/>
                <w:sz w:val="24"/>
                <w:szCs w:val="24"/>
              </w:rPr>
            </w:pPr>
          </w:p>
        </w:tc>
      </w:tr>
    </w:tbl>
    <w:p>
      <w:pPr>
        <w:adjustRightInd w:val="0"/>
        <w:snapToGrid w:val="0"/>
        <w:spacing w:line="440" w:lineRule="exact"/>
        <w:ind w:left="693" w:hanging="808" w:hangingChars="330"/>
        <w:rPr>
          <w:rFonts w:ascii="宋体" w:hAnsi="宋体" w:cs="宋体"/>
          <w:szCs w:val="21"/>
        </w:rPr>
      </w:pPr>
      <w:r>
        <w:rPr>
          <w:rFonts w:hint="eastAsia" w:ascii="宋体" w:hAnsi="宋体" w:cs="宋体"/>
          <w:szCs w:val="21"/>
        </w:rPr>
        <w:t>注：</w:t>
      </w:r>
    </w:p>
    <w:p>
      <w:pPr>
        <w:pStyle w:val="63"/>
        <w:numPr>
          <w:ilvl w:val="0"/>
          <w:numId w:val="8"/>
        </w:numPr>
        <w:adjustRightInd w:val="0"/>
        <w:snapToGrid w:val="0"/>
        <w:spacing w:line="440" w:lineRule="exact"/>
        <w:ind w:left="426" w:firstLineChars="0"/>
        <w:rPr>
          <w:rFonts w:ascii="宋体" w:hAnsi="宋体" w:cs="宋体"/>
          <w:szCs w:val="21"/>
        </w:rPr>
      </w:pPr>
      <w:r>
        <w:rPr>
          <w:rFonts w:hint="eastAsia" w:ascii="宋体" w:hAnsi="宋体" w:cs="宋体"/>
          <w:szCs w:val="21"/>
        </w:rPr>
        <w:t>投标人应当逐条对照招标文件技术条款，就投标文件对技术条款存在的偏差与例外逐条做出说明；</w:t>
      </w:r>
    </w:p>
    <w:p>
      <w:pPr>
        <w:numPr>
          <w:ilvl w:val="0"/>
          <w:numId w:val="8"/>
        </w:numPr>
        <w:spacing w:line="500" w:lineRule="exact"/>
        <w:ind w:left="426"/>
        <w:rPr>
          <w:rFonts w:asciiTheme="minorEastAsia" w:hAnsiTheme="minorEastAsia" w:eastAsiaTheme="minorEastAsia" w:cstheme="minorEastAsia"/>
          <w:sz w:val="24"/>
          <w:szCs w:val="24"/>
        </w:rPr>
      </w:pPr>
      <w:r>
        <w:rPr>
          <w:rFonts w:hint="eastAsia" w:ascii="宋体" w:hAnsi="宋体" w:cs="宋体"/>
          <w:b/>
          <w:szCs w:val="21"/>
        </w:rPr>
        <w:t>如投标文件对技术条款无任何偏差，投标人仅需在本偏离表中填写“无偏离”即可。</w:t>
      </w:r>
    </w:p>
    <w:p>
      <w:pPr>
        <w:spacing w:line="500" w:lineRule="exact"/>
        <w:rPr>
          <w:rFonts w:ascii="宋体" w:hAnsi="宋体" w:cs="宋体"/>
          <w:b/>
          <w:szCs w:val="21"/>
        </w:rPr>
      </w:pPr>
    </w:p>
    <w:p>
      <w:pPr>
        <w:spacing w:line="500" w:lineRule="exact"/>
        <w:rPr>
          <w:rFonts w:ascii="宋体" w:hAnsi="宋体" w:cs="宋体"/>
          <w:b/>
          <w:szCs w:val="21"/>
        </w:rPr>
      </w:pPr>
    </w:p>
    <w:p>
      <w:pPr>
        <w:spacing w:line="500" w:lineRule="exact"/>
        <w:ind w:firstLine="2695" w:firstLineChars="1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供应商名称(公章)：____________</w:t>
      </w:r>
    </w:p>
    <w:p>
      <w:pPr>
        <w:spacing w:line="500" w:lineRule="exact"/>
        <w:ind w:firstLine="2695" w:firstLineChars="1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法定代表人或其授权代表(签字或盖章)：____________</w:t>
      </w:r>
    </w:p>
    <w:p>
      <w:pPr>
        <w:spacing w:line="500" w:lineRule="exact"/>
        <w:ind w:firstLine="2695" w:firstLineChars="1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日期：______年____月____日</w:t>
      </w:r>
    </w:p>
    <w:p>
      <w:pPr>
        <w:pStyle w:val="19"/>
        <w:rPr>
          <w:rFonts w:hint="eastAsia"/>
          <w:color w:val="auto"/>
        </w:rPr>
      </w:pPr>
    </w:p>
    <w:p>
      <w:pPr>
        <w:pStyle w:val="19"/>
        <w:rPr>
          <w:rFonts w:hint="eastAsia"/>
          <w:color w:val="auto"/>
        </w:rPr>
      </w:pPr>
    </w:p>
    <w:sectPr>
      <w:headerReference r:id="rId10" w:type="default"/>
      <w:footerReference r:id="rId11" w:type="default"/>
      <w:pgSz w:w="11905" w:h="16838"/>
      <w:pgMar w:top="1440" w:right="1417" w:bottom="1440" w:left="1417" w:header="850" w:footer="992" w:gutter="0"/>
      <w:pgNumType w:fmt="decimal"/>
      <w:cols w:space="0" w:num="1"/>
      <w:rtlGutter w:val="0"/>
      <w:docGrid w:type="linesAndChars" w:linePitch="332" w:charSpace="10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_x000B__x000C_">
    <w:altName w:val="Courier New"/>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altName w:val="微软雅黑"/>
    <w:panose1 w:val="02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both"/>
      <w:rPr>
        <w:rFonts w:hint="eastAsia"/>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both"/>
      <w:rPr>
        <w:rFonts w:hint="eastAsia"/>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pPr>
                      <w:pStyle w:val="15"/>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both"/>
      <w:rPr>
        <w:rFonts w:hint="default"/>
        <w:lang w:val="en-US"/>
      </w:rPr>
    </w:pP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mc:Fallback>
      </mc:AlternateContent>
    </w: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5"/>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both"/>
      <w:rPr>
        <w:rFonts w:hint="default"/>
        <w:lang w:val="en-US"/>
      </w:rPr>
    </w:pP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40</w:t>
                    </w:r>
                    <w:r>
                      <w:fldChar w:fldCharType="end"/>
                    </w:r>
                  </w:p>
                </w:txbxContent>
              </v:textbox>
            </v:shape>
          </w:pict>
        </mc:Fallback>
      </mc:AlternateContent>
    </w: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pPr>
                      <w:pStyle w:val="15"/>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ascii="宋体" w:hAnsi="宋体" w:eastAsia="宋体" w:cs="宋体"/>
        <w:sz w:val="20"/>
        <w:szCs w:val="2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3B8E"/>
    <w:multiLevelType w:val="singleLevel"/>
    <w:tmpl w:val="80973B8E"/>
    <w:lvl w:ilvl="0" w:tentative="0">
      <w:start w:val="2"/>
      <w:numFmt w:val="decimal"/>
      <w:suff w:val="nothing"/>
      <w:lvlText w:val="%1、"/>
      <w:lvlJc w:val="left"/>
    </w:lvl>
  </w:abstractNum>
  <w:abstractNum w:abstractNumId="1">
    <w:nsid w:val="0000000D"/>
    <w:multiLevelType w:val="multilevel"/>
    <w:tmpl w:val="0000000D"/>
    <w:lvl w:ilvl="0" w:tentative="0">
      <w:start w:val="1"/>
      <w:numFmt w:val="decimal"/>
      <w:pStyle w:val="11"/>
      <w:lvlText w:val="%1."/>
      <w:lvlJc w:val="left"/>
      <w:pPr>
        <w:tabs>
          <w:tab w:val="left" w:pos="780"/>
        </w:tabs>
        <w:ind w:left="1035"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2">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2D0285C2"/>
    <w:multiLevelType w:val="singleLevel"/>
    <w:tmpl w:val="2D0285C2"/>
    <w:lvl w:ilvl="0" w:tentative="0">
      <w:start w:val="2"/>
      <w:numFmt w:val="chineseCounting"/>
      <w:suff w:val="space"/>
      <w:lvlText w:val="第%1部分"/>
      <w:lvlJc w:val="left"/>
      <w:rPr>
        <w:rFonts w:hint="eastAsia"/>
      </w:rPr>
    </w:lvl>
  </w:abstractNum>
  <w:abstractNum w:abstractNumId="4">
    <w:nsid w:val="551B33D6"/>
    <w:multiLevelType w:val="multilevel"/>
    <w:tmpl w:val="551B33D6"/>
    <w:lvl w:ilvl="0" w:tentative="0">
      <w:start w:val="1"/>
      <w:numFmt w:val="decimal"/>
      <w:lvlText w:val="%1."/>
      <w:lvlJc w:val="left"/>
      <w:pPr>
        <w:ind w:left="1680" w:hanging="420"/>
      </w:p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5">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6">
    <w:nsid w:val="7E725675"/>
    <w:multiLevelType w:val="singleLevel"/>
    <w:tmpl w:val="7E725675"/>
    <w:lvl w:ilvl="0" w:tentative="0">
      <w:start w:val="1"/>
      <w:numFmt w:val="bullet"/>
      <w:pStyle w:val="10"/>
      <w:lvlText w:val=""/>
      <w:lvlJc w:val="left"/>
      <w:pPr>
        <w:tabs>
          <w:tab w:val="left" w:pos="1200"/>
        </w:tabs>
        <w:ind w:left="1200" w:hanging="360"/>
      </w:pPr>
      <w:rPr>
        <w:rFonts w:hint="default" w:ascii="Wingdings" w:hAnsi="Wingdings"/>
      </w:rPr>
    </w:lvl>
  </w:abstractNum>
  <w:abstractNum w:abstractNumId="7">
    <w:nsid w:val="7FC5D1A0"/>
    <w:multiLevelType w:val="singleLevel"/>
    <w:tmpl w:val="7FC5D1A0"/>
    <w:lvl w:ilvl="0" w:tentative="0">
      <w:start w:val="1"/>
      <w:numFmt w:val="decimal"/>
      <w:pStyle w:val="14"/>
      <w:lvlText w:val="%1."/>
      <w:lvlJc w:val="left"/>
      <w:pPr>
        <w:tabs>
          <w:tab w:val="left" w:pos="2040"/>
        </w:tabs>
        <w:ind w:left="2040" w:hanging="360"/>
      </w:pPr>
    </w:lvl>
  </w:abstractNum>
  <w:num w:numId="1">
    <w:abstractNumId w:val="6"/>
  </w:num>
  <w:num w:numId="2">
    <w:abstractNumId w:val="1"/>
  </w:num>
  <w:num w:numId="3">
    <w:abstractNumId w:val="7"/>
  </w:num>
  <w:num w:numId="4">
    <w:abstractNumId w:val="2"/>
  </w:num>
  <w:num w:numId="5">
    <w:abstractNumId w:val="5"/>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HorizontalSpacing w:val="123"/>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WI1N2IwYjczOGVkNmZiYjMzYWMxMzU5Y2Q2NmYifQ=="/>
  </w:docVars>
  <w:rsids>
    <w:rsidRoot w:val="430832B2"/>
    <w:rsid w:val="00036274"/>
    <w:rsid w:val="001815E8"/>
    <w:rsid w:val="001E33B2"/>
    <w:rsid w:val="00BC5ECE"/>
    <w:rsid w:val="00DF3300"/>
    <w:rsid w:val="011D2710"/>
    <w:rsid w:val="0123584C"/>
    <w:rsid w:val="01CA3F1A"/>
    <w:rsid w:val="01DA6404"/>
    <w:rsid w:val="01E44B68"/>
    <w:rsid w:val="021A6C4F"/>
    <w:rsid w:val="023C35FE"/>
    <w:rsid w:val="02493EC4"/>
    <w:rsid w:val="0250441F"/>
    <w:rsid w:val="029702A0"/>
    <w:rsid w:val="03084FC6"/>
    <w:rsid w:val="03120DC1"/>
    <w:rsid w:val="0312238C"/>
    <w:rsid w:val="03250913"/>
    <w:rsid w:val="03435D32"/>
    <w:rsid w:val="03591445"/>
    <w:rsid w:val="035E0DBD"/>
    <w:rsid w:val="03821D6C"/>
    <w:rsid w:val="038329E4"/>
    <w:rsid w:val="03920A67"/>
    <w:rsid w:val="039F146F"/>
    <w:rsid w:val="03AD6B3B"/>
    <w:rsid w:val="03C80B0A"/>
    <w:rsid w:val="03CE5F43"/>
    <w:rsid w:val="03E43E92"/>
    <w:rsid w:val="04020AD7"/>
    <w:rsid w:val="0406720F"/>
    <w:rsid w:val="042A106A"/>
    <w:rsid w:val="04511EA2"/>
    <w:rsid w:val="045E35EB"/>
    <w:rsid w:val="046A1A43"/>
    <w:rsid w:val="047A1DCF"/>
    <w:rsid w:val="04D806FC"/>
    <w:rsid w:val="04DF1D99"/>
    <w:rsid w:val="04E60A17"/>
    <w:rsid w:val="0513261D"/>
    <w:rsid w:val="053D42F2"/>
    <w:rsid w:val="05563801"/>
    <w:rsid w:val="055F77CB"/>
    <w:rsid w:val="05747309"/>
    <w:rsid w:val="057B562E"/>
    <w:rsid w:val="058B5484"/>
    <w:rsid w:val="05C23886"/>
    <w:rsid w:val="05CE725F"/>
    <w:rsid w:val="05E31007"/>
    <w:rsid w:val="06141E47"/>
    <w:rsid w:val="061761CF"/>
    <w:rsid w:val="063B7194"/>
    <w:rsid w:val="06936FD0"/>
    <w:rsid w:val="06E33B5C"/>
    <w:rsid w:val="076369A2"/>
    <w:rsid w:val="07905B50"/>
    <w:rsid w:val="07F10452"/>
    <w:rsid w:val="08323FEC"/>
    <w:rsid w:val="083E3C3C"/>
    <w:rsid w:val="085D5AE7"/>
    <w:rsid w:val="087B0530"/>
    <w:rsid w:val="08C064EE"/>
    <w:rsid w:val="08C6543B"/>
    <w:rsid w:val="08D0181D"/>
    <w:rsid w:val="08D12C20"/>
    <w:rsid w:val="08F32260"/>
    <w:rsid w:val="090E3FE5"/>
    <w:rsid w:val="091D420B"/>
    <w:rsid w:val="09231976"/>
    <w:rsid w:val="093F2ABC"/>
    <w:rsid w:val="09EC23D5"/>
    <w:rsid w:val="09F33C46"/>
    <w:rsid w:val="09F45FD8"/>
    <w:rsid w:val="0A0505FE"/>
    <w:rsid w:val="0A742C74"/>
    <w:rsid w:val="0A8A6A4D"/>
    <w:rsid w:val="0A982D0F"/>
    <w:rsid w:val="0AB55BB0"/>
    <w:rsid w:val="0AC92FC0"/>
    <w:rsid w:val="0AD025FD"/>
    <w:rsid w:val="0AEC1713"/>
    <w:rsid w:val="0B213EE8"/>
    <w:rsid w:val="0B2F3756"/>
    <w:rsid w:val="0B30303F"/>
    <w:rsid w:val="0B316F09"/>
    <w:rsid w:val="0B9E39F1"/>
    <w:rsid w:val="0BCB36A3"/>
    <w:rsid w:val="0BE34A57"/>
    <w:rsid w:val="0BEC17AE"/>
    <w:rsid w:val="0BF26C44"/>
    <w:rsid w:val="0C6E7ED8"/>
    <w:rsid w:val="0CDE709B"/>
    <w:rsid w:val="0D2210AE"/>
    <w:rsid w:val="0D2B33CB"/>
    <w:rsid w:val="0D3037CB"/>
    <w:rsid w:val="0D94295D"/>
    <w:rsid w:val="0DA9532B"/>
    <w:rsid w:val="0DC41A2D"/>
    <w:rsid w:val="0DCB7D5D"/>
    <w:rsid w:val="0DDA3736"/>
    <w:rsid w:val="0DE46363"/>
    <w:rsid w:val="0DE97ED5"/>
    <w:rsid w:val="0DEB5944"/>
    <w:rsid w:val="0E4D5CB6"/>
    <w:rsid w:val="0E512943"/>
    <w:rsid w:val="0E862433"/>
    <w:rsid w:val="0E982F0A"/>
    <w:rsid w:val="0EA96746"/>
    <w:rsid w:val="0EAE0E4B"/>
    <w:rsid w:val="0EBB42D2"/>
    <w:rsid w:val="0EC32D75"/>
    <w:rsid w:val="0ECE329B"/>
    <w:rsid w:val="0EFE5203"/>
    <w:rsid w:val="0F111837"/>
    <w:rsid w:val="0F706100"/>
    <w:rsid w:val="0F876B0D"/>
    <w:rsid w:val="0FBA4BF0"/>
    <w:rsid w:val="0FDA4779"/>
    <w:rsid w:val="10321608"/>
    <w:rsid w:val="10685029"/>
    <w:rsid w:val="107847B5"/>
    <w:rsid w:val="10895821"/>
    <w:rsid w:val="109612F2"/>
    <w:rsid w:val="10AA3894"/>
    <w:rsid w:val="10B25F64"/>
    <w:rsid w:val="11036B00"/>
    <w:rsid w:val="110E25D3"/>
    <w:rsid w:val="117A5C31"/>
    <w:rsid w:val="11967974"/>
    <w:rsid w:val="119836EC"/>
    <w:rsid w:val="11A227BD"/>
    <w:rsid w:val="11B20FC6"/>
    <w:rsid w:val="11D24E50"/>
    <w:rsid w:val="11EE77B0"/>
    <w:rsid w:val="12062D4C"/>
    <w:rsid w:val="120E4A05"/>
    <w:rsid w:val="123F18BA"/>
    <w:rsid w:val="12437373"/>
    <w:rsid w:val="12747CB6"/>
    <w:rsid w:val="129F3033"/>
    <w:rsid w:val="130308CA"/>
    <w:rsid w:val="134B4C7E"/>
    <w:rsid w:val="135B3A09"/>
    <w:rsid w:val="135B5E4C"/>
    <w:rsid w:val="136F67F4"/>
    <w:rsid w:val="13725EDE"/>
    <w:rsid w:val="139B1B3C"/>
    <w:rsid w:val="139D323C"/>
    <w:rsid w:val="13A445F0"/>
    <w:rsid w:val="13B000A5"/>
    <w:rsid w:val="13DD7524"/>
    <w:rsid w:val="14307B9A"/>
    <w:rsid w:val="14726477"/>
    <w:rsid w:val="147F77B9"/>
    <w:rsid w:val="148075AE"/>
    <w:rsid w:val="14BC1DE8"/>
    <w:rsid w:val="14D14C52"/>
    <w:rsid w:val="14E749DB"/>
    <w:rsid w:val="150373E8"/>
    <w:rsid w:val="150F1F18"/>
    <w:rsid w:val="15164F4C"/>
    <w:rsid w:val="151B6B0E"/>
    <w:rsid w:val="15250C2F"/>
    <w:rsid w:val="1525173B"/>
    <w:rsid w:val="153C6A85"/>
    <w:rsid w:val="155E2E9F"/>
    <w:rsid w:val="1563062B"/>
    <w:rsid w:val="15AE1060"/>
    <w:rsid w:val="15AF7257"/>
    <w:rsid w:val="15E839EB"/>
    <w:rsid w:val="15F247CC"/>
    <w:rsid w:val="15F333FA"/>
    <w:rsid w:val="162B0FD3"/>
    <w:rsid w:val="167B61DA"/>
    <w:rsid w:val="16897AA8"/>
    <w:rsid w:val="168D3A3C"/>
    <w:rsid w:val="16A35DEE"/>
    <w:rsid w:val="16E958D4"/>
    <w:rsid w:val="17155BCA"/>
    <w:rsid w:val="171952CF"/>
    <w:rsid w:val="171F0B4E"/>
    <w:rsid w:val="17B02605"/>
    <w:rsid w:val="17C8149B"/>
    <w:rsid w:val="17EB3771"/>
    <w:rsid w:val="17F07367"/>
    <w:rsid w:val="182C2DE0"/>
    <w:rsid w:val="18333FC9"/>
    <w:rsid w:val="183D345E"/>
    <w:rsid w:val="183F1C44"/>
    <w:rsid w:val="18560D81"/>
    <w:rsid w:val="18DC572E"/>
    <w:rsid w:val="18EE61AA"/>
    <w:rsid w:val="18FE29CF"/>
    <w:rsid w:val="190E24E6"/>
    <w:rsid w:val="1910625E"/>
    <w:rsid w:val="191570D1"/>
    <w:rsid w:val="193463F1"/>
    <w:rsid w:val="19791440"/>
    <w:rsid w:val="19857259"/>
    <w:rsid w:val="198D3D53"/>
    <w:rsid w:val="198E4871"/>
    <w:rsid w:val="19AC3061"/>
    <w:rsid w:val="1A1B4EBB"/>
    <w:rsid w:val="1A3C3B56"/>
    <w:rsid w:val="1A43097D"/>
    <w:rsid w:val="1A444411"/>
    <w:rsid w:val="1A6F1112"/>
    <w:rsid w:val="1A930EF5"/>
    <w:rsid w:val="1A9E0361"/>
    <w:rsid w:val="1AA14F3E"/>
    <w:rsid w:val="1AA67A22"/>
    <w:rsid w:val="1AFA15B8"/>
    <w:rsid w:val="1B1F4E7E"/>
    <w:rsid w:val="1B624AEB"/>
    <w:rsid w:val="1BBF7C5E"/>
    <w:rsid w:val="1BE65325"/>
    <w:rsid w:val="1BF754B3"/>
    <w:rsid w:val="1C395ACC"/>
    <w:rsid w:val="1C3D736A"/>
    <w:rsid w:val="1C6D4E46"/>
    <w:rsid w:val="1C940F54"/>
    <w:rsid w:val="1CBF2505"/>
    <w:rsid w:val="1CC01B4D"/>
    <w:rsid w:val="1D28001A"/>
    <w:rsid w:val="1D2E30A9"/>
    <w:rsid w:val="1D38710D"/>
    <w:rsid w:val="1DAA2EFB"/>
    <w:rsid w:val="1E0C2929"/>
    <w:rsid w:val="1E2F53D8"/>
    <w:rsid w:val="1E320A25"/>
    <w:rsid w:val="1E3918DC"/>
    <w:rsid w:val="1E414B6E"/>
    <w:rsid w:val="1E4F7829"/>
    <w:rsid w:val="1E6813A9"/>
    <w:rsid w:val="1E864215"/>
    <w:rsid w:val="1E9F6ED6"/>
    <w:rsid w:val="1EA62FF8"/>
    <w:rsid w:val="1EAE439F"/>
    <w:rsid w:val="1EC2624D"/>
    <w:rsid w:val="1ECE4F82"/>
    <w:rsid w:val="1EE5064C"/>
    <w:rsid w:val="1EE64021"/>
    <w:rsid w:val="1EF96CF2"/>
    <w:rsid w:val="1F232690"/>
    <w:rsid w:val="1F26058A"/>
    <w:rsid w:val="1F5B26D6"/>
    <w:rsid w:val="1F6007D8"/>
    <w:rsid w:val="1F7313AF"/>
    <w:rsid w:val="1F7C289F"/>
    <w:rsid w:val="1FBF7012"/>
    <w:rsid w:val="1FC41B50"/>
    <w:rsid w:val="1FDC6E9A"/>
    <w:rsid w:val="1FE40979"/>
    <w:rsid w:val="20012DA5"/>
    <w:rsid w:val="20626BAD"/>
    <w:rsid w:val="207202B1"/>
    <w:rsid w:val="2080160F"/>
    <w:rsid w:val="20904739"/>
    <w:rsid w:val="21464F13"/>
    <w:rsid w:val="217E2FE3"/>
    <w:rsid w:val="2188552B"/>
    <w:rsid w:val="2197751D"/>
    <w:rsid w:val="21C54EF1"/>
    <w:rsid w:val="2236180E"/>
    <w:rsid w:val="22510509"/>
    <w:rsid w:val="22965E6B"/>
    <w:rsid w:val="22DC795D"/>
    <w:rsid w:val="22F917C9"/>
    <w:rsid w:val="22FA14C0"/>
    <w:rsid w:val="23021720"/>
    <w:rsid w:val="230F7587"/>
    <w:rsid w:val="23286126"/>
    <w:rsid w:val="233F2014"/>
    <w:rsid w:val="23874BA3"/>
    <w:rsid w:val="23B343B6"/>
    <w:rsid w:val="23D277F4"/>
    <w:rsid w:val="247B1377"/>
    <w:rsid w:val="249271CF"/>
    <w:rsid w:val="24D004EB"/>
    <w:rsid w:val="24D80E4E"/>
    <w:rsid w:val="24D97E4C"/>
    <w:rsid w:val="25002F8D"/>
    <w:rsid w:val="252815EE"/>
    <w:rsid w:val="25546BA5"/>
    <w:rsid w:val="25550156"/>
    <w:rsid w:val="25903188"/>
    <w:rsid w:val="259A5274"/>
    <w:rsid w:val="25D3395B"/>
    <w:rsid w:val="26127F70"/>
    <w:rsid w:val="26676882"/>
    <w:rsid w:val="267D2FA7"/>
    <w:rsid w:val="268835DB"/>
    <w:rsid w:val="26AF355A"/>
    <w:rsid w:val="26B85990"/>
    <w:rsid w:val="26CA2E91"/>
    <w:rsid w:val="26D37563"/>
    <w:rsid w:val="26E45926"/>
    <w:rsid w:val="26F1465A"/>
    <w:rsid w:val="26F855D5"/>
    <w:rsid w:val="27161DF2"/>
    <w:rsid w:val="272D2C04"/>
    <w:rsid w:val="274928D9"/>
    <w:rsid w:val="27654DE2"/>
    <w:rsid w:val="278E0648"/>
    <w:rsid w:val="279861FB"/>
    <w:rsid w:val="27AE0581"/>
    <w:rsid w:val="27B31319"/>
    <w:rsid w:val="27D72414"/>
    <w:rsid w:val="2819185B"/>
    <w:rsid w:val="28246616"/>
    <w:rsid w:val="283D072F"/>
    <w:rsid w:val="285C7E68"/>
    <w:rsid w:val="28697739"/>
    <w:rsid w:val="286B44D3"/>
    <w:rsid w:val="28CE770B"/>
    <w:rsid w:val="28EF7C3E"/>
    <w:rsid w:val="291C049E"/>
    <w:rsid w:val="291E0C65"/>
    <w:rsid w:val="29370FFC"/>
    <w:rsid w:val="296616D3"/>
    <w:rsid w:val="296F5223"/>
    <w:rsid w:val="299F2BD7"/>
    <w:rsid w:val="29BC3991"/>
    <w:rsid w:val="29BE59D9"/>
    <w:rsid w:val="29C410CB"/>
    <w:rsid w:val="29EC750E"/>
    <w:rsid w:val="2A062DE5"/>
    <w:rsid w:val="2A181417"/>
    <w:rsid w:val="2A2953D2"/>
    <w:rsid w:val="2A403E4C"/>
    <w:rsid w:val="2A603DC4"/>
    <w:rsid w:val="2A6F2C28"/>
    <w:rsid w:val="2A861757"/>
    <w:rsid w:val="2AB303AA"/>
    <w:rsid w:val="2AF552B4"/>
    <w:rsid w:val="2B124D22"/>
    <w:rsid w:val="2B684ED5"/>
    <w:rsid w:val="2B7102E5"/>
    <w:rsid w:val="2B762634"/>
    <w:rsid w:val="2B817C7B"/>
    <w:rsid w:val="2B960845"/>
    <w:rsid w:val="2B9F2E3B"/>
    <w:rsid w:val="2BF67536"/>
    <w:rsid w:val="2C047AD0"/>
    <w:rsid w:val="2C25339F"/>
    <w:rsid w:val="2C4C731E"/>
    <w:rsid w:val="2C7C300F"/>
    <w:rsid w:val="2C7C4FC9"/>
    <w:rsid w:val="2CA378DD"/>
    <w:rsid w:val="2D017449"/>
    <w:rsid w:val="2D0F28A8"/>
    <w:rsid w:val="2D1B0C53"/>
    <w:rsid w:val="2D2105E2"/>
    <w:rsid w:val="2D6F134E"/>
    <w:rsid w:val="2D7B4196"/>
    <w:rsid w:val="2DA17451"/>
    <w:rsid w:val="2DD8668F"/>
    <w:rsid w:val="2DE22DE7"/>
    <w:rsid w:val="2DF06B27"/>
    <w:rsid w:val="2DF1140A"/>
    <w:rsid w:val="2E177561"/>
    <w:rsid w:val="2E1B0C2F"/>
    <w:rsid w:val="2E764B34"/>
    <w:rsid w:val="2EA72D69"/>
    <w:rsid w:val="2EC212EC"/>
    <w:rsid w:val="2EC569C1"/>
    <w:rsid w:val="2EE21CA0"/>
    <w:rsid w:val="2F0B3E30"/>
    <w:rsid w:val="2F653614"/>
    <w:rsid w:val="2F9C6646"/>
    <w:rsid w:val="2FA50B1C"/>
    <w:rsid w:val="2FDD432A"/>
    <w:rsid w:val="2FF002CE"/>
    <w:rsid w:val="30393E95"/>
    <w:rsid w:val="30476212"/>
    <w:rsid w:val="30562C99"/>
    <w:rsid w:val="30BA481A"/>
    <w:rsid w:val="30BF3730"/>
    <w:rsid w:val="31286C3D"/>
    <w:rsid w:val="316B4D20"/>
    <w:rsid w:val="31795F8B"/>
    <w:rsid w:val="317B3EEC"/>
    <w:rsid w:val="31AD5007"/>
    <w:rsid w:val="31B817A7"/>
    <w:rsid w:val="31C3435E"/>
    <w:rsid w:val="31C54436"/>
    <w:rsid w:val="31CA43CC"/>
    <w:rsid w:val="327F0285"/>
    <w:rsid w:val="328722D8"/>
    <w:rsid w:val="32A30425"/>
    <w:rsid w:val="32C11015"/>
    <w:rsid w:val="32CD2B7E"/>
    <w:rsid w:val="32DA370D"/>
    <w:rsid w:val="32F4471A"/>
    <w:rsid w:val="335C76C1"/>
    <w:rsid w:val="338213DC"/>
    <w:rsid w:val="33974E7C"/>
    <w:rsid w:val="33E7789E"/>
    <w:rsid w:val="344B06D3"/>
    <w:rsid w:val="3464452F"/>
    <w:rsid w:val="346661C1"/>
    <w:rsid w:val="34AC63E7"/>
    <w:rsid w:val="34C861AC"/>
    <w:rsid w:val="34ED149E"/>
    <w:rsid w:val="34FE5559"/>
    <w:rsid w:val="35427B0F"/>
    <w:rsid w:val="35864A56"/>
    <w:rsid w:val="35C66178"/>
    <w:rsid w:val="361231BE"/>
    <w:rsid w:val="363027C5"/>
    <w:rsid w:val="364A0BAA"/>
    <w:rsid w:val="36637D2C"/>
    <w:rsid w:val="3689653D"/>
    <w:rsid w:val="369938DF"/>
    <w:rsid w:val="369C2AC2"/>
    <w:rsid w:val="369E2CA4"/>
    <w:rsid w:val="36AA5E0A"/>
    <w:rsid w:val="36AF4EB1"/>
    <w:rsid w:val="36D27D8D"/>
    <w:rsid w:val="3704103B"/>
    <w:rsid w:val="37114E3A"/>
    <w:rsid w:val="37415551"/>
    <w:rsid w:val="379F4F25"/>
    <w:rsid w:val="37A20571"/>
    <w:rsid w:val="37CB1876"/>
    <w:rsid w:val="37CD261C"/>
    <w:rsid w:val="37D44BCF"/>
    <w:rsid w:val="37DA3C8C"/>
    <w:rsid w:val="37E1109A"/>
    <w:rsid w:val="37FA1570"/>
    <w:rsid w:val="38083993"/>
    <w:rsid w:val="386D0B7F"/>
    <w:rsid w:val="38917CBE"/>
    <w:rsid w:val="38975CE2"/>
    <w:rsid w:val="38C56C0D"/>
    <w:rsid w:val="38F54DA7"/>
    <w:rsid w:val="38FC64B2"/>
    <w:rsid w:val="39951BD0"/>
    <w:rsid w:val="39A44A75"/>
    <w:rsid w:val="39B747A8"/>
    <w:rsid w:val="3A020BF3"/>
    <w:rsid w:val="3A1273C6"/>
    <w:rsid w:val="3A283852"/>
    <w:rsid w:val="3AA05170"/>
    <w:rsid w:val="3AE06945"/>
    <w:rsid w:val="3B5F50F7"/>
    <w:rsid w:val="3B7F139D"/>
    <w:rsid w:val="3BC14CA0"/>
    <w:rsid w:val="3BD776F8"/>
    <w:rsid w:val="3C035752"/>
    <w:rsid w:val="3C601127"/>
    <w:rsid w:val="3C813FCC"/>
    <w:rsid w:val="3CA827C1"/>
    <w:rsid w:val="3CAD59EE"/>
    <w:rsid w:val="3D3710F7"/>
    <w:rsid w:val="3D681E63"/>
    <w:rsid w:val="3D751F42"/>
    <w:rsid w:val="3D780746"/>
    <w:rsid w:val="3D9B618F"/>
    <w:rsid w:val="3DAE50C0"/>
    <w:rsid w:val="3DD07BE6"/>
    <w:rsid w:val="3DD27517"/>
    <w:rsid w:val="3DED75AB"/>
    <w:rsid w:val="3E7C7D6E"/>
    <w:rsid w:val="3ED26025"/>
    <w:rsid w:val="3F380531"/>
    <w:rsid w:val="3F3B7691"/>
    <w:rsid w:val="3F421D64"/>
    <w:rsid w:val="3FA86886"/>
    <w:rsid w:val="3FE87F1C"/>
    <w:rsid w:val="40310F0D"/>
    <w:rsid w:val="40706583"/>
    <w:rsid w:val="407F58F4"/>
    <w:rsid w:val="408E72C3"/>
    <w:rsid w:val="408E7BCF"/>
    <w:rsid w:val="40970E8F"/>
    <w:rsid w:val="40B26236"/>
    <w:rsid w:val="40B61304"/>
    <w:rsid w:val="40BC115C"/>
    <w:rsid w:val="40F736DC"/>
    <w:rsid w:val="413A315B"/>
    <w:rsid w:val="41597EF3"/>
    <w:rsid w:val="41681350"/>
    <w:rsid w:val="416B7C26"/>
    <w:rsid w:val="416F668A"/>
    <w:rsid w:val="419F22BB"/>
    <w:rsid w:val="419F6662"/>
    <w:rsid w:val="41A72D03"/>
    <w:rsid w:val="41B765E4"/>
    <w:rsid w:val="41BC55E0"/>
    <w:rsid w:val="41C2018E"/>
    <w:rsid w:val="420B7389"/>
    <w:rsid w:val="423563C7"/>
    <w:rsid w:val="4267417B"/>
    <w:rsid w:val="42C57370"/>
    <w:rsid w:val="42D218FB"/>
    <w:rsid w:val="42D27A76"/>
    <w:rsid w:val="42E14644"/>
    <w:rsid w:val="430832B2"/>
    <w:rsid w:val="43370708"/>
    <w:rsid w:val="433A3D54"/>
    <w:rsid w:val="4345321B"/>
    <w:rsid w:val="43487623"/>
    <w:rsid w:val="437B176D"/>
    <w:rsid w:val="43951EC4"/>
    <w:rsid w:val="43A47D4A"/>
    <w:rsid w:val="43F47D80"/>
    <w:rsid w:val="44444E8A"/>
    <w:rsid w:val="445769C9"/>
    <w:rsid w:val="44695BC4"/>
    <w:rsid w:val="44740DA7"/>
    <w:rsid w:val="447633DE"/>
    <w:rsid w:val="44951B21"/>
    <w:rsid w:val="44B0582A"/>
    <w:rsid w:val="44E1092B"/>
    <w:rsid w:val="45116D37"/>
    <w:rsid w:val="45266135"/>
    <w:rsid w:val="453217AF"/>
    <w:rsid w:val="454815E5"/>
    <w:rsid w:val="457C2033"/>
    <w:rsid w:val="45CB49F3"/>
    <w:rsid w:val="45EF2F8C"/>
    <w:rsid w:val="461853D4"/>
    <w:rsid w:val="4678706D"/>
    <w:rsid w:val="46791459"/>
    <w:rsid w:val="467E0A66"/>
    <w:rsid w:val="4699366B"/>
    <w:rsid w:val="46A95479"/>
    <w:rsid w:val="46AC0EB9"/>
    <w:rsid w:val="46BA43CC"/>
    <w:rsid w:val="46F77B89"/>
    <w:rsid w:val="4706296E"/>
    <w:rsid w:val="4743767B"/>
    <w:rsid w:val="47CD0146"/>
    <w:rsid w:val="485A051A"/>
    <w:rsid w:val="485C1B1F"/>
    <w:rsid w:val="48AD51DE"/>
    <w:rsid w:val="491339E7"/>
    <w:rsid w:val="493F3E72"/>
    <w:rsid w:val="49697FDD"/>
    <w:rsid w:val="49726A4B"/>
    <w:rsid w:val="4A001853"/>
    <w:rsid w:val="4A0D2D7D"/>
    <w:rsid w:val="4A4B2CCE"/>
    <w:rsid w:val="4B0F73DE"/>
    <w:rsid w:val="4B697B8F"/>
    <w:rsid w:val="4BB73B85"/>
    <w:rsid w:val="4BCC2B87"/>
    <w:rsid w:val="4BE15206"/>
    <w:rsid w:val="4BE6091A"/>
    <w:rsid w:val="4BEB64CF"/>
    <w:rsid w:val="4BF478AD"/>
    <w:rsid w:val="4BF50141"/>
    <w:rsid w:val="4C17384D"/>
    <w:rsid w:val="4C257A37"/>
    <w:rsid w:val="4C2C7C1F"/>
    <w:rsid w:val="4C760FD5"/>
    <w:rsid w:val="4C967FBD"/>
    <w:rsid w:val="4CD24EC9"/>
    <w:rsid w:val="4CF5766A"/>
    <w:rsid w:val="4D0C495B"/>
    <w:rsid w:val="4D565C2E"/>
    <w:rsid w:val="4D6E6B7F"/>
    <w:rsid w:val="4D9549A9"/>
    <w:rsid w:val="4DDC09B0"/>
    <w:rsid w:val="4DE615D3"/>
    <w:rsid w:val="4DF50B78"/>
    <w:rsid w:val="4E197069"/>
    <w:rsid w:val="4E585091"/>
    <w:rsid w:val="4E6938E7"/>
    <w:rsid w:val="4E701DC0"/>
    <w:rsid w:val="4EAD5292"/>
    <w:rsid w:val="4EF94AC3"/>
    <w:rsid w:val="4F006719"/>
    <w:rsid w:val="4F063322"/>
    <w:rsid w:val="4F1F044E"/>
    <w:rsid w:val="4F2E489B"/>
    <w:rsid w:val="4F5166AD"/>
    <w:rsid w:val="4F5D25FD"/>
    <w:rsid w:val="4F695F23"/>
    <w:rsid w:val="4FB41D44"/>
    <w:rsid w:val="4FF359B6"/>
    <w:rsid w:val="5012408F"/>
    <w:rsid w:val="50125E3D"/>
    <w:rsid w:val="502245A8"/>
    <w:rsid w:val="50395ABF"/>
    <w:rsid w:val="50877DE9"/>
    <w:rsid w:val="509C604E"/>
    <w:rsid w:val="50A15412"/>
    <w:rsid w:val="50BF6E81"/>
    <w:rsid w:val="50CB6A37"/>
    <w:rsid w:val="510C4F82"/>
    <w:rsid w:val="51141368"/>
    <w:rsid w:val="513F080C"/>
    <w:rsid w:val="523B2375"/>
    <w:rsid w:val="523F1387"/>
    <w:rsid w:val="52654DCD"/>
    <w:rsid w:val="52733BD7"/>
    <w:rsid w:val="527E0828"/>
    <w:rsid w:val="52997189"/>
    <w:rsid w:val="52CF36C0"/>
    <w:rsid w:val="52E76B50"/>
    <w:rsid w:val="52F51152"/>
    <w:rsid w:val="53021ACF"/>
    <w:rsid w:val="5306542C"/>
    <w:rsid w:val="533662E6"/>
    <w:rsid w:val="53390376"/>
    <w:rsid w:val="534502DF"/>
    <w:rsid w:val="536270DB"/>
    <w:rsid w:val="53634C01"/>
    <w:rsid w:val="53746819"/>
    <w:rsid w:val="53786F73"/>
    <w:rsid w:val="53940122"/>
    <w:rsid w:val="539B083F"/>
    <w:rsid w:val="53EA66CB"/>
    <w:rsid w:val="53EC703D"/>
    <w:rsid w:val="54196611"/>
    <w:rsid w:val="5437274A"/>
    <w:rsid w:val="54435BDD"/>
    <w:rsid w:val="547F6CE6"/>
    <w:rsid w:val="547F7350"/>
    <w:rsid w:val="548E3F00"/>
    <w:rsid w:val="54B24092"/>
    <w:rsid w:val="54D44008"/>
    <w:rsid w:val="54D933CD"/>
    <w:rsid w:val="54F505B3"/>
    <w:rsid w:val="5536450D"/>
    <w:rsid w:val="553813F1"/>
    <w:rsid w:val="553E5926"/>
    <w:rsid w:val="554F7B33"/>
    <w:rsid w:val="558F0074"/>
    <w:rsid w:val="55CF657E"/>
    <w:rsid w:val="55EA33B8"/>
    <w:rsid w:val="56186177"/>
    <w:rsid w:val="5621327D"/>
    <w:rsid w:val="56492E55"/>
    <w:rsid w:val="56493792"/>
    <w:rsid w:val="56D95906"/>
    <w:rsid w:val="56E322E1"/>
    <w:rsid w:val="56FB1494"/>
    <w:rsid w:val="57153E21"/>
    <w:rsid w:val="571B7CCD"/>
    <w:rsid w:val="57594ACB"/>
    <w:rsid w:val="576E4F6A"/>
    <w:rsid w:val="57710879"/>
    <w:rsid w:val="57BF23DA"/>
    <w:rsid w:val="58347710"/>
    <w:rsid w:val="58A83ABB"/>
    <w:rsid w:val="58BF0311"/>
    <w:rsid w:val="58EE1647"/>
    <w:rsid w:val="597639D8"/>
    <w:rsid w:val="59BD150F"/>
    <w:rsid w:val="59EA29D4"/>
    <w:rsid w:val="59F24212"/>
    <w:rsid w:val="5A012B26"/>
    <w:rsid w:val="5A04337A"/>
    <w:rsid w:val="5A584D94"/>
    <w:rsid w:val="5A7E608A"/>
    <w:rsid w:val="5A7F2F6B"/>
    <w:rsid w:val="5AAC412A"/>
    <w:rsid w:val="5AE0581C"/>
    <w:rsid w:val="5AF80325"/>
    <w:rsid w:val="5AF95DD8"/>
    <w:rsid w:val="5B0B1E06"/>
    <w:rsid w:val="5B4A4A82"/>
    <w:rsid w:val="5BAD6997"/>
    <w:rsid w:val="5BB06B7B"/>
    <w:rsid w:val="5BE43388"/>
    <w:rsid w:val="5C266410"/>
    <w:rsid w:val="5C3214F6"/>
    <w:rsid w:val="5C337866"/>
    <w:rsid w:val="5C563555"/>
    <w:rsid w:val="5C6E089F"/>
    <w:rsid w:val="5CD53D28"/>
    <w:rsid w:val="5D2366CB"/>
    <w:rsid w:val="5D3331A6"/>
    <w:rsid w:val="5D3513BC"/>
    <w:rsid w:val="5D533B73"/>
    <w:rsid w:val="5E0B0134"/>
    <w:rsid w:val="5E135BA1"/>
    <w:rsid w:val="5E1D07CE"/>
    <w:rsid w:val="5E1D1079"/>
    <w:rsid w:val="5E5F24E9"/>
    <w:rsid w:val="5E62569F"/>
    <w:rsid w:val="5E633983"/>
    <w:rsid w:val="5E6A153A"/>
    <w:rsid w:val="5E6A778C"/>
    <w:rsid w:val="5E875C48"/>
    <w:rsid w:val="5E923CE1"/>
    <w:rsid w:val="5EDA6373"/>
    <w:rsid w:val="5EEA7950"/>
    <w:rsid w:val="5F0C00BF"/>
    <w:rsid w:val="5F1D0C71"/>
    <w:rsid w:val="5F2C67EF"/>
    <w:rsid w:val="5F8936CD"/>
    <w:rsid w:val="5F9745B0"/>
    <w:rsid w:val="5FCF3D4A"/>
    <w:rsid w:val="5FE45AD9"/>
    <w:rsid w:val="600D5798"/>
    <w:rsid w:val="60107EBF"/>
    <w:rsid w:val="60161979"/>
    <w:rsid w:val="601F4136"/>
    <w:rsid w:val="6031773D"/>
    <w:rsid w:val="608D39CB"/>
    <w:rsid w:val="60B0214C"/>
    <w:rsid w:val="60B2418B"/>
    <w:rsid w:val="616E1356"/>
    <w:rsid w:val="61F16AFB"/>
    <w:rsid w:val="62123B3B"/>
    <w:rsid w:val="6221571E"/>
    <w:rsid w:val="622D3D77"/>
    <w:rsid w:val="634A483E"/>
    <w:rsid w:val="63AF6454"/>
    <w:rsid w:val="63D027BA"/>
    <w:rsid w:val="642B45E0"/>
    <w:rsid w:val="643007E6"/>
    <w:rsid w:val="643F4E94"/>
    <w:rsid w:val="644545DB"/>
    <w:rsid w:val="64604EAC"/>
    <w:rsid w:val="646547D3"/>
    <w:rsid w:val="64740A1C"/>
    <w:rsid w:val="64BE5B12"/>
    <w:rsid w:val="64C319A4"/>
    <w:rsid w:val="64DA648D"/>
    <w:rsid w:val="64DF79CD"/>
    <w:rsid w:val="650B687C"/>
    <w:rsid w:val="653B3C30"/>
    <w:rsid w:val="657449B3"/>
    <w:rsid w:val="66195D1F"/>
    <w:rsid w:val="661C71B0"/>
    <w:rsid w:val="66383CCB"/>
    <w:rsid w:val="66457796"/>
    <w:rsid w:val="66523B9D"/>
    <w:rsid w:val="66715AA7"/>
    <w:rsid w:val="66911D59"/>
    <w:rsid w:val="66A5387A"/>
    <w:rsid w:val="66E63E21"/>
    <w:rsid w:val="66E70059"/>
    <w:rsid w:val="66EE541F"/>
    <w:rsid w:val="66F069F8"/>
    <w:rsid w:val="67000C8D"/>
    <w:rsid w:val="671E2091"/>
    <w:rsid w:val="672F41F6"/>
    <w:rsid w:val="67656B1B"/>
    <w:rsid w:val="67717495"/>
    <w:rsid w:val="678E6299"/>
    <w:rsid w:val="67964C60"/>
    <w:rsid w:val="679F491B"/>
    <w:rsid w:val="67AE419D"/>
    <w:rsid w:val="67B22635"/>
    <w:rsid w:val="67BB2656"/>
    <w:rsid w:val="67BC2E06"/>
    <w:rsid w:val="67C738AF"/>
    <w:rsid w:val="681F29BA"/>
    <w:rsid w:val="68330BEE"/>
    <w:rsid w:val="683769EB"/>
    <w:rsid w:val="68A84A6E"/>
    <w:rsid w:val="691152BF"/>
    <w:rsid w:val="6941642C"/>
    <w:rsid w:val="69540E1C"/>
    <w:rsid w:val="698C50B9"/>
    <w:rsid w:val="69B75707"/>
    <w:rsid w:val="69D47128"/>
    <w:rsid w:val="69EA30F4"/>
    <w:rsid w:val="69FF522C"/>
    <w:rsid w:val="6A6001B6"/>
    <w:rsid w:val="6A7E1191"/>
    <w:rsid w:val="6A8B30F9"/>
    <w:rsid w:val="6AAB4860"/>
    <w:rsid w:val="6ADE7537"/>
    <w:rsid w:val="6B221B0E"/>
    <w:rsid w:val="6B237BBE"/>
    <w:rsid w:val="6B4D3C4B"/>
    <w:rsid w:val="6B506044"/>
    <w:rsid w:val="6BA32DD2"/>
    <w:rsid w:val="6BB838E4"/>
    <w:rsid w:val="6C1A643E"/>
    <w:rsid w:val="6C4B4B3C"/>
    <w:rsid w:val="6C527E9B"/>
    <w:rsid w:val="6C7543E1"/>
    <w:rsid w:val="6C755C79"/>
    <w:rsid w:val="6C963B87"/>
    <w:rsid w:val="6CA96079"/>
    <w:rsid w:val="6CAC1F8A"/>
    <w:rsid w:val="6CC519EE"/>
    <w:rsid w:val="6CC81EA4"/>
    <w:rsid w:val="6CE72502"/>
    <w:rsid w:val="6D3756D1"/>
    <w:rsid w:val="6D37776E"/>
    <w:rsid w:val="6DA305C4"/>
    <w:rsid w:val="6DBD66CF"/>
    <w:rsid w:val="6DCA04D9"/>
    <w:rsid w:val="6DCA5B51"/>
    <w:rsid w:val="6DD37F37"/>
    <w:rsid w:val="6DDC22D2"/>
    <w:rsid w:val="6E2D56D1"/>
    <w:rsid w:val="6E5C76E2"/>
    <w:rsid w:val="6E622052"/>
    <w:rsid w:val="6E85711B"/>
    <w:rsid w:val="6EC235F7"/>
    <w:rsid w:val="6EE76482"/>
    <w:rsid w:val="6EFA0D31"/>
    <w:rsid w:val="6F3F2C86"/>
    <w:rsid w:val="6FA27437"/>
    <w:rsid w:val="6FAF3250"/>
    <w:rsid w:val="6FFB0243"/>
    <w:rsid w:val="6FFC5967"/>
    <w:rsid w:val="70166645"/>
    <w:rsid w:val="701E297D"/>
    <w:rsid w:val="702E686B"/>
    <w:rsid w:val="704838FD"/>
    <w:rsid w:val="70627164"/>
    <w:rsid w:val="706B45B3"/>
    <w:rsid w:val="70812E3F"/>
    <w:rsid w:val="708C4F75"/>
    <w:rsid w:val="709119F6"/>
    <w:rsid w:val="709A02F9"/>
    <w:rsid w:val="70C608E3"/>
    <w:rsid w:val="70FC6B0C"/>
    <w:rsid w:val="71265794"/>
    <w:rsid w:val="713A2FED"/>
    <w:rsid w:val="71B27028"/>
    <w:rsid w:val="71C43A67"/>
    <w:rsid w:val="71F7318A"/>
    <w:rsid w:val="721A3870"/>
    <w:rsid w:val="72241247"/>
    <w:rsid w:val="726A345E"/>
    <w:rsid w:val="7284307C"/>
    <w:rsid w:val="72D40EC3"/>
    <w:rsid w:val="72DB435C"/>
    <w:rsid w:val="72F53670"/>
    <w:rsid w:val="732E6B82"/>
    <w:rsid w:val="737473EC"/>
    <w:rsid w:val="739641CD"/>
    <w:rsid w:val="739A3F53"/>
    <w:rsid w:val="7407216B"/>
    <w:rsid w:val="741E2752"/>
    <w:rsid w:val="74393A30"/>
    <w:rsid w:val="744F3E92"/>
    <w:rsid w:val="74530449"/>
    <w:rsid w:val="746335E0"/>
    <w:rsid w:val="746B7053"/>
    <w:rsid w:val="74844CAB"/>
    <w:rsid w:val="74B1717B"/>
    <w:rsid w:val="74E219D2"/>
    <w:rsid w:val="74F53239"/>
    <w:rsid w:val="751E0D04"/>
    <w:rsid w:val="754C749B"/>
    <w:rsid w:val="7592164A"/>
    <w:rsid w:val="75983CEF"/>
    <w:rsid w:val="75AB1C93"/>
    <w:rsid w:val="75ED35E4"/>
    <w:rsid w:val="75FB557B"/>
    <w:rsid w:val="761B163F"/>
    <w:rsid w:val="76810114"/>
    <w:rsid w:val="76B00A6D"/>
    <w:rsid w:val="76D37824"/>
    <w:rsid w:val="76E41762"/>
    <w:rsid w:val="76F13850"/>
    <w:rsid w:val="77163BB5"/>
    <w:rsid w:val="7717316E"/>
    <w:rsid w:val="77603777"/>
    <w:rsid w:val="77901BB9"/>
    <w:rsid w:val="77C7479C"/>
    <w:rsid w:val="77DD0A83"/>
    <w:rsid w:val="782B18E2"/>
    <w:rsid w:val="787239F2"/>
    <w:rsid w:val="788E3223"/>
    <w:rsid w:val="78970D25"/>
    <w:rsid w:val="78A7540C"/>
    <w:rsid w:val="78D60D2D"/>
    <w:rsid w:val="78E06AB0"/>
    <w:rsid w:val="78FC2232"/>
    <w:rsid w:val="7908485F"/>
    <w:rsid w:val="791F1447"/>
    <w:rsid w:val="79222CE5"/>
    <w:rsid w:val="79271FB1"/>
    <w:rsid w:val="797616F9"/>
    <w:rsid w:val="798A0C42"/>
    <w:rsid w:val="798E0318"/>
    <w:rsid w:val="799B705C"/>
    <w:rsid w:val="79B41F80"/>
    <w:rsid w:val="79EB0483"/>
    <w:rsid w:val="79FD4C0A"/>
    <w:rsid w:val="7A395F10"/>
    <w:rsid w:val="7A630025"/>
    <w:rsid w:val="7A65732D"/>
    <w:rsid w:val="7A767C71"/>
    <w:rsid w:val="7A825E22"/>
    <w:rsid w:val="7AA32CA1"/>
    <w:rsid w:val="7AC07E9C"/>
    <w:rsid w:val="7AD324E9"/>
    <w:rsid w:val="7AD8029A"/>
    <w:rsid w:val="7AD93877"/>
    <w:rsid w:val="7AFB37ED"/>
    <w:rsid w:val="7B187EFC"/>
    <w:rsid w:val="7B47611D"/>
    <w:rsid w:val="7BFC0690"/>
    <w:rsid w:val="7C682397"/>
    <w:rsid w:val="7C8E5650"/>
    <w:rsid w:val="7CA83501"/>
    <w:rsid w:val="7CC540BD"/>
    <w:rsid w:val="7CDC22BB"/>
    <w:rsid w:val="7CEE4788"/>
    <w:rsid w:val="7D1170C1"/>
    <w:rsid w:val="7D423759"/>
    <w:rsid w:val="7D4D28C5"/>
    <w:rsid w:val="7D6103B5"/>
    <w:rsid w:val="7D6531A0"/>
    <w:rsid w:val="7D695F1A"/>
    <w:rsid w:val="7D9A36B6"/>
    <w:rsid w:val="7DA30807"/>
    <w:rsid w:val="7DA84FE4"/>
    <w:rsid w:val="7DD956AA"/>
    <w:rsid w:val="7E1D1CCD"/>
    <w:rsid w:val="7E2D5B39"/>
    <w:rsid w:val="7E3239CA"/>
    <w:rsid w:val="7E394D59"/>
    <w:rsid w:val="7E745D91"/>
    <w:rsid w:val="7EC35F78"/>
    <w:rsid w:val="7ED160D1"/>
    <w:rsid w:val="7EFF672B"/>
    <w:rsid w:val="7F3C37B5"/>
    <w:rsid w:val="7F940068"/>
    <w:rsid w:val="7FC325FB"/>
    <w:rsid w:val="7FD00B3B"/>
    <w:rsid w:val="7FDE3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qFormat/>
    <w:uiPriority w:val="0"/>
    <w:pPr>
      <w:keepNext/>
      <w:keepLines/>
      <w:spacing w:line="360" w:lineRule="auto"/>
      <w:jc w:val="center"/>
      <w:outlineLvl w:val="0"/>
    </w:pPr>
    <w:rPr>
      <w:b/>
      <w:bCs/>
      <w:kern w:val="44"/>
      <w:sz w:val="44"/>
      <w:szCs w:val="44"/>
    </w:rPr>
  </w:style>
  <w:style w:type="paragraph" w:styleId="4">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5"/>
    <w:basedOn w:val="1"/>
    <w:next w:val="1"/>
    <w:qFormat/>
    <w:uiPriority w:val="0"/>
    <w:pPr>
      <w:keepNext/>
      <w:adjustRightInd w:val="0"/>
      <w:spacing w:line="360" w:lineRule="auto"/>
      <w:jc w:val="left"/>
      <w:textAlignment w:val="baseline"/>
      <w:outlineLvl w:val="4"/>
    </w:pPr>
    <w:rPr>
      <w:rFonts w:ascii="宋体"/>
      <w:b/>
      <w:kern w:val="0"/>
      <w:sz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index 6"/>
    <w:basedOn w:val="1"/>
    <w:next w:val="1"/>
    <w:qFormat/>
    <w:uiPriority w:val="99"/>
    <w:pPr>
      <w:ind w:left="2100"/>
    </w:pPr>
  </w:style>
  <w:style w:type="paragraph" w:styleId="7">
    <w:name w:val="index 8"/>
    <w:basedOn w:val="1"/>
    <w:next w:val="1"/>
    <w:unhideWhenUsed/>
    <w:qFormat/>
    <w:uiPriority w:val="99"/>
    <w:pPr>
      <w:ind w:left="1400" w:leftChars="1400"/>
    </w:pPr>
  </w:style>
  <w:style w:type="paragraph" w:styleId="8">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toa heading"/>
    <w:basedOn w:val="1"/>
    <w:next w:val="1"/>
    <w:qFormat/>
    <w:uiPriority w:val="0"/>
    <w:pPr>
      <w:spacing w:before="120"/>
    </w:pPr>
    <w:rPr>
      <w:rFonts w:ascii="Cambria" w:hAnsi="Cambria"/>
      <w:sz w:val="24"/>
      <w:szCs w:val="20"/>
    </w:rPr>
  </w:style>
  <w:style w:type="paragraph" w:styleId="10">
    <w:name w:val="List Bullet 3"/>
    <w:basedOn w:val="1"/>
    <w:qFormat/>
    <w:uiPriority w:val="0"/>
    <w:pPr>
      <w:numPr>
        <w:ilvl w:val="0"/>
        <w:numId w:val="1"/>
      </w:numPr>
    </w:pPr>
  </w:style>
  <w:style w:type="paragraph" w:styleId="11">
    <w:name w:val="Body Text"/>
    <w:basedOn w:val="1"/>
    <w:next w:val="1"/>
    <w:qFormat/>
    <w:uiPriority w:val="99"/>
    <w:pPr>
      <w:numPr>
        <w:ilvl w:val="0"/>
        <w:numId w:val="2"/>
      </w:numPr>
      <w:tabs>
        <w:tab w:val="clear" w:pos="780"/>
      </w:tabs>
      <w:ind w:left="0" w:firstLine="0"/>
    </w:pPr>
    <w:rPr>
      <w:rFonts w:ascii="黑体" w:eastAsia="黑体"/>
      <w:sz w:val="22"/>
    </w:rPr>
  </w:style>
  <w:style w:type="paragraph" w:styleId="12">
    <w:name w:val="Body Text Indent"/>
    <w:basedOn w:val="1"/>
    <w:next w:val="1"/>
    <w:qFormat/>
    <w:uiPriority w:val="0"/>
    <w:pPr>
      <w:spacing w:after="120"/>
      <w:ind w:left="200" w:leftChars="200"/>
    </w:pPr>
  </w:style>
  <w:style w:type="paragraph" w:styleId="13">
    <w:name w:val="Plain Text"/>
    <w:basedOn w:val="1"/>
    <w:next w:val="14"/>
    <w:qFormat/>
    <w:uiPriority w:val="0"/>
    <w:rPr>
      <w:rFonts w:ascii="宋体"/>
      <w:color w:val="000000"/>
      <w:szCs w:val="20"/>
      <w:u w:val="none" w:color="000000"/>
    </w:rPr>
  </w:style>
  <w:style w:type="paragraph" w:styleId="14">
    <w:name w:val="List Number 5"/>
    <w:basedOn w:val="1"/>
    <w:qFormat/>
    <w:uiPriority w:val="0"/>
    <w:pPr>
      <w:numPr>
        <w:ilvl w:val="0"/>
        <w:numId w:val="3"/>
      </w:numPr>
    </w:p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footnote text"/>
    <w:basedOn w:val="1"/>
    <w:semiHidden/>
    <w:unhideWhenUsed/>
    <w:qFormat/>
    <w:uiPriority w:val="99"/>
    <w:pPr>
      <w:snapToGrid w:val="0"/>
      <w:jc w:val="left"/>
    </w:pPr>
    <w:rPr>
      <w:sz w:val="18"/>
      <w:szCs w:val="18"/>
    </w:rPr>
  </w:style>
  <w:style w:type="paragraph" w:styleId="19">
    <w:name w:val="index 7"/>
    <w:basedOn w:val="1"/>
    <w:next w:val="1"/>
    <w:qFormat/>
    <w:uiPriority w:val="0"/>
    <w:pPr>
      <w:autoSpaceDE/>
      <w:autoSpaceDN/>
      <w:adjustRightInd/>
      <w:ind w:left="1200" w:leftChars="1200"/>
    </w:pPr>
    <w:rPr>
      <w:color w:val="auto"/>
      <w:kern w:val="2"/>
      <w:szCs w:val="24"/>
    </w:rPr>
  </w:style>
  <w:style w:type="paragraph" w:styleId="20">
    <w:name w:val="Body Text 2"/>
    <w:basedOn w:val="1"/>
    <w:qFormat/>
    <w:uiPriority w:val="0"/>
    <w:pPr>
      <w:tabs>
        <w:tab w:val="left" w:pos="0"/>
      </w:tabs>
      <w:spacing w:line="400" w:lineRule="atLeast"/>
    </w:pPr>
    <w:rPr>
      <w:rFonts w:ascii="Arial" w:hAnsi="Arial"/>
      <w:color w:val="000000"/>
    </w:rPr>
  </w:style>
  <w:style w:type="paragraph" w:styleId="21">
    <w:name w:val="Normal (Web)"/>
    <w:basedOn w:val="1"/>
    <w:next w:val="1"/>
    <w:qFormat/>
    <w:uiPriority w:val="99"/>
    <w:pPr>
      <w:widowControl/>
      <w:jc w:val="left"/>
    </w:pPr>
    <w:rPr>
      <w:rFonts w:ascii="宋体" w:hAnsi="宋体" w:eastAsia="宋体" w:cs="宋体"/>
      <w:kern w:val="0"/>
      <w:sz w:val="24"/>
      <w:szCs w:val="24"/>
    </w:rPr>
  </w:style>
  <w:style w:type="paragraph" w:styleId="22">
    <w:name w:val="Body Text First Indent 2"/>
    <w:basedOn w:val="12"/>
    <w:semiHidden/>
    <w:unhideWhenUsed/>
    <w:qFormat/>
    <w:uiPriority w:val="99"/>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Hyperlink"/>
    <w:qFormat/>
    <w:uiPriority w:val="99"/>
    <w:rPr>
      <w:color w:val="0000FF"/>
      <w:u w:val="single"/>
    </w:rPr>
  </w:style>
  <w:style w:type="character" w:styleId="28">
    <w:name w:val="footnote reference"/>
    <w:basedOn w:val="25"/>
    <w:semiHidden/>
    <w:unhideWhenUsed/>
    <w:qFormat/>
    <w:uiPriority w:val="99"/>
    <w:rPr>
      <w:vertAlign w:val="superscript"/>
    </w:rPr>
  </w:style>
  <w:style w:type="paragraph" w:customStyle="1" w:styleId="29">
    <w:name w:val="表格文字"/>
    <w:basedOn w:val="1"/>
    <w:next w:val="11"/>
    <w:qFormat/>
    <w:uiPriority w:val="0"/>
    <w:pPr>
      <w:jc w:val="left"/>
    </w:pPr>
    <w:rPr>
      <w:bCs/>
      <w:spacing w:val="10"/>
      <w:sz w:val="24"/>
    </w:rPr>
  </w:style>
  <w:style w:type="paragraph" w:customStyle="1" w:styleId="30">
    <w:name w:val="_Style 2"/>
    <w:basedOn w:val="3"/>
    <w:next w:val="1"/>
    <w:qFormat/>
    <w:uiPriority w:val="39"/>
    <w:pPr>
      <w:widowControl/>
      <w:tabs>
        <w:tab w:val="left" w:pos="715"/>
      </w:tabs>
      <w:spacing w:before="480" w:after="0" w:line="276" w:lineRule="auto"/>
      <w:jc w:val="left"/>
      <w:outlineLvl w:val="9"/>
    </w:pPr>
    <w:rPr>
      <w:rFonts w:ascii="Cambria" w:hAnsi="Cambria" w:eastAsia="宋体" w:cs="Times New Roman"/>
      <w:color w:val="365F91"/>
      <w:kern w:val="0"/>
      <w:sz w:val="28"/>
      <w:szCs w:val="28"/>
    </w:rPr>
  </w:style>
  <w:style w:type="paragraph" w:customStyle="1" w:styleId="31">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2">
    <w:name w:val="文档正文"/>
    <w:basedOn w:val="8"/>
    <w:qFormat/>
    <w:uiPriority w:val="0"/>
    <w:pPr>
      <w:spacing w:line="360" w:lineRule="auto"/>
    </w:pPr>
    <w:rPr>
      <w:rFonts w:ascii="宋体" w:hAnsi="宋体"/>
      <w:b/>
      <w:bCs/>
    </w:r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Heading #2|1"/>
    <w:basedOn w:val="1"/>
    <w:qFormat/>
    <w:uiPriority w:val="0"/>
    <w:pPr>
      <w:widowControl w:val="0"/>
      <w:shd w:val="clear" w:color="auto" w:fill="auto"/>
      <w:spacing w:before="60" w:after="270"/>
      <w:jc w:val="center"/>
      <w:outlineLvl w:val="1"/>
    </w:pPr>
    <w:rPr>
      <w:rFonts w:ascii="宋体" w:hAnsi="宋体" w:eastAsia="宋体" w:cs="宋体"/>
      <w:sz w:val="36"/>
      <w:szCs w:val="36"/>
      <w:u w:val="none"/>
      <w:shd w:val="clear" w:color="auto" w:fill="auto"/>
      <w:lang w:val="zh-TW" w:eastAsia="zh-TW" w:bidi="zh-TW"/>
    </w:rPr>
  </w:style>
  <w:style w:type="paragraph" w:customStyle="1" w:styleId="35">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36">
    <w:name w:val="Body text|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37">
    <w:name w:val="Other|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38">
    <w:name w:val="Tabl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39">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40">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41">
    <w:name w:val="图例"/>
    <w:basedOn w:val="1"/>
    <w:qFormat/>
    <w:uiPriority w:val="0"/>
    <w:pPr>
      <w:spacing w:before="120" w:beforeLines="0" w:after="120" w:afterLines="0" w:line="360" w:lineRule="auto"/>
      <w:jc w:val="center"/>
    </w:pPr>
    <w:rPr>
      <w:rFonts w:eastAsia="仿宋_GB2312"/>
      <w:b/>
      <w:sz w:val="24"/>
    </w:rPr>
  </w:style>
  <w:style w:type="paragraph" w:customStyle="1" w:styleId="42">
    <w:name w:val="WPS Plain"/>
    <w:qFormat/>
    <w:uiPriority w:val="0"/>
    <w:rPr>
      <w:rFonts w:ascii="Times New Roman" w:hAnsi="Times New Roman" w:eastAsia="宋体" w:cs="Times New Roman"/>
      <w:lang w:val="en-US" w:eastAsia="zh-CN" w:bidi="ar-SA"/>
    </w:rPr>
  </w:style>
  <w:style w:type="paragraph" w:customStyle="1" w:styleId="43">
    <w:name w:val="样式 左侧:  0 厘米 悬挂缩进: 2.5 字符"/>
    <w:basedOn w:val="1"/>
    <w:qFormat/>
    <w:uiPriority w:val="0"/>
    <w:pPr>
      <w:ind w:left="525" w:hanging="525" w:hangingChars="250"/>
    </w:pPr>
    <w:rPr>
      <w:szCs w:val="20"/>
    </w:rPr>
  </w:style>
  <w:style w:type="character" w:customStyle="1" w:styleId="44">
    <w:name w:val="font11"/>
    <w:basedOn w:val="25"/>
    <w:qFormat/>
    <w:uiPriority w:val="0"/>
    <w:rPr>
      <w:rFonts w:ascii="Calibri" w:hAnsi="Calibri" w:cs="Calibri"/>
      <w:color w:val="000000"/>
      <w:sz w:val="20"/>
      <w:szCs w:val="20"/>
      <w:u w:val="none"/>
    </w:rPr>
  </w:style>
  <w:style w:type="paragraph" w:customStyle="1" w:styleId="45">
    <w:name w:val="Normal"/>
    <w:qFormat/>
    <w:uiPriority w:val="0"/>
    <w:rPr>
      <w:rFonts w:ascii="Times New Roman" w:hAnsi="Times New Roman" w:eastAsia="Times New Roman" w:cs="Times New Roman"/>
      <w:sz w:val="24"/>
      <w:szCs w:val="24"/>
      <w:lang w:bidi="ar-SA"/>
    </w:rPr>
  </w:style>
  <w:style w:type="paragraph" w:customStyle="1" w:styleId="4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47">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8">
    <w:name w:val="font31"/>
    <w:basedOn w:val="25"/>
    <w:qFormat/>
    <w:uiPriority w:val="0"/>
    <w:rPr>
      <w:rFonts w:hint="eastAsia" w:ascii="宋体" w:hAnsi="宋体" w:eastAsia="宋体" w:cs="宋体"/>
      <w:color w:val="000000"/>
      <w:sz w:val="12"/>
      <w:szCs w:val="12"/>
      <w:u w:val="none"/>
    </w:rPr>
  </w:style>
  <w:style w:type="character" w:customStyle="1" w:styleId="49">
    <w:name w:val="font131"/>
    <w:basedOn w:val="25"/>
    <w:qFormat/>
    <w:uiPriority w:val="0"/>
    <w:rPr>
      <w:rFonts w:hint="eastAsia" w:ascii="宋体" w:hAnsi="宋体" w:eastAsia="宋体" w:cs="宋体"/>
      <w:color w:val="FF0000"/>
      <w:sz w:val="12"/>
      <w:szCs w:val="12"/>
      <w:u w:val="none"/>
    </w:rPr>
  </w:style>
  <w:style w:type="character" w:customStyle="1" w:styleId="50">
    <w:name w:val="font51"/>
    <w:basedOn w:val="25"/>
    <w:qFormat/>
    <w:uiPriority w:val="0"/>
    <w:rPr>
      <w:rFonts w:hint="eastAsia" w:ascii="宋体" w:hAnsi="宋体" w:eastAsia="宋体" w:cs="宋体"/>
      <w:color w:val="000000"/>
      <w:sz w:val="12"/>
      <w:szCs w:val="12"/>
      <w:u w:val="none"/>
    </w:rPr>
  </w:style>
  <w:style w:type="character" w:customStyle="1" w:styleId="51">
    <w:name w:val="font171"/>
    <w:basedOn w:val="25"/>
    <w:qFormat/>
    <w:uiPriority w:val="0"/>
    <w:rPr>
      <w:rFonts w:hint="eastAsia" w:ascii="宋体" w:hAnsi="宋体" w:eastAsia="宋体" w:cs="宋体"/>
      <w:color w:val="FF0000"/>
      <w:sz w:val="12"/>
      <w:szCs w:val="12"/>
      <w:u w:val="none"/>
    </w:rPr>
  </w:style>
  <w:style w:type="character" w:customStyle="1" w:styleId="52">
    <w:name w:val="font41"/>
    <w:basedOn w:val="25"/>
    <w:qFormat/>
    <w:uiPriority w:val="0"/>
    <w:rPr>
      <w:rFonts w:hint="eastAsia" w:ascii="宋体" w:hAnsi="宋体" w:eastAsia="宋体" w:cs="宋体"/>
      <w:b/>
      <w:bCs/>
      <w:color w:val="0D0D0D"/>
      <w:sz w:val="18"/>
      <w:szCs w:val="18"/>
      <w:u w:val="none"/>
    </w:rPr>
  </w:style>
  <w:style w:type="character" w:customStyle="1" w:styleId="53">
    <w:name w:val="font71"/>
    <w:basedOn w:val="25"/>
    <w:qFormat/>
    <w:uiPriority w:val="0"/>
    <w:rPr>
      <w:rFonts w:hint="eastAsia" w:ascii="宋体" w:hAnsi="宋体" w:eastAsia="宋体" w:cs="宋体"/>
      <w:b/>
      <w:bCs/>
      <w:color w:val="000000"/>
      <w:sz w:val="18"/>
      <w:szCs w:val="18"/>
      <w:u w:val="none"/>
    </w:rPr>
  </w:style>
  <w:style w:type="paragraph" w:customStyle="1" w:styleId="54">
    <w:name w:val="List Paragraph"/>
    <w:basedOn w:val="1"/>
    <w:qFormat/>
    <w:uiPriority w:val="0"/>
    <w:pPr>
      <w:ind w:firstLine="420" w:firstLineChars="200"/>
    </w:pPr>
    <w:rPr>
      <w:szCs w:val="24"/>
    </w:rPr>
  </w:style>
  <w:style w:type="paragraph" w:customStyle="1" w:styleId="55">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56">
    <w:name w:val="Char"/>
    <w:basedOn w:val="1"/>
    <w:qFormat/>
    <w:uiPriority w:val="0"/>
    <w:rPr>
      <w:szCs w:val="21"/>
    </w:rPr>
  </w:style>
  <w:style w:type="character" w:customStyle="1" w:styleId="57">
    <w:name w:val="NormalCharacter"/>
    <w:qFormat/>
    <w:uiPriority w:val="0"/>
  </w:style>
  <w:style w:type="paragraph" w:customStyle="1" w:styleId="58">
    <w:name w:val="BodyText1I2"/>
    <w:basedOn w:val="59"/>
    <w:qFormat/>
    <w:uiPriority w:val="0"/>
    <w:pPr>
      <w:spacing w:before="0" w:after="120"/>
      <w:ind w:left="200" w:leftChars="200" w:firstLine="200" w:firstLineChars="200"/>
      <w:jc w:val="both"/>
      <w:textAlignment w:val="baseline"/>
    </w:pPr>
    <w:rPr>
      <w:rFonts w:ascii="Times New Roman" w:hAnsi="Times New Roman" w:eastAsia="宋体"/>
      <w:kern w:val="2"/>
      <w:sz w:val="21"/>
      <w:szCs w:val="24"/>
      <w:lang w:val="en-US" w:eastAsia="zh-CN" w:bidi="ar-SA"/>
    </w:rPr>
  </w:style>
  <w:style w:type="paragraph" w:customStyle="1" w:styleId="59">
    <w:name w:val="BodyTextIndent"/>
    <w:basedOn w:val="1"/>
    <w:qFormat/>
    <w:uiPriority w:val="0"/>
    <w:pPr>
      <w:widowControl/>
      <w:spacing w:before="100" w:beforeAutospacing="1" w:after="100" w:afterAutospacing="1"/>
      <w:jc w:val="left"/>
      <w:textAlignment w:val="baseline"/>
    </w:pPr>
    <w:rPr>
      <w:rFonts w:ascii="宋体" w:eastAsia="宋体"/>
      <w:kern w:val="2"/>
      <w:sz w:val="24"/>
      <w:szCs w:val="24"/>
      <w:lang w:val="en-US" w:eastAsia="zh-CN" w:bidi="ar-SA"/>
    </w:rPr>
  </w:style>
  <w:style w:type="paragraph" w:customStyle="1" w:styleId="6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1">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62">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63">
    <w:name w:val="列出段落1"/>
    <w:basedOn w:val="1"/>
    <w:qFormat/>
    <w:uiPriority w:val="0"/>
    <w:pPr>
      <w:ind w:firstLine="420" w:firstLineChars="200"/>
    </w:pPr>
    <w:rPr>
      <w:szCs w:val="24"/>
    </w:rPr>
  </w:style>
  <w:style w:type="character" w:customStyle="1" w:styleId="64">
    <w:name w:val="font01"/>
    <w:basedOn w:val="25"/>
    <w:qFormat/>
    <w:uiPriority w:val="0"/>
    <w:rPr>
      <w:rFonts w:hint="eastAsia" w:ascii="宋体" w:hAnsi="宋体" w:eastAsia="宋体" w:cs="宋体"/>
      <w:color w:val="000000"/>
      <w:sz w:val="16"/>
      <w:szCs w:val="16"/>
      <w:u w:val="none"/>
    </w:rPr>
  </w:style>
  <w:style w:type="character" w:customStyle="1" w:styleId="65">
    <w:name w:val="font21"/>
    <w:basedOn w:val="2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49840</Words>
  <Characters>57247</Characters>
  <Lines>0</Lines>
  <Paragraphs>0</Paragraphs>
  <TotalTime>60</TotalTime>
  <ScaleCrop>false</ScaleCrop>
  <LinksUpToDate>false</LinksUpToDate>
  <CharactersWithSpaces>61269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CSFL</cp:lastModifiedBy>
  <cp:lastPrinted>2023-05-09T11:17:00Z</cp:lastPrinted>
  <dcterms:modified xsi:type="dcterms:W3CDTF">2023-08-02T10:25:49Z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6DFD92FF95E9414698FF3085D2AAFF72</vt:lpwstr>
  </property>
</Properties>
</file>