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120" w:line="540" w:lineRule="exact"/>
        <w:jc w:val="left"/>
        <w:rPr>
          <w:rFonts w:ascii="宋体" w:hAnsi="宋体"/>
          <w:color w:val="000000" w:themeColor="text1"/>
          <w:sz w:val="44"/>
          <w:highlight w:val="none"/>
          <w14:textFill>
            <w14:solidFill>
              <w14:schemeClr w14:val="tx1"/>
            </w14:solidFill>
          </w14:textFill>
        </w:rPr>
      </w:pPr>
    </w:p>
    <w:p>
      <w:pPr>
        <w:pStyle w:val="33"/>
        <w:rPr>
          <w:rFonts w:ascii="宋体" w:hAnsi="宋体"/>
          <w:color w:val="000000" w:themeColor="text1"/>
          <w:sz w:val="44"/>
          <w:highlight w:val="none"/>
          <w14:textFill>
            <w14:solidFill>
              <w14:schemeClr w14:val="tx1"/>
            </w14:solidFill>
          </w14:textFill>
        </w:rPr>
      </w:pPr>
    </w:p>
    <w:p>
      <w:pPr>
        <w:pStyle w:val="34"/>
        <w:rPr>
          <w:color w:val="000000" w:themeColor="text1"/>
          <w:highlight w:val="none"/>
          <w14:textFill>
            <w14:solidFill>
              <w14:schemeClr w14:val="tx1"/>
            </w14:solidFill>
          </w14:textFill>
        </w:rPr>
      </w:pPr>
    </w:p>
    <w:p>
      <w:pPr>
        <w:pStyle w:val="34"/>
        <w:rPr>
          <w:color w:val="000000" w:themeColor="text1"/>
          <w:highlight w:val="none"/>
          <w14:textFill>
            <w14:solidFill>
              <w14:schemeClr w14:val="tx1"/>
            </w14:solidFill>
          </w14:textFill>
        </w:rPr>
      </w:pPr>
    </w:p>
    <w:p>
      <w:pPr>
        <w:snapToGrid w:val="0"/>
        <w:spacing w:line="360" w:lineRule="auto"/>
        <w:jc w:val="center"/>
        <w:rPr>
          <w:rStyle w:val="37"/>
          <w:color w:val="000000" w:themeColor="text1"/>
          <w:sz w:val="36"/>
          <w:szCs w:val="36"/>
          <w:highlight w:val="none"/>
          <w14:textFill>
            <w14:solidFill>
              <w14:schemeClr w14:val="tx1"/>
            </w14:solidFill>
          </w14:textFill>
        </w:rPr>
      </w:pPr>
      <w:r>
        <w:rPr>
          <w:rFonts w:hint="eastAsia" w:ascii="宋体" w:hAnsi="宋体"/>
          <w:b/>
          <w:color w:val="000000" w:themeColor="text1"/>
          <w:sz w:val="52"/>
          <w:szCs w:val="52"/>
          <w:highlight w:val="none"/>
          <w:lang w:eastAsia="zh-CN"/>
          <w14:textFill>
            <w14:solidFill>
              <w14:schemeClr w14:val="tx1"/>
            </w14:solidFill>
          </w14:textFill>
        </w:rPr>
        <w:t>招</w:t>
      </w:r>
      <w:r>
        <w:rPr>
          <w:rFonts w:hint="eastAsia" w:ascii="宋体" w:hAnsi="宋体"/>
          <w:b/>
          <w:color w:val="000000" w:themeColor="text1"/>
          <w:sz w:val="52"/>
          <w:szCs w:val="52"/>
          <w:highlight w:val="none"/>
          <w:lang w:val="en-US" w:eastAsia="zh-CN"/>
          <w14:textFill>
            <w14:solidFill>
              <w14:schemeClr w14:val="tx1"/>
            </w14:solidFill>
          </w14:textFill>
        </w:rPr>
        <w:t xml:space="preserve"> </w:t>
      </w:r>
      <w:r>
        <w:rPr>
          <w:rFonts w:hint="eastAsia" w:ascii="宋体" w:hAnsi="宋体"/>
          <w:b/>
          <w:color w:val="000000" w:themeColor="text1"/>
          <w:sz w:val="52"/>
          <w:szCs w:val="52"/>
          <w:highlight w:val="none"/>
          <w:lang w:eastAsia="zh-CN"/>
          <w14:textFill>
            <w14:solidFill>
              <w14:schemeClr w14:val="tx1"/>
            </w14:solidFill>
          </w14:textFill>
        </w:rPr>
        <w:t>标</w:t>
      </w:r>
      <w:r>
        <w:rPr>
          <w:rFonts w:hint="eastAsia" w:ascii="宋体" w:hAnsi="宋体"/>
          <w:b/>
          <w:color w:val="000000" w:themeColor="text1"/>
          <w:sz w:val="52"/>
          <w:szCs w:val="52"/>
          <w:highlight w:val="none"/>
          <w:lang w:val="en-US" w:eastAsia="zh-CN"/>
          <w14:textFill>
            <w14:solidFill>
              <w14:schemeClr w14:val="tx1"/>
            </w14:solidFill>
          </w14:textFill>
        </w:rPr>
        <w:t xml:space="preserve"> </w:t>
      </w:r>
      <w:r>
        <w:rPr>
          <w:rFonts w:hint="eastAsia" w:ascii="宋体" w:hAnsi="宋体"/>
          <w:b/>
          <w:color w:val="000000" w:themeColor="text1"/>
          <w:sz w:val="52"/>
          <w:szCs w:val="52"/>
          <w:highlight w:val="none"/>
          <w:lang w:eastAsia="zh-CN"/>
          <w14:textFill>
            <w14:solidFill>
              <w14:schemeClr w14:val="tx1"/>
            </w14:solidFill>
          </w14:textFill>
        </w:rPr>
        <w:t>文</w:t>
      </w:r>
      <w:r>
        <w:rPr>
          <w:rFonts w:hint="eastAsia" w:ascii="宋体" w:hAnsi="宋体"/>
          <w:b/>
          <w:color w:val="000000" w:themeColor="text1"/>
          <w:sz w:val="52"/>
          <w:szCs w:val="52"/>
          <w:highlight w:val="none"/>
          <w:lang w:val="en-US" w:eastAsia="zh-CN"/>
          <w14:textFill>
            <w14:solidFill>
              <w14:schemeClr w14:val="tx1"/>
            </w14:solidFill>
          </w14:textFill>
        </w:rPr>
        <w:t xml:space="preserve"> </w:t>
      </w:r>
      <w:r>
        <w:rPr>
          <w:rFonts w:hint="eastAsia" w:ascii="宋体" w:hAnsi="宋体"/>
          <w:b/>
          <w:color w:val="000000" w:themeColor="text1"/>
          <w:sz w:val="52"/>
          <w:szCs w:val="52"/>
          <w:highlight w:val="none"/>
          <w:lang w:eastAsia="zh-CN"/>
          <w14:textFill>
            <w14:solidFill>
              <w14:schemeClr w14:val="tx1"/>
            </w14:solidFill>
          </w14:textFill>
        </w:rPr>
        <w:t>件</w:t>
      </w:r>
    </w:p>
    <w:p>
      <w:pPr>
        <w:snapToGrid w:val="0"/>
        <w:jc w:val="center"/>
        <w:rPr>
          <w:rStyle w:val="37"/>
          <w:rFonts w:cs="仿宋"/>
          <w:b w:val="0"/>
          <w:bCs/>
          <w:color w:val="000000" w:themeColor="text1"/>
          <w:highlight w:val="none"/>
          <w14:textFill>
            <w14:solidFill>
              <w14:schemeClr w14:val="tx1"/>
            </w14:solidFill>
          </w14:textFill>
        </w:rPr>
      </w:pPr>
    </w:p>
    <w:p>
      <w:pPr>
        <w:pStyle w:val="33"/>
        <w:rPr>
          <w:rStyle w:val="37"/>
          <w:rFonts w:cs="仿宋"/>
          <w:b w:val="0"/>
          <w:bCs/>
          <w:color w:val="000000" w:themeColor="text1"/>
          <w:highlight w:val="none"/>
          <w14:textFill>
            <w14:solidFill>
              <w14:schemeClr w14:val="tx1"/>
            </w14:solidFill>
          </w14:textFill>
        </w:rPr>
      </w:pPr>
    </w:p>
    <w:p>
      <w:pPr>
        <w:pStyle w:val="34"/>
        <w:rPr>
          <w:rStyle w:val="37"/>
          <w:rFonts w:cs="仿宋"/>
          <w:b w:val="0"/>
          <w:bCs/>
          <w:color w:val="000000" w:themeColor="text1"/>
          <w:highlight w:val="none"/>
          <w14:textFill>
            <w14:solidFill>
              <w14:schemeClr w14:val="tx1"/>
            </w14:solidFill>
          </w14:textFill>
        </w:rPr>
      </w:pPr>
    </w:p>
    <w:p>
      <w:pPr>
        <w:pStyle w:val="34"/>
        <w:rPr>
          <w:rStyle w:val="37"/>
          <w:rFonts w:cs="仿宋"/>
          <w:b w:val="0"/>
          <w:bCs/>
          <w:color w:val="000000" w:themeColor="text1"/>
          <w:highlight w:val="none"/>
          <w14:textFill>
            <w14:solidFill>
              <w14:schemeClr w14:val="tx1"/>
            </w14:solidFill>
          </w14:textFill>
        </w:rPr>
      </w:pPr>
    </w:p>
    <w:p>
      <w:pPr>
        <w:pStyle w:val="34"/>
        <w:rPr>
          <w:rStyle w:val="37"/>
          <w:rFonts w:cs="仿宋"/>
          <w:b w:val="0"/>
          <w:bCs/>
          <w:color w:val="000000" w:themeColor="text1"/>
          <w:highlight w:val="none"/>
          <w14:textFill>
            <w14:solidFill>
              <w14:schemeClr w14:val="tx1"/>
            </w14:solidFill>
          </w14:textFill>
        </w:rPr>
      </w:pPr>
    </w:p>
    <w:p>
      <w:pPr>
        <w:snapToGrid w:val="0"/>
        <w:spacing w:line="480" w:lineRule="auto"/>
        <w:ind w:firstLine="357"/>
        <w:rPr>
          <w:rStyle w:val="35"/>
          <w:rFonts w:hint="eastAsia" w:ascii="宋体" w:hAnsi="宋体" w:eastAsia="宋体"/>
          <w:bCs/>
          <w:color w:val="000000" w:themeColor="text1"/>
          <w:sz w:val="24"/>
          <w:highlight w:val="none"/>
          <w:lang w:val="en-US" w:eastAsia="zh-CN"/>
          <w14:textFill>
            <w14:solidFill>
              <w14:schemeClr w14:val="tx1"/>
            </w14:solidFill>
          </w14:textFill>
        </w:rPr>
      </w:pPr>
      <w:r>
        <w:rPr>
          <w:rStyle w:val="35"/>
          <w:rFonts w:hint="eastAsia" w:ascii="宋体" w:hAnsi="宋体"/>
          <w:bCs/>
          <w:color w:val="000000" w:themeColor="text1"/>
          <w:sz w:val="24"/>
          <w:highlight w:val="none"/>
          <w14:textFill>
            <w14:solidFill>
              <w14:schemeClr w14:val="tx1"/>
            </w14:solidFill>
          </w14:textFill>
        </w:rPr>
        <w:t>项目名称：</w:t>
      </w:r>
      <w:r>
        <w:rPr>
          <w:rStyle w:val="35"/>
          <w:rFonts w:hint="eastAsia" w:ascii="宋体" w:hAnsi="宋体"/>
          <w:bCs/>
          <w:color w:val="000000" w:themeColor="text1"/>
          <w:sz w:val="24"/>
          <w:highlight w:val="none"/>
          <w:lang w:val="en-US" w:eastAsia="zh-CN"/>
          <w14:textFill>
            <w14:solidFill>
              <w14:schemeClr w14:val="tx1"/>
            </w14:solidFill>
          </w14:textFill>
        </w:rPr>
        <w:t>2023年沙湾市义务教育薄弱环节改善与能力提升项目（第七包）</w:t>
      </w:r>
    </w:p>
    <w:p>
      <w:pPr>
        <w:snapToGrid w:val="0"/>
        <w:spacing w:line="480" w:lineRule="auto"/>
        <w:ind w:firstLine="357"/>
        <w:rPr>
          <w:rStyle w:val="35"/>
          <w:rFonts w:hint="default" w:ascii="宋体" w:hAnsi="宋体" w:eastAsia="宋体"/>
          <w:bCs/>
          <w:color w:val="000000" w:themeColor="text1"/>
          <w:sz w:val="24"/>
          <w:highlight w:val="none"/>
          <w:lang w:val="en-US" w:eastAsia="zh-CN"/>
          <w14:textFill>
            <w14:solidFill>
              <w14:schemeClr w14:val="tx1"/>
            </w14:solidFill>
          </w14:textFill>
        </w:rPr>
      </w:pPr>
      <w:r>
        <w:rPr>
          <w:rStyle w:val="35"/>
          <w:rFonts w:hint="eastAsia" w:ascii="宋体" w:hAnsi="宋体"/>
          <w:bCs/>
          <w:color w:val="000000" w:themeColor="text1"/>
          <w:sz w:val="24"/>
          <w:highlight w:val="none"/>
          <w14:textFill>
            <w14:solidFill>
              <w14:schemeClr w14:val="tx1"/>
            </w14:solidFill>
          </w14:textFill>
        </w:rPr>
        <w:t>项目编号：</w:t>
      </w:r>
      <w:r>
        <w:rPr>
          <w:rStyle w:val="35"/>
          <w:rFonts w:hint="eastAsia" w:ascii="宋体" w:hAnsi="宋体"/>
          <w:bCs/>
          <w:color w:val="000000" w:themeColor="text1"/>
          <w:sz w:val="24"/>
          <w:highlight w:val="none"/>
          <w:lang w:val="en-US" w:eastAsia="zh-CN"/>
          <w14:textFill>
            <w14:solidFill>
              <w14:schemeClr w14:val="tx1"/>
            </w14:solidFill>
          </w14:textFill>
        </w:rPr>
        <w:t>XJTYSWZC-20230726</w:t>
      </w:r>
    </w:p>
    <w:p>
      <w:pPr>
        <w:snapToGrid w:val="0"/>
        <w:spacing w:line="480" w:lineRule="auto"/>
        <w:ind w:firstLine="357"/>
        <w:rPr>
          <w:rStyle w:val="35"/>
          <w:rFonts w:hint="eastAsia" w:ascii="宋体" w:hAnsi="宋体" w:eastAsia="宋体"/>
          <w:bCs/>
          <w:color w:val="000000" w:themeColor="text1"/>
          <w:sz w:val="24"/>
          <w:highlight w:val="none"/>
          <w:lang w:eastAsia="zh-CN"/>
          <w14:textFill>
            <w14:solidFill>
              <w14:schemeClr w14:val="tx1"/>
            </w14:solidFill>
          </w14:textFill>
        </w:rPr>
      </w:pPr>
      <w:r>
        <w:rPr>
          <w:rStyle w:val="35"/>
          <w:rFonts w:hint="eastAsia" w:ascii="宋体" w:hAnsi="宋体"/>
          <w:bCs/>
          <w:color w:val="000000" w:themeColor="text1"/>
          <w:sz w:val="24"/>
          <w:highlight w:val="none"/>
          <w14:textFill>
            <w14:solidFill>
              <w14:schemeClr w14:val="tx1"/>
            </w14:solidFill>
          </w14:textFill>
        </w:rPr>
        <w:t>采购人（盖章）:</w:t>
      </w:r>
      <w:r>
        <w:rPr>
          <w:rStyle w:val="35"/>
          <w:rFonts w:hint="eastAsia" w:ascii="宋体" w:hAnsi="宋体"/>
          <w:bCs/>
          <w:color w:val="000000" w:themeColor="text1"/>
          <w:sz w:val="24"/>
          <w:highlight w:val="none"/>
          <w:lang w:eastAsia="zh-CN"/>
          <w14:textFill>
            <w14:solidFill>
              <w14:schemeClr w14:val="tx1"/>
            </w14:solidFill>
          </w14:textFill>
        </w:rPr>
        <w:t>沙湾市教育和科学技术局</w:t>
      </w:r>
    </w:p>
    <w:p>
      <w:pPr>
        <w:snapToGrid w:val="0"/>
        <w:spacing w:line="480" w:lineRule="auto"/>
        <w:ind w:firstLine="357"/>
        <w:rPr>
          <w:rStyle w:val="35"/>
          <w:rFonts w:hint="eastAsia" w:ascii="宋体" w:hAnsi="宋体" w:eastAsia="宋体" w:cs="Times New Roman"/>
          <w:bCs/>
          <w:color w:val="000000" w:themeColor="text1"/>
          <w:sz w:val="24"/>
          <w:highlight w:val="none"/>
          <w:lang w:eastAsia="zh-CN"/>
          <w14:textFill>
            <w14:solidFill>
              <w14:schemeClr w14:val="tx1"/>
            </w14:solidFill>
          </w14:textFill>
        </w:rPr>
      </w:pPr>
      <w:r>
        <w:rPr>
          <w:rStyle w:val="35"/>
          <w:rFonts w:hint="eastAsia" w:ascii="宋体" w:hAnsi="宋体" w:eastAsia="宋体" w:cs="Times New Roman"/>
          <w:bCs/>
          <w:color w:val="000000" w:themeColor="text1"/>
          <w:sz w:val="24"/>
          <w:highlight w:val="none"/>
          <w14:textFill>
            <w14:solidFill>
              <w14:schemeClr w14:val="tx1"/>
            </w14:solidFill>
          </w14:textFill>
        </w:rPr>
        <w:t>联系人：</w:t>
      </w:r>
      <w:r>
        <w:rPr>
          <w:rStyle w:val="35"/>
          <w:rFonts w:hint="eastAsia" w:ascii="宋体" w:hAnsi="宋体" w:cs="Times New Roman"/>
          <w:bCs/>
          <w:color w:val="000000" w:themeColor="text1"/>
          <w:sz w:val="24"/>
          <w:highlight w:val="none"/>
          <w:lang w:eastAsia="zh-CN"/>
          <w14:textFill>
            <w14:solidFill>
              <w14:schemeClr w14:val="tx1"/>
            </w14:solidFill>
          </w14:textFill>
        </w:rPr>
        <w:t>韦凯强</w:t>
      </w:r>
    </w:p>
    <w:p>
      <w:pPr>
        <w:snapToGrid w:val="0"/>
        <w:spacing w:line="480" w:lineRule="auto"/>
        <w:ind w:firstLine="357"/>
        <w:rPr>
          <w:rStyle w:val="35"/>
          <w:rFonts w:hint="default" w:ascii="宋体" w:hAnsi="宋体" w:eastAsia="宋体" w:cs="Times New Roman"/>
          <w:bCs/>
          <w:color w:val="000000" w:themeColor="text1"/>
          <w:sz w:val="24"/>
          <w:highlight w:val="none"/>
          <w:lang w:val="en-US" w:eastAsia="zh-CN"/>
          <w14:textFill>
            <w14:solidFill>
              <w14:schemeClr w14:val="tx1"/>
            </w14:solidFill>
          </w14:textFill>
        </w:rPr>
      </w:pPr>
      <w:r>
        <w:rPr>
          <w:rStyle w:val="35"/>
          <w:rFonts w:hint="eastAsia" w:ascii="宋体" w:hAnsi="宋体" w:eastAsia="宋体" w:cs="Times New Roman"/>
          <w:bCs/>
          <w:color w:val="000000" w:themeColor="text1"/>
          <w:sz w:val="24"/>
          <w:highlight w:val="none"/>
          <w14:textFill>
            <w14:solidFill>
              <w14:schemeClr w14:val="tx1"/>
            </w14:solidFill>
          </w14:textFill>
        </w:rPr>
        <w:t>联系电话：</w:t>
      </w:r>
      <w:r>
        <w:rPr>
          <w:rStyle w:val="35"/>
          <w:rFonts w:hint="eastAsia" w:ascii="宋体" w:hAnsi="宋体" w:cs="Times New Roman"/>
          <w:bCs/>
          <w:color w:val="000000" w:themeColor="text1"/>
          <w:sz w:val="24"/>
          <w:highlight w:val="none"/>
          <w:lang w:val="en-US" w:eastAsia="zh-CN"/>
          <w14:textFill>
            <w14:solidFill>
              <w14:schemeClr w14:val="tx1"/>
            </w14:solidFill>
          </w14:textFill>
        </w:rPr>
        <w:t>0993-6015261</w:t>
      </w:r>
    </w:p>
    <w:p>
      <w:pPr>
        <w:snapToGrid w:val="0"/>
        <w:spacing w:line="480" w:lineRule="auto"/>
        <w:ind w:firstLine="357"/>
        <w:rPr>
          <w:rStyle w:val="35"/>
          <w:rFonts w:hint="eastAsia" w:ascii="宋体" w:hAnsi="宋体"/>
          <w:bCs/>
          <w:color w:val="000000" w:themeColor="text1"/>
          <w:sz w:val="24"/>
          <w:highlight w:val="none"/>
          <w:lang w:eastAsia="zh-CN"/>
          <w14:textFill>
            <w14:solidFill>
              <w14:schemeClr w14:val="tx1"/>
            </w14:solidFill>
          </w14:textFill>
        </w:rPr>
      </w:pPr>
      <w:r>
        <w:rPr>
          <w:rStyle w:val="35"/>
          <w:rFonts w:hint="eastAsia" w:ascii="宋体" w:hAnsi="宋体"/>
          <w:bCs/>
          <w:color w:val="000000" w:themeColor="text1"/>
          <w:sz w:val="24"/>
          <w:highlight w:val="none"/>
          <w14:textFill>
            <w14:solidFill>
              <w14:schemeClr w14:val="tx1"/>
            </w14:solidFill>
          </w14:textFill>
        </w:rPr>
        <w:t>详细地址：</w:t>
      </w:r>
      <w:r>
        <w:rPr>
          <w:rStyle w:val="35"/>
          <w:rFonts w:hint="eastAsia" w:ascii="宋体" w:hAnsi="宋体"/>
          <w:bCs/>
          <w:color w:val="000000" w:themeColor="text1"/>
          <w:sz w:val="24"/>
          <w:highlight w:val="none"/>
          <w:lang w:eastAsia="zh-CN"/>
          <w14:textFill>
            <w14:solidFill>
              <w14:schemeClr w14:val="tx1"/>
            </w14:solidFill>
          </w14:textFill>
        </w:rPr>
        <w:t>沙湾市</w:t>
      </w:r>
    </w:p>
    <w:p>
      <w:pPr>
        <w:pStyle w:val="33"/>
        <w:rPr>
          <w:color w:val="000000" w:themeColor="text1"/>
          <w:highlight w:val="none"/>
          <w14:textFill>
            <w14:solidFill>
              <w14:schemeClr w14:val="tx1"/>
            </w14:solidFill>
          </w14:textFill>
        </w:rPr>
      </w:pPr>
    </w:p>
    <w:p>
      <w:pPr>
        <w:snapToGrid w:val="0"/>
        <w:spacing w:line="480" w:lineRule="auto"/>
        <w:ind w:firstLine="357"/>
        <w:rPr>
          <w:rStyle w:val="35"/>
          <w:rFonts w:ascii="宋体" w:hAnsi="宋体"/>
          <w:bCs/>
          <w:color w:val="000000" w:themeColor="text1"/>
          <w:sz w:val="24"/>
          <w:highlight w:val="none"/>
          <w14:textFill>
            <w14:solidFill>
              <w14:schemeClr w14:val="tx1"/>
            </w14:solidFill>
          </w14:textFill>
        </w:rPr>
      </w:pPr>
      <w:r>
        <w:rPr>
          <w:rStyle w:val="35"/>
          <w:rFonts w:hint="eastAsia" w:ascii="宋体" w:hAnsi="宋体"/>
          <w:bCs/>
          <w:color w:val="000000" w:themeColor="text1"/>
          <w:sz w:val="24"/>
          <w:highlight w:val="none"/>
          <w14:textFill>
            <w14:solidFill>
              <w14:schemeClr w14:val="tx1"/>
            </w14:solidFill>
          </w14:textFill>
        </w:rPr>
        <w:t>采购代理机构</w:t>
      </w:r>
      <w:r>
        <w:rPr>
          <w:rStyle w:val="35"/>
          <w:rFonts w:ascii="宋体" w:hAnsi="宋体"/>
          <w:bCs/>
          <w:color w:val="000000" w:themeColor="text1"/>
          <w:sz w:val="24"/>
          <w:highlight w:val="none"/>
          <w14:textFill>
            <w14:solidFill>
              <w14:schemeClr w14:val="tx1"/>
            </w14:solidFill>
          </w14:textFill>
        </w:rPr>
        <w:t>（盖章）:新疆拓源工程管理咨询有限公司</w:t>
      </w:r>
    </w:p>
    <w:p>
      <w:pPr>
        <w:snapToGrid w:val="0"/>
        <w:spacing w:line="480" w:lineRule="auto"/>
        <w:ind w:firstLine="357"/>
        <w:rPr>
          <w:rStyle w:val="35"/>
          <w:rFonts w:ascii="宋体" w:hAnsi="宋体"/>
          <w:bCs/>
          <w:color w:val="000000" w:themeColor="text1"/>
          <w:sz w:val="24"/>
          <w:highlight w:val="none"/>
          <w14:textFill>
            <w14:solidFill>
              <w14:schemeClr w14:val="tx1"/>
            </w14:solidFill>
          </w14:textFill>
        </w:rPr>
      </w:pPr>
      <w:r>
        <w:rPr>
          <w:rStyle w:val="35"/>
          <w:rFonts w:ascii="宋体" w:hAnsi="宋体"/>
          <w:bCs/>
          <w:color w:val="000000" w:themeColor="text1"/>
          <w:spacing w:val="35"/>
          <w:kern w:val="0"/>
          <w:sz w:val="24"/>
          <w:highlight w:val="none"/>
          <w14:textFill>
            <w14:solidFill>
              <w14:schemeClr w14:val="tx1"/>
            </w14:solidFill>
          </w14:textFill>
        </w:rPr>
        <w:t>项</w:t>
      </w:r>
      <w:r>
        <w:rPr>
          <w:rStyle w:val="35"/>
          <w:rFonts w:hint="eastAsia" w:ascii="宋体" w:hAnsi="宋体"/>
          <w:bCs/>
          <w:color w:val="000000" w:themeColor="text1"/>
          <w:spacing w:val="35"/>
          <w:kern w:val="0"/>
          <w:sz w:val="24"/>
          <w:highlight w:val="none"/>
          <w14:textFill>
            <w14:solidFill>
              <w14:schemeClr w14:val="tx1"/>
            </w14:solidFill>
          </w14:textFill>
        </w:rPr>
        <w:t xml:space="preserve"> </w:t>
      </w:r>
      <w:r>
        <w:rPr>
          <w:rStyle w:val="35"/>
          <w:rFonts w:ascii="宋体" w:hAnsi="宋体"/>
          <w:bCs/>
          <w:color w:val="000000" w:themeColor="text1"/>
          <w:spacing w:val="35"/>
          <w:kern w:val="0"/>
          <w:sz w:val="24"/>
          <w:highlight w:val="none"/>
          <w14:textFill>
            <w14:solidFill>
              <w14:schemeClr w14:val="tx1"/>
            </w14:solidFill>
          </w14:textFill>
        </w:rPr>
        <w:t>目</w:t>
      </w:r>
      <w:r>
        <w:rPr>
          <w:rStyle w:val="35"/>
          <w:rFonts w:hint="eastAsia" w:ascii="宋体" w:hAnsi="宋体"/>
          <w:bCs/>
          <w:color w:val="000000" w:themeColor="text1"/>
          <w:spacing w:val="35"/>
          <w:kern w:val="0"/>
          <w:sz w:val="24"/>
          <w:highlight w:val="none"/>
          <w14:textFill>
            <w14:solidFill>
              <w14:schemeClr w14:val="tx1"/>
            </w14:solidFill>
          </w14:textFill>
        </w:rPr>
        <w:t xml:space="preserve"> 联系人</w:t>
      </w:r>
      <w:r>
        <w:rPr>
          <w:rStyle w:val="35"/>
          <w:rFonts w:ascii="宋体" w:hAnsi="宋体"/>
          <w:bCs/>
          <w:color w:val="000000" w:themeColor="text1"/>
          <w:sz w:val="24"/>
          <w:highlight w:val="none"/>
          <w14:textFill>
            <w14:solidFill>
              <w14:schemeClr w14:val="tx1"/>
            </w14:solidFill>
          </w14:textFill>
        </w:rPr>
        <w:t>：</w:t>
      </w:r>
      <w:r>
        <w:rPr>
          <w:rStyle w:val="35"/>
          <w:rFonts w:hint="eastAsia" w:ascii="宋体" w:hAnsi="宋体"/>
          <w:bCs/>
          <w:color w:val="000000" w:themeColor="text1"/>
          <w:sz w:val="24"/>
          <w:highlight w:val="none"/>
          <w:lang w:val="en-US" w:eastAsia="zh-CN"/>
          <w14:textFill>
            <w14:solidFill>
              <w14:schemeClr w14:val="tx1"/>
            </w14:solidFill>
          </w14:textFill>
        </w:rPr>
        <w:t>杨工</w:t>
      </w:r>
    </w:p>
    <w:p>
      <w:pPr>
        <w:snapToGrid w:val="0"/>
        <w:spacing w:line="480" w:lineRule="auto"/>
        <w:ind w:firstLine="357"/>
        <w:rPr>
          <w:rStyle w:val="35"/>
          <w:rFonts w:hint="eastAsia" w:ascii="宋体" w:hAnsi="宋体"/>
          <w:bCs/>
          <w:color w:val="000000" w:themeColor="text1"/>
          <w:sz w:val="24"/>
          <w:highlight w:val="none"/>
          <w:lang w:val="en-US" w:eastAsia="zh-CN"/>
          <w14:textFill>
            <w14:solidFill>
              <w14:schemeClr w14:val="tx1"/>
            </w14:solidFill>
          </w14:textFill>
        </w:rPr>
      </w:pPr>
      <w:r>
        <w:rPr>
          <w:rStyle w:val="35"/>
          <w:rFonts w:ascii="宋体" w:hAnsi="宋体"/>
          <w:bCs/>
          <w:color w:val="000000" w:themeColor="text1"/>
          <w:spacing w:val="560"/>
          <w:kern w:val="0"/>
          <w:sz w:val="24"/>
          <w:highlight w:val="none"/>
          <w14:textFill>
            <w14:solidFill>
              <w14:schemeClr w14:val="tx1"/>
            </w14:solidFill>
          </w14:textFill>
        </w:rPr>
        <w:t>电</w:t>
      </w:r>
      <w:r>
        <w:rPr>
          <w:rStyle w:val="35"/>
          <w:rFonts w:ascii="宋体" w:hAnsi="宋体"/>
          <w:bCs/>
          <w:color w:val="000000" w:themeColor="text1"/>
          <w:kern w:val="0"/>
          <w:sz w:val="24"/>
          <w:highlight w:val="none"/>
          <w14:textFill>
            <w14:solidFill>
              <w14:schemeClr w14:val="tx1"/>
            </w14:solidFill>
          </w14:textFill>
        </w:rPr>
        <w:t>话</w:t>
      </w:r>
      <w:r>
        <w:rPr>
          <w:rStyle w:val="35"/>
          <w:rFonts w:ascii="宋体" w:hAnsi="宋体"/>
          <w:bCs/>
          <w:color w:val="000000" w:themeColor="text1"/>
          <w:sz w:val="24"/>
          <w:highlight w:val="none"/>
          <w14:textFill>
            <w14:solidFill>
              <w14:schemeClr w14:val="tx1"/>
            </w14:solidFill>
          </w14:textFill>
        </w:rPr>
        <w:t>：</w:t>
      </w:r>
      <w:r>
        <w:rPr>
          <w:rStyle w:val="35"/>
          <w:rFonts w:hint="eastAsia" w:ascii="宋体" w:hAnsi="宋体"/>
          <w:bCs/>
          <w:color w:val="000000" w:themeColor="text1"/>
          <w:sz w:val="24"/>
          <w:highlight w:val="none"/>
          <w14:textFill>
            <w14:solidFill>
              <w14:schemeClr w14:val="tx1"/>
            </w14:solidFill>
          </w14:textFill>
        </w:rPr>
        <w:t>19999795598</w:t>
      </w:r>
      <w:r>
        <w:rPr>
          <w:rStyle w:val="35"/>
          <w:rFonts w:hint="eastAsia" w:ascii="宋体" w:hAnsi="宋体"/>
          <w:bCs/>
          <w:color w:val="000000" w:themeColor="text1"/>
          <w:sz w:val="24"/>
          <w:highlight w:val="none"/>
          <w:lang w:val="en-US" w:eastAsia="zh-CN"/>
          <w14:textFill>
            <w14:solidFill>
              <w14:schemeClr w14:val="tx1"/>
            </w14:solidFill>
          </w14:textFill>
        </w:rPr>
        <w:t>、15199586230</w:t>
      </w:r>
    </w:p>
    <w:p>
      <w:pPr>
        <w:snapToGrid w:val="0"/>
        <w:spacing w:line="480" w:lineRule="auto"/>
        <w:ind w:firstLine="357"/>
        <w:rPr>
          <w:rStyle w:val="35"/>
          <w:rFonts w:ascii="宋体" w:hAnsi="宋体"/>
          <w:bCs/>
          <w:color w:val="000000" w:themeColor="text1"/>
          <w:sz w:val="24"/>
          <w:highlight w:val="none"/>
          <w14:textFill>
            <w14:solidFill>
              <w14:schemeClr w14:val="tx1"/>
            </w14:solidFill>
          </w14:textFill>
        </w:rPr>
      </w:pPr>
      <w:r>
        <w:rPr>
          <w:rStyle w:val="35"/>
          <w:rFonts w:ascii="宋体" w:hAnsi="宋体"/>
          <w:bCs/>
          <w:color w:val="000000" w:themeColor="text1"/>
          <w:spacing w:val="93"/>
          <w:kern w:val="0"/>
          <w:sz w:val="24"/>
          <w:highlight w:val="none"/>
          <w14:textFill>
            <w14:solidFill>
              <w14:schemeClr w14:val="tx1"/>
            </w14:solidFill>
          </w14:textFill>
        </w:rPr>
        <w:t>详细地</w:t>
      </w:r>
      <w:r>
        <w:rPr>
          <w:rStyle w:val="35"/>
          <w:rFonts w:ascii="宋体" w:hAnsi="宋体"/>
          <w:bCs/>
          <w:color w:val="000000" w:themeColor="text1"/>
          <w:spacing w:val="1"/>
          <w:kern w:val="0"/>
          <w:sz w:val="24"/>
          <w:highlight w:val="none"/>
          <w14:textFill>
            <w14:solidFill>
              <w14:schemeClr w14:val="tx1"/>
            </w14:solidFill>
          </w14:textFill>
        </w:rPr>
        <w:t>址</w:t>
      </w:r>
      <w:r>
        <w:rPr>
          <w:rStyle w:val="35"/>
          <w:rFonts w:hint="eastAsia" w:ascii="宋体" w:hAnsi="宋体"/>
          <w:bCs/>
          <w:color w:val="000000" w:themeColor="text1"/>
          <w:spacing w:val="1"/>
          <w:kern w:val="0"/>
          <w:sz w:val="24"/>
          <w:highlight w:val="none"/>
          <w14:textFill>
            <w14:solidFill>
              <w14:schemeClr w14:val="tx1"/>
            </w14:solidFill>
          </w14:textFill>
        </w:rPr>
        <w:t>：</w:t>
      </w:r>
      <w:r>
        <w:rPr>
          <w:rStyle w:val="35"/>
          <w:rFonts w:hint="eastAsia" w:ascii="宋体" w:hAnsi="宋体"/>
          <w:bCs/>
          <w:color w:val="000000" w:themeColor="text1"/>
          <w:sz w:val="24"/>
          <w:highlight w:val="none"/>
          <w14:textFill>
            <w14:solidFill>
              <w14:schemeClr w14:val="tx1"/>
            </w14:solidFill>
          </w14:textFill>
        </w:rPr>
        <w:t>乌鲁木齐市水磨沟区龙盛街898号万科中央公园S6栋5层</w:t>
      </w:r>
    </w:p>
    <w:p>
      <w:pPr>
        <w:pStyle w:val="11"/>
        <w:rPr>
          <w:rStyle w:val="35"/>
          <w:rFonts w:ascii="宋体" w:hAnsi="宋体"/>
          <w:bCs/>
          <w:color w:val="000000" w:themeColor="text1"/>
          <w:sz w:val="24"/>
          <w:highlight w:val="none"/>
          <w14:textFill>
            <w14:solidFill>
              <w14:schemeClr w14:val="tx1"/>
            </w14:solidFill>
          </w14:textFill>
        </w:rPr>
      </w:pPr>
    </w:p>
    <w:p>
      <w:pPr>
        <w:snapToGrid w:val="0"/>
        <w:spacing w:after="120" w:line="540" w:lineRule="exact"/>
        <w:ind w:firstLine="437"/>
        <w:jc w:val="center"/>
        <w:rPr>
          <w:rFonts w:ascii="宋体" w:hAnsi="宋体"/>
          <w:color w:val="000000" w:themeColor="text1"/>
          <w:sz w:val="44"/>
          <w:highlight w:val="none"/>
          <w14:textFill>
            <w14:solidFill>
              <w14:schemeClr w14:val="tx1"/>
            </w14:solidFill>
          </w14:textFill>
        </w:rPr>
      </w:pPr>
    </w:p>
    <w:p>
      <w:pPr>
        <w:spacing w:line="500" w:lineRule="exact"/>
        <w:jc w:val="center"/>
        <w:rPr>
          <w:rFonts w:hint="eastAsia" w:ascii="宋体" w:hAnsi="宋体" w:eastAsia="宋体" w:cs="宋体"/>
          <w:b/>
          <w:color w:val="000000" w:themeColor="text1"/>
          <w:sz w:val="24"/>
          <w:szCs w:val="24"/>
          <w:highlight w:val="none"/>
          <w14:textFill>
            <w14:solidFill>
              <w14:schemeClr w14:val="tx1"/>
            </w14:solidFill>
          </w14:textFill>
        </w:rPr>
        <w:sectPr>
          <w:headerReference r:id="rId3" w:type="default"/>
          <w:pgSz w:w="11907" w:h="16840"/>
          <w:pgMar w:top="1440" w:right="1080" w:bottom="1440" w:left="1080" w:header="851" w:footer="992" w:gutter="0"/>
          <w:pgNumType w:start="1"/>
          <w:cols w:space="720" w:num="1"/>
          <w:docGrid w:linePitch="312" w:charSpace="0"/>
        </w:sectPr>
      </w:pPr>
      <w:bookmarkStart w:id="0" w:name="_Toc31371"/>
    </w:p>
    <w:p>
      <w:pPr>
        <w:pStyle w:val="11"/>
        <w:rPr>
          <w:rFonts w:hint="eastAsia" w:ascii="宋体" w:hAnsi="宋体" w:eastAsia="宋体" w:cs="宋体"/>
          <w:color w:val="000000" w:themeColor="text1"/>
          <w:highlight w:val="none"/>
          <w14:textFill>
            <w14:solidFill>
              <w14:schemeClr w14:val="tx1"/>
            </w14:solidFill>
          </w14:textFill>
        </w:rPr>
      </w:pPr>
    </w:p>
    <w:p>
      <w:pPr>
        <w:snapToGrid w:val="0"/>
        <w:spacing w:after="120" w:line="540" w:lineRule="exact"/>
        <w:ind w:firstLine="437"/>
        <w:jc w:val="center"/>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ind w:firstLine="437"/>
        <w:jc w:val="center"/>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480" w:lineRule="auto"/>
        <w:jc w:val="left"/>
        <w:rPr>
          <w:rFonts w:hint="eastAsia" w:ascii="宋体" w:hAnsi="宋体" w:eastAsia="宋体" w:cs="宋体"/>
          <w:caps w:val="0"/>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caps w:val="0"/>
          <w:color w:val="000000" w:themeColor="text1"/>
          <w:spacing w:val="0"/>
          <w:sz w:val="24"/>
          <w:szCs w:val="24"/>
          <w:highlight w:val="none"/>
          <w14:textFill>
            <w14:solidFill>
              <w14:schemeClr w14:val="tx1"/>
            </w14:solidFill>
          </w14:textFill>
        </w:rPr>
        <w:t xml:space="preserve">            </w:t>
      </w:r>
      <w:r>
        <w:rPr>
          <w:rFonts w:hint="eastAsia" w:ascii="宋体" w:hAnsi="宋体" w:eastAsia="宋体" w:cs="宋体"/>
          <w:caps w:val="0"/>
          <w:color w:val="000000" w:themeColor="text1"/>
          <w:spacing w:val="0"/>
          <w:sz w:val="24"/>
          <w:szCs w:val="24"/>
          <w:highlight w:val="none"/>
          <w:lang w:val="en-US" w:eastAsia="zh-CN"/>
          <w14:textFill>
            <w14:solidFill>
              <w14:schemeClr w14:val="tx1"/>
            </w14:solidFill>
          </w14:textFill>
        </w:rPr>
        <w:t xml:space="preserve">   </w:t>
      </w:r>
      <w:r>
        <w:rPr>
          <w:rFonts w:hint="eastAsia" w:ascii="宋体" w:hAnsi="宋体" w:eastAsia="宋体" w:cs="宋体"/>
          <w:caps w:val="0"/>
          <w:color w:val="000000" w:themeColor="text1"/>
          <w:spacing w:val="0"/>
          <w:sz w:val="24"/>
          <w:szCs w:val="24"/>
          <w:highlight w:val="none"/>
          <w14:textFill>
            <w14:solidFill>
              <w14:schemeClr w14:val="tx1"/>
            </w14:solidFill>
          </w14:textFill>
        </w:rPr>
        <w:t xml:space="preserve"> 文件编制 :  </w:t>
      </w:r>
      <w:r>
        <w:rPr>
          <w:rFonts w:hint="eastAsia" w:ascii="宋体" w:hAnsi="宋体" w:cs="宋体"/>
          <w:caps w:val="0"/>
          <w:color w:val="000000" w:themeColor="text1"/>
          <w:spacing w:val="0"/>
          <w:sz w:val="24"/>
          <w:szCs w:val="24"/>
          <w:highlight w:val="none"/>
          <w:lang w:val="en-US" w:eastAsia="zh-CN"/>
          <w14:textFill>
            <w14:solidFill>
              <w14:schemeClr w14:val="tx1"/>
            </w14:solidFill>
          </w14:textFill>
        </w:rPr>
        <w:t xml:space="preserve">舒馨  </w:t>
      </w:r>
      <w:r>
        <w:rPr>
          <w:rFonts w:hint="eastAsia" w:ascii="宋体" w:hAnsi="宋体" w:eastAsia="宋体" w:cs="宋体"/>
          <w:caps w:val="0"/>
          <w:color w:val="000000" w:themeColor="text1"/>
          <w:spacing w:val="0"/>
          <w:sz w:val="24"/>
          <w:szCs w:val="24"/>
          <w:highlight w:val="none"/>
          <w:lang w:val="en-US" w:eastAsia="zh-CN"/>
          <w14:textFill>
            <w14:solidFill>
              <w14:schemeClr w14:val="tx1"/>
            </w14:solidFill>
          </w14:textFill>
        </w:rPr>
        <w:t>杨治国</w:t>
      </w:r>
    </w:p>
    <w:p>
      <w:pPr>
        <w:snapToGrid w:val="0"/>
        <w:spacing w:after="120" w:line="480" w:lineRule="auto"/>
        <w:jc w:val="left"/>
        <w:rPr>
          <w:rFonts w:hint="eastAsia" w:ascii="宋体" w:hAnsi="宋体" w:eastAsia="宋体" w:cs="宋体"/>
          <w:caps w:val="0"/>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caps w:val="0"/>
          <w:color w:val="000000" w:themeColor="text1"/>
          <w:spacing w:val="0"/>
          <w:sz w:val="24"/>
          <w:szCs w:val="24"/>
          <w:highlight w:val="none"/>
          <w14:textFill>
            <w14:solidFill>
              <w14:schemeClr w14:val="tx1"/>
            </w14:solidFill>
          </w14:textFill>
        </w:rPr>
        <w:t xml:space="preserve">                文件复核 :  </w:t>
      </w:r>
      <w:r>
        <w:rPr>
          <w:rFonts w:hint="eastAsia" w:ascii="宋体" w:hAnsi="宋体" w:eastAsia="宋体" w:cs="宋体"/>
          <w:caps w:val="0"/>
          <w:color w:val="000000" w:themeColor="text1"/>
          <w:spacing w:val="0"/>
          <w:sz w:val="24"/>
          <w:szCs w:val="24"/>
          <w:highlight w:val="none"/>
          <w:lang w:val="en-US" w:eastAsia="zh-CN"/>
          <w14:textFill>
            <w14:solidFill>
              <w14:schemeClr w14:val="tx1"/>
            </w14:solidFill>
          </w14:textFill>
        </w:rPr>
        <w:t>王浩</w:t>
      </w:r>
    </w:p>
    <w:p>
      <w:pPr>
        <w:snapToGrid w:val="0"/>
        <w:spacing w:after="120" w:line="480" w:lineRule="auto"/>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r>
        <w:rPr>
          <w:rFonts w:hint="eastAsia" w:ascii="宋体" w:hAnsi="宋体" w:eastAsia="宋体" w:cs="宋体"/>
          <w:caps w:val="0"/>
          <w:color w:val="000000" w:themeColor="text1"/>
          <w:spacing w:val="0"/>
          <w:sz w:val="24"/>
          <w:szCs w:val="24"/>
          <w:highlight w:val="none"/>
          <w14:textFill>
            <w14:solidFill>
              <w14:schemeClr w14:val="tx1"/>
            </w14:solidFill>
          </w14:textFill>
        </w:rPr>
        <w:t xml:space="preserve">                文件终审 :  王冰寒   </w:t>
      </w:r>
    </w:p>
    <w:p>
      <w:pPr>
        <w:snapToGrid w:val="0"/>
        <w:spacing w:after="120" w:line="480" w:lineRule="auto"/>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r>
        <w:rPr>
          <w:rFonts w:hint="eastAsia" w:ascii="宋体" w:hAnsi="宋体" w:eastAsia="宋体" w:cs="宋体"/>
          <w:caps w:val="0"/>
          <w:color w:val="000000" w:themeColor="text1"/>
          <w:spacing w:val="0"/>
          <w:sz w:val="24"/>
          <w:szCs w:val="24"/>
          <w:highlight w:val="none"/>
          <w14:textFill>
            <w14:solidFill>
              <w14:schemeClr w14:val="tx1"/>
            </w14:solidFill>
          </w14:textFill>
        </w:rPr>
        <w:t xml:space="preserve">                法律顾问 :  杜  红</w:t>
      </w: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snapToGrid w:val="0"/>
        <w:spacing w:after="120" w:line="540" w:lineRule="exact"/>
        <w:jc w:val="left"/>
        <w:rPr>
          <w:rFonts w:hint="eastAsia" w:ascii="宋体" w:hAnsi="宋体" w:eastAsia="宋体" w:cs="宋体"/>
          <w:caps w:val="0"/>
          <w:color w:val="000000" w:themeColor="text1"/>
          <w:spacing w:val="0"/>
          <w:sz w:val="24"/>
          <w:szCs w:val="24"/>
          <w:highlight w:val="none"/>
          <w14:textFill>
            <w14:solidFill>
              <w14:schemeClr w14:val="tx1"/>
            </w14:solidFill>
          </w14:textFill>
        </w:rPr>
      </w:pPr>
    </w:p>
    <w:p>
      <w:pPr>
        <w:pStyle w:val="74"/>
        <w:snapToGrid w:val="0"/>
        <w:ind w:left="0"/>
        <w:rPr>
          <w:rStyle w:val="35"/>
          <w:rFonts w:hint="eastAsia" w:ascii="宋体" w:hAnsi="宋体" w:eastAsia="宋体" w:cs="宋体"/>
          <w:caps w:val="0"/>
          <w:color w:val="000000" w:themeColor="text1"/>
          <w:spacing w:val="0"/>
          <w:sz w:val="24"/>
          <w:szCs w:val="24"/>
          <w:highlight w:val="none"/>
          <w14:textFill>
            <w14:solidFill>
              <w14:schemeClr w14:val="tx1"/>
            </w14:solidFill>
          </w14:textFill>
        </w:rPr>
      </w:pPr>
    </w:p>
    <w:p>
      <w:pPr>
        <w:rPr>
          <w:rFonts w:hint="eastAsia" w:ascii="宋体" w:hAnsi="宋体" w:eastAsia="宋体" w:cs="宋体"/>
          <w:b/>
          <w:caps w:val="0"/>
          <w:color w:val="000000" w:themeColor="text1"/>
          <w:spacing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aps w:val="0"/>
          <w:color w:val="000000" w:themeColor="text1"/>
          <w:spacing w:val="0"/>
          <w:sz w:val="24"/>
          <w:szCs w:val="24"/>
          <w:highlight w:val="none"/>
          <w14:textFill>
            <w14:solidFill>
              <w14:schemeClr w14:val="tx1"/>
            </w14:solidFill>
          </w14:textFill>
        </w:rPr>
        <w:sectPr>
          <w:footerReference r:id="rId4" w:type="default"/>
          <w:pgSz w:w="11906" w:h="16838"/>
          <w:pgMar w:top="1440" w:right="1800" w:bottom="1440" w:left="1800" w:header="851" w:footer="992" w:gutter="0"/>
          <w:pgNumType w:start="1"/>
          <w:cols w:space="720" w:num="1"/>
          <w:docGrid w:type="lines" w:linePitch="312" w:charSpace="0"/>
        </w:sectPr>
      </w:pPr>
    </w:p>
    <w:p>
      <w:pPr>
        <w:pStyle w:val="11"/>
        <w:rPr>
          <w:rFonts w:hint="eastAsia"/>
          <w:color w:val="000000" w:themeColor="text1"/>
          <w:highlight w:val="none"/>
          <w14:textFill>
            <w14:solidFill>
              <w14:schemeClr w14:val="tx1"/>
            </w14:solidFill>
          </w14:textFill>
        </w:rPr>
      </w:pPr>
    </w:p>
    <w:p>
      <w:pPr>
        <w:spacing w:line="50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目    录</w:t>
      </w:r>
      <w:bookmarkEnd w:id="0"/>
    </w:p>
    <w:p>
      <w:pPr>
        <w:pStyle w:val="19"/>
        <w:tabs>
          <w:tab w:val="right" w:leader="dot" w:pos="8959"/>
        </w:tabs>
        <w:rPr>
          <w:rFonts w:hint="eastAsia" w:ascii="宋体" w:hAnsi="宋体" w:eastAsia="宋体" w:cs="宋体"/>
          <w:color w:val="000000" w:themeColor="text1"/>
          <w:sz w:val="24"/>
          <w:szCs w:val="24"/>
          <w:highlight w:val="none"/>
          <w14:textFill>
            <w14:solidFill>
              <w14:schemeClr w14:val="tx1"/>
            </w14:solidFill>
          </w14:textFill>
        </w:rPr>
      </w:pPr>
    </w:p>
    <w:p>
      <w:pPr>
        <w:pStyle w:val="19"/>
        <w:tabs>
          <w:tab w:val="right" w:leader="dot" w:pos="8959"/>
        </w:tabs>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TOC \o "1-1" \h \u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"_Toc3427"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第一章  招标公告</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pStyle w:val="19"/>
        <w:tabs>
          <w:tab w:val="right" w:leader="dot" w:pos="8959"/>
        </w:tabs>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"_Toc28983"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第二章  投标人须知</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pStyle w:val="19"/>
        <w:tabs>
          <w:tab w:val="right" w:leader="dot" w:pos="8959"/>
        </w:tabs>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"_Toc21780"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bCs/>
          <w:color w:val="000000" w:themeColor="text1"/>
          <w:sz w:val="24"/>
          <w:szCs w:val="24"/>
          <w:highlight w:val="none"/>
          <w14:textFill>
            <w14:solidFill>
              <w14:schemeClr w14:val="tx1"/>
            </w14:solidFill>
          </w14:textFill>
        </w:rPr>
        <w:t>第三章  投标文件格式</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lang w:val="en-US" w:eastAsia="zh-CN"/>
          <w14:textFill>
            <w14:solidFill>
              <w14:schemeClr w14:val="tx1"/>
            </w14:solidFill>
          </w14:textFill>
        </w:rPr>
        <w:t>2</w:t>
      </w:r>
    </w:p>
    <w:p>
      <w:pPr>
        <w:pStyle w:val="19"/>
        <w:tabs>
          <w:tab w:val="right" w:leader="dot" w:pos="8959"/>
        </w:tabs>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"_Toc20068"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bCs/>
          <w:color w:val="000000" w:themeColor="text1"/>
          <w:sz w:val="24"/>
          <w:szCs w:val="24"/>
          <w:highlight w:val="none"/>
          <w14:textFill>
            <w14:solidFill>
              <w14:schemeClr w14:val="tx1"/>
            </w14:solidFill>
          </w14:textFill>
        </w:rPr>
        <w:t xml:space="preserve">第四章  </w:t>
      </w:r>
      <w:r>
        <w:rPr>
          <w:rFonts w:hint="eastAsia" w:ascii="宋体" w:hAnsi="宋体" w:cs="宋体"/>
          <w:bCs/>
          <w:color w:val="000000" w:themeColor="text1"/>
          <w:sz w:val="24"/>
          <w:szCs w:val="24"/>
          <w:highlight w:val="none"/>
          <w:lang w:eastAsia="zh-CN"/>
          <w14:textFill>
            <w14:solidFill>
              <w14:schemeClr w14:val="tx1"/>
            </w14:solidFill>
          </w14:textFill>
        </w:rPr>
        <w:t>招标项目采购需求</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lang w:val="en-US" w:eastAsia="zh-CN"/>
          <w14:textFill>
            <w14:solidFill>
              <w14:schemeClr w14:val="tx1"/>
            </w14:solidFill>
          </w14:textFill>
        </w:rPr>
        <w:t>9</w:t>
      </w:r>
    </w:p>
    <w:p>
      <w:pPr>
        <w:pStyle w:val="19"/>
        <w:tabs>
          <w:tab w:val="right" w:leader="dot" w:pos="8959"/>
        </w:tabs>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"_Toc15082"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bCs/>
          <w:color w:val="000000" w:themeColor="text1"/>
          <w:sz w:val="24"/>
          <w:szCs w:val="24"/>
          <w:highlight w:val="none"/>
          <w14:textFill>
            <w14:solidFill>
              <w14:schemeClr w14:val="tx1"/>
            </w14:solidFill>
          </w14:textFill>
        </w:rPr>
        <w:t>第五章  评标办法</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lang w:val="en-US" w:eastAsia="zh-CN"/>
          <w14:textFill>
            <w14:solidFill>
              <w14:schemeClr w14:val="tx1"/>
            </w14:solidFill>
          </w14:textFill>
        </w:rPr>
        <w:t>72</w:t>
      </w:r>
    </w:p>
    <w:p>
      <w:pPr>
        <w:pStyle w:val="19"/>
        <w:tabs>
          <w:tab w:val="right" w:leader="dot" w:pos="8959"/>
        </w:tabs>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"_Toc22113"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第六章  拟签订的合同文本</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lang w:val="en-US" w:eastAsia="zh-CN"/>
          <w14:textFill>
            <w14:solidFill>
              <w14:schemeClr w14:val="tx1"/>
            </w14:solidFill>
          </w14:textFill>
        </w:rPr>
        <w:t>80</w:t>
      </w:r>
    </w:p>
    <w:p>
      <w:pPr>
        <w:pStyle w:val="11"/>
        <w:spacing w:after="0" w:line="500" w:lineRule="exact"/>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end"/>
      </w:r>
    </w:p>
    <w:p>
      <w:pPr>
        <w:ind w:firstLine="480" w:firstLineChars="200"/>
        <w:rPr>
          <w:rFonts w:ascii="宋体" w:hAnsi="宋体" w:cs="宋体"/>
          <w:bCs/>
          <w:color w:val="000000" w:themeColor="text1"/>
          <w:sz w:val="24"/>
          <w:highlight w:val="none"/>
          <w14:textFill>
            <w14:solidFill>
              <w14:schemeClr w14:val="tx1"/>
            </w14:solidFill>
          </w14:textFill>
        </w:rPr>
      </w:pPr>
    </w:p>
    <w:p>
      <w:pPr>
        <w:pStyle w:val="3"/>
        <w:spacing w:line="360" w:lineRule="exact"/>
        <w:rPr>
          <w:rFonts w:ascii="宋体" w:hAnsi="宋体" w:cs="宋体"/>
          <w:bCs w:val="0"/>
          <w:color w:val="000000" w:themeColor="text1"/>
          <w:sz w:val="24"/>
          <w:szCs w:val="24"/>
          <w:highlight w:val="none"/>
          <w14:textFill>
            <w14:solidFill>
              <w14:schemeClr w14:val="tx1"/>
            </w14:solidFill>
          </w14:textFill>
        </w:rPr>
        <w:sectPr>
          <w:footerReference r:id="rId5" w:type="default"/>
          <w:pgSz w:w="11907" w:h="16840"/>
          <w:pgMar w:top="1440" w:right="1080" w:bottom="1440" w:left="1080" w:header="851" w:footer="992" w:gutter="0"/>
          <w:pgNumType w:fmt="decimal" w:start="1"/>
          <w:cols w:space="720" w:num="1"/>
          <w:docGrid w:linePitch="312" w:charSpace="0"/>
        </w:sectPr>
      </w:pPr>
    </w:p>
    <w:p>
      <w:pPr>
        <w:pStyle w:val="3"/>
        <w:pageBreakBefore w:val="0"/>
        <w:widowControl w:val="0"/>
        <w:kinsoku/>
        <w:wordWrap/>
        <w:overflowPunct/>
        <w:topLinePunct w:val="0"/>
        <w:autoSpaceDE/>
        <w:autoSpaceDN/>
        <w:bidi w:val="0"/>
        <w:adjustRightInd/>
        <w:snapToGrid/>
        <w:spacing w:before="312" w:beforeLines="100" w:after="312" w:afterLines="100" w:line="400" w:lineRule="exact"/>
        <w:jc w:val="center"/>
        <w:textAlignment w:val="auto"/>
        <w:rPr>
          <w:rFonts w:hint="eastAsia" w:ascii="宋体" w:hAnsi="宋体" w:eastAsia="宋体" w:cs="宋体"/>
          <w:bCs w:val="0"/>
          <w:color w:val="000000" w:themeColor="text1"/>
          <w:sz w:val="24"/>
          <w:szCs w:val="24"/>
          <w:highlight w:val="none"/>
          <w14:textFill>
            <w14:solidFill>
              <w14:schemeClr w14:val="tx1"/>
            </w14:solidFill>
          </w14:textFill>
        </w:rPr>
      </w:pPr>
      <w:bookmarkStart w:id="1" w:name="_Toc647_WPSOffice_Level1"/>
      <w:bookmarkStart w:id="2" w:name="_Toc3427"/>
      <w:r>
        <w:rPr>
          <w:rFonts w:hint="eastAsia" w:ascii="宋体" w:hAnsi="宋体" w:eastAsia="宋体" w:cs="宋体"/>
          <w:bCs w:val="0"/>
          <w:color w:val="000000" w:themeColor="text1"/>
          <w:sz w:val="24"/>
          <w:szCs w:val="24"/>
          <w:highlight w:val="none"/>
          <w14:textFill>
            <w14:solidFill>
              <w14:schemeClr w14:val="tx1"/>
            </w14:solidFill>
          </w14:textFill>
        </w:rPr>
        <w:t xml:space="preserve">第一章  </w:t>
      </w:r>
      <w:bookmarkEnd w:id="1"/>
      <w:r>
        <w:rPr>
          <w:rFonts w:hint="eastAsia" w:ascii="宋体" w:hAnsi="宋体" w:eastAsia="宋体" w:cs="宋体"/>
          <w:bCs w:val="0"/>
          <w:color w:val="000000" w:themeColor="text1"/>
          <w:sz w:val="24"/>
          <w:szCs w:val="24"/>
          <w:highlight w:val="none"/>
          <w14:textFill>
            <w14:solidFill>
              <w14:schemeClr w14:val="tx1"/>
            </w14:solidFill>
          </w14:textFill>
        </w:rPr>
        <w:t>招标公告</w:t>
      </w:r>
      <w:bookmarkEnd w:id="2"/>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 w:name="_Toc213396759"/>
      <w:bookmarkStart w:id="4" w:name="_Toc856_WPSOffice_Level1"/>
      <w:bookmarkStart w:id="5" w:name="_Toc213496267"/>
      <w:bookmarkStart w:id="6" w:name="_Toc213396945"/>
      <w:bookmarkStart w:id="7" w:name="_Toc213397009"/>
      <w:bookmarkStart w:id="8" w:name="_Toc217446031"/>
      <w:r>
        <w:rPr>
          <w:rFonts w:hint="eastAsia" w:ascii="宋体" w:hAnsi="宋体" w:eastAsia="宋体" w:cs="宋体"/>
          <w:color w:val="000000" w:themeColor="text1"/>
          <w:sz w:val="24"/>
          <w:szCs w:val="24"/>
          <w:highlight w:val="none"/>
          <w14:textFill>
            <w14:solidFill>
              <w14:schemeClr w14:val="tx1"/>
            </w14:solidFill>
          </w14:textFill>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u w:val="single"/>
          <w:lang w:eastAsia="zh-CN"/>
          <w14:textFill>
            <w14:solidFill>
              <w14:schemeClr w14:val="tx1"/>
            </w14:solidFill>
          </w14:textFill>
        </w:rPr>
        <w:t>2023年沙湾市义务教育薄弱环节改善与能力提升项目（第七包）</w:t>
      </w:r>
      <w:r>
        <w:rPr>
          <w:rFonts w:hint="eastAsia" w:ascii="宋体" w:hAnsi="宋体" w:eastAsia="宋体" w:cs="宋体"/>
          <w:color w:val="000000" w:themeColor="text1"/>
          <w:sz w:val="24"/>
          <w:szCs w:val="24"/>
          <w:highlight w:val="none"/>
          <w14:textFill>
            <w14:solidFill>
              <w14:schemeClr w14:val="tx1"/>
            </w14:solidFill>
          </w14:textFill>
        </w:rPr>
        <w:t xml:space="preserve"> 招标项目的潜在投标人应在</w:t>
      </w:r>
      <w:r>
        <w:rPr>
          <w:rFonts w:hint="eastAsia" w:ascii="宋体" w:hAnsi="宋体" w:eastAsia="宋体" w:cs="宋体"/>
          <w:bCs/>
          <w:color w:val="000000" w:themeColor="text1"/>
          <w:sz w:val="24"/>
          <w:szCs w:val="24"/>
          <w:highlight w:val="none"/>
          <w:u w:val="single"/>
          <w14:textFill>
            <w14:solidFill>
              <w14:schemeClr w14:val="tx1"/>
            </w14:solidFill>
          </w14:textFill>
        </w:rPr>
        <w:t>新疆政府采购云平台https://www.zcygov.cn/</w:t>
      </w:r>
      <w:r>
        <w:rPr>
          <w:rFonts w:hint="eastAsia" w:ascii="宋体" w:hAnsi="宋体" w:eastAsia="宋体" w:cs="宋体"/>
          <w:color w:val="000000" w:themeColor="text1"/>
          <w:sz w:val="24"/>
          <w:szCs w:val="24"/>
          <w:highlight w:val="none"/>
          <w14:textFill>
            <w14:solidFill>
              <w14:schemeClr w14:val="tx1"/>
            </w14:solidFill>
          </w14:textFill>
        </w:rPr>
        <w:t>获取</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，并于</w:t>
      </w:r>
      <w:r>
        <w:rPr>
          <w:rFonts w:hint="eastAsia" w:ascii="宋体" w:hAnsi="宋体" w:eastAsia="宋体" w:cs="宋体"/>
          <w:color w:val="000000" w:themeColor="text1"/>
          <w:sz w:val="24"/>
          <w:szCs w:val="24"/>
          <w:highlight w:val="none"/>
          <w:u w:val="single"/>
          <w14:textFill>
            <w14:solidFill>
              <w14:schemeClr w14:val="tx1"/>
            </w14:solidFill>
          </w14:textFill>
        </w:rPr>
        <w:t>2023</w:t>
      </w:r>
      <w:r>
        <w:rPr>
          <w:rFonts w:hint="eastAsia" w:ascii="宋体" w:hAnsi="宋体" w:eastAsia="宋体" w:cs="宋体"/>
          <w:bCs/>
          <w:color w:val="000000" w:themeColor="text1"/>
          <w:sz w:val="24"/>
          <w:szCs w:val="24"/>
          <w:highlight w:val="none"/>
          <w:u w:val="single"/>
          <w14:textFill>
            <w14:solidFill>
              <w14:schemeClr w14:val="tx1"/>
            </w14:solidFill>
          </w14:textFill>
        </w:rPr>
        <w:t>年</w:t>
      </w:r>
      <w:r>
        <w:rPr>
          <w:rFonts w:hint="eastAsia" w:ascii="宋体" w:hAnsi="宋体" w:cs="宋体"/>
          <w:bCs/>
          <w:color w:val="000000" w:themeColor="text1"/>
          <w:sz w:val="24"/>
          <w:szCs w:val="24"/>
          <w:highlight w:val="none"/>
          <w:u w:val="single"/>
          <w:lang w:val="en-US" w:eastAsia="zh-CN"/>
          <w14:textFill>
            <w14:solidFill>
              <w14:schemeClr w14:val="tx1"/>
            </w14:solidFill>
          </w14:textFill>
        </w:rPr>
        <w:t>08</w:t>
      </w:r>
      <w:r>
        <w:rPr>
          <w:rFonts w:hint="eastAsia" w:ascii="宋体" w:hAnsi="宋体" w:eastAsia="宋体" w:cs="宋体"/>
          <w:bCs/>
          <w:color w:val="000000" w:themeColor="text1"/>
          <w:sz w:val="24"/>
          <w:szCs w:val="24"/>
          <w:highlight w:val="none"/>
          <w:u w:val="single"/>
          <w14:textFill>
            <w14:solidFill>
              <w14:schemeClr w14:val="tx1"/>
            </w14:solidFill>
          </w14:textFill>
        </w:rPr>
        <w:t>月</w:t>
      </w:r>
      <w:r>
        <w:rPr>
          <w:rFonts w:hint="eastAsia" w:ascii="宋体" w:hAnsi="宋体" w:cs="宋体"/>
          <w:bCs/>
          <w:color w:val="000000" w:themeColor="text1"/>
          <w:sz w:val="24"/>
          <w:szCs w:val="24"/>
          <w:highlight w:val="none"/>
          <w:u w:val="single"/>
          <w:lang w:val="en-US" w:eastAsia="zh-CN"/>
          <w14:textFill>
            <w14:solidFill>
              <w14:schemeClr w14:val="tx1"/>
            </w14:solidFill>
          </w14:textFill>
        </w:rPr>
        <w:t>23</w:t>
      </w:r>
      <w:r>
        <w:rPr>
          <w:rFonts w:hint="eastAsia" w:ascii="宋体" w:hAnsi="宋体" w:eastAsia="宋体" w:cs="宋体"/>
          <w:bCs/>
          <w:color w:val="000000" w:themeColor="text1"/>
          <w:sz w:val="24"/>
          <w:szCs w:val="24"/>
          <w:highlight w:val="none"/>
          <w:u w:val="single"/>
          <w14:textFill>
            <w14:solidFill>
              <w14:schemeClr w14:val="tx1"/>
            </w14:solidFill>
          </w14:textFill>
        </w:rPr>
        <w:t>日</w:t>
      </w:r>
      <w:r>
        <w:rPr>
          <w:rFonts w:hint="eastAsia" w:ascii="宋体" w:hAnsi="宋体" w:cs="宋体"/>
          <w:bCs/>
          <w:color w:val="000000" w:themeColor="text1"/>
          <w:sz w:val="24"/>
          <w:szCs w:val="24"/>
          <w:highlight w:val="none"/>
          <w:u w:val="single"/>
          <w:lang w:val="en-US" w:eastAsia="zh-CN"/>
          <w14:textFill>
            <w14:solidFill>
              <w14:schemeClr w14:val="tx1"/>
            </w14:solidFill>
          </w14:textFill>
        </w:rPr>
        <w:t>15</w:t>
      </w:r>
      <w:r>
        <w:rPr>
          <w:rFonts w:hint="eastAsia" w:ascii="宋体" w:hAnsi="宋体" w:eastAsia="宋体" w:cs="宋体"/>
          <w:bCs/>
          <w:color w:val="000000" w:themeColor="text1"/>
          <w:sz w:val="24"/>
          <w:szCs w:val="24"/>
          <w:highlight w:val="none"/>
          <w:u w:val="single"/>
          <w14:textFill>
            <w14:solidFill>
              <w14:schemeClr w14:val="tx1"/>
            </w14:solidFill>
          </w14:textFill>
        </w:rPr>
        <w:t>点</w:t>
      </w:r>
      <w:r>
        <w:rPr>
          <w:rFonts w:hint="eastAsia" w:ascii="宋体" w:hAnsi="宋体" w:cs="宋体"/>
          <w:bCs/>
          <w:color w:val="000000" w:themeColor="text1"/>
          <w:sz w:val="24"/>
          <w:szCs w:val="24"/>
          <w:highlight w:val="none"/>
          <w:u w:val="single"/>
          <w:lang w:val="en-US" w:eastAsia="zh-CN"/>
          <w14:textFill>
            <w14:solidFill>
              <w14:schemeClr w14:val="tx1"/>
            </w14:solidFill>
          </w14:textFill>
        </w:rPr>
        <w:t>00</w:t>
      </w:r>
      <w:r>
        <w:rPr>
          <w:rFonts w:hint="eastAsia" w:ascii="宋体" w:hAnsi="宋体" w:eastAsia="宋体" w:cs="宋体"/>
          <w:bCs/>
          <w:color w:val="000000" w:themeColor="text1"/>
          <w:sz w:val="24"/>
          <w:szCs w:val="24"/>
          <w:highlight w:val="none"/>
          <w:u w:val="single"/>
          <w14:textFill>
            <w14:solidFill>
              <w14:schemeClr w14:val="tx1"/>
            </w14:solidFill>
          </w14:textFill>
        </w:rPr>
        <w:t>分（</w:t>
      </w:r>
      <w:r>
        <w:rPr>
          <w:rFonts w:hint="eastAsia" w:ascii="宋体" w:hAnsi="宋体" w:eastAsia="宋体" w:cs="宋体"/>
          <w:bCs/>
          <w:color w:val="000000" w:themeColor="text1"/>
          <w:sz w:val="24"/>
          <w:szCs w:val="24"/>
          <w:highlight w:val="none"/>
          <w14:textFill>
            <w14:solidFill>
              <w14:schemeClr w14:val="tx1"/>
            </w14:solidFill>
          </w14:textFill>
        </w:rPr>
        <w:t>北京时间）前</w:t>
      </w:r>
      <w:r>
        <w:rPr>
          <w:rFonts w:hint="eastAsia" w:ascii="宋体" w:hAnsi="宋体" w:cs="宋体"/>
          <w:bCs/>
          <w:color w:val="000000" w:themeColor="text1"/>
          <w:sz w:val="24"/>
          <w:szCs w:val="24"/>
          <w:highlight w:val="none"/>
          <w:lang w:eastAsia="zh-CN"/>
          <w14:textFill>
            <w14:solidFill>
              <w14:schemeClr w14:val="tx1"/>
            </w14:solidFill>
          </w14:textFill>
        </w:rPr>
        <w:t>上传</w:t>
      </w:r>
      <w:r>
        <w:rPr>
          <w:rFonts w:hint="eastAsia" w:ascii="宋体" w:hAnsi="宋体" w:eastAsia="宋体" w:cs="宋体"/>
          <w:bCs/>
          <w:color w:val="000000" w:themeColor="text1"/>
          <w:sz w:val="24"/>
          <w:szCs w:val="24"/>
          <w:highlight w:val="none"/>
          <w14:textFill>
            <w14:solidFill>
              <w14:schemeClr w14:val="tx1"/>
            </w14:solidFill>
          </w14:textFill>
        </w:rPr>
        <w:t>投标文件</w:t>
      </w:r>
      <w:r>
        <w:rPr>
          <w:rFonts w:hint="eastAsia" w:ascii="宋体" w:hAnsi="宋体" w:eastAsia="宋体" w:cs="宋体"/>
          <w:color w:val="000000" w:themeColor="text1"/>
          <w:sz w:val="24"/>
          <w:szCs w:val="24"/>
          <w:highlight w:val="none"/>
          <w14:textFill>
            <w14:solidFill>
              <w14:schemeClr w14:val="tx1"/>
            </w14:solidFill>
          </w14:textFill>
        </w:rPr>
        <w:t>。</w:t>
      </w:r>
    </w:p>
    <w:p>
      <w:pPr>
        <w:pStyle w:val="57"/>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000000" w:themeColor="text1"/>
          <w:sz w:val="24"/>
          <w:szCs w:val="24"/>
          <w:highlight w:val="none"/>
          <w:shd w:val="clear" w:color="auto" w:fill="auto"/>
          <w:lang w:eastAsia="zh-CN"/>
          <w14:textFill>
            <w14:solidFill>
              <w14:schemeClr w14:val="tx1"/>
            </w14:solidFill>
          </w14:textFill>
        </w:rPr>
      </w:pPr>
      <w:bookmarkStart w:id="9" w:name="_Toc28359080"/>
      <w:bookmarkStart w:id="10" w:name="_Toc28359003"/>
      <w:bookmarkStart w:id="11" w:name="_Toc35393622"/>
      <w:bookmarkStart w:id="12" w:name="_Toc35393791"/>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一、项目基本情况</w:t>
      </w:r>
      <w:r>
        <w:rPr>
          <w:rFonts w:hint="eastAsia" w:ascii="宋体" w:hAnsi="宋体" w:eastAsia="宋体" w:cs="宋体"/>
          <w:b w:val="0"/>
          <w:bCs/>
          <w:color w:val="000000" w:themeColor="text1"/>
          <w:sz w:val="24"/>
          <w:szCs w:val="24"/>
          <w:highlight w:val="none"/>
          <w:shd w:val="clear" w:color="auto" w:fill="auto"/>
          <w:lang w:eastAsia="zh-CN"/>
          <w14:textFill>
            <w14:solidFill>
              <w14:schemeClr w14:val="tx1"/>
            </w14:solidFill>
          </w14:textFill>
        </w:rPr>
        <w:t>：</w:t>
      </w:r>
    </w:p>
    <w:p>
      <w:pPr>
        <w:pStyle w:val="57"/>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项目编号：</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XJTYSWZC-20230726</w:t>
      </w:r>
      <w:r>
        <w:rPr>
          <w:rFonts w:hint="eastAsia" w:hAnsi="宋体" w:cs="宋体"/>
          <w:b w:val="0"/>
          <w:bCs/>
          <w:color w:val="000000" w:themeColor="text1"/>
          <w:sz w:val="24"/>
          <w:szCs w:val="24"/>
          <w:highlight w:val="none"/>
          <w:shd w:val="clear" w:color="auto" w:fill="auto"/>
          <w:lang w:eastAsia="zh-CN"/>
          <w14:textFill>
            <w14:solidFill>
              <w14:schemeClr w14:val="tx1"/>
            </w14:solidFill>
          </w14:textFill>
        </w:rPr>
        <w:t xml:space="preserve"> </w:t>
      </w:r>
      <w:r>
        <w:rPr>
          <w:rFonts w:hint="eastAsia" w:hAnsi="宋体" w:cs="宋体"/>
          <w:b w:val="0"/>
          <w:bCs/>
          <w:color w:val="000000" w:themeColor="text1"/>
          <w:sz w:val="24"/>
          <w:szCs w:val="24"/>
          <w:highlight w:val="none"/>
          <w:shd w:val="clear" w:color="auto" w:fill="auto"/>
          <w:lang w:eastAsia="zh-CN"/>
          <w14:textFill>
            <w14:solidFill>
              <w14:schemeClr w14:val="tx1"/>
            </w14:solidFill>
          </w14:textFill>
        </w:rPr>
        <w:t xml:space="preserve"> </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 xml:space="preserve"> </w:t>
      </w:r>
    </w:p>
    <w:p>
      <w:pPr>
        <w:pStyle w:val="57"/>
        <w:keepNext w:val="0"/>
        <w:keepLines w:val="0"/>
        <w:pageBreakBefore w:val="0"/>
        <w:widowControl/>
        <w:shd w:val="clear" w:color="auto" w:fill="auto"/>
        <w:kinsoku/>
        <w:wordWrap/>
        <w:overflowPunct/>
        <w:topLinePunct w:val="0"/>
        <w:autoSpaceDE/>
        <w:autoSpaceDN/>
        <w:bidi w:val="0"/>
        <w:adjustRightInd/>
        <w:snapToGrid/>
        <w:spacing w:line="400" w:lineRule="exact"/>
        <w:ind w:left="479" w:leftChars="228" w:right="0" w:rightChars="0" w:firstLine="0" w:firstLineChars="0"/>
        <w:jc w:val="left"/>
        <w:textAlignment w:val="auto"/>
        <w:rPr>
          <w:rFonts w:hint="default"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项目名称：</w:t>
      </w:r>
      <w:r>
        <w:rPr>
          <w:rFonts w:hint="eastAsia" w:hAnsi="宋体" w:cs="宋体"/>
          <w:color w:val="000000" w:themeColor="text1"/>
          <w:sz w:val="24"/>
          <w:szCs w:val="24"/>
          <w:highlight w:val="none"/>
          <w:u w:val="none"/>
          <w:lang w:eastAsia="zh-CN"/>
          <w14:textFill>
            <w14:solidFill>
              <w14:schemeClr w14:val="tx1"/>
            </w14:solidFill>
          </w14:textFill>
        </w:rPr>
        <w:t>2023年沙湾市义务教育薄弱环节改善与能力提升项目（第七包）</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采购方式：</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公开招标</w:t>
      </w:r>
    </w:p>
    <w:p>
      <w:pPr>
        <w:pStyle w:val="57"/>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default"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预算金额（元）</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1800000.00</w:t>
      </w:r>
    </w:p>
    <w:p>
      <w:pPr>
        <w:pStyle w:val="57"/>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hAnsi="宋体" w:cs="宋体"/>
          <w:i w:val="0"/>
          <w:iCs w:val="0"/>
          <w:caps w:val="0"/>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最高限价（元）：</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1800000.00</w:t>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 xml:space="preserve">  </w:t>
      </w:r>
      <w:r>
        <w:rPr>
          <w:rFonts w:hint="eastAsia" w:hAnsi="宋体" w:cs="宋体"/>
          <w:i w:val="0"/>
          <w:iCs w:val="0"/>
          <w:caps w:val="0"/>
          <w:color w:val="000000" w:themeColor="text1"/>
          <w:spacing w:val="0"/>
          <w:sz w:val="24"/>
          <w:szCs w:val="24"/>
          <w:highlight w:val="none"/>
          <w:lang w:val="en-US" w:eastAsia="zh-CN"/>
          <w14:textFill>
            <w14:solidFill>
              <w14:schemeClr w14:val="tx1"/>
            </w14:solidFill>
          </w14:textFill>
        </w:rPr>
        <w:t xml:space="preserve"> </w:t>
      </w:r>
    </w:p>
    <w:p>
      <w:pPr>
        <w:pStyle w:val="57"/>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i w:val="0"/>
          <w:iCs w:val="0"/>
          <w:caps w:val="0"/>
          <w:color w:val="000000" w:themeColor="text1"/>
          <w:spacing w:val="0"/>
          <w:sz w:val="24"/>
          <w:szCs w:val="24"/>
          <w:highlight w:val="none"/>
          <w:lang w:eastAsia="zh-CN"/>
          <w14:textFill>
            <w14:solidFill>
              <w14:schemeClr w14:val="tx1"/>
            </w14:solidFill>
          </w14:textFill>
        </w:rPr>
      </w:pPr>
      <w:r>
        <w:rPr>
          <w:rFonts w:hint="eastAsia" w:hAnsi="宋体" w:cs="宋体"/>
          <w:i w:val="0"/>
          <w:iCs w:val="0"/>
          <w:caps w:val="0"/>
          <w:color w:val="000000" w:themeColor="text1"/>
          <w:spacing w:val="0"/>
          <w:sz w:val="24"/>
          <w:szCs w:val="24"/>
          <w:highlight w:val="none"/>
          <w:lang w:eastAsia="zh-CN"/>
          <w14:textFill>
            <w14:solidFill>
              <w14:schemeClr w14:val="tx1"/>
            </w14:solidFill>
          </w14:textFill>
        </w:rPr>
        <w:t>采购需求：</w:t>
      </w:r>
    </w:p>
    <w:p>
      <w:pPr>
        <w:pStyle w:val="57"/>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标项名称:</w:t>
      </w:r>
      <w:r>
        <w:rPr>
          <w:rFonts w:hint="eastAsia" w:cs="宋体"/>
          <w:i w:val="0"/>
          <w:iCs w:val="0"/>
          <w:caps w:val="0"/>
          <w:color w:val="000000" w:themeColor="text1"/>
          <w:spacing w:val="0"/>
          <w:sz w:val="24"/>
          <w:szCs w:val="24"/>
          <w:highlight w:val="none"/>
          <w:lang w:eastAsia="zh-CN"/>
          <w14:textFill>
            <w14:solidFill>
              <w14:schemeClr w14:val="tx1"/>
            </w14:solidFill>
          </w14:textFill>
        </w:rPr>
        <w:t>2023年沙湾市义务教育薄弱环节改善与能力提升项目（第七包</w:t>
      </w:r>
      <w:r>
        <w:rPr>
          <w:rFonts w:hint="eastAsia" w:cs="宋体"/>
          <w:i w:val="0"/>
          <w:iCs w:val="0"/>
          <w:caps w:val="0"/>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   数量:</w:t>
      </w:r>
      <w:r>
        <w:rPr>
          <w:rFonts w:hint="eastAsia" w:cs="宋体"/>
          <w:i w:val="0"/>
          <w:iCs w:val="0"/>
          <w:caps w:val="0"/>
          <w:color w:val="000000" w:themeColor="text1"/>
          <w:spacing w:val="0"/>
          <w:sz w:val="24"/>
          <w:szCs w:val="24"/>
          <w:highlight w:val="none"/>
          <w:lang w:val="en-US" w:eastAsia="zh-CN"/>
          <w14:textFill>
            <w14:solidFill>
              <w14:schemeClr w14:val="tx1"/>
            </w14:solidFill>
          </w14:textFill>
        </w:rPr>
        <w:t>1批</w:t>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   预算金额（元）:</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1800000.00</w:t>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   简要规格描述或项目基本概况介绍、用途：</w:t>
      </w:r>
      <w:r>
        <w:rPr>
          <w:rFonts w:hint="eastAsia" w:hAnsi="宋体" w:cs="宋体"/>
          <w:i w:val="0"/>
          <w:iCs w:val="0"/>
          <w:caps w:val="0"/>
          <w:color w:val="000000" w:themeColor="text1"/>
          <w:spacing w:val="0"/>
          <w:sz w:val="24"/>
          <w:szCs w:val="24"/>
          <w:highlight w:val="none"/>
          <w:lang w:eastAsia="zh-CN"/>
          <w14:textFill>
            <w14:solidFill>
              <w14:schemeClr w14:val="tx1"/>
            </w14:solidFill>
          </w14:textFill>
        </w:rPr>
        <w:t>采购</w:t>
      </w:r>
      <w:r>
        <w:rPr>
          <w:rFonts w:hint="eastAsia" w:hAnsi="宋体" w:cs="宋体"/>
          <w:i w:val="0"/>
          <w:iCs w:val="0"/>
          <w:caps w:val="0"/>
          <w:color w:val="000000" w:themeColor="text1"/>
          <w:spacing w:val="0"/>
          <w:sz w:val="24"/>
          <w:szCs w:val="24"/>
          <w:highlight w:val="none"/>
          <w:lang w:eastAsia="zh-CN"/>
          <w14:textFill>
            <w14:solidFill>
              <w14:schemeClr w14:val="tx1"/>
            </w14:solidFill>
          </w14:textFill>
        </w:rPr>
        <w:t>物理、化学、生物教学仪器设备一批</w:t>
      </w:r>
      <w:r>
        <w:rPr>
          <w:rFonts w:hint="eastAsia" w:ascii="宋体" w:hAnsi="宋体" w:eastAsia="宋体" w:cs="宋体"/>
          <w:i w:val="0"/>
          <w:iCs w:val="0"/>
          <w:caps w:val="0"/>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highlight w:val="none"/>
          <w:lang w:eastAsia="zh-CN"/>
          <w14:textFill>
            <w14:solidFill>
              <w14:schemeClr w14:val="tx1"/>
            </w14:solidFill>
          </w14:textFill>
        </w:rPr>
        <w:t>包括供货、运输保险、安装、验收及质保、培训、售后服务等，具体采购需求详见招标文件</w:t>
      </w:r>
      <w:r>
        <w:rPr>
          <w:rFonts w:hint="eastAsia" w:cs="宋体"/>
          <w:i w:val="0"/>
          <w:iCs w:val="0"/>
          <w:caps w:val="0"/>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 xml:space="preserve">  </w:t>
      </w:r>
      <w:r>
        <w:rPr>
          <w:rFonts w:hint="eastAsia" w:hAnsi="宋体" w:cs="宋体"/>
          <w:i w:val="0"/>
          <w:iCs w:val="0"/>
          <w:caps w:val="0"/>
          <w:color w:val="000000" w:themeColor="text1"/>
          <w:spacing w:val="0"/>
          <w:sz w:val="24"/>
          <w:szCs w:val="24"/>
          <w:highlight w:val="none"/>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备注：</w:t>
      </w:r>
    </w:p>
    <w:p>
      <w:pPr>
        <w:pStyle w:val="23"/>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firstLine="480" w:firstLineChars="200"/>
        <w:textAlignment w:val="auto"/>
        <w:rPr>
          <w:rFonts w:hint="eastAsia" w:ascii="宋体" w:hAnsi="宋体" w:eastAsia="宋体" w:cs="宋体"/>
          <w:i w:val="0"/>
          <w:iCs w:val="0"/>
          <w:caps w:val="0"/>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合同履约期限：</w:t>
      </w:r>
      <w:r>
        <w:rPr>
          <w:rFonts w:hint="eastAsia" w:ascii="宋体" w:hAnsi="宋体" w:eastAsia="宋体" w:cs="宋体"/>
          <w:i w:val="0"/>
          <w:iCs w:val="0"/>
          <w:caps w:val="0"/>
          <w:color w:val="000000" w:themeColor="text1"/>
          <w:spacing w:val="0"/>
          <w:sz w:val="24"/>
          <w:szCs w:val="24"/>
          <w:highlight w:val="none"/>
          <w:lang w:val="en-US" w:eastAsia="zh-CN"/>
          <w14:textFill>
            <w14:solidFill>
              <w14:schemeClr w14:val="tx1"/>
            </w14:solidFill>
          </w14:textFill>
        </w:rPr>
        <w:t>合同签订后</w:t>
      </w:r>
      <w:r>
        <w:rPr>
          <w:rFonts w:hint="eastAsia" w:cs="宋体"/>
          <w:i w:val="0"/>
          <w:iCs w:val="0"/>
          <w:caps w:val="0"/>
          <w:color w:val="000000" w:themeColor="text1"/>
          <w:spacing w:val="0"/>
          <w:sz w:val="24"/>
          <w:szCs w:val="24"/>
          <w:highlight w:val="none"/>
          <w:lang w:val="en-US" w:eastAsia="zh-CN"/>
          <w14:textFill>
            <w14:solidFill>
              <w14:schemeClr w14:val="tx1"/>
            </w14:solidFill>
          </w14:textFill>
        </w:rPr>
        <w:t>45</w:t>
      </w:r>
      <w:r>
        <w:rPr>
          <w:rFonts w:hint="eastAsia" w:ascii="宋体" w:hAnsi="宋体" w:eastAsia="宋体" w:cs="宋体"/>
          <w:i w:val="0"/>
          <w:iCs w:val="0"/>
          <w:caps w:val="0"/>
          <w:color w:val="000000" w:themeColor="text1"/>
          <w:spacing w:val="0"/>
          <w:sz w:val="24"/>
          <w:szCs w:val="24"/>
          <w:highlight w:val="none"/>
          <w:lang w:val="en-US" w:eastAsia="zh-CN"/>
          <w14:textFill>
            <w14:solidFill>
              <w14:schemeClr w14:val="tx1"/>
            </w14:solidFill>
          </w14:textFill>
        </w:rPr>
        <w:t>日历天内完成。</w:t>
      </w:r>
    </w:p>
    <w:p>
      <w:pPr>
        <w:pStyle w:val="23"/>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t>本项目（否）接受联合体投标。</w:t>
      </w:r>
    </w:p>
    <w:p>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二、申请人的资格要求：</w:t>
      </w:r>
      <w:bookmarkEnd w:id="9"/>
      <w:bookmarkEnd w:id="10"/>
      <w:bookmarkEnd w:id="11"/>
      <w:bookmarkEnd w:id="12"/>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1.满足《中华人民共和国政府采购法》第二十二条规定；</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i w:val="0"/>
          <w:iCs w:val="0"/>
          <w:color w:val="000000" w:themeColor="text1"/>
          <w:sz w:val="24"/>
          <w:szCs w:val="24"/>
          <w:highlight w:val="none"/>
          <w14:textFill>
            <w14:solidFill>
              <w14:schemeClr w14:val="tx1"/>
            </w14:solidFill>
          </w14:textFill>
        </w:rPr>
      </w:pPr>
      <w:bookmarkStart w:id="13" w:name="_Toc28359004"/>
      <w:bookmarkStart w:id="14" w:name="_Toc28359081"/>
      <w:r>
        <w:rPr>
          <w:rFonts w:hint="eastAsia" w:ascii="宋体" w:hAnsi="宋体" w:eastAsia="宋体" w:cs="宋体"/>
          <w:color w:val="000000" w:themeColor="text1"/>
          <w:sz w:val="24"/>
          <w:szCs w:val="24"/>
          <w:highlight w:val="none"/>
          <w14:textFill>
            <w14:solidFill>
              <w14:schemeClr w14:val="tx1"/>
            </w14:solidFill>
          </w14:textFill>
        </w:rPr>
        <w:t>2.落实政府采购政策需满足的资格要求：</w:t>
      </w:r>
      <w:r>
        <w:rPr>
          <w:rFonts w:hint="eastAsia" w:ascii="宋体" w:hAnsi="宋体" w:eastAsia="宋体" w:cs="宋体"/>
          <w:i w:val="0"/>
          <w:iCs w:val="0"/>
          <w:color w:val="000000" w:themeColor="text1"/>
          <w:sz w:val="24"/>
          <w:szCs w:val="24"/>
          <w:highlight w:val="none"/>
          <w14:textFill>
            <w14:solidFill>
              <w14:schemeClr w14:val="tx1"/>
            </w14:solidFill>
          </w14:textFill>
        </w:rPr>
        <w:t>本</w:t>
      </w:r>
      <w:r>
        <w:rPr>
          <w:rFonts w:hint="eastAsia" w:ascii="宋体" w:hAnsi="宋体" w:cs="宋体"/>
          <w:i w:val="0"/>
          <w:iCs w:val="0"/>
          <w:color w:val="000000" w:themeColor="text1"/>
          <w:sz w:val="24"/>
          <w:szCs w:val="24"/>
          <w:highlight w:val="none"/>
          <w:lang w:eastAsia="zh-CN"/>
          <w14:textFill>
            <w14:solidFill>
              <w14:schemeClr w14:val="tx1"/>
            </w14:solidFill>
          </w14:textFill>
        </w:rPr>
        <w:t>标项</w:t>
      </w:r>
      <w:r>
        <w:rPr>
          <w:rFonts w:hint="eastAsia" w:ascii="宋体" w:hAnsi="宋体" w:eastAsia="宋体" w:cs="宋体"/>
          <w:i w:val="0"/>
          <w:iCs w:val="0"/>
          <w:color w:val="000000" w:themeColor="text1"/>
          <w:sz w:val="24"/>
          <w:szCs w:val="24"/>
          <w:highlight w:val="none"/>
          <w14:textFill>
            <w14:solidFill>
              <w14:schemeClr w14:val="tx1"/>
            </w14:solidFill>
          </w14:textFill>
        </w:rPr>
        <w:t>为专门面向中小企业（含中型、小型、微型企业）采购项目。</w:t>
      </w:r>
      <w:bookmarkStart w:id="170" w:name="_GoBack"/>
      <w:bookmarkEnd w:id="170"/>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.本项目的特定资格要求：</w:t>
      </w:r>
      <w:r>
        <w:rPr>
          <w:rFonts w:hint="eastAsia" w:ascii="宋体" w:hAnsi="宋体" w:cs="宋体"/>
          <w:color w:val="000000" w:themeColor="text1"/>
          <w:sz w:val="24"/>
          <w:szCs w:val="24"/>
          <w:highlight w:val="none"/>
          <w:lang w:val="en-US" w:eastAsia="zh-CN"/>
          <w14:textFill>
            <w14:solidFill>
              <w14:schemeClr w14:val="tx1"/>
            </w14:solidFill>
          </w14:textFill>
        </w:rPr>
        <w:t>无</w:t>
      </w:r>
      <w:r>
        <w:rPr>
          <w:rFonts w:hint="eastAsia" w:ascii="宋体" w:hAnsi="宋体" w:eastAsia="宋体" w:cs="宋体"/>
          <w:b w:val="0"/>
          <w:bCs/>
          <w:color w:val="000000" w:themeColor="text1"/>
          <w:sz w:val="24"/>
          <w:szCs w:val="24"/>
          <w:highlight w:val="none"/>
          <w:shd w:val="clear" w:color="auto" w:fill="auto"/>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15" w:name="_Toc35393792"/>
      <w:bookmarkStart w:id="16" w:name="_Toc35393623"/>
      <w:r>
        <w:rPr>
          <w:rFonts w:hint="eastAsia" w:ascii="宋体" w:hAnsi="宋体" w:eastAsia="宋体" w:cs="宋体"/>
          <w:color w:val="000000" w:themeColor="text1"/>
          <w:sz w:val="24"/>
          <w:szCs w:val="24"/>
          <w:highlight w:val="none"/>
          <w14:textFill>
            <w14:solidFill>
              <w14:schemeClr w14:val="tx1"/>
            </w14:solidFill>
          </w14:textFill>
        </w:rPr>
        <w:t>三、获取</w:t>
      </w:r>
      <w:bookmarkEnd w:id="13"/>
      <w:bookmarkEnd w:id="14"/>
      <w:bookmarkEnd w:id="15"/>
      <w:bookmarkEnd w:id="16"/>
      <w:r>
        <w:rPr>
          <w:rFonts w:hint="eastAsia" w:ascii="宋体" w:hAnsi="宋体" w:cs="宋体"/>
          <w:color w:val="000000" w:themeColor="text1"/>
          <w:sz w:val="24"/>
          <w:szCs w:val="24"/>
          <w:highlight w:val="none"/>
          <w:lang w:eastAsia="zh-CN"/>
          <w14:textFill>
            <w14:solidFill>
              <w14:schemeClr w14:val="tx1"/>
            </w14:solidFill>
          </w14:textFill>
        </w:rPr>
        <w:t>招标文件</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w:t>
      </w:r>
      <w:r>
        <w:rPr>
          <w:rFonts w:hint="eastAsia" w:ascii="宋体" w:hAnsi="宋体" w:eastAsia="宋体" w:cs="宋体"/>
          <w:color w:val="000000" w:themeColor="text1"/>
          <w:sz w:val="24"/>
          <w:szCs w:val="24"/>
          <w:highlight w:val="none"/>
          <w14:textFill>
            <w14:solidFill>
              <w14:schemeClr w14:val="tx1"/>
            </w14:solidFill>
          </w14:textFill>
        </w:rPr>
        <w:t>2023年</w:t>
      </w:r>
      <w:r>
        <w:rPr>
          <w:rFonts w:hint="eastAsia" w:ascii="宋体" w:hAnsi="宋体" w:cs="宋体"/>
          <w:color w:val="000000" w:themeColor="text1"/>
          <w:sz w:val="24"/>
          <w:szCs w:val="24"/>
          <w:highlight w:val="none"/>
          <w:lang w:val="en-US" w:eastAsia="zh-CN"/>
          <w14:textFill>
            <w14:solidFill>
              <w14:schemeClr w14:val="tx1"/>
            </w14:solidFill>
          </w14:textFill>
        </w:rPr>
        <w:t>08</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03</w:t>
      </w:r>
      <w:r>
        <w:rPr>
          <w:rFonts w:hint="eastAsia" w:ascii="宋体" w:hAnsi="宋体" w:eastAsia="宋体" w:cs="宋体"/>
          <w:color w:val="000000" w:themeColor="text1"/>
          <w:sz w:val="24"/>
          <w:szCs w:val="24"/>
          <w:highlight w:val="none"/>
          <w14:textFill>
            <w14:solidFill>
              <w14:schemeClr w14:val="tx1"/>
            </w14:solidFill>
          </w14:textFill>
        </w:rPr>
        <w:t>日至2023年</w:t>
      </w:r>
      <w:r>
        <w:rPr>
          <w:rFonts w:hint="eastAsia" w:ascii="宋体" w:hAnsi="宋体" w:cs="宋体"/>
          <w:color w:val="000000" w:themeColor="text1"/>
          <w:sz w:val="24"/>
          <w:szCs w:val="24"/>
          <w:highlight w:val="none"/>
          <w:lang w:val="en-US" w:eastAsia="zh-CN"/>
          <w14:textFill>
            <w14:solidFill>
              <w14:schemeClr w14:val="tx1"/>
            </w14:solidFill>
          </w14:textFill>
        </w:rPr>
        <w:t>08</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14:textFill>
            <w14:solidFill>
              <w14:schemeClr w14:val="tx1"/>
            </w14:solidFill>
          </w14:textFill>
        </w:rPr>
        <w:t>，每天上午</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0:00至</w:t>
      </w:r>
      <w:r>
        <w:rPr>
          <w:rFonts w:hint="eastAsia" w:ascii="宋体" w:hAnsi="宋体" w:cs="宋体"/>
          <w:color w:val="000000" w:themeColor="text1"/>
          <w:sz w:val="24"/>
          <w:szCs w:val="24"/>
          <w:highlight w:val="none"/>
          <w:lang w:val="en-US" w:eastAsia="zh-CN"/>
          <w14:textFill>
            <w14:solidFill>
              <w14:schemeClr w14:val="tx1"/>
            </w14:solidFill>
          </w14:textFill>
        </w:rPr>
        <w:t>23</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59</w:t>
      </w:r>
      <w:r>
        <w:rPr>
          <w:rFonts w:hint="eastAsia" w:ascii="宋体" w:hAnsi="宋体" w:eastAsia="宋体" w:cs="宋体"/>
          <w:color w:val="000000" w:themeColor="text1"/>
          <w:sz w:val="24"/>
          <w:szCs w:val="24"/>
          <w:highlight w:val="none"/>
          <w14:textFill>
            <w14:solidFill>
              <w14:schemeClr w14:val="tx1"/>
            </w14:solidFill>
          </w14:textFill>
        </w:rPr>
        <w:t>（北京时间，线上获取法定节假日均可 ）</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地点：</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登陆政采云平台http://www.zcygov.cn/，在线申请获取</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（登录政府采购云平台 → 项目采购 → 获取</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→申请，审核通过后可下载</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，如有操作性问题，可与政采云在线客服进行咨询，咨询电话：95763）。</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方式：投标人登录新疆政府采购云平台https://www.zcygov.cn/在线申请获取</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（登录政府采购云平台 → 项目采购 → 获取</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 申请，审核通过后可下载</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售价：0元</w:t>
      </w:r>
    </w:p>
    <w:p>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7" w:name="_Toc28359005"/>
      <w:bookmarkStart w:id="18" w:name="_Toc28359082"/>
      <w:bookmarkStart w:id="19" w:name="_Toc35393793"/>
      <w:bookmarkStart w:id="20" w:name="_Toc35393624"/>
      <w:r>
        <w:rPr>
          <w:rFonts w:hint="eastAsia" w:ascii="宋体" w:hAnsi="宋体" w:eastAsia="宋体" w:cs="宋体"/>
          <w:color w:val="000000" w:themeColor="text1"/>
          <w:sz w:val="24"/>
          <w:szCs w:val="24"/>
          <w:highlight w:val="none"/>
          <w14:textFill>
            <w14:solidFill>
              <w14:schemeClr w14:val="tx1"/>
            </w14:solidFill>
          </w14:textFill>
        </w:rPr>
        <w:t>四、提交投标文件</w:t>
      </w:r>
      <w:bookmarkEnd w:id="17"/>
      <w:bookmarkEnd w:id="18"/>
      <w:r>
        <w:rPr>
          <w:rFonts w:hint="eastAsia" w:ascii="宋体" w:hAnsi="宋体" w:eastAsia="宋体" w:cs="宋体"/>
          <w:color w:val="000000" w:themeColor="text1"/>
          <w:sz w:val="24"/>
          <w:szCs w:val="24"/>
          <w:highlight w:val="none"/>
          <w14:textFill>
            <w14:solidFill>
              <w14:schemeClr w14:val="tx1"/>
            </w14:solidFill>
          </w14:textFill>
        </w:rPr>
        <w:t>截止时间、开标时间和地点</w:t>
      </w:r>
      <w:bookmarkEnd w:id="19"/>
      <w:bookmarkEnd w:id="20"/>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提交投标文件截止时间：</w:t>
      </w:r>
      <w:r>
        <w:rPr>
          <w:rFonts w:hint="eastAsia" w:ascii="宋体" w:hAnsi="宋体" w:eastAsia="宋体" w:cs="宋体"/>
          <w:color w:val="000000" w:themeColor="text1"/>
          <w:sz w:val="24"/>
          <w:szCs w:val="24"/>
          <w:highlight w:val="none"/>
          <w:lang w:eastAsia="zh-CN"/>
          <w14:textFill>
            <w14:solidFill>
              <w14:schemeClr w14:val="tx1"/>
            </w14:solidFill>
          </w14:textFill>
        </w:rPr>
        <w:t>2023年</w:t>
      </w:r>
      <w:r>
        <w:rPr>
          <w:rFonts w:hint="eastAsia" w:ascii="宋体" w:hAnsi="宋体" w:cs="宋体"/>
          <w:color w:val="000000" w:themeColor="text1"/>
          <w:sz w:val="24"/>
          <w:szCs w:val="24"/>
          <w:highlight w:val="none"/>
          <w:lang w:val="en-US" w:eastAsia="zh-CN"/>
          <w14:textFill>
            <w14:solidFill>
              <w14:schemeClr w14:val="tx1"/>
            </w14:solidFill>
          </w14:textFill>
        </w:rPr>
        <w:t>08</w:t>
      </w:r>
      <w:r>
        <w:rPr>
          <w:rFonts w:hint="eastAsia" w:ascii="宋体" w:hAnsi="宋体" w:eastAsia="宋体" w:cs="宋体"/>
          <w:color w:val="000000" w:themeColor="text1"/>
          <w:sz w:val="24"/>
          <w:szCs w:val="24"/>
          <w:highlight w:val="none"/>
          <w:lang w:eastAsia="zh-CN"/>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23</w:t>
      </w:r>
      <w:r>
        <w:rPr>
          <w:rFonts w:hint="eastAsia" w:ascii="宋体" w:hAnsi="宋体" w:eastAsia="宋体" w:cs="宋体"/>
          <w:color w:val="000000" w:themeColor="text1"/>
          <w:sz w:val="24"/>
          <w:szCs w:val="24"/>
          <w:highlight w:val="none"/>
          <w:lang w:eastAsia="zh-CN"/>
          <w14:textFill>
            <w14:solidFill>
              <w14:schemeClr w14:val="tx1"/>
            </w14:solidFill>
          </w14:textFill>
        </w:rPr>
        <w:t>日</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点</w:t>
      </w:r>
      <w:r>
        <w:rPr>
          <w:rFonts w:hint="eastAsia" w:ascii="宋体" w:hAnsi="宋体" w:cs="宋体"/>
          <w:color w:val="000000" w:themeColor="text1"/>
          <w:sz w:val="24"/>
          <w:szCs w:val="24"/>
          <w:highlight w:val="non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sz w:val="24"/>
          <w:szCs w:val="24"/>
          <w:highlight w:val="none"/>
          <w14:textFill>
            <w14:solidFill>
              <w14:schemeClr w14:val="tx1"/>
            </w14:solidFill>
          </w14:textFill>
        </w:rPr>
        <w:t>（北京时间）</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开标时间：</w:t>
      </w:r>
      <w:r>
        <w:rPr>
          <w:rFonts w:hint="eastAsia" w:ascii="宋体" w:hAnsi="宋体" w:eastAsia="宋体" w:cs="宋体"/>
          <w:color w:val="000000" w:themeColor="text1"/>
          <w:sz w:val="24"/>
          <w:szCs w:val="24"/>
          <w:highlight w:val="none"/>
          <w:lang w:eastAsia="zh-CN"/>
          <w14:textFill>
            <w14:solidFill>
              <w14:schemeClr w14:val="tx1"/>
            </w14:solidFill>
          </w14:textFill>
        </w:rPr>
        <w:t>2023年</w:t>
      </w:r>
      <w:r>
        <w:rPr>
          <w:rFonts w:hint="eastAsia" w:ascii="宋体" w:hAnsi="宋体" w:cs="宋体"/>
          <w:color w:val="000000" w:themeColor="text1"/>
          <w:sz w:val="24"/>
          <w:szCs w:val="24"/>
          <w:highlight w:val="none"/>
          <w:lang w:val="en-US" w:eastAsia="zh-CN"/>
          <w14:textFill>
            <w14:solidFill>
              <w14:schemeClr w14:val="tx1"/>
            </w14:solidFill>
          </w14:textFill>
        </w:rPr>
        <w:t>08</w:t>
      </w:r>
      <w:r>
        <w:rPr>
          <w:rFonts w:hint="eastAsia" w:ascii="宋体" w:hAnsi="宋体" w:eastAsia="宋体" w:cs="宋体"/>
          <w:color w:val="000000" w:themeColor="text1"/>
          <w:sz w:val="24"/>
          <w:szCs w:val="24"/>
          <w:highlight w:val="none"/>
          <w:lang w:eastAsia="zh-CN"/>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23</w:t>
      </w:r>
      <w:r>
        <w:rPr>
          <w:rFonts w:hint="eastAsia" w:ascii="宋体" w:hAnsi="宋体" w:eastAsia="宋体" w:cs="宋体"/>
          <w:color w:val="000000" w:themeColor="text1"/>
          <w:sz w:val="24"/>
          <w:szCs w:val="24"/>
          <w:highlight w:val="none"/>
          <w:lang w:eastAsia="zh-CN"/>
          <w14:textFill>
            <w14:solidFill>
              <w14:schemeClr w14:val="tx1"/>
            </w14:solidFill>
          </w14:textFill>
        </w:rPr>
        <w:t>日</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点</w:t>
      </w:r>
      <w:r>
        <w:rPr>
          <w:rFonts w:hint="eastAsia" w:ascii="宋体" w:hAnsi="宋体" w:cs="宋体"/>
          <w:color w:val="000000" w:themeColor="text1"/>
          <w:sz w:val="24"/>
          <w:szCs w:val="24"/>
          <w:highlight w:val="non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sz w:val="24"/>
          <w:szCs w:val="24"/>
          <w:highlight w:val="none"/>
          <w14:textFill>
            <w14:solidFill>
              <w14:schemeClr w14:val="tx1"/>
            </w14:solidFill>
          </w14:textFill>
        </w:rPr>
        <w:t>（北京时间）</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开标地点：</w:t>
      </w:r>
      <w:bookmarkStart w:id="21" w:name="_Toc35393625"/>
      <w:bookmarkStart w:id="22" w:name="_Toc28359007"/>
      <w:bookmarkStart w:id="23" w:name="_Toc35393794"/>
      <w:bookmarkStart w:id="24" w:name="_Toc28359084"/>
      <w:r>
        <w:rPr>
          <w:rFonts w:hint="eastAsia" w:ascii="宋体" w:hAnsi="宋体" w:eastAsia="宋体" w:cs="宋体"/>
          <w:color w:val="000000" w:themeColor="text1"/>
          <w:sz w:val="24"/>
          <w:szCs w:val="24"/>
          <w:highlight w:val="none"/>
          <w14:textFill>
            <w14:solidFill>
              <w14:schemeClr w14:val="tx1"/>
            </w14:solidFill>
          </w14:textFill>
        </w:rPr>
        <w:t>政采云平台http://www.zcygov.cn/</w:t>
      </w:r>
    </w:p>
    <w:p>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五、公告期限</w:t>
      </w:r>
      <w:bookmarkEnd w:id="21"/>
      <w:bookmarkEnd w:id="22"/>
      <w:bookmarkEnd w:id="23"/>
      <w:bookmarkEnd w:id="24"/>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自本公告发布之日起5个工作日。</w:t>
      </w:r>
    </w:p>
    <w:p>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5" w:name="_Toc35393626"/>
      <w:bookmarkStart w:id="26" w:name="_Toc35393795"/>
      <w:r>
        <w:rPr>
          <w:rFonts w:hint="eastAsia" w:ascii="宋体" w:hAnsi="宋体" w:eastAsia="宋体" w:cs="宋体"/>
          <w:color w:val="000000" w:themeColor="text1"/>
          <w:sz w:val="24"/>
          <w:szCs w:val="24"/>
          <w:highlight w:val="none"/>
          <w14:textFill>
            <w14:solidFill>
              <w14:schemeClr w14:val="tx1"/>
            </w14:solidFill>
          </w14:textFill>
        </w:rPr>
        <w:t>六、其他补充事宜</w:t>
      </w:r>
      <w:bookmarkEnd w:id="25"/>
      <w:bookmarkEnd w:id="26"/>
    </w:p>
    <w:p>
      <w:pPr>
        <w:pStyle w:val="57"/>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pPr>
      <w:bookmarkStart w:id="27" w:name="_Toc28359085"/>
      <w:bookmarkStart w:id="28" w:name="_Toc28359008"/>
      <w:bookmarkStart w:id="29" w:name="_Toc35393796"/>
      <w:bookmarkStart w:id="30" w:name="_Toc35393627"/>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1、本项目实行电子招投标，</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须登录政采云平台申请获取</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招标文件</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，并需要使用CA锁，登录政采云电子投标客户端制作投标文件，若</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参与投标,自行承担与投标有关的一切费用。</w:t>
      </w:r>
    </w:p>
    <w:p>
      <w:pPr>
        <w:pStyle w:val="57"/>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2.各</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应在开标前确保是新疆维吾尔自治区政府采购网正式注册入库的</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，并完成CA数字证书申领。因未注册入库、未办理CA数字证书等原因造成无法投标或投标失败等后果的由</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自行承担</w:t>
      </w:r>
    </w:p>
    <w:p>
      <w:pPr>
        <w:pStyle w:val="57"/>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3.</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可前往新疆政府采购网（http://www.ccgp-xinjiang.gov.cn/）下载专区，下载政采云电子投标客户端，安装完成后，可通过账号密码或CA登录客户端进行投标文件制作。</w:t>
      </w:r>
    </w:p>
    <w:p>
      <w:pPr>
        <w:pStyle w:val="57"/>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4..</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在开标时须携带制作加密电子投标文件所使用的CA锁，电脑须提前配置好浏览器，以便开标时在线解密。</w:t>
      </w:r>
    </w:p>
    <w:p>
      <w:pPr>
        <w:pStyle w:val="57"/>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5.投标</w:t>
      </w:r>
      <w:r>
        <w:rPr>
          <w:rFonts w:hint="eastAsia" w:hAnsi="宋体" w:cs="宋体"/>
          <w:b w:val="0"/>
          <w:bCs/>
          <w:color w:val="000000" w:themeColor="text1"/>
          <w:sz w:val="24"/>
          <w:szCs w:val="24"/>
          <w:highlight w:val="none"/>
          <w:shd w:val="clear" w:color="auto" w:fill="auto"/>
          <w:lang w:val="en-US"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应当在投标截止时间前，将生成的“电子加密投标文件”上传递交至“政府采购云平台”，投标截止时间以后上传递交的投标文件将被“政府采购云平台”拒收。</w:t>
      </w:r>
    </w:p>
    <w:p>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七、对本次招标提出询问，请按以下方式联系</w:t>
      </w:r>
      <w:bookmarkEnd w:id="27"/>
      <w:bookmarkEnd w:id="28"/>
      <w:bookmarkEnd w:id="29"/>
      <w:bookmarkEnd w:id="30"/>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1.采购人信息</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 称：</w:t>
      </w:r>
      <w:r>
        <w:rPr>
          <w:rStyle w:val="35"/>
          <w:rFonts w:hint="eastAsia" w:ascii="宋体" w:hAnsi="宋体"/>
          <w:bCs/>
          <w:color w:val="000000" w:themeColor="text1"/>
          <w:sz w:val="24"/>
          <w:highlight w:val="none"/>
          <w:lang w:eastAsia="zh-CN"/>
          <w14:textFill>
            <w14:solidFill>
              <w14:schemeClr w14:val="tx1"/>
            </w14:solidFill>
          </w14:textFill>
        </w:rPr>
        <w:t>沙湾市教育和科学技术局</w:t>
      </w:r>
      <w:r>
        <w:rPr>
          <w:rFonts w:hint="eastAsia" w:ascii="宋体" w:hAnsi="宋体" w:eastAsia="宋体" w:cs="宋体"/>
          <w:color w:val="000000" w:themeColor="text1"/>
          <w:sz w:val="24"/>
          <w:szCs w:val="24"/>
          <w:highlight w:val="none"/>
          <w14:textFill>
            <w14:solidFill>
              <w14:schemeClr w14:val="tx1"/>
            </w14:solidFill>
          </w14:textFill>
        </w:rPr>
        <w:t>　　　　　　　　　　　</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cs="宋体"/>
          <w:color w:val="000000" w:themeColor="text1"/>
          <w:sz w:val="24"/>
          <w:szCs w:val="24"/>
          <w:highlight w:val="none"/>
          <w:lang w:eastAsia="zh-CN"/>
          <w14:textFill>
            <w14:solidFill>
              <w14:schemeClr w14:val="tx1"/>
            </w14:solidFill>
          </w14:textFill>
        </w:rPr>
        <w:t>沙湾市</w:t>
      </w:r>
      <w:r>
        <w:rPr>
          <w:rFonts w:hint="eastAsia" w:ascii="宋体" w:hAnsi="宋体" w:eastAsia="宋体" w:cs="宋体"/>
          <w:color w:val="000000" w:themeColor="text1"/>
          <w:sz w:val="24"/>
          <w:szCs w:val="24"/>
          <w:highlight w:val="none"/>
          <w14:textFill>
            <w14:solidFill>
              <w14:schemeClr w14:val="tx1"/>
            </w14:solidFill>
          </w14:textFill>
        </w:rPr>
        <w:t>　　　　　　　　　</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联系人：</w:t>
      </w:r>
      <w:r>
        <w:rPr>
          <w:rFonts w:hint="eastAsia" w:ascii="宋体" w:hAnsi="宋体" w:cs="宋体"/>
          <w:color w:val="000000" w:themeColor="text1"/>
          <w:sz w:val="24"/>
          <w:szCs w:val="24"/>
          <w:highlight w:val="none"/>
          <w:lang w:eastAsia="zh-CN"/>
          <w14:textFill>
            <w14:solidFill>
              <w14:schemeClr w14:val="tx1"/>
            </w14:solidFill>
          </w14:textFill>
        </w:rPr>
        <w:t>韦凯强</w:t>
      </w: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p>
    <w:p>
      <w:pPr>
        <w:pageBreakBefore w:val="0"/>
        <w:widowControl w:val="0"/>
        <w:kinsoku/>
        <w:wordWrap/>
        <w:overflowPunct/>
        <w:topLinePunct w:val="0"/>
        <w:autoSpaceDE/>
        <w:autoSpaceDN/>
        <w:bidi w:val="0"/>
        <w:adjustRightInd/>
        <w:snapToGrid/>
        <w:spacing w:line="400" w:lineRule="exact"/>
        <w:ind w:firstLine="540"/>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联系电话：</w:t>
      </w:r>
      <w:r>
        <w:rPr>
          <w:rFonts w:hint="eastAsia" w:ascii="宋体" w:hAnsi="宋体" w:cs="宋体"/>
          <w:color w:val="000000" w:themeColor="text1"/>
          <w:sz w:val="24"/>
          <w:szCs w:val="24"/>
          <w:highlight w:val="none"/>
          <w:lang w:val="en-US" w:eastAsia="zh-CN"/>
          <w14:textFill>
            <w14:solidFill>
              <w14:schemeClr w14:val="tx1"/>
            </w14:solidFill>
          </w14:textFill>
        </w:rPr>
        <w:t>0993-6015261</w:t>
      </w:r>
    </w:p>
    <w:p>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bookmarkStart w:id="31" w:name="_Toc28359086"/>
      <w:bookmarkStart w:id="32" w:name="_Toc28359009"/>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2.采购代理机构信息</w:t>
      </w:r>
      <w:bookmarkEnd w:id="31"/>
      <w:bookmarkEnd w:id="32"/>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 称：新疆拓源工程管理咨询有限公司　　　　　　　　　　　　</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址：乌鲁木齐市水磨沟区龙盛街898号万科中央公园S6栋5层　　　　　　　　　　　　</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项目联系人：</w:t>
      </w:r>
      <w:r>
        <w:rPr>
          <w:rFonts w:hint="eastAsia" w:ascii="宋体" w:hAnsi="宋体" w:cs="宋体"/>
          <w:color w:val="000000" w:themeColor="text1"/>
          <w:sz w:val="24"/>
          <w:szCs w:val="24"/>
          <w:highlight w:val="none"/>
          <w:lang w:val="en-US" w:eastAsia="zh-CN"/>
          <w14:textFill>
            <w14:solidFill>
              <w14:schemeClr w14:val="tx1"/>
            </w14:solidFill>
          </w14:textFill>
        </w:rPr>
        <w:t>杨工</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w:t>
      </w:r>
      <w:r>
        <w:rPr>
          <w:rFonts w:hint="eastAsia" w:ascii="宋体" w:hAnsi="宋体" w:cs="宋体"/>
          <w:color w:val="000000" w:themeColor="text1"/>
          <w:sz w:val="24"/>
          <w:szCs w:val="24"/>
          <w:highlight w:val="none"/>
          <w:lang w:val="en-US" w:eastAsia="zh-CN"/>
          <w14:textFill>
            <w14:solidFill>
              <w14:schemeClr w14:val="tx1"/>
            </w14:solidFill>
          </w14:textFill>
        </w:rPr>
        <w:t>19999795598、15199586230</w:t>
      </w:r>
    </w:p>
    <w:p>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w:t>
      </w:r>
    </w:p>
    <w:p>
      <w:pPr>
        <w:pStyle w:val="3"/>
        <w:pageBreakBefore w:val="0"/>
        <w:kinsoku/>
        <w:wordWrap/>
        <w:overflowPunct/>
        <w:topLinePunct w:val="0"/>
        <w:autoSpaceDE/>
        <w:autoSpaceDN/>
        <w:bidi w:val="0"/>
        <w:spacing w:before="0" w:after="0" w:line="4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bookmarkStart w:id="33" w:name="_Toc28983"/>
      <w:r>
        <w:rPr>
          <w:rFonts w:hint="eastAsia" w:ascii="宋体" w:hAnsi="宋体" w:eastAsia="宋体" w:cs="宋体"/>
          <w:color w:val="000000" w:themeColor="text1"/>
          <w:sz w:val="24"/>
          <w:szCs w:val="24"/>
          <w:highlight w:val="none"/>
          <w14:textFill>
            <w14:solidFill>
              <w14:schemeClr w14:val="tx1"/>
            </w14:solidFill>
          </w14:textFill>
        </w:rPr>
        <w:t>第二章  投标人须知</w:t>
      </w:r>
      <w:bookmarkEnd w:id="3"/>
      <w:bookmarkEnd w:id="4"/>
      <w:bookmarkEnd w:id="5"/>
      <w:bookmarkEnd w:id="6"/>
      <w:bookmarkEnd w:id="7"/>
      <w:bookmarkEnd w:id="8"/>
      <w:bookmarkEnd w:id="33"/>
    </w:p>
    <w:p>
      <w:pPr>
        <w:keepNext/>
        <w:keepLines/>
        <w:pageBreakBefore w:val="0"/>
        <w:kinsoku/>
        <w:wordWrap/>
        <w:overflowPunct/>
        <w:topLinePunct w:val="0"/>
        <w:autoSpaceDE/>
        <w:autoSpaceDN/>
        <w:bidi w:val="0"/>
        <w:spacing w:line="420" w:lineRule="exact"/>
        <w:jc w:val="center"/>
        <w:textAlignment w:val="auto"/>
        <w:outlineLvl w:val="1"/>
        <w:rPr>
          <w:rFonts w:hint="eastAsia" w:ascii="宋体" w:hAnsi="宋体" w:eastAsia="宋体" w:cs="宋体"/>
          <w:b/>
          <w:bCs/>
          <w:color w:val="000000" w:themeColor="text1"/>
          <w:sz w:val="24"/>
          <w:szCs w:val="24"/>
          <w:highlight w:val="none"/>
          <w14:textFill>
            <w14:solidFill>
              <w14:schemeClr w14:val="tx1"/>
            </w14:solidFill>
          </w14:textFill>
        </w:rPr>
      </w:pPr>
      <w:bookmarkStart w:id="34" w:name="_Toc213396760"/>
      <w:bookmarkStart w:id="35" w:name="_Toc217446032"/>
      <w:bookmarkStart w:id="36" w:name="_Toc213397010"/>
      <w:bookmarkStart w:id="37" w:name="_Toc213396946"/>
      <w:bookmarkStart w:id="38" w:name="_Toc189727030"/>
      <w:bookmarkStart w:id="39" w:name="_Toc213496268"/>
      <w:r>
        <w:rPr>
          <w:rFonts w:hint="eastAsia" w:ascii="宋体" w:hAnsi="宋体" w:eastAsia="宋体" w:cs="宋体"/>
          <w:b/>
          <w:bCs/>
          <w:color w:val="000000" w:themeColor="text1"/>
          <w:sz w:val="24"/>
          <w:szCs w:val="24"/>
          <w:highlight w:val="none"/>
          <w14:textFill>
            <w14:solidFill>
              <w14:schemeClr w14:val="tx1"/>
            </w14:solidFill>
          </w14:textFill>
        </w:rPr>
        <w:t>一、投标人须知前附表</w:t>
      </w:r>
      <w:bookmarkEnd w:id="34"/>
      <w:bookmarkEnd w:id="35"/>
      <w:bookmarkEnd w:id="36"/>
      <w:bookmarkEnd w:id="37"/>
      <w:bookmarkEnd w:id="38"/>
      <w:bookmarkEnd w:id="39"/>
    </w:p>
    <w:tbl>
      <w:tblPr>
        <w:tblStyle w:val="28"/>
        <w:tblW w:w="51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476"/>
        <w:gridCol w:w="6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序号</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名 称</w:t>
            </w:r>
          </w:p>
        </w:tc>
        <w:tc>
          <w:tcPr>
            <w:tcW w:w="3675"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w:t>
            </w:r>
          </w:p>
        </w:tc>
        <w:tc>
          <w:tcPr>
            <w:tcW w:w="367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  称：</w:t>
            </w:r>
            <w:r>
              <w:rPr>
                <w:rStyle w:val="35"/>
                <w:rFonts w:hint="eastAsia" w:ascii="宋体" w:hAnsi="宋体"/>
                <w:bCs/>
                <w:color w:val="000000" w:themeColor="text1"/>
                <w:sz w:val="24"/>
                <w:highlight w:val="none"/>
                <w:lang w:eastAsia="zh-CN"/>
                <w14:textFill>
                  <w14:solidFill>
                    <w14:schemeClr w14:val="tx1"/>
                  </w14:solidFill>
                </w14:textFill>
              </w:rPr>
              <w:t>沙湾市教育和科学技术局</w:t>
            </w:r>
            <w:r>
              <w:rPr>
                <w:rFonts w:hint="eastAsia" w:ascii="宋体" w:hAnsi="宋体" w:eastAsia="宋体" w:cs="宋体"/>
                <w:color w:val="000000" w:themeColor="text1"/>
                <w:sz w:val="24"/>
                <w:szCs w:val="24"/>
                <w:highlight w:val="none"/>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w:t>
            </w:r>
            <w:r>
              <w:rPr>
                <w:rFonts w:hint="eastAsia" w:ascii="宋体" w:hAnsi="宋体" w:cs="宋体"/>
                <w:color w:val="000000" w:themeColor="text1"/>
                <w:sz w:val="24"/>
                <w:szCs w:val="24"/>
                <w:highlight w:val="none"/>
                <w:lang w:eastAsia="zh-CN"/>
                <w14:textFill>
                  <w14:solidFill>
                    <w14:schemeClr w14:val="tx1"/>
                  </w14:solidFill>
                </w14:textFill>
              </w:rPr>
              <w:t>沙湾市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szCs w:val="24"/>
                <w:highlight w:val="none"/>
                <w:lang w:eastAsia="zh-CN"/>
                <w14:textFill>
                  <w14:solidFill>
                    <w14:schemeClr w14:val="tx1"/>
                  </w14:solidFill>
                </w14:textFill>
              </w:rPr>
              <w:t>韦凯强</w:t>
            </w:r>
            <w:r>
              <w:rPr>
                <w:rFonts w:hint="eastAsia" w:ascii="宋体" w:hAnsi="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szCs w:val="24"/>
                <w:highlight w:val="none"/>
                <w:lang w:val="en-US" w:eastAsia="zh-CN"/>
                <w14:textFill>
                  <w14:solidFill>
                    <w14:schemeClr w14:val="tx1"/>
                  </w14:solidFill>
                </w14:textFill>
              </w:rPr>
              <w:t>0993-6015261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采购代理机构</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  称：新疆拓源工程管理咨询有限公司</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w:t>
            </w:r>
            <w:r>
              <w:rPr>
                <w:rFonts w:hint="eastAsia" w:ascii="宋体" w:hAnsi="宋体" w:eastAsia="宋体" w:cs="宋体"/>
                <w:color w:val="000000" w:themeColor="text1"/>
                <w:sz w:val="24"/>
                <w:szCs w:val="24"/>
                <w:highlight w:val="none"/>
                <w:lang w:val="zh-CN"/>
                <w14:textFill>
                  <w14:solidFill>
                    <w14:schemeClr w14:val="tx1"/>
                  </w14:solidFill>
                </w14:textFill>
              </w:rPr>
              <w:t>乌鲁木齐市水磨沟区龙盛街898号万科中央公园S6栋5层</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项目联系人：</w:t>
            </w:r>
            <w:r>
              <w:rPr>
                <w:rFonts w:hint="eastAsia" w:ascii="宋体" w:hAnsi="宋体" w:cs="宋体"/>
                <w:color w:val="000000" w:themeColor="text1"/>
                <w:sz w:val="24"/>
                <w:szCs w:val="24"/>
                <w:highlight w:val="none"/>
                <w:lang w:val="en-US" w:eastAsia="zh-CN"/>
                <w14:textFill>
                  <w14:solidFill>
                    <w14:schemeClr w14:val="tx1"/>
                  </w14:solidFill>
                </w14:textFill>
              </w:rPr>
              <w:t>杨工</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w:t>
            </w:r>
            <w:r>
              <w:rPr>
                <w:rFonts w:hint="eastAsia" w:ascii="宋体" w:hAnsi="宋体" w:cs="宋体"/>
                <w:color w:val="000000" w:themeColor="text1"/>
                <w:sz w:val="24"/>
                <w:szCs w:val="24"/>
                <w:highlight w:val="none"/>
                <w:lang w:val="en-US" w:eastAsia="zh-CN"/>
                <w14:textFill>
                  <w14:solidFill>
                    <w14:schemeClr w14:val="tx1"/>
                  </w14:solidFill>
                </w14:textFill>
              </w:rPr>
              <w:t>19999795598、15199586230</w:t>
            </w:r>
            <w:r>
              <w:rPr>
                <w:rFonts w:hint="eastAsia" w:ascii="宋体" w:hAnsi="宋体" w:eastAsia="宋体" w:cs="宋体"/>
                <w:color w:val="000000" w:themeColor="text1"/>
                <w:sz w:val="24"/>
                <w:szCs w:val="24"/>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848" w:type="pct"/>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367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2023年沙湾市义务教育薄弱环节改善与能力提升项目（第七包）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XJTYSWZC-20230726</w:t>
            </w:r>
            <w:r>
              <w:rPr>
                <w:rFonts w:hint="eastAsia" w:hAnsi="宋体" w:cs="宋体"/>
                <w:b w:val="0"/>
                <w:bCs/>
                <w:color w:val="000000" w:themeColor="text1"/>
                <w:sz w:val="24"/>
                <w:szCs w:val="24"/>
                <w:highlight w:val="none"/>
                <w:shd w:val="clear" w:color="auto" w:fill="auto"/>
                <w:lang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1476" w:type="dxa"/>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资金来源</w:t>
            </w:r>
            <w:r>
              <w:rPr>
                <w:rFonts w:hint="eastAsia" w:ascii="宋体" w:hAnsi="宋体" w:cs="宋体"/>
                <w:color w:val="000000" w:themeColor="text1"/>
                <w:sz w:val="24"/>
                <w:highlight w:val="none"/>
                <w:lang w:eastAsia="zh-CN"/>
                <w14:textFill>
                  <w14:solidFill>
                    <w14:schemeClr w14:val="tx1"/>
                  </w14:solidFill>
                </w14:textFill>
              </w:rPr>
              <w:t>、最高限价</w:t>
            </w:r>
          </w:p>
        </w:tc>
        <w:tc>
          <w:tcPr>
            <w:tcW w:w="639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资金来源：财政</w:t>
            </w:r>
            <w:r>
              <w:rPr>
                <w:rFonts w:hint="eastAsia"/>
                <w:color w:val="000000" w:themeColor="text1"/>
                <w:sz w:val="24"/>
                <w:szCs w:val="24"/>
                <w:highlight w:val="none"/>
                <w14:textFill>
                  <w14:solidFill>
                    <w14:schemeClr w14:val="tx1"/>
                  </w14:solidFill>
                </w14:textFill>
              </w:rPr>
              <w:t>资金</w:t>
            </w:r>
            <w:r>
              <w:rPr>
                <w:rFonts w:hint="eastAsia"/>
                <w:color w:val="000000" w:themeColor="text1"/>
                <w:sz w:val="24"/>
                <w:szCs w:val="24"/>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最高限价：</w:t>
            </w:r>
            <w:r>
              <w:rPr>
                <w:rFonts w:hint="eastAsia" w:cs="宋体"/>
                <w:i w:val="0"/>
                <w:iCs w:val="0"/>
                <w:caps w:val="0"/>
                <w:color w:val="000000" w:themeColor="text1"/>
                <w:spacing w:val="0"/>
                <w:sz w:val="24"/>
                <w:szCs w:val="24"/>
                <w:highlight w:val="none"/>
                <w:lang w:val="en-US" w:eastAsia="zh-CN"/>
                <w14:textFill>
                  <w14:solidFill>
                    <w14:schemeClr w14:val="tx1"/>
                  </w14:solidFill>
                </w14:textFill>
              </w:rPr>
              <w:t>1800000</w:t>
            </w:r>
            <w:r>
              <w:rPr>
                <w:rFonts w:hint="eastAsia"/>
                <w:color w:val="000000" w:themeColor="text1"/>
                <w:sz w:val="24"/>
                <w:szCs w:val="24"/>
                <w:highlight w:val="none"/>
                <w:lang w:val="en-US" w:eastAsia="zh-CN"/>
                <w14:textFill>
                  <w14:solidFill>
                    <w14:schemeClr w14:val="tx1"/>
                  </w14:solidFill>
                </w14:textFill>
              </w:rPr>
              <w:t>元；</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投标人投标报价若超过最高限价，投标无效。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采购需求</w:t>
            </w:r>
          </w:p>
        </w:tc>
        <w:tc>
          <w:tcPr>
            <w:tcW w:w="367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000000" w:themeColor="text1"/>
                <w:highlight w:val="none"/>
                <w:lang w:val="en-US" w:eastAsia="zh-CN"/>
                <w14:textFill>
                  <w14:solidFill>
                    <w14:schemeClr w14:val="tx1"/>
                  </w14:solidFill>
                </w14:textFill>
              </w:rPr>
            </w:pPr>
            <w:r>
              <w:rPr>
                <w:rFonts w:hint="eastAsia" w:hAnsi="宋体" w:cs="宋体"/>
                <w:i w:val="0"/>
                <w:iCs w:val="0"/>
                <w:caps w:val="0"/>
                <w:color w:val="000000" w:themeColor="text1"/>
                <w:spacing w:val="0"/>
                <w:sz w:val="24"/>
                <w:szCs w:val="24"/>
                <w:highlight w:val="none"/>
                <w:lang w:eastAsia="zh-CN"/>
                <w14:textFill>
                  <w14:solidFill>
                    <w14:schemeClr w14:val="tx1"/>
                  </w14:solidFill>
                </w14:textFill>
              </w:rPr>
              <w:t>采购</w:t>
            </w:r>
            <w:r>
              <w:rPr>
                <w:rFonts w:hint="eastAsia" w:hAnsi="宋体" w:cs="宋体"/>
                <w:i w:val="0"/>
                <w:iCs w:val="0"/>
                <w:caps w:val="0"/>
                <w:color w:val="000000" w:themeColor="text1"/>
                <w:spacing w:val="0"/>
                <w:sz w:val="24"/>
                <w:szCs w:val="24"/>
                <w:highlight w:val="none"/>
                <w:lang w:eastAsia="zh-CN"/>
                <w14:textFill>
                  <w14:solidFill>
                    <w14:schemeClr w14:val="tx1"/>
                  </w14:solidFill>
                </w14:textFill>
              </w:rPr>
              <w:t>物理、化学、生物教学仪器设备一批</w:t>
            </w:r>
            <w:r>
              <w:rPr>
                <w:rFonts w:hint="eastAsia" w:ascii="宋体" w:hAnsi="宋体" w:eastAsia="宋体" w:cs="宋体"/>
                <w:i w:val="0"/>
                <w:iCs w:val="0"/>
                <w:caps w:val="0"/>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highlight w:val="none"/>
                <w:lang w:eastAsia="zh-CN"/>
                <w14:textFill>
                  <w14:solidFill>
                    <w14:schemeClr w14:val="tx1"/>
                  </w14:solidFill>
                </w14:textFill>
              </w:rPr>
              <w:t>包括供货、运输保险、安装、验收及质保、培训、售后服务等，具体采购需求详见招标文件</w:t>
            </w:r>
            <w:r>
              <w:rPr>
                <w:rFonts w:hint="eastAsia" w:cs="宋体"/>
                <w:i w:val="0"/>
                <w:iCs w:val="0"/>
                <w:caps w:val="0"/>
                <w:color w:val="000000" w:themeColor="text1"/>
                <w:spacing w:val="0"/>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质保期</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质保三年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供货期</w:t>
            </w:r>
          </w:p>
        </w:tc>
        <w:tc>
          <w:tcPr>
            <w:tcW w:w="3675" w:type="pct"/>
            <w:vAlign w:val="center"/>
          </w:tcPr>
          <w:p>
            <w:pPr>
              <w:keepNext w:val="0"/>
              <w:keepLines w:val="0"/>
              <w:pageBreakBefore w:val="0"/>
              <w:kinsoku/>
              <w:wordWrap/>
              <w:overflowPunct/>
              <w:topLinePunct w:val="0"/>
              <w:autoSpaceDE/>
              <w:autoSpaceDN/>
              <w:bidi w:val="0"/>
              <w:spacing w:line="400" w:lineRule="exact"/>
              <w:jc w:val="lef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合同签订后45日历天内完成。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供货</w:t>
            </w:r>
            <w:r>
              <w:rPr>
                <w:rFonts w:hint="eastAsia" w:ascii="宋体" w:hAnsi="宋体" w:eastAsia="宋体" w:cs="宋体"/>
                <w:color w:val="000000" w:themeColor="text1"/>
                <w:sz w:val="24"/>
                <w:szCs w:val="24"/>
                <w:highlight w:val="none"/>
                <w14:textFill>
                  <w14:solidFill>
                    <w14:schemeClr w14:val="tx1"/>
                  </w14:solidFill>
                </w14:textFill>
              </w:rPr>
              <w:t>地点</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沙湾市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落实的政府采购政策</w:t>
            </w:r>
          </w:p>
        </w:tc>
        <w:tc>
          <w:tcPr>
            <w:tcW w:w="3675" w:type="pct"/>
            <w:vAlign w:val="center"/>
          </w:tcPr>
          <w:p>
            <w:pPr>
              <w:keepNext w:val="0"/>
              <w:keepLines w:val="0"/>
              <w:pageBreakBefore w:val="0"/>
              <w:numPr>
                <w:ilvl w:val="0"/>
                <w:numId w:val="3"/>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符合促进中小企业（监狱企业、残疾人福利性单位）发展政策；</w:t>
            </w:r>
          </w:p>
          <w:p>
            <w:pPr>
              <w:pStyle w:val="38"/>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val="en-US" w:eastAsia="zh-CN"/>
                <w14:textFill>
                  <w14:solidFill>
                    <w14:schemeClr w14:val="tx1"/>
                  </w14:solidFill>
                </w14:textFill>
              </w:rPr>
              <w:t>本项目</w:t>
            </w:r>
            <w:r>
              <w:rPr>
                <w:rFonts w:hint="eastAsia" w:ascii="宋体" w:hAnsi="宋体" w:eastAsia="宋体" w:cs="宋体"/>
                <w:color w:val="000000" w:themeColor="text1"/>
                <w:sz w:val="24"/>
                <w:szCs w:val="24"/>
                <w:highlight w:val="none"/>
                <w14:textFill>
                  <w14:solidFill>
                    <w14:schemeClr w14:val="tx1"/>
                  </w14:solidFill>
                </w14:textFill>
              </w:rPr>
              <w:t>为专门面向中小企业（含中型、小型、微型）采购项目，根据《政府采购促进中小企业发展管理办法》（财库[2020]46号）、《关于进一步加大政府采购支持中小企业力度的通知》（财库〔2022〕19号）、《财政部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中提交了《中小企业声明函》、《残疾人福利性单位声明函》或省级以上监狱管理局、戒毒管理局（含新疆生产建设兵团）出具的属于监狱企业的证明文件的</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。专门面向中小企业采购的项目或者采购标包，不再执行价格评审优惠的扶持政策；</w:t>
            </w:r>
          </w:p>
          <w:p>
            <w:pPr>
              <w:keepNext w:val="0"/>
              <w:keepLines w:val="0"/>
              <w:pageBreakBefore w:val="0"/>
              <w:numPr>
                <w:ilvl w:val="0"/>
                <w:numId w:val="0"/>
              </w:numPr>
              <w:kinsoku/>
              <w:wordWrap/>
              <w:overflowPunct/>
              <w:topLinePunct w:val="0"/>
              <w:autoSpaceDE/>
              <w:autoSpaceDN/>
              <w:bidi w:val="0"/>
              <w:spacing w:line="400" w:lineRule="exact"/>
              <w:jc w:val="left"/>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3、所属行业：</w:t>
            </w:r>
            <w:r>
              <w:rPr>
                <w:rFonts w:hint="eastAsia" w:ascii="宋体" w:hAnsi="宋体" w:cs="宋体"/>
                <w:color w:val="000000" w:themeColor="text1"/>
                <w:sz w:val="24"/>
                <w:szCs w:val="24"/>
                <w:highlight w:val="none"/>
                <w:lang w:val="en-US" w:eastAsia="zh-CN"/>
                <w14:textFill>
                  <w14:solidFill>
                    <w14:schemeClr w14:val="tx1"/>
                  </w14:solidFill>
                </w14:textFill>
              </w:rPr>
              <w:t>工</w:t>
            </w:r>
            <w:r>
              <w:rPr>
                <w:rFonts w:hint="eastAsia" w:ascii="宋体" w:hAnsi="宋体" w:eastAsia="宋体" w:cs="宋体"/>
                <w:color w:val="000000" w:themeColor="text1"/>
                <w:sz w:val="24"/>
                <w:szCs w:val="24"/>
                <w:highlight w:val="none"/>
                <w:lang w:eastAsia="zh-CN"/>
                <w14:textFill>
                  <w14:solidFill>
                    <w14:schemeClr w14:val="tx1"/>
                  </w14:solidFill>
                </w14:textFill>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投标人资格要求</w:t>
            </w:r>
          </w:p>
        </w:tc>
        <w:tc>
          <w:tcPr>
            <w:tcW w:w="3675" w:type="pct"/>
            <w:vAlign w:val="center"/>
          </w:tcPr>
          <w:p>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1.满足《中华人民共和国政府采购法》第二十二条规定；</w:t>
            </w:r>
          </w:p>
          <w:p>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2.落实政府采购政策需满足的资格要求：</w:t>
            </w:r>
            <w:r>
              <w:rPr>
                <w:rFonts w:hint="eastAsia" w:ascii="宋体" w:hAnsi="宋体" w:eastAsia="宋体" w:cs="宋体"/>
                <w:i w:val="0"/>
                <w:iCs w:val="0"/>
                <w:color w:val="000000" w:themeColor="text1"/>
                <w:sz w:val="24"/>
                <w:szCs w:val="24"/>
                <w:highlight w:val="none"/>
                <w14:textFill>
                  <w14:solidFill>
                    <w14:schemeClr w14:val="tx1"/>
                  </w14:solidFill>
                </w14:textFill>
              </w:rPr>
              <w:t>本</w:t>
            </w:r>
            <w:r>
              <w:rPr>
                <w:rFonts w:hint="eastAsia" w:ascii="宋体" w:hAnsi="宋体" w:cs="宋体"/>
                <w:i w:val="0"/>
                <w:iCs w:val="0"/>
                <w:color w:val="000000" w:themeColor="text1"/>
                <w:sz w:val="24"/>
                <w:szCs w:val="24"/>
                <w:highlight w:val="none"/>
                <w:lang w:eastAsia="zh-CN"/>
                <w14:textFill>
                  <w14:solidFill>
                    <w14:schemeClr w14:val="tx1"/>
                  </w14:solidFill>
                </w14:textFill>
              </w:rPr>
              <w:t>标项</w:t>
            </w:r>
            <w:r>
              <w:rPr>
                <w:rFonts w:hint="eastAsia" w:ascii="宋体" w:hAnsi="宋体" w:eastAsia="宋体" w:cs="宋体"/>
                <w:i w:val="0"/>
                <w:iCs w:val="0"/>
                <w:color w:val="000000" w:themeColor="text1"/>
                <w:sz w:val="24"/>
                <w:szCs w:val="24"/>
                <w:highlight w:val="none"/>
                <w14:textFill>
                  <w14:solidFill>
                    <w14:schemeClr w14:val="tx1"/>
                  </w14:solidFill>
                </w14:textFill>
              </w:rPr>
              <w:t>为专门面向中小企业（含中型、小型、微型企业）采购项目。</w:t>
            </w:r>
          </w:p>
          <w:p>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.本项目的特定资格要求：</w:t>
            </w:r>
            <w:r>
              <w:rPr>
                <w:rFonts w:hint="eastAsia" w:ascii="宋体" w:hAnsi="宋体" w:cs="宋体"/>
                <w:color w:val="000000" w:themeColor="text1"/>
                <w:sz w:val="24"/>
                <w:szCs w:val="24"/>
                <w:highlight w:val="none"/>
                <w:lang w:val="en-US" w:eastAsia="zh-CN"/>
                <w14:textFill>
                  <w14:solidFill>
                    <w14:schemeClr w14:val="tx1"/>
                  </w14:solidFill>
                </w14:textFill>
              </w:rPr>
              <w:t>无</w:t>
            </w:r>
            <w:r>
              <w:rPr>
                <w:rFonts w:hint="eastAsia" w:ascii="宋体" w:hAnsi="宋体" w:eastAsia="宋体" w:cs="宋体"/>
                <w:b w:val="0"/>
                <w:bCs/>
                <w:color w:val="000000" w:themeColor="text1"/>
                <w:sz w:val="24"/>
                <w:szCs w:val="24"/>
                <w:highlight w:val="none"/>
                <w:shd w:val="clear" w:color="auto" w:fill="auto"/>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w:t>
            </w:r>
          </w:p>
        </w:tc>
        <w:tc>
          <w:tcPr>
            <w:tcW w:w="3675" w:type="pct"/>
            <w:vAlign w:val="center"/>
          </w:tcPr>
          <w:p>
            <w:pPr>
              <w:pStyle w:val="27"/>
              <w:spacing w:line="360" w:lineRule="auto"/>
              <w:ind w:firstLine="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投标保证金的金额：</w:t>
            </w:r>
            <w:r>
              <w:rPr>
                <w:rFonts w:hint="eastAsia" w:ascii="宋体" w:hAnsi="宋体" w:cs="宋体"/>
                <w:color w:val="000000" w:themeColor="text1"/>
                <w:sz w:val="24"/>
                <w:szCs w:val="24"/>
                <w:highlight w:val="none"/>
                <w:lang w:eastAsia="zh-CN"/>
                <w14:textFill>
                  <w14:solidFill>
                    <w14:schemeClr w14:val="tx1"/>
                  </w14:solidFill>
                </w14:textFill>
              </w:rPr>
              <w:t>人民币</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lang w:eastAsia="zh-CN"/>
                <w14:textFill>
                  <w14:solidFill>
                    <w14:schemeClr w14:val="tx1"/>
                  </w14:solidFill>
                </w14:textFill>
              </w:rPr>
              <w:t>0000.00元（大写：叁万元整）；</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投标保证金由</w:t>
            </w:r>
            <w:r>
              <w:rPr>
                <w:rFonts w:hint="eastAsia" w:ascii="宋体" w:hAnsi="宋体" w:cs="宋体"/>
                <w:color w:val="000000" w:themeColor="text1"/>
                <w:sz w:val="24"/>
                <w:szCs w:val="24"/>
                <w:highlight w:val="none"/>
                <w:lang w:eastAsia="zh-CN"/>
                <w14:textFill>
                  <w14:solidFill>
                    <w14:schemeClr w14:val="tx1"/>
                  </w14:solidFill>
                </w14:textFill>
              </w:rPr>
              <w:t>采购人</w:t>
            </w:r>
            <w:r>
              <w:rPr>
                <w:rFonts w:hint="eastAsia" w:ascii="宋体" w:hAnsi="宋体" w:cs="宋体"/>
                <w:color w:val="000000" w:themeColor="text1"/>
                <w:sz w:val="24"/>
                <w:szCs w:val="24"/>
                <w:highlight w:val="none"/>
                <w14:textFill>
                  <w14:solidFill>
                    <w14:schemeClr w14:val="tx1"/>
                  </w14:solidFill>
                </w14:textFill>
              </w:rPr>
              <w:t>确认在投标截止时间前到账。</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一、投标保证金缴纳：</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1.投标保证金应当以电汇、网银</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保函</w:t>
            </w:r>
            <w:r>
              <w:rPr>
                <w:rFonts w:hint="eastAsia" w:ascii="宋体" w:hAnsi="宋体" w:cs="宋体"/>
                <w:color w:val="000000" w:themeColor="text1"/>
                <w:sz w:val="24"/>
                <w:szCs w:val="24"/>
                <w:highlight w:val="none"/>
                <w14:textFill>
                  <w14:solidFill>
                    <w14:schemeClr w14:val="tx1"/>
                  </w14:solidFill>
                </w14:textFill>
              </w:rPr>
              <w:t>等非现金形式提交；</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2.缴纳投标保证金时需备注项目名称；</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3.投标保证金递交截止时间：同投标文件递交截止时间；</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投标保证金缴纳账户：</w:t>
            </w:r>
          </w:p>
          <w:p>
            <w:pPr>
              <w:spacing w:line="312"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收款人名称：新疆拓源工程管理咨询有限公司沙湾分公司</w:t>
            </w:r>
          </w:p>
          <w:p>
            <w:pPr>
              <w:spacing w:line="312"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开户行：中国银行股份有限公司沙湾市支行</w:t>
            </w:r>
          </w:p>
          <w:p>
            <w:pPr>
              <w:spacing w:line="312"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帐号：107682161235</w:t>
            </w:r>
          </w:p>
          <w:p>
            <w:pPr>
              <w:spacing w:line="312"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行号：104901401016</w:t>
            </w:r>
          </w:p>
          <w:p>
            <w:pPr>
              <w:spacing w:line="312"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财务电话:</w:t>
            </w:r>
            <w:r>
              <w:rPr>
                <w:rFonts w:hint="eastAsia" w:ascii="宋体" w:hAnsi="宋体" w:cs="宋体"/>
                <w:color w:val="000000" w:themeColor="text1"/>
                <w:sz w:val="24"/>
                <w:highlight w:val="none"/>
                <w:lang w:eastAsia="zh-CN"/>
                <w14:textFill>
                  <w14:solidFill>
                    <w14:schemeClr w14:val="tx1"/>
                  </w14:solidFill>
                </w14:textFill>
              </w:rPr>
              <w:t>19999795598</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 二、投标保证金退还：</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 1.未中标人的投标保证金将在中标通知书发出后5个工作日内退还；</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 2.中标人的投标保证金将在自采购合同签订之日起5个工作日内无息退还；</w:t>
            </w:r>
          </w:p>
          <w:p>
            <w:pPr>
              <w:pStyle w:val="27"/>
              <w:spacing w:line="360" w:lineRule="auto"/>
              <w:ind w:firstLine="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 3.有下列情形之一的，投标保证金不予退还：详见总则第1</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.5条</w:t>
            </w:r>
            <w:r>
              <w:rPr>
                <w:rFonts w:hint="eastAsia" w:ascii="宋体" w:hAnsi="宋体" w:cs="宋体"/>
                <w:color w:val="000000" w:themeColor="text1"/>
                <w:sz w:val="24"/>
                <w:szCs w:val="24"/>
                <w:highlight w:val="none"/>
                <w:lang w:eastAsia="zh-CN"/>
                <w14:textFill>
                  <w14:solidFill>
                    <w14:schemeClr w14:val="tx1"/>
                  </w14:solidFill>
                </w14:textFill>
              </w:rPr>
              <w:t>。</w:t>
            </w:r>
          </w:p>
          <w:p>
            <w:pPr>
              <w:pStyle w:val="27"/>
              <w:spacing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三、加盖公章的投标保证金缴纳凭证复印件需装订在投标文件中相应位置。</w:t>
            </w:r>
          </w:p>
          <w:p>
            <w:pPr>
              <w:pStyle w:val="27"/>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注：投标人未按照</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cs="宋体"/>
                <w:color w:val="000000" w:themeColor="text1"/>
                <w:sz w:val="24"/>
                <w:szCs w:val="24"/>
                <w:highlight w:val="none"/>
                <w14:textFill>
                  <w14:solidFill>
                    <w14:schemeClr w14:val="tx1"/>
                  </w14:solidFill>
                </w14:textFill>
              </w:rPr>
              <w:t>的规定提交投标保证金的，将被视为</w:t>
            </w:r>
            <w:r>
              <w:rPr>
                <w:rFonts w:hint="eastAsia" w:ascii="宋体" w:hAnsi="宋体" w:cs="宋体"/>
                <w:b/>
                <w:bCs/>
                <w:color w:val="000000" w:themeColor="text1"/>
                <w:sz w:val="24"/>
                <w:szCs w:val="24"/>
                <w:highlight w:val="none"/>
                <w14:textFill>
                  <w14:solidFill>
                    <w14:schemeClr w14:val="tx1"/>
                  </w14:solidFill>
                </w14:textFill>
              </w:rPr>
              <w:t>投标无效</w:t>
            </w:r>
            <w:r>
              <w:rPr>
                <w:rFonts w:hint="eastAsia" w:ascii="宋体" w:hAnsi="宋体" w:cs="宋体"/>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是否接受联合体投标</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sym w:font="Wingdings" w:char="00FE"/>
            </w:r>
            <w:r>
              <w:rPr>
                <w:rFonts w:hint="eastAsia" w:ascii="宋体" w:hAnsi="宋体" w:eastAsia="宋体" w:cs="宋体"/>
                <w:color w:val="000000" w:themeColor="text1"/>
                <w:sz w:val="24"/>
                <w:szCs w:val="24"/>
                <w:highlight w:val="none"/>
                <w14:textFill>
                  <w14:solidFill>
                    <w14:schemeClr w14:val="tx1"/>
                  </w14:solidFill>
                </w14:textFill>
              </w:rPr>
              <w:t>不接受/</w:t>
            </w:r>
            <w:r>
              <w:rPr>
                <w:rFonts w:hint="eastAsia" w:ascii="宋体" w:hAnsi="宋体" w:eastAsia="宋体" w:cs="宋体"/>
                <w:color w:val="000000" w:themeColor="text1"/>
                <w:sz w:val="24"/>
                <w:szCs w:val="24"/>
                <w:highlight w:val="none"/>
                <w14:textFill>
                  <w14:solidFill>
                    <w14:schemeClr w14:val="tx1"/>
                  </w14:solidFill>
                </w14:textFill>
              </w:rPr>
              <w:sym w:font="Wingdings" w:char="00A8"/>
            </w:r>
            <w:r>
              <w:rPr>
                <w:rFonts w:hint="eastAsia" w:ascii="宋体" w:hAnsi="宋体" w:eastAsia="宋体" w:cs="宋体"/>
                <w:color w:val="000000" w:themeColor="text1"/>
                <w:sz w:val="24"/>
                <w:szCs w:val="24"/>
                <w:highlight w:val="none"/>
                <w14:textFill>
                  <w14:solidFill>
                    <w14:schemeClr w14:val="tx1"/>
                  </w14:solidFill>
                </w14:textFill>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分包</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sym w:font="Wingdings" w:char="00FE"/>
            </w:r>
            <w:r>
              <w:rPr>
                <w:rFonts w:hint="eastAsia" w:ascii="宋体" w:hAnsi="宋体" w:eastAsia="宋体" w:cs="宋体"/>
                <w:color w:val="000000" w:themeColor="text1"/>
                <w:sz w:val="24"/>
                <w:szCs w:val="24"/>
                <w:highlight w:val="none"/>
                <w14:textFill>
                  <w14:solidFill>
                    <w14:schemeClr w14:val="tx1"/>
                  </w14:solidFill>
                </w14:textFill>
              </w:rPr>
              <w:t>不允许/</w:t>
            </w:r>
            <w:r>
              <w:rPr>
                <w:rFonts w:hint="eastAsia" w:ascii="宋体" w:hAnsi="宋体" w:eastAsia="宋体" w:cs="宋体"/>
                <w:color w:val="000000" w:themeColor="text1"/>
                <w:sz w:val="24"/>
                <w:szCs w:val="24"/>
                <w:highlight w:val="none"/>
                <w14:textFill>
                  <w14:solidFill>
                    <w14:schemeClr w14:val="tx1"/>
                  </w14:solidFill>
                </w14:textFill>
              </w:rPr>
              <w:sym w:font="Wingdings" w:char="00A8"/>
            </w:r>
            <w:r>
              <w:rPr>
                <w:rFonts w:hint="eastAsia" w:ascii="宋体" w:hAnsi="宋体" w:eastAsia="宋体" w:cs="宋体"/>
                <w:color w:val="000000" w:themeColor="text1"/>
                <w:sz w:val="24"/>
                <w:szCs w:val="24"/>
                <w:highlight w:val="none"/>
                <w14:textFill>
                  <w14:solidFill>
                    <w14:schemeClr w14:val="tx1"/>
                  </w14:solidFill>
                </w14:textFill>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w:t>
            </w:r>
            <w:r>
              <w:rPr>
                <w:rFonts w:hint="eastAsia" w:ascii="宋体" w:hAnsi="宋体" w:cs="宋体"/>
                <w:color w:val="000000" w:themeColor="text1"/>
                <w:sz w:val="24"/>
                <w:szCs w:val="24"/>
                <w:highlight w:val="none"/>
                <w:lang w:eastAsia="zh-CN"/>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截止时间及地点</w:t>
            </w:r>
          </w:p>
        </w:tc>
        <w:tc>
          <w:tcPr>
            <w:tcW w:w="3675" w:type="pct"/>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00" w:lineRule="exact"/>
              <w:ind w:left="0" w:leftChars="0" w:right="0" w:rightChars="0" w:firstLine="0" w:firstLineChars="0"/>
              <w:textAlignment w:val="auto"/>
              <w:rPr>
                <w:rFonts w:hint="eastAsia" w:ascii="宋体" w:hAnsi="宋体" w:eastAsia="宋体" w:cs="宋体"/>
                <w:b w:val="0"/>
                <w:bCs/>
                <w:color w:val="000000" w:themeColor="text1"/>
                <w:kern w:val="0"/>
                <w:sz w:val="24"/>
                <w:szCs w:val="24"/>
                <w:highlight w:val="none"/>
                <w:u w:val="none"/>
                <w:shd w:val="clear" w:color="auto" w:fill="auto"/>
                <w:lang w:eastAsia="zh-CN"/>
                <w14:textFill>
                  <w14:solidFill>
                    <w14:schemeClr w14:val="tx1"/>
                  </w14:solidFill>
                </w14:textFill>
              </w:rPr>
            </w:pPr>
            <w:r>
              <w:rPr>
                <w:rFonts w:hint="eastAsia" w:ascii="宋体" w:hAnsi="宋体" w:eastAsia="宋体" w:cs="宋体"/>
                <w:b w:val="0"/>
                <w:bCs/>
                <w:color w:val="000000" w:themeColor="text1"/>
                <w:sz w:val="24"/>
                <w:szCs w:val="24"/>
                <w:highlight w:val="none"/>
                <w:u w:val="none"/>
                <w:shd w:val="clear" w:color="auto" w:fill="auto"/>
                <w:lang w:val="en-US" w:eastAsia="zh-CN"/>
                <w14:textFill>
                  <w14:solidFill>
                    <w14:schemeClr w14:val="tx1"/>
                  </w14:solidFill>
                </w14:textFill>
              </w:rPr>
              <w:t>投标</w:t>
            </w:r>
            <w:r>
              <w:rPr>
                <w:rFonts w:hint="eastAsia" w:ascii="宋体" w:hAnsi="宋体" w:eastAsia="宋体" w:cs="宋体"/>
                <w:b w:val="0"/>
                <w:bCs/>
                <w:color w:val="000000" w:themeColor="text1"/>
                <w:sz w:val="24"/>
                <w:szCs w:val="24"/>
                <w:highlight w:val="none"/>
                <w:u w:val="none"/>
                <w:shd w:val="clear" w:color="auto" w:fill="auto"/>
                <w14:textFill>
                  <w14:solidFill>
                    <w14:schemeClr w14:val="tx1"/>
                  </w14:solidFill>
                </w14:textFill>
              </w:rPr>
              <w:t>文件</w:t>
            </w:r>
            <w:r>
              <w:rPr>
                <w:rFonts w:hint="eastAsia" w:ascii="宋体" w:hAnsi="宋体" w:eastAsia="宋体" w:cs="宋体"/>
                <w:b w:val="0"/>
                <w:bCs/>
                <w:color w:val="000000" w:themeColor="text1"/>
                <w:sz w:val="24"/>
                <w:szCs w:val="24"/>
                <w:highlight w:val="none"/>
                <w:u w:val="none"/>
                <w:shd w:val="clear" w:color="auto" w:fill="auto"/>
                <w:lang w:val="en-US" w:eastAsia="zh-CN"/>
                <w14:textFill>
                  <w14:solidFill>
                    <w14:schemeClr w14:val="tx1"/>
                  </w14:solidFill>
                </w14:textFill>
              </w:rPr>
              <w:t>上传</w:t>
            </w:r>
            <w:r>
              <w:rPr>
                <w:rFonts w:hint="eastAsia" w:ascii="宋体" w:hAnsi="宋体" w:eastAsia="宋体" w:cs="宋体"/>
                <w:b w:val="0"/>
                <w:bCs/>
                <w:color w:val="000000" w:themeColor="text1"/>
                <w:sz w:val="24"/>
                <w:szCs w:val="24"/>
                <w:highlight w:val="none"/>
                <w:u w:val="none"/>
                <w:shd w:val="clear" w:color="auto" w:fill="auto"/>
                <w14:textFill>
                  <w14:solidFill>
                    <w14:schemeClr w14:val="tx1"/>
                  </w14:solidFill>
                </w14:textFill>
              </w:rPr>
              <w:t>截止时间</w:t>
            </w:r>
            <w:r>
              <w:rPr>
                <w:rFonts w:hint="eastAsia" w:ascii="宋体" w:hAnsi="宋体" w:eastAsia="宋体" w:cs="宋体"/>
                <w:b w:val="0"/>
                <w:bCs/>
                <w:color w:val="000000" w:themeColor="text1"/>
                <w:sz w:val="24"/>
                <w:szCs w:val="24"/>
                <w:highlight w:val="none"/>
                <w:u w:val="none"/>
                <w:shd w:val="clear" w:color="auto" w:fill="auto"/>
                <w:lang w:eastAsia="zh-CN"/>
                <w14:textFill>
                  <w14:solidFill>
                    <w14:schemeClr w14:val="tx1"/>
                  </w14:solidFill>
                </w14:textFill>
              </w:rPr>
              <w:t>：</w:t>
            </w:r>
            <w:r>
              <w:rPr>
                <w:rFonts w:hint="eastAsia" w:ascii="宋体" w:hAnsi="宋体" w:eastAsia="宋体" w:cs="宋体"/>
                <w:b w:val="0"/>
                <w:bCs/>
                <w:color w:val="000000" w:themeColor="text1"/>
                <w:sz w:val="24"/>
                <w:szCs w:val="24"/>
                <w:highlight w:val="none"/>
                <w:u w:val="single"/>
                <w:shd w:val="clear" w:color="auto" w:fill="auto"/>
                <w14:textFill>
                  <w14:solidFill>
                    <w14:schemeClr w14:val="tx1"/>
                  </w14:solidFill>
                </w14:textFill>
              </w:rPr>
              <w:t>202</w:t>
            </w:r>
            <w:r>
              <w:rPr>
                <w:rFonts w:hint="eastAsia" w:ascii="宋体" w:hAnsi="宋体" w:eastAsia="宋体" w:cs="宋体"/>
                <w:b w:val="0"/>
                <w:bCs/>
                <w:color w:val="000000" w:themeColor="text1"/>
                <w:sz w:val="24"/>
                <w:szCs w:val="24"/>
                <w:highlight w:val="none"/>
                <w:u w:val="single"/>
                <w:shd w:val="clear" w:color="auto" w:fill="auto"/>
                <w:lang w:val="en-US" w:eastAsia="zh-CN"/>
                <w14:textFill>
                  <w14:solidFill>
                    <w14:schemeClr w14:val="tx1"/>
                  </w14:solidFill>
                </w14:textFill>
              </w:rPr>
              <w:t>3</w:t>
            </w:r>
            <w:r>
              <w:rPr>
                <w:rFonts w:hint="eastAsia" w:ascii="宋体" w:hAnsi="宋体" w:eastAsia="宋体" w:cs="宋体"/>
                <w:b w:val="0"/>
                <w:bCs/>
                <w:color w:val="000000" w:themeColor="text1"/>
                <w:sz w:val="24"/>
                <w:szCs w:val="24"/>
                <w:highlight w:val="none"/>
                <w:u w:val="none"/>
                <w:shd w:val="clear" w:color="auto" w:fill="auto"/>
                <w14:textFill>
                  <w14:solidFill>
                    <w14:schemeClr w14:val="tx1"/>
                  </w14:solidFill>
                </w14:textFill>
              </w:rPr>
              <w:t>年</w:t>
            </w:r>
            <w:r>
              <w:rPr>
                <w:rFonts w:hint="eastAsia" w:ascii="宋体" w:hAnsi="宋体" w:cs="宋体"/>
                <w:b w:val="0"/>
                <w:bCs/>
                <w:color w:val="000000" w:themeColor="text1"/>
                <w:sz w:val="24"/>
                <w:szCs w:val="24"/>
                <w:highlight w:val="none"/>
                <w:u w:val="single"/>
                <w:shd w:val="clear" w:color="auto" w:fill="auto"/>
                <w:lang w:val="en-US" w:eastAsia="zh-CN"/>
                <w14:textFill>
                  <w14:solidFill>
                    <w14:schemeClr w14:val="tx1"/>
                  </w14:solidFill>
                </w14:textFill>
              </w:rPr>
              <w:t>08</w:t>
            </w:r>
            <w:r>
              <w:rPr>
                <w:rFonts w:hint="eastAsia" w:ascii="宋体" w:hAnsi="宋体" w:eastAsia="宋体" w:cs="宋体"/>
                <w:b w:val="0"/>
                <w:bCs/>
                <w:color w:val="000000" w:themeColor="text1"/>
                <w:sz w:val="24"/>
                <w:szCs w:val="24"/>
                <w:highlight w:val="none"/>
                <w:u w:val="none"/>
                <w:shd w:val="clear" w:color="auto" w:fill="auto"/>
                <w14:textFill>
                  <w14:solidFill>
                    <w14:schemeClr w14:val="tx1"/>
                  </w14:solidFill>
                </w14:textFill>
              </w:rPr>
              <w:t>月</w:t>
            </w:r>
            <w:r>
              <w:rPr>
                <w:rFonts w:hint="eastAsia" w:ascii="宋体" w:hAnsi="宋体" w:cs="宋体"/>
                <w:b w:val="0"/>
                <w:bCs/>
                <w:color w:val="000000" w:themeColor="text1"/>
                <w:sz w:val="24"/>
                <w:szCs w:val="24"/>
                <w:highlight w:val="none"/>
                <w:u w:val="single"/>
                <w:shd w:val="clear" w:color="auto" w:fill="auto"/>
                <w:lang w:val="en-US" w:eastAsia="zh-CN"/>
                <w14:textFill>
                  <w14:solidFill>
                    <w14:schemeClr w14:val="tx1"/>
                  </w14:solidFill>
                </w14:textFill>
              </w:rPr>
              <w:t>23</w:t>
            </w:r>
            <w:r>
              <w:rPr>
                <w:rFonts w:hint="eastAsia" w:ascii="宋体" w:hAnsi="宋体" w:eastAsia="宋体" w:cs="宋体"/>
                <w:b w:val="0"/>
                <w:bCs/>
                <w:color w:val="000000" w:themeColor="text1"/>
                <w:sz w:val="24"/>
                <w:szCs w:val="24"/>
                <w:highlight w:val="none"/>
                <w:u w:val="none"/>
                <w:shd w:val="clear" w:color="auto" w:fill="auto"/>
                <w14:textFill>
                  <w14:solidFill>
                    <w14:schemeClr w14:val="tx1"/>
                  </w14:solidFill>
                </w14:textFill>
              </w:rPr>
              <w:t>日</w:t>
            </w:r>
            <w:r>
              <w:rPr>
                <w:rFonts w:hint="eastAsia" w:ascii="宋体" w:hAnsi="宋体" w:cs="宋体"/>
                <w:b w:val="0"/>
                <w:bCs/>
                <w:color w:val="000000" w:themeColor="text1"/>
                <w:sz w:val="24"/>
                <w:szCs w:val="24"/>
                <w:highlight w:val="none"/>
                <w:u w:val="single"/>
                <w:shd w:val="clear" w:color="auto" w:fill="auto"/>
                <w:lang w:val="en-US" w:eastAsia="zh-CN"/>
                <w14:textFill>
                  <w14:solidFill>
                    <w14:schemeClr w14:val="tx1"/>
                  </w14:solidFill>
                </w14:textFill>
              </w:rPr>
              <w:t>15</w:t>
            </w:r>
            <w:r>
              <w:rPr>
                <w:rFonts w:hint="eastAsia" w:ascii="宋体" w:hAnsi="宋体" w:eastAsia="宋体" w:cs="宋体"/>
                <w:b w:val="0"/>
                <w:bCs/>
                <w:color w:val="000000" w:themeColor="text1"/>
                <w:sz w:val="24"/>
                <w:szCs w:val="24"/>
                <w:highlight w:val="none"/>
                <w:u w:val="none"/>
                <w:shd w:val="clear" w:color="auto" w:fill="auto"/>
                <w14:textFill>
                  <w14:solidFill>
                    <w14:schemeClr w14:val="tx1"/>
                  </w14:solidFill>
                </w14:textFill>
              </w:rPr>
              <w:t>时</w:t>
            </w:r>
            <w:r>
              <w:rPr>
                <w:rFonts w:hint="eastAsia" w:ascii="宋体" w:hAnsi="宋体" w:cs="宋体"/>
                <w:b w:val="0"/>
                <w:bCs/>
                <w:color w:val="000000" w:themeColor="text1"/>
                <w:sz w:val="24"/>
                <w:szCs w:val="24"/>
                <w:highlight w:val="none"/>
                <w:u w:val="single"/>
                <w:shd w:val="clear" w:color="auto" w:fill="auto"/>
                <w:lang w:val="en-US" w:eastAsia="zh-CN"/>
                <w14:textFill>
                  <w14:solidFill>
                    <w14:schemeClr w14:val="tx1"/>
                  </w14:solidFill>
                </w14:textFill>
              </w:rPr>
              <w:t>00</w:t>
            </w:r>
            <w:r>
              <w:rPr>
                <w:rFonts w:hint="eastAsia" w:ascii="宋体" w:hAnsi="宋体" w:eastAsia="宋体" w:cs="宋体"/>
                <w:b w:val="0"/>
                <w:bCs/>
                <w:color w:val="000000" w:themeColor="text1"/>
                <w:sz w:val="24"/>
                <w:szCs w:val="24"/>
                <w:highlight w:val="none"/>
                <w:u w:val="none"/>
                <w:shd w:val="clear" w:color="auto" w:fill="auto"/>
                <w14:textFill>
                  <w14:solidFill>
                    <w14:schemeClr w14:val="tx1"/>
                  </w14:solidFill>
                </w14:textFill>
              </w:rPr>
              <w:t>分</w:t>
            </w:r>
            <w:r>
              <w:rPr>
                <w:rFonts w:hint="eastAsia" w:ascii="宋体" w:hAnsi="宋体" w:eastAsia="宋体" w:cs="宋体"/>
                <w:b w:val="0"/>
                <w:bCs/>
                <w:color w:val="000000" w:themeColor="text1"/>
                <w:kern w:val="0"/>
                <w:sz w:val="24"/>
                <w:szCs w:val="24"/>
                <w:highlight w:val="none"/>
                <w:u w:val="none"/>
                <w:shd w:val="clear" w:color="auto" w:fill="auto"/>
                <w14:textFill>
                  <w14:solidFill>
                    <w14:schemeClr w14:val="tx1"/>
                  </w14:solidFill>
                </w14:textFill>
              </w:rPr>
              <w:t>（北京时间）</w:t>
            </w:r>
            <w:r>
              <w:rPr>
                <w:rFonts w:hint="eastAsia" w:ascii="宋体" w:hAnsi="宋体" w:eastAsia="宋体" w:cs="宋体"/>
                <w:b w:val="0"/>
                <w:bCs/>
                <w:color w:val="000000" w:themeColor="text1"/>
                <w:kern w:val="0"/>
                <w:sz w:val="24"/>
                <w:szCs w:val="24"/>
                <w:highlight w:val="none"/>
                <w:u w:val="none"/>
                <w:shd w:val="clear" w:color="auto" w:fill="auto"/>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spacing w:line="400" w:lineRule="exact"/>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应在投标截止时间前将“电子加密投标文件”成功上传</w:t>
            </w:r>
            <w:r>
              <w:rPr>
                <w:rFonts w:hint="eastAsia" w:ascii="宋体" w:hAnsi="宋体" w:cs="宋体"/>
                <w:color w:val="000000" w:themeColor="text1"/>
                <w:sz w:val="24"/>
                <w:szCs w:val="24"/>
                <w:highlight w:val="none"/>
                <w:lang w:eastAsia="zh-CN"/>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至“政府采购云平台”，否则投标无效。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采用电子招标投标</w:t>
            </w:r>
          </w:p>
        </w:tc>
        <w:tc>
          <w:tcPr>
            <w:tcW w:w="3675" w:type="pct"/>
            <w:vAlign w:val="center"/>
          </w:tcPr>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具体要求：</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1、投标文件解密时间：</w:t>
            </w:r>
            <w:r>
              <w:rPr>
                <w:rFonts w:hint="eastAsia" w:ascii="宋体" w:hAnsi="宋体" w:eastAsia="宋体" w:cs="宋体"/>
                <w:color w:val="000000" w:themeColor="text1"/>
                <w:sz w:val="24"/>
                <w:szCs w:val="24"/>
                <w:highlight w:val="none"/>
                <w14:textFill>
                  <w14:solidFill>
                    <w14:schemeClr w14:val="tx1"/>
                  </w14:solidFill>
                </w14:textFill>
              </w:rPr>
              <w:t>投标文件解密时间30分钟，开标前需投标单位用CA证书登录政采云平台开标大厅签到，在30分钟解密时间内输入CA证书PIN码解密投标文件。在30分钟解密时间内未进行解密的投标单位将导致</w:t>
            </w:r>
            <w:r>
              <w:rPr>
                <w:rFonts w:hint="eastAsia" w:ascii="宋体" w:hAnsi="宋体" w:cs="宋体"/>
                <w:color w:val="000000" w:themeColor="text1"/>
                <w:sz w:val="24"/>
                <w:szCs w:val="24"/>
                <w:highlight w:val="none"/>
                <w:lang w:eastAsia="zh-CN"/>
                <w14:textFill>
                  <w14:solidFill>
                    <w14:schemeClr w14:val="tx1"/>
                  </w14:solidFill>
                </w14:textFill>
              </w:rPr>
              <w:t>投标无效</w:t>
            </w:r>
            <w:r>
              <w:rPr>
                <w:rFonts w:hint="eastAsia" w:ascii="宋体" w:hAnsi="宋体" w:eastAsia="宋体" w:cs="宋体"/>
                <w:color w:val="000000" w:themeColor="text1"/>
                <w:sz w:val="24"/>
                <w:szCs w:val="24"/>
                <w:highlight w:val="none"/>
                <w14:textFill>
                  <w14:solidFill>
                    <w14:schemeClr w14:val="tx1"/>
                  </w14:solidFill>
                </w14:textFill>
              </w:rPr>
              <w:t>。（解密时间开始时政采云平台将以短信形式向</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在政采云平台预留的手机号发送短信通知，请</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及时关注。）</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bCs/>
                <w:color w:val="000000" w:themeColor="text1"/>
                <w:sz w:val="24"/>
                <w:szCs w:val="24"/>
                <w:highlight w:val="none"/>
                <w14:textFill>
                  <w14:solidFill>
                    <w14:schemeClr w14:val="tx1"/>
                  </w14:solidFill>
                </w14:textFill>
              </w:rPr>
              <w:t>报价CA签字确认：</w:t>
            </w:r>
            <w:r>
              <w:rPr>
                <w:rFonts w:hint="eastAsia" w:ascii="宋体" w:hAnsi="宋体" w:eastAsia="宋体" w:cs="宋体"/>
                <w:color w:val="000000" w:themeColor="text1"/>
                <w:sz w:val="24"/>
                <w:szCs w:val="24"/>
                <w:highlight w:val="none"/>
                <w14:textFill>
                  <w14:solidFill>
                    <w14:schemeClr w14:val="tx1"/>
                  </w14:solidFill>
                </w14:textFill>
              </w:rPr>
              <w:t>报价文件开启后将开启签字时段，</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须在20分钟内用CA证书对报价进行签字确认。</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3、备注:</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（1）本次采购采用电子交易方式，电子交易平台为“政府采购云平台（www.zcygov.cn）”。</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参与本项目电子交易活动前，应注册成为政府采购平台</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。编制电子投标文件前还需申领CA证书并绑定帐号.</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编制电子投标文件应安装“电子招投标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客户端”软件，并按照本</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和电子招投标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客户端的要求编制并加密投标文件。未按规定加密的投标文件，将被电子招投标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客户端拒收。“电子招投标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客户端”请</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自行前往“新疆政府采购网—下载专区—新疆维吾尔自治区全流程电子招投标项目管理系统--电子招投标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客户端”版块获取。</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应当在投标截止时间前，将“电子招投标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客户端”生成的“电子加密投标文件”上传电子交易平台。</w:t>
            </w:r>
          </w:p>
          <w:p>
            <w:pPr>
              <w:keepNext w:val="0"/>
              <w:keepLines w:val="0"/>
              <w:pageBreakBefore w:val="0"/>
              <w:kinsoku/>
              <w:wordWrap/>
              <w:overflowPunct/>
              <w:topLinePunct w:val="0"/>
              <w:autoSpaceDE/>
              <w:autoSpaceDN/>
              <w:bidi w:val="0"/>
              <w:spacing w:line="400" w:lineRule="exact"/>
              <w:jc w:val="left"/>
              <w:textAlignment w:val="auto"/>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（5）服务与支持。各政府采购代理机构（含集采机构）及</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对不见面开评标系统的技术操作咨询，可通过</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"https://edu.zcygov.cn/luban/xinjiang-e-biding"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https://edu.zcygov.cn/luban/xinjiang-e-biding</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自助查询，也可在政采云帮助中心常见问题解答和操作流程讲解视频中自助查询，网址为：</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"https://service.zcygov.cn/" \l "/help"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https://service.zcygov.cn/#/help</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，“项目采购—操作流程—电子招投标—政府采购项目电子交易管理操作指南-</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”版面获取操作指南，同时对自助查询无法解决的问题可通过钉钉群及政采云在线客服获取服务支持。政采云热线人工号码：400-881-7190（工作时间：工作日08:00~20：00）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投标报价</w:t>
            </w:r>
          </w:p>
        </w:tc>
        <w:tc>
          <w:tcPr>
            <w:tcW w:w="3675" w:type="pct"/>
            <w:vAlign w:val="center"/>
          </w:tcPr>
          <w:p>
            <w:pPr>
              <w:keepNext w:val="0"/>
              <w:keepLines w:val="0"/>
              <w:pageBreakBefore w:val="0"/>
              <w:numPr>
                <w:ilvl w:val="0"/>
                <w:numId w:val="4"/>
              </w:numPr>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的报价明显低于其他通过符合性审查投标人的报价，有可能影响货物质量或者不能诚信履约的，应当要求其在评标现场合理的时间内提供书面说明，必要时提交相关证明材料;投标人不能证明其报价合理性的，评标委员会将其作为无效投标处理，自行承担相关责任。</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2、投标人的报价包含提供的所有服务及相关工作范围内所有费用（包含接口费）的总价。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踏勘现场</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sym w:font="Wingdings" w:char="F0FE"/>
            </w:r>
            <w:r>
              <w:rPr>
                <w:rFonts w:hint="eastAsia" w:ascii="宋体" w:hAnsi="宋体" w:eastAsia="宋体" w:cs="宋体"/>
                <w:color w:val="000000" w:themeColor="text1"/>
                <w:sz w:val="24"/>
                <w:szCs w:val="24"/>
                <w:highlight w:val="none"/>
                <w14:textFill>
                  <w14:solidFill>
                    <w14:schemeClr w14:val="tx1"/>
                  </w14:solidFill>
                </w14:textFill>
              </w:rPr>
              <w:t>不组织，投标人自行踏勘，无论投标人对现场考察与否，都将被视为熟悉履行合同有关的一切情况，投标人现场踏勘发生的费用自理。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投标答疑会</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sym w:font="Wingdings" w:char="F0FE"/>
            </w:r>
            <w:r>
              <w:rPr>
                <w:rFonts w:hint="eastAsia" w:ascii="宋体" w:hAnsi="宋体" w:eastAsia="宋体" w:cs="宋体"/>
                <w:color w:val="000000" w:themeColor="text1"/>
                <w:sz w:val="24"/>
                <w:szCs w:val="24"/>
                <w:highlight w:val="none"/>
                <w14:textFill>
                  <w14:solidFill>
                    <w14:schemeClr w14:val="tx1"/>
                  </w14:solidFill>
                </w14:textFill>
              </w:rPr>
              <w:t xml:space="preserve">不召开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近年财务状况年份要求</w:t>
            </w:r>
          </w:p>
        </w:tc>
        <w:tc>
          <w:tcPr>
            <w:tcW w:w="3675" w:type="pct"/>
            <w:vAlign w:val="center"/>
          </w:tcPr>
          <w:p>
            <w:pPr>
              <w:pStyle w:val="22"/>
              <w:keepNext w:val="0"/>
              <w:keepLines w:val="0"/>
              <w:pageBreakBefore w:val="0"/>
              <w:kinsoku/>
              <w:wordWrap/>
              <w:overflowPunct/>
              <w:topLinePunct w:val="0"/>
              <w:autoSpaceDE/>
              <w:autoSpaceDN/>
              <w:bidi w:val="0"/>
              <w:spacing w:line="400" w:lineRule="exact"/>
              <w:ind w:left="0" w:firstLine="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投标有效期</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从开标之日起60日历天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评标委员会的组建</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评标委员会构成：5人；</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评标专家确定方式：经济、技术专家不少于评标委员会组成人员的三分之二，按相关规定从政府采购专家库中随机抽取。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评标办法</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是否授权评标委员会确定中标人</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sym w:font="Wingdings" w:char="F0FE"/>
            </w:r>
            <w:r>
              <w:rPr>
                <w:rFonts w:hint="eastAsia" w:ascii="宋体" w:hAnsi="宋体" w:eastAsia="宋体" w:cs="宋体"/>
                <w:color w:val="000000" w:themeColor="text1"/>
                <w:sz w:val="24"/>
                <w:szCs w:val="24"/>
                <w:highlight w:val="none"/>
                <w14:textFill>
                  <w14:solidFill>
                    <w14:schemeClr w14:val="tx1"/>
                  </w14:solidFill>
                </w14:textFill>
              </w:rPr>
              <w:t>否，推荐3名中标候选人。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履约保证金</w:t>
            </w:r>
          </w:p>
        </w:tc>
        <w:tc>
          <w:tcPr>
            <w:tcW w:w="3675" w:type="pct"/>
            <w:vAlign w:val="center"/>
          </w:tcPr>
          <w:p>
            <w:pPr>
              <w:pStyle w:val="42"/>
              <w:keepNext w:val="0"/>
              <w:keepLines w:val="0"/>
              <w:suppressLineNumbers w:val="0"/>
              <w:spacing w:before="0" w:beforeAutospacing="0" w:after="0" w:afterAutospacing="0" w:line="440" w:lineRule="exact"/>
              <w:ind w:left="0" w:right="0"/>
              <w:jc w:val="both"/>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本项目不要求缴纳履约保证金。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招标代理服务费</w:t>
            </w:r>
          </w:p>
        </w:tc>
        <w:tc>
          <w:tcPr>
            <w:tcW w:w="3675" w:type="pct"/>
            <w:vAlign w:val="center"/>
          </w:tcPr>
          <w:p>
            <w:pPr>
              <w:keepNext w:val="0"/>
              <w:keepLines w:val="0"/>
              <w:pageBreakBefore w:val="0"/>
              <w:kinsoku/>
              <w:wordWrap/>
              <w:overflowPunct/>
              <w:topLinePunct w:val="0"/>
              <w:autoSpaceDE/>
              <w:autoSpaceDN/>
              <w:bidi w:val="0"/>
              <w:spacing w:line="400" w:lineRule="exact"/>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参照国家计委计价格【2002】1980号文和国家发改委发改办价格【2003】857号文，由</w:t>
            </w:r>
            <w:r>
              <w:rPr>
                <w:rFonts w:hint="eastAsia" w:ascii="宋体" w:hAnsi="宋体" w:cs="宋体"/>
                <w:color w:val="000000" w:themeColor="text1"/>
                <w:sz w:val="24"/>
                <w:szCs w:val="24"/>
                <w:highlight w:val="none"/>
                <w:lang w:eastAsia="zh-CN"/>
                <w14:textFill>
                  <w14:solidFill>
                    <w14:schemeClr w14:val="tx1"/>
                  </w14:solidFill>
                </w14:textFill>
              </w:rPr>
              <w:t>中标人</w:t>
            </w:r>
            <w:r>
              <w:rPr>
                <w:rFonts w:hint="eastAsia" w:ascii="宋体" w:hAnsi="宋体" w:cs="宋体"/>
                <w:color w:val="000000" w:themeColor="text1"/>
                <w:sz w:val="24"/>
                <w:szCs w:val="24"/>
                <w:highlight w:val="none"/>
                <w14:textFill>
                  <w14:solidFill>
                    <w14:schemeClr w14:val="tx1"/>
                  </w14:solidFill>
                </w14:textFill>
              </w:rPr>
              <w:t>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付款方式</w:t>
            </w:r>
          </w:p>
        </w:tc>
        <w:tc>
          <w:tcPr>
            <w:tcW w:w="3675" w:type="pct"/>
            <w:vAlign w:val="center"/>
          </w:tcPr>
          <w:p>
            <w:pPr>
              <w:pStyle w:val="5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合同签订后，预付合同价款的30%，</w:t>
            </w:r>
            <w:r>
              <w:rPr>
                <w:rFonts w:hint="eastAsia" w:ascii="宋体" w:hAnsi="宋体" w:cs="宋体"/>
                <w:color w:val="000000" w:themeColor="text1"/>
                <w:sz w:val="24"/>
                <w:szCs w:val="24"/>
                <w:highlight w:val="none"/>
                <w:lang w:val="en-US" w:eastAsia="zh-CN"/>
                <w14:textFill>
                  <w14:solidFill>
                    <w14:schemeClr w14:val="tx1"/>
                  </w14:solidFill>
                </w14:textFill>
              </w:rPr>
              <w:t>按安装进度支付进度款，</w:t>
            </w:r>
            <w:r>
              <w:rPr>
                <w:rFonts w:hint="eastAsia" w:ascii="宋体" w:hAnsi="宋体" w:cs="宋体"/>
                <w:color w:val="000000" w:themeColor="text1"/>
                <w:sz w:val="24"/>
                <w:szCs w:val="24"/>
                <w:highlight w:val="none"/>
                <w:lang w:eastAsia="zh-CN"/>
                <w14:textFill>
                  <w14:solidFill>
                    <w14:schemeClr w14:val="tx1"/>
                  </w14:solidFill>
                </w14:textFill>
              </w:rPr>
              <w:t>验收合格后付至合同价款的97%，合同价款的3%作为的质量保证金，质保期满后无质量问题一次性无息付清。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76"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w:t>
            </w:r>
          </w:p>
        </w:tc>
        <w:tc>
          <w:tcPr>
            <w:tcW w:w="848" w:type="pct"/>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其他</w:t>
            </w:r>
          </w:p>
        </w:tc>
        <w:tc>
          <w:tcPr>
            <w:tcW w:w="3675" w:type="pct"/>
            <w:vAlign w:val="center"/>
          </w:tcPr>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本次招标如有变更、澄清或其他通知将在发布招标公告的网站上公布。</w:t>
            </w:r>
          </w:p>
        </w:tc>
      </w:tr>
    </w:tbl>
    <w:p>
      <w:pPr>
        <w:pStyle w:val="4"/>
        <w:pageBreakBefore w:val="0"/>
        <w:widowControl w:val="0"/>
        <w:kinsoku/>
        <w:wordWrap/>
        <w:overflowPunct/>
        <w:topLinePunct w:val="0"/>
        <w:autoSpaceDE/>
        <w:autoSpaceDN/>
        <w:bidi w:val="0"/>
        <w:adjustRightInd/>
        <w:spacing w:before="156" w:after="156" w:line="480" w:lineRule="exact"/>
        <w:textAlignment w:val="auto"/>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14:textFill>
            <w14:solidFill>
              <w14:schemeClr w14:val="tx1"/>
            </w14:solidFill>
          </w14:textFill>
        </w:rPr>
        <w:t>二、总  则</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40" w:name="_Toc183582205"/>
      <w:bookmarkStart w:id="41" w:name="_Toc183682342"/>
      <w:bookmarkStart w:id="42" w:name="_Toc217446034"/>
      <w:r>
        <w:rPr>
          <w:rFonts w:hint="eastAsia" w:ascii="宋体" w:hAnsi="宋体" w:eastAsia="宋体" w:cs="宋体"/>
          <w:color w:val="000000" w:themeColor="text1"/>
          <w:sz w:val="24"/>
          <w:szCs w:val="24"/>
          <w:highlight w:val="none"/>
          <w14:textFill>
            <w14:solidFill>
              <w14:schemeClr w14:val="tx1"/>
            </w14:solidFill>
          </w14:textFill>
        </w:rPr>
        <w:t>1.</w:t>
      </w:r>
      <w:bookmarkEnd w:id="40"/>
      <w:bookmarkEnd w:id="41"/>
      <w:r>
        <w:rPr>
          <w:rFonts w:hint="eastAsia" w:ascii="宋体" w:hAnsi="宋体" w:eastAsia="宋体" w:cs="宋体"/>
          <w:color w:val="000000" w:themeColor="text1"/>
          <w:sz w:val="24"/>
          <w:szCs w:val="24"/>
          <w:highlight w:val="none"/>
          <w14:textFill>
            <w14:solidFill>
              <w14:schemeClr w14:val="tx1"/>
            </w14:solidFill>
          </w14:textFill>
        </w:rPr>
        <w:t xml:space="preserve"> 适用范围</w:t>
      </w:r>
      <w:bookmarkEnd w:id="42"/>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 本</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仅适用于本次招标项目。</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43" w:name="_Toc183582206"/>
      <w:bookmarkStart w:id="44" w:name="_Toc183682343"/>
      <w:bookmarkStart w:id="45" w:name="_Toc217446035"/>
      <w:r>
        <w:rPr>
          <w:rFonts w:hint="eastAsia" w:ascii="宋体" w:hAnsi="宋体" w:eastAsia="宋体" w:cs="宋体"/>
          <w:color w:val="000000" w:themeColor="text1"/>
          <w:sz w:val="24"/>
          <w:szCs w:val="24"/>
          <w:highlight w:val="none"/>
          <w14:textFill>
            <w14:solidFill>
              <w14:schemeClr w14:val="tx1"/>
            </w14:solidFill>
          </w14:textFill>
        </w:rPr>
        <w:t xml:space="preserve">2. </w:t>
      </w:r>
      <w:bookmarkEnd w:id="43"/>
      <w:bookmarkEnd w:id="44"/>
      <w:r>
        <w:rPr>
          <w:rFonts w:hint="eastAsia" w:ascii="宋体" w:hAnsi="宋体" w:eastAsia="宋体" w:cs="宋体"/>
          <w:color w:val="000000" w:themeColor="text1"/>
          <w:sz w:val="24"/>
          <w:szCs w:val="24"/>
          <w:highlight w:val="none"/>
          <w14:textFill>
            <w14:solidFill>
              <w14:schemeClr w14:val="tx1"/>
            </w14:solidFill>
          </w14:textFill>
        </w:rPr>
        <w:t>有关定义</w:t>
      </w:r>
      <w:bookmarkEnd w:id="45"/>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 “采购人”系指依法进行政府采购的国家机关、事业单位、团体组织。本项目采购人是</w:t>
      </w:r>
      <w:r>
        <w:rPr>
          <w:rFonts w:hint="eastAsia" w:ascii="宋体" w:hAnsi="宋体" w:cs="宋体"/>
          <w:color w:val="000000" w:themeColor="text1"/>
          <w:sz w:val="24"/>
          <w:szCs w:val="24"/>
          <w:highlight w:val="none"/>
          <w:u w:val="single"/>
          <w:lang w:eastAsia="zh-CN"/>
          <w14:textFill>
            <w14:solidFill>
              <w14:schemeClr w14:val="tx1"/>
            </w14:solidFill>
          </w14:textFill>
        </w:rPr>
        <w:t>沙湾市教育和科学技术局</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 “采购代理机构”系指根据采购人的委托依法办理招标事宜的采购机构。本次招标的采购代理机构是</w:t>
      </w:r>
      <w:r>
        <w:rPr>
          <w:rFonts w:hint="eastAsia" w:ascii="宋体" w:hAnsi="宋体" w:eastAsia="宋体" w:cs="宋体"/>
          <w:color w:val="000000" w:themeColor="text1"/>
          <w:sz w:val="24"/>
          <w:szCs w:val="24"/>
          <w:highlight w:val="none"/>
          <w:u w:val="single"/>
          <w14:textFill>
            <w14:solidFill>
              <w14:schemeClr w14:val="tx1"/>
            </w14:solidFill>
          </w14:textFill>
        </w:rPr>
        <w:t>新疆拓源工程管理咨询有限公司</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 “采购单位”系指“采购人”和“采购代理机构”的统称。</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 “投标人”系指下载了</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拟参加投标和向采购人提供货物的投标人。</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46" w:name="_Toc217446036"/>
      <w:bookmarkStart w:id="47" w:name="_Toc217390843"/>
      <w:bookmarkStart w:id="48" w:name="_Toc183582207"/>
      <w:bookmarkStart w:id="49" w:name="_Toc183682344"/>
      <w:r>
        <w:rPr>
          <w:rFonts w:hint="eastAsia" w:ascii="宋体" w:hAnsi="宋体" w:eastAsia="宋体" w:cs="宋体"/>
          <w:color w:val="000000" w:themeColor="text1"/>
          <w:sz w:val="24"/>
          <w:szCs w:val="24"/>
          <w:highlight w:val="none"/>
          <w14:textFill>
            <w14:solidFill>
              <w14:schemeClr w14:val="tx1"/>
            </w14:solidFill>
          </w14:textFill>
        </w:rPr>
        <w:t>3. 合格的</w:t>
      </w:r>
      <w:bookmarkEnd w:id="46"/>
      <w:bookmarkEnd w:id="47"/>
      <w:bookmarkEnd w:id="48"/>
      <w:bookmarkEnd w:id="49"/>
      <w:r>
        <w:rPr>
          <w:rFonts w:hint="eastAsia" w:ascii="宋体" w:hAnsi="宋体" w:eastAsia="宋体" w:cs="宋体"/>
          <w:color w:val="000000" w:themeColor="text1"/>
          <w:sz w:val="24"/>
          <w:szCs w:val="24"/>
          <w:highlight w:val="none"/>
          <w14:textFill>
            <w14:solidFill>
              <w14:schemeClr w14:val="tx1"/>
            </w14:solidFill>
          </w14:textFill>
        </w:rPr>
        <w:t>投标人</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合格的投标人应具备以下条件：</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（1）本</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“招标公告”第二条规定的条件</w:t>
      </w:r>
      <w:r>
        <w:rPr>
          <w:rFonts w:hint="eastAsia" w:ascii="宋体" w:hAnsi="宋体" w:eastAsia="宋体" w:cs="宋体"/>
          <w:color w:val="000000" w:themeColor="text1"/>
          <w:spacing w:val="-4"/>
          <w:sz w:val="24"/>
          <w:szCs w:val="24"/>
          <w:highlight w:val="none"/>
          <w14:textFill>
            <w14:solidFill>
              <w14:schemeClr w14:val="tx1"/>
            </w14:solidFill>
          </w14:textFill>
        </w:rPr>
        <w:t>；</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（2）遵守国家有关的法律、法规、规章和其他政策规定；</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（3）下载</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并参与竞争。</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50" w:name="_Toc217446037"/>
      <w:bookmarkStart w:id="51" w:name="_Toc183682345"/>
      <w:bookmarkStart w:id="52" w:name="_Toc183582208"/>
      <w:r>
        <w:rPr>
          <w:rFonts w:hint="eastAsia" w:ascii="宋体" w:hAnsi="宋体" w:eastAsia="宋体" w:cs="宋体"/>
          <w:color w:val="000000" w:themeColor="text1"/>
          <w:sz w:val="24"/>
          <w:szCs w:val="24"/>
          <w:highlight w:val="none"/>
          <w14:textFill>
            <w14:solidFill>
              <w14:schemeClr w14:val="tx1"/>
            </w14:solidFill>
          </w14:textFill>
        </w:rPr>
        <w:t>4. 投标费用</w:t>
      </w:r>
      <w:bookmarkEnd w:id="50"/>
      <w:bookmarkEnd w:id="51"/>
      <w:bookmarkEnd w:id="52"/>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投标人参加投标的有关费用由投标人自行承担。</w:t>
      </w:r>
    </w:p>
    <w:p>
      <w:pPr>
        <w:pStyle w:val="4"/>
        <w:pageBreakBefore w:val="0"/>
        <w:widowControl w:val="0"/>
        <w:kinsoku/>
        <w:wordWrap/>
        <w:overflowPunct/>
        <w:topLinePunct w:val="0"/>
        <w:autoSpaceDE/>
        <w:autoSpaceDN/>
        <w:bidi w:val="0"/>
        <w:adjustRightInd/>
        <w:spacing w:before="156" w:after="156" w:line="480" w:lineRule="exact"/>
        <w:ind w:firstLine="482" w:firstLineChars="200"/>
        <w:textAlignment w:val="auto"/>
        <w:rPr>
          <w:rFonts w:hint="eastAsia" w:ascii="宋体" w:hAnsi="宋体" w:eastAsia="宋体" w:cs="宋体"/>
          <w:bCs w:val="0"/>
          <w:color w:val="000000" w:themeColor="text1"/>
          <w:sz w:val="24"/>
          <w:szCs w:val="24"/>
          <w:highlight w:val="none"/>
          <w:lang w:eastAsia="zh-CN"/>
          <w14:textFill>
            <w14:solidFill>
              <w14:schemeClr w14:val="tx1"/>
            </w14:solidFill>
          </w14:textFill>
        </w:rPr>
      </w:pPr>
      <w:bookmarkStart w:id="53" w:name="_Toc217446038"/>
      <w:bookmarkStart w:id="54" w:name="_Toc77400779"/>
      <w:bookmarkStart w:id="55" w:name="_Toc183582209"/>
      <w:bookmarkStart w:id="56" w:name="_Toc183682346"/>
      <w:bookmarkStart w:id="57" w:name="_Toc89075875"/>
      <w:r>
        <w:rPr>
          <w:rFonts w:hint="eastAsia" w:ascii="宋体" w:hAnsi="宋体" w:eastAsia="宋体" w:cs="宋体"/>
          <w:bCs w:val="0"/>
          <w:color w:val="000000" w:themeColor="text1"/>
          <w:sz w:val="24"/>
          <w:szCs w:val="24"/>
          <w:highlight w:val="none"/>
          <w14:textFill>
            <w14:solidFill>
              <w14:schemeClr w14:val="tx1"/>
            </w14:solidFill>
          </w14:textFill>
        </w:rPr>
        <w:t>三、</w:t>
      </w:r>
      <w:bookmarkEnd w:id="53"/>
      <w:bookmarkEnd w:id="54"/>
      <w:bookmarkEnd w:id="55"/>
      <w:bookmarkEnd w:id="56"/>
      <w:bookmarkEnd w:id="57"/>
      <w:r>
        <w:rPr>
          <w:rFonts w:hint="eastAsia" w:ascii="宋体" w:hAnsi="宋体" w:eastAsia="宋体" w:cs="宋体"/>
          <w:bCs w:val="0"/>
          <w:color w:val="000000" w:themeColor="text1"/>
          <w:sz w:val="24"/>
          <w:szCs w:val="24"/>
          <w:highlight w:val="none"/>
          <w:lang w:eastAsia="zh-CN"/>
          <w14:textFill>
            <w14:solidFill>
              <w14:schemeClr w14:val="tx1"/>
            </w14:solidFill>
          </w14:textFill>
        </w:rPr>
        <w:t>招标文件</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58" w:name="_Toc217446039"/>
      <w:bookmarkStart w:id="59" w:name="_Toc183682347"/>
      <w:bookmarkStart w:id="60" w:name="_Toc183582210"/>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的构成</w:t>
      </w:r>
      <w:bookmarkEnd w:id="58"/>
      <w:bookmarkEnd w:id="59"/>
      <w:bookmarkEnd w:id="60"/>
    </w:p>
    <w:p>
      <w:pPr>
        <w:pageBreakBefore w:val="0"/>
        <w:widowControl w:val="0"/>
        <w:tabs>
          <w:tab w:val="left" w:pos="72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是投标人准备投标文件和参加投标的依据，同时也是评标的重要依据，具有准法律文件性质。</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用以阐明招标项目所需的资质、技术、报价、招标程序、有关规定和注意事项以及拟签订的合同文本等。本</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包括以下内容：</w:t>
      </w:r>
    </w:p>
    <w:p>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（1）招标公告</w:t>
      </w:r>
      <w:r>
        <w:rPr>
          <w:rFonts w:hint="eastAsia" w:ascii="宋体" w:hAnsi="宋体" w:eastAsia="宋体" w:cs="宋体"/>
          <w:color w:val="000000" w:themeColor="text1"/>
          <w:sz w:val="24"/>
          <w:szCs w:val="24"/>
          <w:highlight w:val="none"/>
          <w14:textFill>
            <w14:solidFill>
              <w14:schemeClr w14:val="tx1"/>
            </w14:solidFill>
          </w14:textFill>
        </w:rPr>
        <w:tab/>
      </w:r>
    </w:p>
    <w:p>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（2）投标人须知</w:t>
      </w:r>
      <w:r>
        <w:rPr>
          <w:rFonts w:hint="eastAsia" w:ascii="宋体" w:hAnsi="宋体" w:eastAsia="宋体" w:cs="宋体"/>
          <w:color w:val="000000" w:themeColor="text1"/>
          <w:sz w:val="24"/>
          <w:szCs w:val="24"/>
          <w:highlight w:val="none"/>
          <w14:textFill>
            <w14:solidFill>
              <w14:schemeClr w14:val="tx1"/>
            </w14:solidFill>
          </w14:textFill>
        </w:rPr>
        <w:tab/>
      </w:r>
    </w:p>
    <w:p>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（3）投标文件格式</w:t>
      </w:r>
      <w:r>
        <w:rPr>
          <w:rFonts w:hint="eastAsia" w:ascii="宋体" w:hAnsi="宋体" w:eastAsia="宋体" w:cs="宋体"/>
          <w:color w:val="000000" w:themeColor="text1"/>
          <w:sz w:val="24"/>
          <w:szCs w:val="24"/>
          <w:highlight w:val="none"/>
          <w14:textFill>
            <w14:solidFill>
              <w14:schemeClr w14:val="tx1"/>
            </w14:solidFill>
          </w14:textFill>
        </w:rPr>
        <w:tab/>
      </w:r>
    </w:p>
    <w:p>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lang w:eastAsia="zh-CN"/>
          <w14:textFill>
            <w14:solidFill>
              <w14:schemeClr w14:val="tx1"/>
            </w14:solidFill>
          </w14:textFill>
        </w:rPr>
        <w:t>招标项目采购需求</w:t>
      </w:r>
      <w:r>
        <w:rPr>
          <w:rFonts w:hint="eastAsia" w:ascii="宋体" w:hAnsi="宋体" w:eastAsia="宋体" w:cs="宋体"/>
          <w:color w:val="000000" w:themeColor="text1"/>
          <w:sz w:val="24"/>
          <w:szCs w:val="24"/>
          <w:highlight w:val="none"/>
          <w14:textFill>
            <w14:solidFill>
              <w14:schemeClr w14:val="tx1"/>
            </w14:solidFill>
          </w14:textFill>
        </w:rPr>
        <w:tab/>
      </w:r>
    </w:p>
    <w:p>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（5）评标办法</w:t>
      </w:r>
      <w:r>
        <w:rPr>
          <w:rFonts w:hint="eastAsia" w:ascii="宋体" w:hAnsi="宋体" w:eastAsia="宋体" w:cs="宋体"/>
          <w:color w:val="000000" w:themeColor="text1"/>
          <w:sz w:val="24"/>
          <w:szCs w:val="24"/>
          <w:highlight w:val="none"/>
          <w14:textFill>
            <w14:solidFill>
              <w14:schemeClr w14:val="tx1"/>
            </w14:solidFill>
          </w14:textFill>
        </w:rPr>
        <w:tab/>
      </w:r>
    </w:p>
    <w:p>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（6）拟签订的合同文本</w:t>
      </w:r>
      <w:r>
        <w:rPr>
          <w:rFonts w:hint="eastAsia" w:ascii="宋体" w:hAnsi="宋体" w:eastAsia="宋体" w:cs="宋体"/>
          <w:color w:val="000000" w:themeColor="text1"/>
          <w:sz w:val="24"/>
          <w:szCs w:val="24"/>
          <w:highlight w:val="none"/>
          <w14:textFill>
            <w14:solidFill>
              <w14:schemeClr w14:val="tx1"/>
            </w14:solidFill>
          </w14:textFill>
        </w:rPr>
        <w:tab/>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2 投标人应认真阅读和充分理解</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中所有的事项、格式条款和规范要求。投标人没有对</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全面做出实质性响应是投标人的风险。没有按照</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要求作出实质性响应的投标文件，按</w:t>
      </w:r>
      <w:r>
        <w:rPr>
          <w:rFonts w:hint="eastAsia" w:ascii="宋体" w:hAnsi="宋体" w:eastAsia="宋体" w:cs="宋体"/>
          <w:b/>
          <w:bCs/>
          <w:color w:val="000000" w:themeColor="text1"/>
          <w:sz w:val="24"/>
          <w:szCs w:val="24"/>
          <w:highlight w:val="none"/>
          <w14:textFill>
            <w14:solidFill>
              <w14:schemeClr w14:val="tx1"/>
            </w14:solidFill>
          </w14:textFill>
        </w:rPr>
        <w:t>无效处理</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61" w:name="_Toc183582211"/>
      <w:bookmarkStart w:id="62" w:name="_Toc183682348"/>
      <w:bookmarkStart w:id="63" w:name="_Toc217446040"/>
      <w:r>
        <w:rPr>
          <w:rFonts w:hint="eastAsia" w:ascii="宋体" w:hAnsi="宋体" w:eastAsia="宋体" w:cs="宋体"/>
          <w:color w:val="000000" w:themeColor="text1"/>
          <w:sz w:val="24"/>
          <w:szCs w:val="24"/>
          <w:highlight w:val="none"/>
          <w14:textFill>
            <w14:solidFill>
              <w14:schemeClr w14:val="tx1"/>
            </w14:solidFill>
          </w14:textFill>
        </w:rPr>
        <w:t xml:space="preserve">6. </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的澄清</w:t>
      </w:r>
      <w:bookmarkEnd w:id="61"/>
      <w:bookmarkEnd w:id="62"/>
      <w:r>
        <w:rPr>
          <w:rFonts w:hint="eastAsia" w:ascii="宋体" w:hAnsi="宋体" w:eastAsia="宋体" w:cs="宋体"/>
          <w:color w:val="000000" w:themeColor="text1"/>
          <w:sz w:val="24"/>
          <w:szCs w:val="24"/>
          <w:highlight w:val="none"/>
          <w14:textFill>
            <w14:solidFill>
              <w14:schemeClr w14:val="tx1"/>
            </w14:solidFill>
          </w14:textFill>
        </w:rPr>
        <w:t>和修改</w:t>
      </w:r>
      <w:bookmarkEnd w:id="63"/>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6.1 </w:t>
      </w:r>
      <w:bookmarkStart w:id="64" w:name="_Toc208848971"/>
      <w:bookmarkStart w:id="65" w:name="_Toc217446041"/>
      <w:r>
        <w:rPr>
          <w:rFonts w:hint="eastAsia" w:ascii="宋体" w:hAnsi="宋体" w:eastAsia="宋体" w:cs="宋体"/>
          <w:color w:val="000000" w:themeColor="text1"/>
          <w:sz w:val="24"/>
          <w:szCs w:val="24"/>
          <w:highlight w:val="none"/>
          <w14:textFill>
            <w14:solidFill>
              <w14:schemeClr w14:val="tx1"/>
            </w14:solidFill>
          </w14:textFill>
        </w:rPr>
        <w:t>采购人或者采购代理机构可以对已发出的</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，进行必要的澄清或者修改，但不得改变采购标的和资格条件。澄清或者修改应当在原公告发布媒体上发布澄清公告。澄清或者修改的内容为</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的组成部分。</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6.2澄清或者修改的内容可能影响投标文件编制的，采购人或者采购代理机构应当在投标截止时间至少15日前，以书面形式通知所有获取</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的潜在投标人，不足15日的，采购人或者采购代理机构应当顺延提交投标文件的截止时间。</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 答疑会和现场考察</w:t>
      </w:r>
      <w:bookmarkEnd w:id="64"/>
      <w:bookmarkEnd w:id="65"/>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66" w:name="_Toc77400780"/>
      <w:bookmarkStart w:id="67" w:name="_Toc183682351"/>
      <w:bookmarkStart w:id="68" w:name="_Toc89075876"/>
      <w:bookmarkStart w:id="69" w:name="_Toc217446042"/>
      <w:bookmarkStart w:id="70" w:name="_Toc183582214"/>
      <w:r>
        <w:rPr>
          <w:rFonts w:hint="eastAsia" w:ascii="宋体" w:hAnsi="宋体" w:eastAsia="宋体" w:cs="宋体"/>
          <w:color w:val="000000" w:themeColor="text1"/>
          <w:sz w:val="24"/>
          <w:szCs w:val="24"/>
          <w:highlight w:val="none"/>
          <w14:textFill>
            <w14:solidFill>
              <w14:schemeClr w14:val="tx1"/>
            </w14:solidFill>
          </w14:textFill>
        </w:rPr>
        <w:t>7.1 本项目不组织答疑会和现场考察。</w:t>
      </w:r>
    </w:p>
    <w:p>
      <w:pPr>
        <w:pStyle w:val="4"/>
        <w:pageBreakBefore w:val="0"/>
        <w:widowControl w:val="0"/>
        <w:kinsoku/>
        <w:wordWrap/>
        <w:overflowPunct/>
        <w:topLinePunct w:val="0"/>
        <w:autoSpaceDE/>
        <w:autoSpaceDN/>
        <w:bidi w:val="0"/>
        <w:adjustRightInd/>
        <w:spacing w:before="156" w:after="156" w:line="480" w:lineRule="exact"/>
        <w:ind w:firstLine="482" w:firstLineChars="200"/>
        <w:textAlignment w:val="auto"/>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四、</w:t>
      </w:r>
      <w:bookmarkEnd w:id="66"/>
      <w:bookmarkEnd w:id="67"/>
      <w:bookmarkEnd w:id="68"/>
      <w:bookmarkEnd w:id="69"/>
      <w:bookmarkEnd w:id="70"/>
      <w:r>
        <w:rPr>
          <w:rFonts w:hint="eastAsia" w:ascii="宋体" w:hAnsi="宋体" w:eastAsia="宋体" w:cs="宋体"/>
          <w:bCs w:val="0"/>
          <w:color w:val="000000" w:themeColor="text1"/>
          <w:sz w:val="24"/>
          <w:szCs w:val="24"/>
          <w:highlight w:val="none"/>
          <w14:textFill>
            <w14:solidFill>
              <w14:schemeClr w14:val="tx1"/>
            </w14:solidFill>
          </w14:textFill>
        </w:rPr>
        <w:t>投标文件</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71" w:name="_Toc183682352"/>
      <w:bookmarkStart w:id="72" w:name="_Toc183582215"/>
      <w:bookmarkStart w:id="73" w:name="_Toc217446043"/>
      <w:r>
        <w:rPr>
          <w:rFonts w:hint="eastAsia" w:ascii="宋体" w:hAnsi="宋体" w:eastAsia="宋体" w:cs="宋体"/>
          <w:color w:val="000000" w:themeColor="text1"/>
          <w:sz w:val="24"/>
          <w:szCs w:val="24"/>
          <w:highlight w:val="none"/>
          <w14:textFill>
            <w14:solidFill>
              <w14:schemeClr w14:val="tx1"/>
            </w14:solidFill>
          </w14:textFill>
        </w:rPr>
        <w:t>8．投标文件的语言</w:t>
      </w:r>
      <w:bookmarkEnd w:id="71"/>
      <w:bookmarkEnd w:id="72"/>
      <w:bookmarkEnd w:id="73"/>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 投标人提交的投标文件以及投标人与采购人就有关投标的所有来往书面文件均须使用中文。投标文件中如附有外文资料，必须逐一对应翻译成中文并加盖投标人公章后附在相关外文资料后面，否则，投标人的投标文件将作为</w:t>
      </w:r>
      <w:r>
        <w:rPr>
          <w:rFonts w:hint="eastAsia" w:ascii="宋体" w:hAnsi="宋体" w:eastAsia="宋体" w:cs="宋体"/>
          <w:b/>
          <w:bCs/>
          <w:color w:val="000000" w:themeColor="text1"/>
          <w:sz w:val="24"/>
          <w:szCs w:val="24"/>
          <w:highlight w:val="none"/>
          <w14:textFill>
            <w14:solidFill>
              <w14:schemeClr w14:val="tx1"/>
            </w14:solidFill>
          </w14:textFill>
        </w:rPr>
        <w:t>无效投标处理</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 翻译的中文资料与外文资料如果出现差异和矛盾时，以中文为准。但不能故意错误翻译，否则，投标人的投标文件将作为</w:t>
      </w:r>
      <w:r>
        <w:rPr>
          <w:rFonts w:hint="eastAsia" w:ascii="宋体" w:hAnsi="宋体" w:eastAsia="宋体" w:cs="宋体"/>
          <w:b/>
          <w:bCs/>
          <w:color w:val="000000" w:themeColor="text1"/>
          <w:sz w:val="24"/>
          <w:szCs w:val="24"/>
          <w:highlight w:val="none"/>
          <w14:textFill>
            <w14:solidFill>
              <w14:schemeClr w14:val="tx1"/>
            </w14:solidFill>
          </w14:textFill>
        </w:rPr>
        <w:t>无效投标处理</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74" w:name="_Toc217446044"/>
      <w:bookmarkStart w:id="75" w:name="_Toc183582216"/>
      <w:bookmarkStart w:id="76" w:name="_Toc183682353"/>
      <w:r>
        <w:rPr>
          <w:rFonts w:hint="eastAsia" w:ascii="宋体" w:hAnsi="宋体" w:eastAsia="宋体" w:cs="宋体"/>
          <w:color w:val="000000" w:themeColor="text1"/>
          <w:sz w:val="24"/>
          <w:szCs w:val="24"/>
          <w:highlight w:val="none"/>
          <w14:textFill>
            <w14:solidFill>
              <w14:schemeClr w14:val="tx1"/>
            </w14:solidFill>
          </w14:textFill>
        </w:rPr>
        <w:t>9．计量单位</w:t>
      </w:r>
      <w:bookmarkEnd w:id="74"/>
      <w:bookmarkEnd w:id="75"/>
      <w:bookmarkEnd w:id="76"/>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除</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中另有规定外，本招标项下的投标均采用国家法定的计量单位。</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77" w:name="_Toc217446045"/>
      <w:r>
        <w:rPr>
          <w:rFonts w:hint="eastAsia" w:ascii="宋体" w:hAnsi="宋体" w:eastAsia="宋体" w:cs="宋体"/>
          <w:color w:val="000000" w:themeColor="text1"/>
          <w:sz w:val="24"/>
          <w:szCs w:val="24"/>
          <w:highlight w:val="none"/>
          <w14:textFill>
            <w14:solidFill>
              <w14:schemeClr w14:val="tx1"/>
            </w14:solidFill>
          </w14:textFill>
        </w:rPr>
        <w:t>10. 投标货币</w:t>
      </w:r>
      <w:bookmarkEnd w:id="77"/>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本次招标项目的投标均以人民币报价。</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78" w:name="_Toc217446046"/>
      <w:r>
        <w:rPr>
          <w:rFonts w:hint="eastAsia" w:ascii="宋体" w:hAnsi="宋体" w:eastAsia="宋体" w:cs="宋体"/>
          <w:color w:val="000000" w:themeColor="text1"/>
          <w:sz w:val="24"/>
          <w:szCs w:val="24"/>
          <w:highlight w:val="none"/>
          <w14:textFill>
            <w14:solidFill>
              <w14:schemeClr w14:val="tx1"/>
            </w14:solidFill>
          </w14:textFill>
        </w:rPr>
        <w:t>11. 联合体投标</w:t>
      </w:r>
      <w:bookmarkEnd w:id="78"/>
    </w:p>
    <w:p>
      <w:pPr>
        <w:pStyle w:val="12"/>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详见“投标人须知前附表”第13条。</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79" w:name="_Toc217446047"/>
      <w:r>
        <w:rPr>
          <w:rFonts w:hint="eastAsia" w:ascii="宋体" w:hAnsi="宋体" w:eastAsia="宋体" w:cs="宋体"/>
          <w:color w:val="000000" w:themeColor="text1"/>
          <w:sz w:val="24"/>
          <w:szCs w:val="24"/>
          <w:highlight w:val="none"/>
          <w14:textFill>
            <w14:solidFill>
              <w14:schemeClr w14:val="tx1"/>
            </w14:solidFill>
          </w14:textFill>
        </w:rPr>
        <w:t>12. 知识产权</w:t>
      </w:r>
      <w:bookmarkEnd w:id="79"/>
    </w:p>
    <w:p>
      <w:pPr>
        <w:pStyle w:val="12"/>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12.1 投标人应保证在本项目使用的任何产品或服务（包括部分使用）时，不会产生因第三方提出侵犯其专利权、商标权或其它知识产权而引起的法律和经济纠纷，如因专利权、商标权或其它知识产权而引起法律和经济纠纷，由投标人承担所有相关责任。</w:t>
      </w:r>
    </w:p>
    <w:p>
      <w:pPr>
        <w:pStyle w:val="12"/>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12.2 采购人享有本项目实施过程中产生的知识成果及知识产权。</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12.4 如采用投标人所不拥有的知识产权，则在投标报价中必须包括合法获取该知识产权的相关费用。 </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80" w:name="_Toc183582217"/>
      <w:bookmarkStart w:id="81" w:name="_Toc217446048"/>
      <w:bookmarkStart w:id="82" w:name="_Toc183682354"/>
      <w:r>
        <w:rPr>
          <w:rFonts w:hint="eastAsia" w:ascii="宋体" w:hAnsi="宋体" w:eastAsia="宋体" w:cs="宋体"/>
          <w:color w:val="000000" w:themeColor="text1"/>
          <w:sz w:val="24"/>
          <w:szCs w:val="24"/>
          <w:highlight w:val="none"/>
          <w14:textFill>
            <w14:solidFill>
              <w14:schemeClr w14:val="tx1"/>
            </w14:solidFill>
          </w14:textFill>
        </w:rPr>
        <w:t>13．投标文件的组成</w:t>
      </w:r>
      <w:bookmarkEnd w:id="80"/>
      <w:bookmarkEnd w:id="81"/>
      <w:bookmarkEnd w:id="82"/>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投标人应按照</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的规定和要求编制投标文件。</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允许分包的，投标人拟在中标后将中标项目的非主体、非关键性工作交由他人完成的，应当在投标文件中载明。投标人编写的投标文件应包括下列部分：</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83" w:name="_Toc183682355"/>
      <w:bookmarkStart w:id="84" w:name="_Toc183582218"/>
      <w:bookmarkStart w:id="85" w:name="_Toc217446049"/>
      <w:r>
        <w:rPr>
          <w:rFonts w:hint="eastAsia" w:ascii="宋体" w:hAnsi="宋体" w:eastAsia="宋体" w:cs="宋体"/>
          <w:color w:val="000000" w:themeColor="text1"/>
          <w:sz w:val="24"/>
          <w:szCs w:val="24"/>
          <w:highlight w:val="none"/>
          <w14:textFill>
            <w14:solidFill>
              <w14:schemeClr w14:val="tx1"/>
            </w14:solidFill>
          </w14:textFill>
        </w:rPr>
        <w:t>一、投标函</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二、身份证明书及授权委托书</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三、投标报价明细表</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四、投标人基本情况表</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五、投标人类似项目业绩一览表</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六、商务、技术偏离表</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七、拟配备人员情况</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八、实施方案</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九</w:t>
      </w:r>
      <w:r>
        <w:rPr>
          <w:rFonts w:hint="eastAsia" w:ascii="宋体" w:hAnsi="宋体" w:eastAsia="宋体" w:cs="宋体"/>
          <w:color w:val="000000" w:themeColor="text1"/>
          <w:sz w:val="24"/>
          <w:szCs w:val="24"/>
          <w:highlight w:val="none"/>
          <w14:textFill>
            <w14:solidFill>
              <w14:schemeClr w14:val="tx1"/>
            </w14:solidFill>
          </w14:textFill>
        </w:rPr>
        <w:t>、投标人认为需要提供的其他文件和资料</w:t>
      </w:r>
    </w:p>
    <w:p>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14．投标文件格式</w:t>
      </w:r>
      <w:bookmarkEnd w:id="83"/>
      <w:bookmarkEnd w:id="84"/>
      <w:bookmarkEnd w:id="85"/>
      <w:r>
        <w:rPr>
          <w:rFonts w:hint="eastAsia" w:ascii="宋体" w:hAnsi="宋体" w:eastAsia="宋体" w:cs="宋体"/>
          <w:color w:val="000000" w:themeColor="text1"/>
          <w:sz w:val="24"/>
          <w:szCs w:val="24"/>
          <w:highlight w:val="none"/>
          <w14:textFill>
            <w14:solidFill>
              <w14:schemeClr w14:val="tx1"/>
            </w14:solidFill>
          </w14:textFill>
        </w:rPr>
        <w:tab/>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14.1 投标人应严格按照</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第三章中提供的“投标文件格式”填写相关内容。除明确允许投标人可以自行编写的外，投标人不得以“投标文件格式”规定之外的方式填写相关内容。</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14.2 对于没有格式要求的投标文件由投标人自行编写。</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86" w:name="_Toc217446050"/>
      <w:bookmarkStart w:id="87" w:name="_Toc183682360"/>
      <w:bookmarkStart w:id="88" w:name="_Toc183582223"/>
      <w:r>
        <w:rPr>
          <w:rFonts w:hint="eastAsia" w:ascii="宋体" w:hAnsi="宋体" w:eastAsia="宋体" w:cs="宋体"/>
          <w:color w:val="000000" w:themeColor="text1"/>
          <w:sz w:val="24"/>
          <w:szCs w:val="24"/>
          <w:highlight w:val="none"/>
          <w14:textFill>
            <w14:solidFill>
              <w14:schemeClr w14:val="tx1"/>
            </w14:solidFill>
          </w14:textFill>
        </w:rPr>
        <w:t>15．投标保证金</w:t>
      </w:r>
      <w:bookmarkEnd w:id="86"/>
      <w:bookmarkEnd w:id="87"/>
      <w:bookmarkEnd w:id="88"/>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15.1 投标人投标时，必须按</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规定数额和形式缴纳投标保证金，并作为其投标文件的一部分。</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15.2未按</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要求在规定时间前缴纳规定数额和形式的投标保证金，将被视为</w:t>
      </w:r>
      <w:r>
        <w:rPr>
          <w:rFonts w:hint="eastAsia" w:ascii="宋体" w:hAnsi="宋体" w:eastAsia="宋体" w:cs="宋体"/>
          <w:b/>
          <w:bCs/>
          <w:color w:val="000000" w:themeColor="text1"/>
          <w:sz w:val="24"/>
          <w:szCs w:val="24"/>
          <w:highlight w:val="none"/>
          <w14:textFill>
            <w14:solidFill>
              <w14:schemeClr w14:val="tx1"/>
            </w14:solidFill>
          </w14:textFill>
        </w:rPr>
        <w:t>投标无效</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15.3 投标人所缴纳的投标保证金不计利息。</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15.4未中标人的投标保证金，将在中标通知书发出后五个工作日内全额退还。中标人的投标保证金，自采购合同签订之日起5个工作日内退还中标人的投标保证金。</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15.5发生下列情形之一的，采购代理机构将不予退还投标人缴纳的投标保证金：</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89" w:name="_Toc183582224"/>
      <w:bookmarkStart w:id="90" w:name="_Toc183682361"/>
      <w:bookmarkStart w:id="91" w:name="_Toc217446051"/>
      <w:r>
        <w:rPr>
          <w:rFonts w:hint="eastAsia" w:ascii="宋体" w:hAnsi="宋体" w:eastAsia="宋体" w:cs="宋体"/>
          <w:color w:val="000000" w:themeColor="text1"/>
          <w:sz w:val="24"/>
          <w:szCs w:val="24"/>
          <w:highlight w:val="none"/>
          <w14:textFill>
            <w14:solidFill>
              <w14:schemeClr w14:val="tx1"/>
            </w14:solidFill>
          </w14:textFill>
        </w:rPr>
        <w:t>（1）投标人在提交投标文件截止时间后撤回投标文件的；</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（2）投标人在投标文件中提供虚假材料的；</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（3）投标人不接受按投标文件规定对其投标报价进行修正的；</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（4）除因不可抗力或投标文件认可的情形以外，中标人不履行与采购人签订合同的，在签订合同时向采购人提出附加条件；</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（5）中标人未能在规定期限内与采购人签署合同协议书或提交履约保证金的；</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（6）投标人与采购人、其他投标人或者采购代理机构恶意串通的；</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规定的其他情形；</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（8）符合法律、法规规定的其他情形的。 </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16．投标有效期</w:t>
      </w:r>
      <w:bookmarkEnd w:id="89"/>
      <w:bookmarkEnd w:id="90"/>
      <w:bookmarkEnd w:id="91"/>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16.1 投标有效期详见投标人须知前附表。投标有效期短于此规定期限的，</w:t>
      </w:r>
      <w:r>
        <w:rPr>
          <w:rFonts w:hint="eastAsia" w:ascii="宋体" w:hAnsi="宋体" w:eastAsia="宋体" w:cs="宋体"/>
          <w:b/>
          <w:bCs/>
          <w:color w:val="000000" w:themeColor="text1"/>
          <w:sz w:val="24"/>
          <w:szCs w:val="24"/>
          <w:highlight w:val="none"/>
          <w14:textFill>
            <w14:solidFill>
              <w14:schemeClr w14:val="tx1"/>
            </w14:solidFill>
          </w14:textFill>
        </w:rPr>
        <w:t>投标无效</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16.2 特殊情况下，采购人可于投标有效期满之前要求投标人同意延长有效期，要求与答复均应为书面形式。投标人可以拒绝上述要求，其投标保证金</w:t>
      </w:r>
      <w:r>
        <w:rPr>
          <w:rFonts w:hint="eastAsia" w:ascii="宋体" w:hAnsi="宋体" w:eastAsia="宋体" w:cs="宋体"/>
          <w:color w:val="000000" w:themeColor="text1"/>
          <w:spacing w:val="8"/>
          <w:sz w:val="24"/>
          <w:szCs w:val="24"/>
          <w:highlight w:val="none"/>
          <w14:textFill>
            <w14:solidFill>
              <w14:schemeClr w14:val="tx1"/>
            </w14:solidFill>
          </w14:textFill>
        </w:rPr>
        <w:t>不被没收。</w:t>
      </w:r>
      <w:r>
        <w:rPr>
          <w:rFonts w:hint="eastAsia" w:ascii="宋体" w:hAnsi="宋体" w:eastAsia="宋体" w:cs="宋体"/>
          <w:color w:val="000000" w:themeColor="text1"/>
          <w:sz w:val="24"/>
          <w:szCs w:val="24"/>
          <w:highlight w:val="none"/>
          <w14:textFill>
            <w14:solidFill>
              <w14:schemeClr w14:val="tx1"/>
            </w14:solidFill>
          </w14:textFill>
        </w:rPr>
        <w:t>拒绝延长投标有效期的投标人不得再参与该项目后续招标活动。同意延长投标有效期的投标人不能修改其投标文件，关于投标保证金的有关规定在延长的投标有效期内继续有效。</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bookmarkStart w:id="92" w:name="_Toc183582225"/>
      <w:bookmarkStart w:id="93" w:name="_Toc183682362"/>
      <w:bookmarkStart w:id="94" w:name="_Toc217446052"/>
      <w:r>
        <w:rPr>
          <w:rFonts w:hint="eastAsia" w:ascii="宋体" w:hAnsi="宋体" w:eastAsia="宋体" w:cs="宋体"/>
          <w:color w:val="000000" w:themeColor="text1"/>
          <w:sz w:val="24"/>
          <w:szCs w:val="24"/>
          <w:highlight w:val="none"/>
          <w14:textFill>
            <w14:solidFill>
              <w14:schemeClr w14:val="tx1"/>
            </w14:solidFill>
          </w14:textFill>
        </w:rPr>
        <w:t>17．投标文件的印制和签署</w:t>
      </w:r>
      <w:bookmarkEnd w:id="92"/>
      <w:bookmarkEnd w:id="93"/>
      <w:bookmarkEnd w:id="94"/>
    </w:p>
    <w:p>
      <w:pPr>
        <w:pageBreakBefore w:val="0"/>
        <w:widowControl w:val="0"/>
        <w:tabs>
          <w:tab w:val="left" w:pos="109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 xml:space="preserve"> 投标文件需打印或用不褪色、不变质的墨水书写，并按</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规定签字和盖章。</w:t>
      </w:r>
    </w:p>
    <w:p>
      <w:pPr>
        <w:pageBreakBefore w:val="0"/>
        <w:widowControl w:val="0"/>
        <w:tabs>
          <w:tab w:val="left" w:pos="10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 xml:space="preserve"> 投标文件的打印和书写应清楚工整，任何行间插字、涂改或增删，必须由投标人的授权人和被授权人签字或盖章，并加盖公章（投标人为自然人的，应当由本人签字）。字迹潦草、表达不清或可能导致非唯一理解的投标文件可能视为</w:t>
      </w:r>
      <w:r>
        <w:rPr>
          <w:rFonts w:hint="eastAsia" w:ascii="宋体" w:hAnsi="宋体" w:eastAsia="宋体" w:cs="宋体"/>
          <w:b/>
          <w:bCs/>
          <w:color w:val="000000" w:themeColor="text1"/>
          <w:sz w:val="24"/>
          <w:szCs w:val="24"/>
          <w:highlight w:val="none"/>
          <w14:textFill>
            <w14:solidFill>
              <w14:schemeClr w14:val="tx1"/>
            </w14:solidFill>
          </w14:textFill>
        </w:rPr>
        <w:t>无效投标</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pageBreakBefore w:val="0"/>
        <w:widowControl w:val="0"/>
        <w:tabs>
          <w:tab w:val="left" w:pos="10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 xml:space="preserve"> 投标文件胶装成册并编码。</w:t>
      </w:r>
    </w:p>
    <w:p>
      <w:pPr>
        <w:pageBreakBefore w:val="0"/>
        <w:widowControl w:val="0"/>
        <w:tabs>
          <w:tab w:val="left" w:pos="10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 xml:space="preserve"> 投标文件应根据</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的要求制作、签署、盖章，内容应完整。</w:t>
      </w:r>
    </w:p>
    <w:p>
      <w:pPr>
        <w:pageBreakBefore w:val="0"/>
        <w:widowControl w:val="0"/>
        <w:tabs>
          <w:tab w:val="left" w:pos="10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 xml:space="preserve"> 投标文件统一用A4幅面纸印制，图纸、横道图等必须使用A3幅面印制的应折叠成A4幅面。</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95" w:name="_Toc77400781"/>
      <w:bookmarkStart w:id="96" w:name="_Toc89075877"/>
      <w:bookmarkStart w:id="97" w:name="_Toc183682363"/>
      <w:bookmarkStart w:id="98" w:name="_Toc183582226"/>
      <w:bookmarkStart w:id="99" w:name="_Toc217446053"/>
      <w:r>
        <w:rPr>
          <w:rFonts w:hint="eastAsia" w:ascii="宋体" w:hAnsi="宋体" w:eastAsia="宋体" w:cs="宋体"/>
          <w:color w:val="000000" w:themeColor="text1"/>
          <w:sz w:val="24"/>
          <w:szCs w:val="24"/>
          <w:highlight w:val="none"/>
          <w14:textFill>
            <w14:solidFill>
              <w14:schemeClr w14:val="tx1"/>
            </w14:solidFill>
          </w14:textFill>
        </w:rPr>
        <w:t>18. 投标文件的密封和标</w:t>
      </w:r>
      <w:bookmarkEnd w:id="95"/>
      <w:bookmarkEnd w:id="96"/>
      <w:bookmarkEnd w:id="97"/>
      <w:bookmarkEnd w:id="98"/>
      <w:r>
        <w:rPr>
          <w:rFonts w:hint="eastAsia" w:ascii="宋体" w:hAnsi="宋体" w:eastAsia="宋体" w:cs="宋体"/>
          <w:color w:val="000000" w:themeColor="text1"/>
          <w:sz w:val="24"/>
          <w:szCs w:val="24"/>
          <w:highlight w:val="none"/>
          <w14:textFill>
            <w14:solidFill>
              <w14:schemeClr w14:val="tx1"/>
            </w14:solidFill>
          </w14:textFill>
        </w:rPr>
        <w:t>注</w:t>
      </w:r>
      <w:bookmarkEnd w:id="99"/>
    </w:p>
    <w:p>
      <w:pPr>
        <w:pageBreakBefore w:val="0"/>
        <w:widowControl w:val="0"/>
        <w:tabs>
          <w:tab w:val="left" w:pos="10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18.1 投标人应在投标文件的封面上注明投标人名称、项目编号、项目名称等。</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100" w:name="_Toc183682364"/>
      <w:bookmarkStart w:id="101" w:name="_Toc183582227"/>
      <w:bookmarkStart w:id="102" w:name="_Toc217446054"/>
      <w:r>
        <w:rPr>
          <w:rFonts w:hint="eastAsia" w:ascii="宋体" w:hAnsi="宋体" w:eastAsia="宋体" w:cs="宋体"/>
          <w:color w:val="000000" w:themeColor="text1"/>
          <w:sz w:val="24"/>
          <w:szCs w:val="24"/>
          <w:highlight w:val="none"/>
          <w14:textFill>
            <w14:solidFill>
              <w14:schemeClr w14:val="tx1"/>
            </w14:solidFill>
          </w14:textFill>
        </w:rPr>
        <w:t>19．投标文件的</w:t>
      </w:r>
      <w:bookmarkEnd w:id="100"/>
      <w:bookmarkEnd w:id="101"/>
      <w:bookmarkEnd w:id="102"/>
      <w:r>
        <w:rPr>
          <w:rFonts w:hint="eastAsia" w:ascii="宋体" w:hAnsi="宋体" w:cs="宋体"/>
          <w:color w:val="000000" w:themeColor="text1"/>
          <w:sz w:val="24"/>
          <w:szCs w:val="24"/>
          <w:highlight w:val="none"/>
          <w:lang w:eastAsia="zh-CN"/>
          <w14:textFill>
            <w14:solidFill>
              <w14:schemeClr w14:val="tx1"/>
            </w14:solidFill>
          </w14:textFill>
        </w:rPr>
        <w:t>上传</w:t>
      </w:r>
    </w:p>
    <w:p>
      <w:pPr>
        <w:pageBreakBefore w:val="0"/>
        <w:widowControl w:val="0"/>
        <w:tabs>
          <w:tab w:val="left" w:pos="109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19.1 投标人应在</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规定的投标截止时间前，按照投标人须知前附表规定及要求上传投标文件。</w:t>
      </w:r>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03" w:name="_Toc183582228"/>
      <w:bookmarkStart w:id="104" w:name="_Toc183682365"/>
      <w:bookmarkStart w:id="105" w:name="_Toc217446055"/>
      <w:r>
        <w:rPr>
          <w:rFonts w:hint="eastAsia" w:ascii="宋体" w:hAnsi="宋体" w:eastAsia="宋体" w:cs="宋体"/>
          <w:color w:val="000000" w:themeColor="text1"/>
          <w:sz w:val="24"/>
          <w:szCs w:val="24"/>
          <w:highlight w:val="none"/>
          <w14:textFill>
            <w14:solidFill>
              <w14:schemeClr w14:val="tx1"/>
            </w14:solidFill>
          </w14:textFill>
        </w:rPr>
        <w:t>20．投标文件的修改和撤</w:t>
      </w:r>
      <w:bookmarkEnd w:id="103"/>
      <w:bookmarkEnd w:id="104"/>
      <w:r>
        <w:rPr>
          <w:rFonts w:hint="eastAsia" w:ascii="宋体" w:hAnsi="宋体" w:eastAsia="宋体" w:cs="宋体"/>
          <w:color w:val="000000" w:themeColor="text1"/>
          <w:sz w:val="24"/>
          <w:szCs w:val="24"/>
          <w:highlight w:val="none"/>
          <w14:textFill>
            <w14:solidFill>
              <w14:schemeClr w14:val="tx1"/>
            </w14:solidFill>
          </w14:textFill>
        </w:rPr>
        <w:t>回</w:t>
      </w:r>
      <w:bookmarkEnd w:id="105"/>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20.1 投标人在投标截止时间前，可以对所</w:t>
      </w:r>
      <w:r>
        <w:rPr>
          <w:rFonts w:hint="eastAsia" w:ascii="宋体" w:hAnsi="宋体" w:cs="宋体"/>
          <w:color w:val="000000" w:themeColor="text1"/>
          <w:sz w:val="24"/>
          <w:szCs w:val="24"/>
          <w:highlight w:val="none"/>
          <w:lang w:eastAsia="zh-CN"/>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的投标文件进行补充、修改或者撤回</w:t>
      </w:r>
      <w:r>
        <w:rPr>
          <w:rFonts w:hint="eastAsia" w:ascii="宋体" w:hAnsi="宋体" w:cs="宋体"/>
          <w:color w:val="000000" w:themeColor="text1"/>
          <w:sz w:val="24"/>
          <w:szCs w:val="24"/>
          <w:highlight w:val="none"/>
          <w:lang w:eastAsia="zh-CN"/>
          <w14:textFill>
            <w14:solidFill>
              <w14:schemeClr w14:val="tx1"/>
            </w14:solidFill>
          </w14:textFill>
        </w:rPr>
        <w:t>。</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20.2 在投标截止时间之后，投标人不得对其</w:t>
      </w:r>
      <w:r>
        <w:rPr>
          <w:rFonts w:hint="eastAsia" w:ascii="宋体" w:hAnsi="宋体" w:cs="宋体"/>
          <w:color w:val="000000" w:themeColor="text1"/>
          <w:sz w:val="24"/>
          <w:szCs w:val="24"/>
          <w:highlight w:val="none"/>
          <w:lang w:eastAsia="zh-CN"/>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的投标文件做任何修改或撤回投标。</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20.3 投标文件中如果出现计算上或累加上的算术错误，可按以下原则进行修改：</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（1）投标文件中投标函内容与投标报价明细表不一致的，以投标函为准；</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（2）用小写金额和大写金额不一致，应以大写金额为准；</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（3）总价金额与按单价汇总金额不一致的，以单价金额计算结果为准；</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（4）单价金额小数点或者百分比有明显错位的，以投标函的总价为准，并修改单价。</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同时出现两种以上不一致的，按照前款规定的顺序修正。修正后的投标报价经投标人确认后产生约束力，投标人不确认的，其</w:t>
      </w:r>
      <w:r>
        <w:rPr>
          <w:rFonts w:hint="eastAsia" w:ascii="宋体" w:hAnsi="宋体" w:eastAsia="宋体" w:cs="宋体"/>
          <w:b/>
          <w:bCs/>
          <w:color w:val="000000" w:themeColor="text1"/>
          <w:sz w:val="24"/>
          <w:szCs w:val="24"/>
          <w:highlight w:val="none"/>
          <w14:textFill>
            <w14:solidFill>
              <w14:schemeClr w14:val="tx1"/>
            </w14:solidFill>
          </w14:textFill>
        </w:rPr>
        <w:t>投标无效</w:t>
      </w:r>
      <w:r>
        <w:rPr>
          <w:rFonts w:hint="eastAsia" w:ascii="宋体" w:hAnsi="宋体" w:eastAsia="宋体" w:cs="宋体"/>
          <w:color w:val="000000" w:themeColor="text1"/>
          <w:sz w:val="24"/>
          <w:szCs w:val="24"/>
          <w:highlight w:val="none"/>
          <w14:textFill>
            <w14:solidFill>
              <w14:schemeClr w14:val="tx1"/>
            </w14:solidFill>
          </w14:textFill>
        </w:rPr>
        <w:t>。</w:t>
      </w:r>
    </w:p>
    <w:p>
      <w:pPr>
        <w:pStyle w:val="4"/>
        <w:pageBreakBefore w:val="0"/>
        <w:widowControl w:val="0"/>
        <w:kinsoku/>
        <w:wordWrap/>
        <w:overflowPunct/>
        <w:topLinePunct w:val="0"/>
        <w:autoSpaceDE/>
        <w:autoSpaceDN/>
        <w:bidi w:val="0"/>
        <w:adjustRightInd/>
        <w:spacing w:before="156" w:after="156" w:line="480" w:lineRule="exact"/>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06" w:name="_Toc217446056"/>
      <w:bookmarkStart w:id="107" w:name="_Toc183582231"/>
      <w:bookmarkStart w:id="108" w:name="_Toc89075878"/>
      <w:bookmarkStart w:id="109" w:name="_Toc183682368"/>
      <w:bookmarkStart w:id="110" w:name="_Toc77400782"/>
      <w:r>
        <w:rPr>
          <w:rFonts w:hint="eastAsia" w:ascii="宋体" w:hAnsi="宋体" w:eastAsia="宋体" w:cs="宋体"/>
          <w:color w:val="000000" w:themeColor="text1"/>
          <w:sz w:val="24"/>
          <w:szCs w:val="24"/>
          <w:highlight w:val="none"/>
          <w14:textFill>
            <w14:solidFill>
              <w14:schemeClr w14:val="tx1"/>
            </w14:solidFill>
          </w14:textFill>
        </w:rPr>
        <w:t>五、开标和</w:t>
      </w:r>
      <w:bookmarkEnd w:id="106"/>
      <w:bookmarkEnd w:id="107"/>
      <w:bookmarkEnd w:id="108"/>
      <w:bookmarkEnd w:id="109"/>
      <w:bookmarkEnd w:id="110"/>
      <w:r>
        <w:rPr>
          <w:rFonts w:hint="eastAsia" w:ascii="宋体" w:hAnsi="宋体" w:eastAsia="宋体" w:cs="宋体"/>
          <w:color w:val="000000" w:themeColor="text1"/>
          <w:sz w:val="24"/>
          <w:szCs w:val="24"/>
          <w:highlight w:val="none"/>
          <w14:textFill>
            <w14:solidFill>
              <w14:schemeClr w14:val="tx1"/>
            </w14:solidFill>
          </w14:textFill>
        </w:rPr>
        <w:t>中标</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11" w:name="_Toc217446057"/>
      <w:bookmarkStart w:id="112" w:name="_Toc183682369"/>
      <w:bookmarkStart w:id="113" w:name="_Toc183582232"/>
      <w:r>
        <w:rPr>
          <w:rFonts w:hint="eastAsia" w:ascii="宋体" w:hAnsi="宋体" w:eastAsia="宋体" w:cs="宋体"/>
          <w:color w:val="000000" w:themeColor="text1"/>
          <w:sz w:val="24"/>
          <w:szCs w:val="24"/>
          <w:highlight w:val="none"/>
          <w14:textFill>
            <w14:solidFill>
              <w14:schemeClr w14:val="tx1"/>
            </w14:solidFill>
          </w14:textFill>
        </w:rPr>
        <w:t>21．开标</w:t>
      </w:r>
      <w:bookmarkEnd w:id="111"/>
      <w:bookmarkEnd w:id="112"/>
      <w:bookmarkEnd w:id="113"/>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21.1 采购代理机构在</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规定的时间和地点组织招标活动，邀请下载</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并参与竞争的投标人参加开标，投标人未参加开标的，视同认可开标结果。</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投标人不足3家的，不得开标。</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21.2 开标时，采购代理机构可以邀请有关监督管理部门对开标进行现场监督。</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21.3 宣布开标会开始。开标时间到，主持人宣布开标会开始并致辞，当众宣布参加开标会的现场监督人员、主持人、唱标、会议记录等招标工作人员，根据“投标人签到表”宣布参加投标的投标人名单</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21.4宣布会场纪律和有关注意事项。</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21.5开标时，</w:t>
      </w:r>
      <w:r>
        <w:rPr>
          <w:rFonts w:hint="eastAsia" w:ascii="宋体" w:hAnsi="宋体" w:cs="宋体"/>
          <w:color w:val="000000" w:themeColor="text1"/>
          <w:sz w:val="24"/>
          <w:szCs w:val="24"/>
          <w:highlight w:val="none"/>
          <w:lang w:eastAsia="zh-CN"/>
          <w14:textFill>
            <w14:solidFill>
              <w14:schemeClr w14:val="tx1"/>
            </w14:solidFill>
          </w14:textFill>
        </w:rPr>
        <w:t>投标单位完成在线解密后，由工作人员开始唱标</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21.6</w:t>
      </w:r>
      <w:r>
        <w:rPr>
          <w:rFonts w:hint="eastAsia" w:ascii="宋体" w:hAnsi="宋体" w:cs="宋体"/>
          <w:color w:val="000000" w:themeColor="text1"/>
          <w:sz w:val="24"/>
          <w:szCs w:val="24"/>
          <w:highlight w:val="none"/>
          <w:lang w:eastAsia="zh-CN"/>
          <w14:textFill>
            <w14:solidFill>
              <w14:schemeClr w14:val="tx1"/>
            </w14:solidFill>
          </w14:textFill>
        </w:rPr>
        <w:t>唱标完毕后，如果投标人对所唱“报价一览表”内容有异议，应当立即提出。经现场监标人员确认，认为有必要重新唱标的，由唱标人员重新唱标。</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22.资格审查及组建评标委员会</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22.1公开招标采购项目开标结束后，采购人或者采购代理机构应当依法对投标人的资格进行审查。合格投标人不足3家的，不得评标。</w:t>
      </w:r>
    </w:p>
    <w:p>
      <w:pPr>
        <w:pStyle w:val="39"/>
        <w:pageBreakBefore w:val="0"/>
        <w:widowControl w:val="0"/>
        <w:kinsoku/>
        <w:wordWrap/>
        <w:overflowPunct/>
        <w:topLinePunct w:val="0"/>
        <w:autoSpaceDE/>
        <w:autoSpaceDN/>
        <w:bidi w:val="0"/>
        <w:adjustRightInd/>
        <w:spacing w:line="48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22.2符合性审查。符合性审查是指依据</w:t>
      </w:r>
      <w:r>
        <w:rPr>
          <w:rFonts w:hint="eastAsia" w:ascii="宋体" w:hAnsi="宋体" w:eastAsia="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的规定，从商务和技术角度对投标文件的有效性和完整性进行审查，以确定是否对</w:t>
      </w:r>
      <w:r>
        <w:rPr>
          <w:rFonts w:hint="eastAsia" w:ascii="宋体" w:hAnsi="宋体" w:eastAsia="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的实质性要求做出响应。</w:t>
      </w:r>
    </w:p>
    <w:p>
      <w:pPr>
        <w:pStyle w:val="39"/>
        <w:pageBreakBefore w:val="0"/>
        <w:widowControl w:val="0"/>
        <w:kinsoku/>
        <w:wordWrap/>
        <w:overflowPunct/>
        <w:topLinePunct w:val="0"/>
        <w:autoSpaceDE/>
        <w:autoSpaceDN/>
        <w:bidi w:val="0"/>
        <w:adjustRightInd/>
        <w:spacing w:line="48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22.3评标委员会采用综合评分法对满足</w:t>
      </w:r>
      <w:r>
        <w:rPr>
          <w:rFonts w:hint="eastAsia" w:ascii="宋体" w:hAnsi="宋体" w:eastAsia="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全部实质性要求的投标文件和投标报价进行综合评分。</w:t>
      </w:r>
    </w:p>
    <w:p>
      <w:pPr>
        <w:pStyle w:val="39"/>
        <w:pageBreakBefore w:val="0"/>
        <w:widowControl w:val="0"/>
        <w:kinsoku/>
        <w:wordWrap/>
        <w:overflowPunct/>
        <w:topLinePunct w:val="0"/>
        <w:autoSpaceDE/>
        <w:autoSpaceDN/>
        <w:bidi w:val="0"/>
        <w:adjustRightInd/>
        <w:spacing w:line="48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22.4评标委员会根据综合评分情况，按照评标得分由高到低顺序推荐3名中标候选人，并编写评标报告。得分相同的，按投标报价由低到高顺序排列。得分且投标报价相同的，按照技术指标优劣顺序推荐。</w:t>
      </w:r>
    </w:p>
    <w:p>
      <w:pPr>
        <w:pStyle w:val="39"/>
        <w:pageBreakBefore w:val="0"/>
        <w:widowControl w:val="0"/>
        <w:kinsoku/>
        <w:wordWrap/>
        <w:overflowPunct/>
        <w:topLinePunct w:val="0"/>
        <w:autoSpaceDE/>
        <w:autoSpaceDN/>
        <w:bidi w:val="0"/>
        <w:adjustRightInd/>
        <w:spacing w:line="48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22.5采购代理机构在评标结果后2个工作日内将评标报告送采购人确认。</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14" w:name="_Toc183582238"/>
      <w:bookmarkStart w:id="115" w:name="_Toc183682375"/>
      <w:bookmarkStart w:id="116" w:name="_Toc217446063"/>
      <w:r>
        <w:rPr>
          <w:rFonts w:hint="eastAsia" w:ascii="宋体" w:hAnsi="宋体" w:eastAsia="宋体" w:cs="宋体"/>
          <w:color w:val="000000" w:themeColor="text1"/>
          <w:sz w:val="24"/>
          <w:szCs w:val="24"/>
          <w:highlight w:val="none"/>
          <w14:textFill>
            <w14:solidFill>
              <w14:schemeClr w14:val="tx1"/>
            </w14:solidFill>
          </w14:textFill>
        </w:rPr>
        <w:t>23．中标通知</w:t>
      </w:r>
      <w:bookmarkEnd w:id="114"/>
      <w:bookmarkEnd w:id="115"/>
      <w:r>
        <w:rPr>
          <w:rFonts w:hint="eastAsia" w:ascii="宋体" w:hAnsi="宋体" w:eastAsia="宋体" w:cs="宋体"/>
          <w:color w:val="000000" w:themeColor="text1"/>
          <w:sz w:val="24"/>
          <w:szCs w:val="24"/>
          <w:highlight w:val="none"/>
          <w14:textFill>
            <w14:solidFill>
              <w14:schemeClr w14:val="tx1"/>
            </w14:solidFill>
          </w14:textFill>
        </w:rPr>
        <w:t>书</w:t>
      </w:r>
      <w:bookmarkEnd w:id="116"/>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1 中标通知书为签订中标合同的依据，是合同的有效组成部分。</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23.2 中标通知书对采购人和中标人均具有法律效力。中标通知书发出后，采购人改变中标结果，或者中标人无正当理由放弃中标的，应当承担相应的法律责任。</w:t>
      </w:r>
    </w:p>
    <w:p>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3中标人的投标文件本应作为无效投标处理或者有招投标法律法规规章制度规定的中标无效情形的，采购代理机构在取得有权主体的认定以后，应当宣布发出的中标通知书无效，并收回发出的中标通知书（中标人也应当缴回），依法重新确定中标人或者重新开展招标活动。</w:t>
      </w:r>
    </w:p>
    <w:p>
      <w:pPr>
        <w:pStyle w:val="4"/>
        <w:pageBreakBefore w:val="0"/>
        <w:widowControl w:val="0"/>
        <w:kinsoku/>
        <w:wordWrap/>
        <w:overflowPunct/>
        <w:topLinePunct w:val="0"/>
        <w:autoSpaceDE/>
        <w:autoSpaceDN/>
        <w:bidi w:val="0"/>
        <w:adjustRightInd/>
        <w:spacing w:before="156" w:after="156" w:line="480" w:lineRule="exact"/>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17" w:name="_Toc217446064"/>
      <w:bookmarkStart w:id="118" w:name="_Toc183582240"/>
      <w:bookmarkStart w:id="119" w:name="_Toc183682377"/>
      <w:r>
        <w:rPr>
          <w:rFonts w:hint="eastAsia" w:ascii="宋体" w:hAnsi="宋体" w:eastAsia="宋体" w:cs="宋体"/>
          <w:color w:val="000000" w:themeColor="text1"/>
          <w:sz w:val="24"/>
          <w:szCs w:val="24"/>
          <w:highlight w:val="none"/>
          <w14:textFill>
            <w14:solidFill>
              <w14:schemeClr w14:val="tx1"/>
            </w14:solidFill>
          </w14:textFill>
        </w:rPr>
        <w:t>六、签订及履行合同和验收</w:t>
      </w:r>
      <w:bookmarkEnd w:id="117"/>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20" w:name="_Toc217446065"/>
      <w:r>
        <w:rPr>
          <w:rFonts w:hint="eastAsia" w:ascii="宋体" w:hAnsi="宋体" w:eastAsia="宋体" w:cs="宋体"/>
          <w:color w:val="000000" w:themeColor="text1"/>
          <w:sz w:val="24"/>
          <w:szCs w:val="24"/>
          <w:highlight w:val="none"/>
          <w14:textFill>
            <w14:solidFill>
              <w14:schemeClr w14:val="tx1"/>
            </w14:solidFill>
          </w14:textFill>
        </w:rPr>
        <w:t>24. 签订合同</w:t>
      </w:r>
      <w:bookmarkEnd w:id="120"/>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24.1 中标人在收到采购人发出的《中标通知书》后，应在法律法规规定的时间内与采购人签订采购合同。由于中标人的原因逾期未与采购人签订采购合同的，将视为放弃中标，取消其中标资格并将按相关规定进行处理。</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24.2 采购人不得向中标人提出任何不合理的要求，作为签订合同的条件，不得与中标人私下订立背离合同实质性内容的任何协议，所签订的合同不得对</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和中标人投标文件作实质性修改。</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24.3 中标人因不可抗力原因不能履行招标合同或放弃中标的，采购人可以与排在中标人之后第一位的中标候选人签订采购合同，以此类推。</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24.4 中标人在合同签订之后三个工作日内，将签订的合同（</w:t>
      </w:r>
      <w:r>
        <w:rPr>
          <w:rFonts w:hint="eastAsia" w:ascii="宋体" w:hAnsi="宋体" w:cs="宋体"/>
          <w:color w:val="000000" w:themeColor="text1"/>
          <w:sz w:val="24"/>
          <w:szCs w:val="24"/>
          <w:highlight w:val="none"/>
          <w:lang w:eastAsia="zh-CN"/>
          <w14:textFill>
            <w14:solidFill>
              <w14:schemeClr w14:val="tx1"/>
            </w14:solidFill>
          </w14:textFill>
        </w:rPr>
        <w:t>复印件</w:t>
      </w:r>
      <w:r>
        <w:rPr>
          <w:rFonts w:hint="eastAsia" w:ascii="宋体" w:hAnsi="宋体" w:eastAsia="宋体" w:cs="宋体"/>
          <w:color w:val="000000" w:themeColor="text1"/>
          <w:sz w:val="24"/>
          <w:szCs w:val="24"/>
          <w:highlight w:val="none"/>
          <w14:textFill>
            <w14:solidFill>
              <w14:schemeClr w14:val="tx1"/>
            </w14:solidFill>
          </w14:textFill>
        </w:rPr>
        <w:t>）交至采购代理机构。</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21" w:name="_Toc217446066"/>
      <w:r>
        <w:rPr>
          <w:rFonts w:hint="eastAsia" w:ascii="宋体" w:hAnsi="宋体" w:eastAsia="宋体" w:cs="宋体"/>
          <w:color w:val="000000" w:themeColor="text1"/>
          <w:sz w:val="24"/>
          <w:szCs w:val="24"/>
          <w:highlight w:val="none"/>
          <w14:textFill>
            <w14:solidFill>
              <w14:schemeClr w14:val="tx1"/>
            </w14:solidFill>
          </w14:textFill>
        </w:rPr>
        <w:t>25. 合同分包</w:t>
      </w:r>
      <w:bookmarkEnd w:id="121"/>
      <w:r>
        <w:rPr>
          <w:rFonts w:hint="eastAsia" w:ascii="宋体" w:hAnsi="宋体" w:eastAsia="宋体" w:cs="宋体"/>
          <w:color w:val="000000" w:themeColor="text1"/>
          <w:sz w:val="24"/>
          <w:szCs w:val="24"/>
          <w:highlight w:val="none"/>
          <w14:textFill>
            <w14:solidFill>
              <w14:schemeClr w14:val="tx1"/>
            </w14:solidFill>
          </w14:textFill>
        </w:rPr>
        <w:t>（如有）</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25.1 若本项目允许分包的，经采购人同意，中标人可以依法采取分包方式履行合同。这种要求应当在合同签订之前征得采购人同意，并且分包人履行分包项目的服务及技术要求等，必须与中标的一致。</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25.2 招标合同实行分包履行的，中标人就招标项目和分包项目向采购人负责，分包人就分包项目承担责任。</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22" w:name="_Toc217446067"/>
      <w:r>
        <w:rPr>
          <w:rFonts w:hint="eastAsia" w:ascii="宋体" w:hAnsi="宋体" w:eastAsia="宋体" w:cs="宋体"/>
          <w:color w:val="000000" w:themeColor="text1"/>
          <w:sz w:val="24"/>
          <w:szCs w:val="24"/>
          <w:highlight w:val="none"/>
          <w14:textFill>
            <w14:solidFill>
              <w14:schemeClr w14:val="tx1"/>
            </w14:solidFill>
          </w14:textFill>
        </w:rPr>
        <w:t>26. 采购人增加合同标的权</w:t>
      </w:r>
      <w:bookmarkEnd w:id="122"/>
      <w:r>
        <w:rPr>
          <w:rFonts w:hint="eastAsia" w:ascii="宋体" w:hAnsi="宋体" w:eastAsia="宋体" w:cs="宋体"/>
          <w:color w:val="000000" w:themeColor="text1"/>
          <w:sz w:val="24"/>
          <w:szCs w:val="24"/>
          <w:highlight w:val="none"/>
          <w14:textFill>
            <w14:solidFill>
              <w14:schemeClr w14:val="tx1"/>
            </w14:solidFill>
          </w14:textFill>
        </w:rPr>
        <w:t>利</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合同履行过程中，采购人需要追加与合同标的相同的货物或者服务的，在不改变合同其他条款的前提下，可以与中标投标人协商签订补充合同，但所有补充合同的招标金额不得超过原合同招标金额的百分之十。</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23" w:name="_Toc217446068"/>
      <w:r>
        <w:rPr>
          <w:rFonts w:hint="eastAsia" w:ascii="宋体" w:hAnsi="宋体" w:eastAsia="宋体" w:cs="宋体"/>
          <w:color w:val="000000" w:themeColor="text1"/>
          <w:sz w:val="24"/>
          <w:szCs w:val="24"/>
          <w:highlight w:val="none"/>
          <w14:textFill>
            <w14:solidFill>
              <w14:schemeClr w14:val="tx1"/>
            </w14:solidFill>
          </w14:textFill>
        </w:rPr>
        <w:t>27. 履约保证金</w:t>
      </w:r>
      <w:bookmarkEnd w:id="123"/>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27.1 详见“投标人须知前附表”第</w:t>
      </w:r>
      <w:r>
        <w:rPr>
          <w:rFonts w:hint="eastAsia" w:ascii="宋体" w:hAnsi="宋体" w:cs="宋体"/>
          <w:color w:val="000000" w:themeColor="text1"/>
          <w:sz w:val="24"/>
          <w:szCs w:val="24"/>
          <w:highlight w:val="none"/>
          <w:lang w:val="en-US" w:eastAsia="zh-CN"/>
          <w14:textFill>
            <w14:solidFill>
              <w14:schemeClr w14:val="tx1"/>
            </w14:solidFill>
          </w14:textFill>
        </w:rPr>
        <w:t>25</w:t>
      </w:r>
      <w:r>
        <w:rPr>
          <w:rFonts w:hint="eastAsia" w:ascii="宋体" w:hAnsi="宋体" w:eastAsia="宋体" w:cs="宋体"/>
          <w:color w:val="000000" w:themeColor="text1"/>
          <w:sz w:val="24"/>
          <w:szCs w:val="24"/>
          <w:highlight w:val="none"/>
          <w14:textFill>
            <w14:solidFill>
              <w14:schemeClr w14:val="tx1"/>
            </w14:solidFill>
          </w14:textFill>
        </w:rPr>
        <w:t xml:space="preserve">条。 </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24" w:name="_Toc217446069"/>
      <w:r>
        <w:rPr>
          <w:rFonts w:hint="eastAsia" w:ascii="宋体" w:hAnsi="宋体" w:eastAsia="宋体" w:cs="宋体"/>
          <w:color w:val="000000" w:themeColor="text1"/>
          <w:sz w:val="24"/>
          <w:szCs w:val="24"/>
          <w:highlight w:val="none"/>
          <w14:textFill>
            <w14:solidFill>
              <w14:schemeClr w14:val="tx1"/>
            </w14:solidFill>
          </w14:textFill>
        </w:rPr>
        <w:t>28. 履行合同</w:t>
      </w:r>
      <w:bookmarkEnd w:id="124"/>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28.1 中标人与采购人签订合同后，合同双方应严格执行合同条款，履行合同规定的义务，保证合同的顺利完成。</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28.2 在合同履行过程中，如发生合同纠纷，合同双方应按照《中华人民共和国民法典》的有关规定进行处理。</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25" w:name="_Toc217446070"/>
      <w:r>
        <w:rPr>
          <w:rFonts w:hint="eastAsia" w:ascii="宋体" w:hAnsi="宋体" w:eastAsia="宋体" w:cs="宋体"/>
          <w:color w:val="000000" w:themeColor="text1"/>
          <w:sz w:val="24"/>
          <w:szCs w:val="24"/>
          <w:highlight w:val="none"/>
          <w14:textFill>
            <w14:solidFill>
              <w14:schemeClr w14:val="tx1"/>
            </w14:solidFill>
          </w14:textFill>
        </w:rPr>
        <w:t>29. 验收</w:t>
      </w:r>
      <w:bookmarkEnd w:id="125"/>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26" w:name="_Toc217446071"/>
      <w:r>
        <w:rPr>
          <w:rFonts w:hint="eastAsia" w:ascii="宋体" w:hAnsi="宋体" w:eastAsia="宋体" w:cs="宋体"/>
          <w:color w:val="000000" w:themeColor="text1"/>
          <w:sz w:val="24"/>
          <w:szCs w:val="24"/>
          <w:highlight w:val="none"/>
          <w14:textFill>
            <w14:solidFill>
              <w14:schemeClr w14:val="tx1"/>
            </w14:solidFill>
          </w14:textFill>
        </w:rPr>
        <w:t>中标人与采购人应严格按照国家财政部《关于进一步加强政府采购需求和履约验收管理的指导意见》（</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财库〔2016〕205号</w:t>
      </w:r>
      <w:r>
        <w:rPr>
          <w:rFonts w:hint="eastAsia" w:ascii="宋体" w:hAnsi="宋体" w:eastAsia="宋体" w:cs="宋体"/>
          <w:color w:val="000000" w:themeColor="text1"/>
          <w:sz w:val="24"/>
          <w:szCs w:val="24"/>
          <w:highlight w:val="none"/>
          <w14:textFill>
            <w14:solidFill>
              <w14:schemeClr w14:val="tx1"/>
            </w14:solidFill>
          </w14:textFill>
        </w:rPr>
        <w:t>）的要求进行验收。</w:t>
      </w:r>
    </w:p>
    <w:bookmarkEnd w:id="118"/>
    <w:bookmarkEnd w:id="119"/>
    <w:bookmarkEnd w:id="126"/>
    <w:p>
      <w:pPr>
        <w:pStyle w:val="4"/>
        <w:pageBreakBefore w:val="0"/>
        <w:widowControl w:val="0"/>
        <w:kinsoku/>
        <w:wordWrap/>
        <w:overflowPunct/>
        <w:topLinePunct w:val="0"/>
        <w:autoSpaceDE/>
        <w:autoSpaceDN/>
        <w:bidi w:val="0"/>
        <w:adjustRightInd/>
        <w:spacing w:before="156" w:after="156" w:line="480" w:lineRule="exact"/>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27" w:name="_Toc217446074"/>
      <w:bookmarkStart w:id="128" w:name="_Toc183682380"/>
      <w:bookmarkStart w:id="129" w:name="_Toc183582243"/>
      <w:r>
        <w:rPr>
          <w:rFonts w:hint="eastAsia" w:ascii="宋体" w:hAnsi="宋体" w:eastAsia="宋体" w:cs="宋体"/>
          <w:color w:val="000000" w:themeColor="text1"/>
          <w:sz w:val="24"/>
          <w:szCs w:val="24"/>
          <w:highlight w:val="none"/>
          <w14:textFill>
            <w14:solidFill>
              <w14:schemeClr w14:val="tx1"/>
            </w14:solidFill>
          </w14:textFill>
        </w:rPr>
        <w:t>七、投标纪律要求</w:t>
      </w:r>
      <w:bookmarkEnd w:id="127"/>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30" w:name="_Toc217446075"/>
      <w:r>
        <w:rPr>
          <w:rFonts w:hint="eastAsia" w:ascii="宋体" w:hAnsi="宋体" w:eastAsia="宋体" w:cs="宋体"/>
          <w:color w:val="000000" w:themeColor="text1"/>
          <w:sz w:val="24"/>
          <w:szCs w:val="24"/>
          <w:highlight w:val="none"/>
          <w14:textFill>
            <w14:solidFill>
              <w14:schemeClr w14:val="tx1"/>
            </w14:solidFill>
          </w14:textFill>
        </w:rPr>
        <w:t>30. 投标人不得具有的情形</w:t>
      </w:r>
      <w:bookmarkEnd w:id="130"/>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投标人参加投标不得有下列情形：</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（1）提供虚假材料谋取中标；</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（2）采取不正当手段诋毁、排挤其他投标人；</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（3）与采购人、其他投标人恶意串通；</w:t>
      </w:r>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（4）向采购人、评标委员会成员行贿或者提供其他不正当利益；</w:t>
      </w:r>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（5）在招标过程中与采购人进行协商谈判；</w:t>
      </w:r>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（6）拒绝有关部门的监督检查或者向监督检查部门提供虚假情况。</w:t>
      </w:r>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有上述情形之一的投标人，属于不合格投标人，其投标或中标资格将被取消。</w:t>
      </w:r>
    </w:p>
    <w:p>
      <w:pPr>
        <w:pStyle w:val="4"/>
        <w:pageBreakBefore w:val="0"/>
        <w:widowControl w:val="0"/>
        <w:kinsoku/>
        <w:wordWrap/>
        <w:overflowPunct/>
        <w:topLinePunct w:val="0"/>
        <w:autoSpaceDE/>
        <w:autoSpaceDN/>
        <w:bidi w:val="0"/>
        <w:adjustRightInd/>
        <w:spacing w:before="156" w:after="156" w:line="480" w:lineRule="exact"/>
        <w:ind w:firstLine="482" w:firstLineChars="20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131" w:name="_Toc217446076"/>
      <w:r>
        <w:rPr>
          <w:rFonts w:hint="eastAsia" w:ascii="宋体" w:hAnsi="宋体" w:eastAsia="宋体" w:cs="宋体"/>
          <w:color w:val="000000" w:themeColor="text1"/>
          <w:sz w:val="24"/>
          <w:szCs w:val="24"/>
          <w:highlight w:val="none"/>
          <w14:textFill>
            <w14:solidFill>
              <w14:schemeClr w14:val="tx1"/>
            </w14:solidFill>
          </w14:textFill>
        </w:rPr>
        <w:t>八、</w:t>
      </w:r>
      <w:bookmarkEnd w:id="131"/>
      <w:r>
        <w:rPr>
          <w:rFonts w:hint="eastAsia" w:ascii="宋体" w:hAnsi="宋体" w:eastAsia="宋体" w:cs="宋体"/>
          <w:color w:val="000000" w:themeColor="text1"/>
          <w:sz w:val="24"/>
          <w:szCs w:val="24"/>
          <w:highlight w:val="none"/>
          <w14:textFill>
            <w14:solidFill>
              <w14:schemeClr w14:val="tx1"/>
            </w14:solidFill>
          </w14:textFill>
        </w:rPr>
        <w:t>合同价款支付</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32" w:name="_Toc217446077"/>
      <w:r>
        <w:rPr>
          <w:rFonts w:hint="eastAsia" w:ascii="宋体" w:hAnsi="宋体" w:eastAsia="宋体" w:cs="宋体"/>
          <w:color w:val="000000" w:themeColor="text1"/>
          <w:sz w:val="24"/>
          <w:szCs w:val="24"/>
          <w:highlight w:val="none"/>
          <w14:textFill>
            <w14:solidFill>
              <w14:schemeClr w14:val="tx1"/>
            </w14:solidFill>
          </w14:textFill>
        </w:rPr>
        <w:t>31. 申请支付</w:t>
      </w:r>
      <w:bookmarkEnd w:id="132"/>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31.1招标项目验收合格，采购人签署《验收结算书》后，向财政部门提出支付申请。采购人的自有资金，由采购人直接支付给中标人或者按照有关合同规定执行。</w:t>
      </w:r>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31.2 财政部门根据采购人的支付申请，并对采购合同进行审核后，直接支付给中标人。</w:t>
      </w:r>
      <w:bookmarkStart w:id="133" w:name="_Toc217446078"/>
    </w:p>
    <w:p>
      <w:pPr>
        <w:pStyle w:val="4"/>
        <w:pageBreakBefore w:val="0"/>
        <w:widowControl w:val="0"/>
        <w:kinsoku/>
        <w:wordWrap/>
        <w:overflowPunct/>
        <w:topLinePunct w:val="0"/>
        <w:autoSpaceDE/>
        <w:autoSpaceDN/>
        <w:bidi w:val="0"/>
        <w:adjustRightInd/>
        <w:spacing w:before="156" w:after="156" w:line="480" w:lineRule="exact"/>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九、质疑和投诉</w:t>
      </w:r>
      <w:bookmarkEnd w:id="133"/>
      <w:bookmarkStart w:id="134" w:name="_Toc217446079"/>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bookmarkEnd w:id="134"/>
      <w:r>
        <w:rPr>
          <w:rFonts w:hint="eastAsia" w:ascii="宋体" w:hAnsi="宋体" w:eastAsia="宋体" w:cs="宋体"/>
          <w:color w:val="000000" w:themeColor="text1"/>
          <w:sz w:val="24"/>
          <w:szCs w:val="24"/>
          <w:highlight w:val="none"/>
          <w14:textFill>
            <w14:solidFill>
              <w14:schemeClr w14:val="tx1"/>
            </w14:solidFill>
          </w14:textFill>
        </w:rPr>
        <w:t>2．质疑、投诉的接收和处理严格按照《中华人共和国政府采购法</w:t>
      </w:r>
      <w:bookmarkEnd w:id="128"/>
      <w:bookmarkEnd w:id="129"/>
      <w:r>
        <w:rPr>
          <w:rFonts w:hint="eastAsia" w:ascii="宋体" w:hAnsi="宋体" w:eastAsia="宋体" w:cs="宋体"/>
          <w:color w:val="000000" w:themeColor="text1"/>
          <w:sz w:val="24"/>
          <w:szCs w:val="24"/>
          <w:highlight w:val="none"/>
          <w14:textFill>
            <w14:solidFill>
              <w14:schemeClr w14:val="tx1"/>
            </w14:solidFill>
          </w14:textFill>
        </w:rPr>
        <w:t>》、《政府采购质疑和投诉办法》、《财政部关于加强政府采购投标人投诉受理审查工作的通知》的规定办理。</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32.1投标人认为</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采购过程和中标、成交结果使自己的权益受到损害的，可以在知道或者应知其权益受到损害之日起七个工作日内，以书面形式向采购人提出质疑。针对同一采购环节的质疑应一次性提出，提出质疑的投标人应当是参与所质疑项目招标活动的投标人。</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32.2潜在投标人已依法获取其可质疑的</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的，可以对该文件提出质疑。对</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提出质疑的，应当在获取</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或者</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公告期限届满之日起7个工作日内提出。</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32.3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代理人提出质疑和投诉，应当提交投标人签署的授权委托书。</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32.4投标人提出质疑应当提交质疑函和必要的证明材料。质疑函应当包括下列内容：</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（一）投标人的姓名或者名称、地址、邮编、联系人及联系电话；</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（二）质疑项目的名称、编号；</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（三）具体、明确的质疑事项和与质疑事项相关的请求；</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（四）事实依据；</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（五）必要的法律依据；</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（六）提出质疑的日期。</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投标人为自然人的，应当由本人签字；投标人为法人或者其他组织的，应当由法定代表人、主要负责人或者其被授权人签字或盖章，并加盖公章。</w:t>
      </w:r>
    </w:p>
    <w:p>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接收质疑函的方式：书面形式</w:t>
      </w:r>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联系部门：新疆拓源工程管理咨询有限公司</w:t>
      </w:r>
    </w:p>
    <w:p>
      <w:pPr>
        <w:pStyle w:val="2"/>
        <w:pageBreakBefore w:val="0"/>
        <w:widowControl w:val="0"/>
        <w:kinsoku/>
        <w:wordWrap/>
        <w:overflowPunct/>
        <w:topLinePunct w:val="0"/>
        <w:autoSpaceDE/>
        <w:autoSpaceDN/>
        <w:bidi w:val="0"/>
        <w:adjustRightInd/>
        <w:spacing w:line="480" w:lineRule="exact"/>
        <w:ind w:firstLine="480"/>
        <w:textAlignment w:val="auto"/>
        <w:rPr>
          <w:rStyle w:val="35"/>
          <w:rFonts w:hint="default" w:ascii="宋体" w:hAnsi="宋体"/>
          <w:bCs/>
          <w:color w:val="000000" w:themeColor="text1"/>
          <w:sz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联系人及联系电话：</w:t>
      </w:r>
      <w:r>
        <w:rPr>
          <w:rFonts w:hint="eastAsia" w:ascii="宋体" w:hAnsi="宋体" w:cs="宋体"/>
          <w:color w:val="000000" w:themeColor="text1"/>
          <w:sz w:val="24"/>
          <w:szCs w:val="24"/>
          <w:highlight w:val="none"/>
          <w:lang w:val="en-US" w:eastAsia="zh-CN"/>
          <w14:textFill>
            <w14:solidFill>
              <w14:schemeClr w14:val="tx1"/>
            </w14:solidFill>
          </w14:textFill>
        </w:rPr>
        <w:t>杨工  19999795598、15199586230</w:t>
      </w:r>
    </w:p>
    <w:p>
      <w:pPr>
        <w:pStyle w:val="2"/>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通讯地址：乌鲁木齐市水磨沟区龙盛街898号万科中央公园S6栋5层</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32.5质疑投标人对采购人、采购代理机构的答复不满意，或者采购人、采购代理机构未在规定时间内作出答复的，可以在答复期满后15个工作日内向本办法第六条规定的财政部门提起投诉。</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32.6投诉人投诉时，应当提交投诉书和必要的证明材料，并按照被投诉采购人、采购代理机构（以下简称被投诉人）和与投诉事项有关的投标人数量提供投诉书的副本。投诉书应当包括下列内容：</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（一）投诉人和被投诉人的姓名或者名称、通讯地址、邮编、联系人及联系电话；</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（二）质疑和质疑答复情况说明及相关证明材料；</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（三）具体、明确的投诉事项和与投诉事项相关的投诉请求；</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（四）事实依据；</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（五）法律依据；</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（六）提起投诉的日期。</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投诉人为自然人的，应当由本人签字；投诉人为法人或者其他组织的，应当由法定代表人、主要负责人，或者其授权代表签字或者盖章，并加盖公章。</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32.7投诉人应当根据《政府采购质疑和投诉办法》第七条第二款规定的信息内容，并按照其规定的方式提起投诉。</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投诉人提起投诉应当符合下列条件：</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（一）提起投诉前已依法进行质疑；</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（二）投诉书内容符合本办法的规定；</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（三）在投诉有效期限内提起投诉；</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（四）同一投诉事项未经财政部门投诉处理；</w:t>
      </w:r>
    </w:p>
    <w:p>
      <w:pPr>
        <w:pStyle w:val="15"/>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（五）财政部规定的其他条件。</w:t>
      </w:r>
    </w:p>
    <w:p>
      <w:pPr>
        <w:pStyle w:val="27"/>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r>
        <w:rPr>
          <w:rFonts w:hint="eastAsia" w:ascii="宋体" w:hAnsi="宋体" w:eastAsia="宋体" w:cs="宋体"/>
          <w:b/>
          <w:bCs/>
          <w:color w:val="000000" w:themeColor="text1"/>
          <w:sz w:val="24"/>
          <w:szCs w:val="24"/>
          <w:highlight w:val="none"/>
          <w14:textFill>
            <w14:solidFill>
              <w14:schemeClr w14:val="tx1"/>
            </w14:solidFill>
          </w14:textFill>
        </w:rPr>
        <w:t>质疑函范本</w:t>
      </w:r>
    </w:p>
    <w:p>
      <w:pPr>
        <w:adjustRightInd w:val="0"/>
        <w:snapToGrid w:val="0"/>
        <w:spacing w:line="500" w:lineRule="exact"/>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一、质疑</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投标人</w:t>
      </w:r>
      <w:r>
        <w:rPr>
          <w:rFonts w:hint="eastAsia" w:ascii="宋体" w:hAnsi="宋体" w:eastAsia="宋体" w:cs="宋体"/>
          <w:bCs/>
          <w:color w:val="000000" w:themeColor="text1"/>
          <w:sz w:val="24"/>
          <w:szCs w:val="24"/>
          <w:highlight w:val="none"/>
          <w14:textFill>
            <w14:solidFill>
              <w14:schemeClr w14:val="tx1"/>
            </w14:solidFill>
          </w14:textFill>
        </w:rPr>
        <w:t>基本信息</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u w:val="dotted"/>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质疑</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邮编：</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联系电话：</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u w:val="dotted"/>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地址： </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邮编：</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二、质疑项目基本情况</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质疑项目的名称：</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质疑项目的编号：</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包号：</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u w:val="dotted"/>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采购人名称：</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获取日期：</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三、质疑事项具体内容</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u w:val="dotted"/>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质疑事项1：</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u w:val="dotted"/>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事实依据：</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u w:val="dotted"/>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法律依据：</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u w:val="dotted"/>
          <w14:textFill>
            <w14:solidFill>
              <w14:schemeClr w14:val="tx1"/>
            </w14:solidFill>
          </w14:textFill>
        </w:rPr>
      </w:pP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u w:val="dotted"/>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质疑事项2</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pPr>
        <w:adjustRightInd w:val="0"/>
        <w:snapToGrid w:val="0"/>
        <w:spacing w:line="500" w:lineRule="exact"/>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四、与质疑事项相关的质疑请求</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u w:val="dotted"/>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请求：</w:t>
      </w:r>
      <w:r>
        <w:rPr>
          <w:rFonts w:hint="eastAsia" w:ascii="宋体" w:hAnsi="宋体" w:eastAsia="宋体" w:cs="宋体"/>
          <w:color w:val="000000" w:themeColor="text1"/>
          <w:sz w:val="24"/>
          <w:szCs w:val="24"/>
          <w:highlight w:val="none"/>
          <w:u w:val="dotted"/>
          <w14:textFill>
            <w14:solidFill>
              <w14:schemeClr w14:val="tx1"/>
            </w14:solidFill>
          </w14:textFill>
        </w:rPr>
        <w:t xml:space="preserve">                                               </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签字(签章)：                   公章：                      </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日期：    </w:t>
      </w:r>
    </w:p>
    <w:p>
      <w:pPr>
        <w:adjustRightInd w:val="0"/>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2" w:firstLineChars="200"/>
        <w:jc w:val="center"/>
        <w:rPr>
          <w:rFonts w:hint="eastAsia" w:ascii="宋体" w:hAnsi="宋体" w:eastAsia="宋体" w:cs="宋体"/>
          <w:b/>
          <w:bCs/>
          <w:color w:val="000000" w:themeColor="text1"/>
          <w:sz w:val="24"/>
          <w:szCs w:val="24"/>
          <w:highlight w:val="none"/>
          <w14:textFill>
            <w14:solidFill>
              <w14:schemeClr w14:val="tx1"/>
            </w14:solidFill>
          </w14:textFill>
        </w:rPr>
      </w:pPr>
    </w:p>
    <w:p>
      <w:pPr>
        <w:spacing w:line="50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质疑函制作说明：</w:t>
      </w:r>
    </w:p>
    <w:p>
      <w:pPr>
        <w:widowControl/>
        <w:spacing w:line="50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提出质疑时，应提交质疑函和必要的证明材料。</w:t>
      </w:r>
    </w:p>
    <w:p>
      <w:pPr>
        <w:widowControl/>
        <w:spacing w:line="50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2.质疑</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若委托代理人进行质疑的，质疑函应按要求列明“被授权人”的有关内容，并在附件中提交由质疑</w:t>
      </w:r>
      <w:r>
        <w:rPr>
          <w:rFonts w:hint="eastAsia" w:ascii="宋体" w:hAnsi="宋体" w:eastAsia="宋体" w:cs="宋体"/>
          <w:color w:val="000000" w:themeColor="text1"/>
          <w:kern w:val="0"/>
          <w:sz w:val="24"/>
          <w:szCs w:val="24"/>
          <w:highlight w:val="none"/>
          <w14:textFill>
            <w14:solidFill>
              <w14:schemeClr w14:val="tx1"/>
            </w14:solidFill>
          </w14:textFill>
        </w:rPr>
        <w:t>投标人签署的授权委托书。授权委托书应载明代理人的姓名或者名称、代理事项、具体权限、期限和相关事项。</w:t>
      </w:r>
    </w:p>
    <w:p>
      <w:pPr>
        <w:widowControl/>
        <w:spacing w:line="50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3.质疑</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若对项目的某一分包进行质疑，质疑函中应列明具体分包号。</w:t>
      </w:r>
    </w:p>
    <w:p>
      <w:pPr>
        <w:widowControl/>
        <w:spacing w:line="50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4.质疑函的质疑事项应具体、明确，并有必要的事实依据和法律依据。</w:t>
      </w:r>
    </w:p>
    <w:p>
      <w:pPr>
        <w:widowControl/>
        <w:spacing w:line="50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5.质疑函的质疑请求应与质疑事项相关。</w:t>
      </w:r>
    </w:p>
    <w:p>
      <w:pPr>
        <w:widowControl/>
        <w:spacing w:line="50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6.质疑</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为自然人的，质疑函应由本人签字；质疑</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为法人或者其他组织的，质疑函应由法定代表人、主要负责人或者其被授权人签字或者盖章，并加盖公章。</w:t>
      </w:r>
    </w:p>
    <w:p>
      <w:pPr>
        <w:pStyle w:val="27"/>
        <w:rPr>
          <w:rFonts w:hint="eastAsia" w:ascii="宋体" w:hAnsi="宋体" w:eastAsia="宋体" w:cs="宋体"/>
          <w:color w:val="000000" w:themeColor="text1"/>
          <w:sz w:val="24"/>
          <w:szCs w:val="24"/>
          <w:highlight w:val="none"/>
          <w14:textFill>
            <w14:solidFill>
              <w14:schemeClr w14:val="tx1"/>
            </w14:solidFill>
          </w14:textFill>
        </w:rPr>
      </w:pPr>
    </w:p>
    <w:p>
      <w:pPr>
        <w:pStyle w:val="27"/>
        <w:rPr>
          <w:rFonts w:hint="eastAsia" w:ascii="宋体" w:hAnsi="宋体" w:eastAsia="宋体" w:cs="宋体"/>
          <w:color w:val="000000" w:themeColor="text1"/>
          <w:sz w:val="24"/>
          <w:szCs w:val="24"/>
          <w:highlight w:val="none"/>
          <w14:textFill>
            <w14:solidFill>
              <w14:schemeClr w14:val="tx1"/>
            </w14:solidFill>
          </w14:textFill>
        </w:rPr>
      </w:pPr>
    </w:p>
    <w:p>
      <w:pPr>
        <w:pStyle w:val="2"/>
        <w:spacing w:line="500" w:lineRule="exact"/>
        <w:ind w:firstLine="480"/>
        <w:rPr>
          <w:rFonts w:hint="eastAsia" w:ascii="宋体" w:hAnsi="宋体" w:eastAsia="宋体" w:cs="宋体"/>
          <w:color w:val="000000" w:themeColor="text1"/>
          <w:sz w:val="24"/>
          <w:szCs w:val="24"/>
          <w:highlight w:val="none"/>
          <w14:textFill>
            <w14:solidFill>
              <w14:schemeClr w14:val="tx1"/>
            </w14:solidFill>
          </w14:textFill>
        </w:rPr>
      </w:pPr>
    </w:p>
    <w:p>
      <w:pPr>
        <w:spacing w:after="340" w:line="460" w:lineRule="exact"/>
        <w:jc w:val="center"/>
        <w:outlineLvl w:val="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bookmarkStart w:id="135" w:name="_Toc5850_WPSOffice_Level1"/>
      <w:bookmarkStart w:id="136" w:name="_Toc21780"/>
      <w:r>
        <w:rPr>
          <w:rFonts w:hint="eastAsia" w:ascii="宋体" w:hAnsi="宋体" w:eastAsia="宋体" w:cs="宋体"/>
          <w:b/>
          <w:bCs/>
          <w:color w:val="000000" w:themeColor="text1"/>
          <w:sz w:val="24"/>
          <w:szCs w:val="24"/>
          <w:highlight w:val="none"/>
          <w14:textFill>
            <w14:solidFill>
              <w14:schemeClr w14:val="tx1"/>
            </w14:solidFill>
          </w14:textFill>
        </w:rPr>
        <w:t>第三章  投标文件格式</w:t>
      </w:r>
      <w:bookmarkEnd w:id="135"/>
      <w:bookmarkEnd w:id="136"/>
    </w:p>
    <w:p>
      <w:pPr>
        <w:spacing w:line="460" w:lineRule="exact"/>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投标文件封面示例</w:t>
      </w:r>
    </w:p>
    <w:p>
      <w:pPr>
        <w:spacing w:line="460" w:lineRule="exact"/>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jc w:val="center"/>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w:t>
      </w:r>
    </w:p>
    <w:p>
      <w:pPr>
        <w:spacing w:line="460" w:lineRule="exact"/>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项目名称：</w:t>
      </w:r>
    </w:p>
    <w:p>
      <w:pPr>
        <w:pStyle w:val="27"/>
        <w:rPr>
          <w:rFonts w:hint="eastAsia" w:ascii="宋体" w:hAnsi="宋体" w:eastAsia="宋体" w:cs="宋体"/>
          <w:color w:val="000000" w:themeColor="text1"/>
          <w:sz w:val="24"/>
          <w:szCs w:val="24"/>
          <w:highlight w:val="none"/>
          <w14:textFill>
            <w14:solidFill>
              <w14:schemeClr w14:val="tx1"/>
            </w14:solidFill>
          </w14:textFill>
        </w:rPr>
      </w:pPr>
    </w:p>
    <w:p>
      <w:pPr>
        <w:spacing w:line="46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项目编号：</w:t>
      </w: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 xml:space="preserve">            </w:t>
      </w: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投标人名称（盖章）：</w:t>
      </w: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被授权人（签字或盖章）：</w:t>
      </w: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 xml:space="preserve">项目联系人： </w:t>
      </w: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联系电话：</w:t>
      </w: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p>
    <w:p>
      <w:pPr>
        <w:spacing w:line="460" w:lineRule="exact"/>
        <w:ind w:firstLine="504"/>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编制时间：</w:t>
      </w:r>
    </w:p>
    <w:p>
      <w:pPr>
        <w:spacing w:line="46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r>
        <w:rPr>
          <w:rFonts w:hint="eastAsia" w:ascii="宋体" w:hAnsi="宋体" w:eastAsia="宋体" w:cs="宋体"/>
          <w:b/>
          <w:bCs/>
          <w:color w:val="000000" w:themeColor="text1"/>
          <w:sz w:val="24"/>
          <w:szCs w:val="24"/>
          <w:highlight w:val="none"/>
          <w14:textFill>
            <w14:solidFill>
              <w14:schemeClr w14:val="tx1"/>
            </w14:solidFill>
          </w14:textFill>
        </w:rPr>
        <w:t>目录</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137" w:name="_Toc217446082"/>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一、投标函</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二、身份证明书及授权委托书</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三、投标报价明细表</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四、投标人基本情况表</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五、投标人类似项目业绩一览表</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六、商务、技术需求偏离表</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七、拟配备人员情况</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八、实施方案</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九</w:t>
      </w:r>
      <w:r>
        <w:rPr>
          <w:rFonts w:hint="eastAsia" w:ascii="宋体" w:hAnsi="宋体" w:eastAsia="宋体" w:cs="宋体"/>
          <w:color w:val="000000" w:themeColor="text1"/>
          <w:sz w:val="24"/>
          <w:szCs w:val="24"/>
          <w:highlight w:val="none"/>
          <w14:textFill>
            <w14:solidFill>
              <w14:schemeClr w14:val="tx1"/>
            </w14:solidFill>
          </w14:textFill>
        </w:rPr>
        <w:t>、投标人认为需要提供的其他文件和资料</w:t>
      </w:r>
    </w:p>
    <w:p>
      <w:pPr>
        <w:tabs>
          <w:tab w:val="left" w:pos="3480"/>
        </w:tabs>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pStyle w:val="2"/>
        <w:spacing w:line="500" w:lineRule="exact"/>
        <w:ind w:firstLine="48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备注</w:t>
      </w:r>
      <w:r>
        <w:rPr>
          <w:rFonts w:hint="eastAsia" w:ascii="宋体" w:hAnsi="宋体" w:eastAsia="宋体" w:cs="宋体"/>
          <w:color w:val="000000" w:themeColor="text1"/>
          <w:sz w:val="24"/>
          <w:szCs w:val="24"/>
          <w:highlight w:val="none"/>
          <w14:textFill>
            <w14:solidFill>
              <w14:schemeClr w14:val="tx1"/>
            </w14:solidFill>
          </w14:textFill>
        </w:rPr>
        <w:t>：投标人应按以上目录顺序编排投标文件，并标注相应页码。）</w:t>
      </w:r>
    </w:p>
    <w:p>
      <w:pPr>
        <w:rPr>
          <w:rFonts w:hint="eastAsia" w:ascii="宋体" w:hAnsi="宋体" w:eastAsia="宋体" w:cs="宋体"/>
          <w:color w:val="000000" w:themeColor="text1"/>
          <w:sz w:val="24"/>
          <w:szCs w:val="24"/>
          <w:highlight w:val="none"/>
          <w14:textFill>
            <w14:solidFill>
              <w14:schemeClr w14:val="tx1"/>
            </w14:solidFill>
          </w14:textFill>
        </w:rPr>
      </w:pPr>
    </w:p>
    <w:p>
      <w:pPr>
        <w:pStyle w:val="27"/>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pStyle w:val="27"/>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jc w:val="cente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pStyle w:val="27"/>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pStyle w:val="27"/>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pStyle w:val="27"/>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
          <w:bCs/>
          <w:color w:val="000000" w:themeColor="text1"/>
          <w:sz w:val="24"/>
          <w:szCs w:val="24"/>
          <w:highlight w:val="none"/>
          <w14:textFill>
            <w14:solidFill>
              <w14:schemeClr w14:val="tx1"/>
            </w14:solidFill>
          </w14:textFill>
        </w:rPr>
        <w:t>一、</w:t>
      </w:r>
      <w:bookmarkEnd w:id="137"/>
      <w:r>
        <w:rPr>
          <w:rFonts w:hint="eastAsia" w:ascii="宋体" w:hAnsi="宋体" w:eastAsia="宋体" w:cs="宋体"/>
          <w:b/>
          <w:bCs/>
          <w:color w:val="000000" w:themeColor="text1"/>
          <w:sz w:val="24"/>
          <w:szCs w:val="24"/>
          <w:highlight w:val="none"/>
          <w14:textFill>
            <w14:solidFill>
              <w14:schemeClr w14:val="tx1"/>
            </w14:solidFill>
          </w14:textFill>
        </w:rPr>
        <w:t>投标函</w:t>
      </w:r>
    </w:p>
    <w:p>
      <w:pPr>
        <w:pStyle w:val="15"/>
        <w:spacing w:after="0" w:line="500" w:lineRule="exact"/>
        <w:ind w:left="0" w:leftChars="0"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bookmarkStart w:id="138" w:name="_Toc217446083"/>
      <w:r>
        <w:rPr>
          <w:rFonts w:hint="eastAsia" w:ascii="宋体" w:hAnsi="宋体" w:eastAsia="宋体" w:cs="宋体"/>
          <w:bCs/>
          <w:color w:val="000000" w:themeColor="text1"/>
          <w:sz w:val="24"/>
          <w:szCs w:val="24"/>
          <w:highlight w:val="none"/>
          <w14:textFill>
            <w14:solidFill>
              <w14:schemeClr w14:val="tx1"/>
            </w14:solidFill>
          </w14:textFill>
        </w:rPr>
        <w:t>__________（采购人）：</w:t>
      </w:r>
    </w:p>
    <w:p>
      <w:pPr>
        <w:pStyle w:val="15"/>
        <w:spacing w:after="0" w:line="500" w:lineRule="exact"/>
        <w:ind w:left="0" w:leftChars="0"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我方全面研究了 “</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（项目名称</w:t>
      </w:r>
      <w:r>
        <w:rPr>
          <w:rFonts w:hint="eastAsia" w:ascii="宋体" w:hAnsi="宋体" w:cs="宋体"/>
          <w:bCs/>
          <w:color w:val="000000" w:themeColor="text1"/>
          <w:sz w:val="24"/>
          <w:szCs w:val="24"/>
          <w:highlight w:val="none"/>
          <w:lang w:val="en-US"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项目编号）”项目</w:t>
      </w:r>
      <w:r>
        <w:rPr>
          <w:rFonts w:hint="eastAsia" w:ascii="宋体" w:hAnsi="宋体" w:cs="宋体"/>
          <w:bCs/>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bCs/>
          <w:color w:val="000000" w:themeColor="text1"/>
          <w:sz w:val="24"/>
          <w:szCs w:val="24"/>
          <w:highlight w:val="none"/>
          <w14:textFill>
            <w14:solidFill>
              <w14:schemeClr w14:val="tx1"/>
            </w14:solidFill>
          </w14:textFill>
        </w:rPr>
        <w:t>，决定参加贵单位组织的本项目投标。我方授权</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（姓名、职务）代表我方</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（投标人的名称）全权处理本项目投标的有关事宜。</w:t>
      </w:r>
    </w:p>
    <w:p>
      <w:pPr>
        <w:pStyle w:val="15"/>
        <w:spacing w:after="0" w:line="500" w:lineRule="exact"/>
        <w:ind w:left="0" w:leftChars="0"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1、我方自愿按照</w:t>
      </w:r>
      <w:r>
        <w:rPr>
          <w:rFonts w:hint="eastAsia" w:ascii="宋体" w:hAnsi="宋体" w:cs="宋体"/>
          <w:bCs/>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bCs/>
          <w:color w:val="000000" w:themeColor="text1"/>
          <w:sz w:val="24"/>
          <w:szCs w:val="24"/>
          <w:highlight w:val="none"/>
          <w14:textFill>
            <w14:solidFill>
              <w14:schemeClr w14:val="tx1"/>
            </w14:solidFill>
          </w14:textFill>
        </w:rPr>
        <w:t>规定的各项要求向采购人提供所需</w:t>
      </w:r>
      <w:r>
        <w:rPr>
          <w:rFonts w:hint="eastAsia" w:ascii="宋体" w:hAnsi="宋体" w:cs="宋体"/>
          <w:bCs/>
          <w:color w:val="000000" w:themeColor="text1"/>
          <w:sz w:val="24"/>
          <w:szCs w:val="24"/>
          <w:highlight w:val="none"/>
          <w:lang w:val="en-US" w:eastAsia="zh-CN"/>
          <w14:textFill>
            <w14:solidFill>
              <w14:schemeClr w14:val="tx1"/>
            </w14:solidFill>
          </w14:textFill>
        </w:rPr>
        <w:t>货物</w:t>
      </w:r>
      <w:r>
        <w:rPr>
          <w:rFonts w:hint="eastAsia" w:ascii="宋体" w:hAnsi="宋体" w:eastAsia="宋体" w:cs="宋体"/>
          <w:bCs/>
          <w:color w:val="000000" w:themeColor="text1"/>
          <w:sz w:val="24"/>
          <w:szCs w:val="24"/>
          <w:highlight w:val="none"/>
          <w14:textFill>
            <w14:solidFill>
              <w14:schemeClr w14:val="tx1"/>
            </w14:solidFill>
          </w14:textFill>
        </w:rPr>
        <w:t>，总投标价为人民币</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元（大写：</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），投标有效期</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日历天。</w:t>
      </w:r>
    </w:p>
    <w:p>
      <w:pPr>
        <w:pStyle w:val="15"/>
        <w:spacing w:after="0" w:line="500" w:lineRule="exact"/>
        <w:ind w:left="0" w:leftChars="0"/>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一旦我方成交，我方将严格履行合同规定的责任和义务，</w:t>
      </w:r>
      <w:r>
        <w:rPr>
          <w:rFonts w:hint="eastAsia" w:ascii="宋体" w:hAnsi="宋体" w:cs="宋体"/>
          <w:b w:val="0"/>
          <w:bCs/>
          <w:color w:val="000000" w:themeColor="text1"/>
          <w:sz w:val="24"/>
          <w:szCs w:val="24"/>
          <w:highlight w:val="none"/>
          <w:shd w:val="clear" w:color="auto" w:fill="auto"/>
          <w:lang w:val="en-US" w:eastAsia="zh-CN"/>
          <w14:textFill>
            <w14:solidFill>
              <w14:schemeClr w14:val="tx1"/>
            </w14:solidFill>
          </w14:textFill>
        </w:rPr>
        <w:t>供货</w:t>
      </w:r>
      <w:r>
        <w:rPr>
          <w:rFonts w:hint="eastAsia" w:ascii="宋体" w:hAnsi="宋体" w:eastAsia="宋体" w:cs="宋体"/>
          <w:b w:val="0"/>
          <w:bCs/>
          <w:color w:val="000000" w:themeColor="text1"/>
          <w:sz w:val="24"/>
          <w:szCs w:val="24"/>
          <w:highlight w:val="none"/>
          <w:shd w:val="clear" w:color="auto" w:fill="auto"/>
          <w:lang w:eastAsia="zh-CN"/>
          <w14:textFill>
            <w14:solidFill>
              <w14:schemeClr w14:val="tx1"/>
            </w14:solidFill>
          </w14:textFill>
        </w:rPr>
        <w:t>期</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为</w:t>
      </w:r>
      <w:r>
        <w:rPr>
          <w:rFonts w:hint="eastAsia" w:ascii="宋体" w:hAnsi="宋体" w:eastAsia="宋体" w:cs="宋体"/>
          <w:b w:val="0"/>
          <w:bCs/>
          <w:color w:val="000000" w:themeColor="text1"/>
          <w:sz w:val="24"/>
          <w:szCs w:val="24"/>
          <w:highlight w:val="none"/>
          <w:u w:val="single"/>
          <w:shd w:val="clear" w:color="auto" w:fill="auto"/>
          <w14:textFill>
            <w14:solidFill>
              <w14:schemeClr w14:val="tx1"/>
            </w14:solidFill>
          </w14:textFill>
        </w:rPr>
        <w:t xml:space="preserve">      </w:t>
      </w:r>
      <w:r>
        <w:rPr>
          <w:rFonts w:hint="eastAsia" w:ascii="宋体" w:hAnsi="宋体" w:eastAsia="宋体" w:cs="宋体"/>
          <w:b w:val="0"/>
          <w:bCs/>
          <w:color w:val="000000" w:themeColor="text1"/>
          <w:sz w:val="24"/>
          <w:szCs w:val="24"/>
          <w:highlight w:val="none"/>
          <w:u w:val="none"/>
          <w:shd w:val="clear" w:color="auto" w:fill="auto"/>
          <w:lang w:val="en-US" w:eastAsia="zh-CN"/>
          <w14:textFill>
            <w14:solidFill>
              <w14:schemeClr w14:val="tx1"/>
            </w14:solidFill>
          </w14:textFill>
        </w:rPr>
        <w:t>，</w:t>
      </w:r>
      <w:r>
        <w:rPr>
          <w:rFonts w:hint="eastAsia" w:ascii="宋体" w:hAnsi="宋体" w:cs="宋体"/>
          <w:b w:val="0"/>
          <w:bCs/>
          <w:color w:val="000000" w:themeColor="text1"/>
          <w:sz w:val="24"/>
          <w:szCs w:val="24"/>
          <w:highlight w:val="none"/>
          <w:u w:val="none"/>
          <w:shd w:val="clear" w:color="auto" w:fill="auto"/>
          <w:lang w:val="en-US" w:eastAsia="zh-CN"/>
          <w14:textFill>
            <w14:solidFill>
              <w14:schemeClr w14:val="tx1"/>
            </w14:solidFill>
          </w14:textFill>
        </w:rPr>
        <w:t>质保期</w:t>
      </w:r>
      <w:r>
        <w:rPr>
          <w:rFonts w:hint="eastAsia" w:ascii="宋体" w:hAnsi="宋体" w:cs="宋体"/>
          <w:b w:val="0"/>
          <w:bCs/>
          <w:color w:val="000000" w:themeColor="text1"/>
          <w:sz w:val="24"/>
          <w:szCs w:val="24"/>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并达到采购人要</w:t>
      </w:r>
      <w:r>
        <w:rPr>
          <w:rFonts w:hint="eastAsia" w:ascii="宋体" w:hAnsi="宋体" w:eastAsia="宋体" w:cs="宋体"/>
          <w:b w:val="0"/>
          <w:bCs/>
          <w:color w:val="000000" w:themeColor="text1"/>
          <w:sz w:val="24"/>
          <w:szCs w:val="24"/>
          <w:highlight w:val="none"/>
          <w:u w:val="none"/>
          <w:shd w:val="clear" w:color="auto" w:fill="auto"/>
          <w14:textFill>
            <w14:solidFill>
              <w14:schemeClr w14:val="tx1"/>
            </w14:solidFill>
          </w14:textFill>
        </w:rPr>
        <w:t>求</w:t>
      </w:r>
      <w:r>
        <w:rPr>
          <w:rFonts w:hint="eastAsia" w:ascii="宋体" w:hAnsi="宋体" w:cs="宋体"/>
          <w:bCs/>
          <w:color w:val="000000" w:themeColor="text1"/>
          <w:sz w:val="24"/>
          <w:szCs w:val="24"/>
          <w:highlight w:val="none"/>
          <w:u w:val="none"/>
          <w:lang w:eastAsia="zh-CN"/>
          <w14:textFill>
            <w14:solidFill>
              <w14:schemeClr w14:val="tx1"/>
            </w14:solidFill>
          </w14:textFill>
        </w:rPr>
        <w:t>。</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3、我方同意按照</w:t>
      </w:r>
      <w:r>
        <w:rPr>
          <w:rFonts w:hint="eastAsia" w:ascii="宋体" w:hAnsi="宋体" w:cs="宋体"/>
          <w:bCs/>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bCs/>
          <w:color w:val="000000" w:themeColor="text1"/>
          <w:sz w:val="24"/>
          <w:szCs w:val="24"/>
          <w:highlight w:val="none"/>
          <w14:textFill>
            <w14:solidFill>
              <w14:schemeClr w14:val="tx1"/>
            </w14:solidFill>
          </w14:textFill>
        </w:rPr>
        <w:t>的要求，向贵单位缴纳人民币</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元（大写：</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）的投标保证金，并承诺如发生符合“第二章投标人须知”第15.5条的任何情况时，我方将不要求退还投标保证金。</w:t>
      </w:r>
    </w:p>
    <w:p>
      <w:pPr>
        <w:pStyle w:val="15"/>
        <w:spacing w:after="0" w:line="500" w:lineRule="exact"/>
        <w:ind w:left="0" w:leftChars="0"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4、我方提交的投标文件满足</w:t>
      </w:r>
      <w:r>
        <w:rPr>
          <w:rFonts w:hint="eastAsia" w:ascii="宋体" w:hAnsi="宋体" w:cs="宋体"/>
          <w:bCs/>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bCs/>
          <w:color w:val="000000" w:themeColor="text1"/>
          <w:sz w:val="24"/>
          <w:szCs w:val="24"/>
          <w:highlight w:val="none"/>
          <w14:textFill>
            <w14:solidFill>
              <w14:schemeClr w14:val="tx1"/>
            </w14:solidFill>
          </w14:textFill>
        </w:rPr>
        <w:t>实质性要求。</w:t>
      </w:r>
    </w:p>
    <w:p>
      <w:pPr>
        <w:pStyle w:val="15"/>
        <w:spacing w:after="0" w:line="500" w:lineRule="exact"/>
        <w:ind w:left="0" w:leftChars="0"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5、我方愿意提供采购人可能另外要求的，与投标有关的文件资料，并保证我方已提供和将要提供的文件资料是真实、准确的。</w:t>
      </w:r>
    </w:p>
    <w:p>
      <w:pPr>
        <w:pStyle w:val="15"/>
        <w:spacing w:after="0" w:line="500" w:lineRule="exact"/>
        <w:ind w:left="0" w:leftChars="0"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6、我方完全理解采购人不一定将合同授予最低报价的投标人。</w:t>
      </w:r>
    </w:p>
    <w:p>
      <w:pPr>
        <w:pStyle w:val="15"/>
        <w:spacing w:after="0" w:line="500" w:lineRule="exact"/>
        <w:ind w:left="0" w:leftChars="0" w:firstLine="480" w:firstLineChars="200"/>
        <w:jc w:val="center"/>
        <w:rPr>
          <w:rFonts w:hint="eastAsia" w:ascii="宋体" w:hAnsi="宋体" w:eastAsia="宋体" w:cs="宋体"/>
          <w:bCs/>
          <w:color w:val="000000" w:themeColor="text1"/>
          <w:sz w:val="24"/>
          <w:szCs w:val="24"/>
          <w:highlight w:val="none"/>
          <w14:textFill>
            <w14:solidFill>
              <w14:schemeClr w14:val="tx1"/>
            </w14:solidFill>
          </w14:textFill>
        </w:rPr>
      </w:pPr>
    </w:p>
    <w:p>
      <w:pPr>
        <w:pStyle w:val="15"/>
        <w:spacing w:after="0" w:line="50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投标人名称（盖章）：</w:t>
      </w:r>
    </w:p>
    <w:p>
      <w:pPr>
        <w:pStyle w:val="15"/>
        <w:spacing w:after="0" w:line="500" w:lineRule="exact"/>
        <w:ind w:left="0" w:leftChars="0" w:firstLine="480" w:firstLineChars="20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授权人或被授权人（签字或盖章）</w:t>
      </w:r>
      <w:r>
        <w:rPr>
          <w:rFonts w:hint="eastAsia" w:ascii="宋体" w:hAnsi="宋体" w:eastAsia="宋体" w:cs="宋体"/>
          <w:bCs/>
          <w:color w:val="000000" w:themeColor="text1"/>
          <w:sz w:val="24"/>
          <w:szCs w:val="24"/>
          <w:highlight w:val="none"/>
          <w14:textFill>
            <w14:solidFill>
              <w14:schemeClr w14:val="tx1"/>
            </w14:solidFill>
          </w14:textFill>
        </w:rPr>
        <w:t>：</w:t>
      </w:r>
    </w:p>
    <w:p>
      <w:pPr>
        <w:pStyle w:val="15"/>
        <w:spacing w:after="0" w:line="50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通讯地址：</w:t>
      </w:r>
    </w:p>
    <w:p>
      <w:pPr>
        <w:pStyle w:val="15"/>
        <w:spacing w:after="0" w:line="50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联系电话：</w:t>
      </w:r>
    </w:p>
    <w:p>
      <w:pPr>
        <w:pStyle w:val="15"/>
        <w:spacing w:after="0" w:line="50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日    期：</w:t>
      </w:r>
    </w:p>
    <w:p>
      <w:pPr>
        <w:pStyle w:val="39"/>
        <w:spacing w:line="46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p>
    <w:p>
      <w:pPr>
        <w:pStyle w:val="39"/>
        <w:spacing w:line="46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p>
    <w:p>
      <w:pPr>
        <w:pStyle w:val="39"/>
        <w:spacing w:line="46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p>
    <w:p>
      <w:pPr>
        <w:pStyle w:val="39"/>
        <w:spacing w:line="46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p>
    <w:p>
      <w:pPr>
        <w:pStyle w:val="39"/>
        <w:spacing w:line="46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p>
    <w:p>
      <w:pPr>
        <w:pStyle w:val="39"/>
        <w:spacing w:line="460" w:lineRule="exact"/>
        <w:ind w:firstLine="3360" w:firstLineChars="1400"/>
        <w:rPr>
          <w:rFonts w:hint="eastAsia" w:ascii="宋体" w:hAnsi="宋体" w:eastAsia="宋体" w:cs="宋体"/>
          <w:bCs/>
          <w:color w:val="000000" w:themeColor="text1"/>
          <w:sz w:val="24"/>
          <w:szCs w:val="24"/>
          <w:highlight w:val="none"/>
          <w14:textFill>
            <w14:solidFill>
              <w14:schemeClr w14:val="tx1"/>
            </w14:solidFill>
          </w14:textFill>
        </w:rPr>
      </w:pPr>
    </w:p>
    <w:p>
      <w:pPr>
        <w:pStyle w:val="4"/>
        <w:numPr>
          <w:ilvl w:val="0"/>
          <w:numId w:val="5"/>
        </w:numPr>
        <w:spacing w:before="156" w:after="156" w:line="500" w:lineRule="exact"/>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身份证明书及授权委托书</w:t>
      </w:r>
    </w:p>
    <w:p>
      <w:pPr>
        <w:spacing w:line="500" w:lineRule="exact"/>
        <w:ind w:firstLine="482" w:firstLineChars="200"/>
        <w:jc w:val="center"/>
        <w:rPr>
          <w:rFonts w:hint="eastAsia" w:ascii="宋体" w:hAnsi="宋体" w:eastAsia="宋体" w:cs="宋体"/>
          <w:b/>
          <w:bCs/>
          <w:color w:val="000000" w:themeColor="text1"/>
          <w:sz w:val="24"/>
          <w:szCs w:val="24"/>
          <w:highlight w:val="none"/>
          <w14:textFill>
            <w14:solidFill>
              <w14:schemeClr w14:val="tx1"/>
            </w14:solidFill>
          </w14:textFill>
        </w:rPr>
      </w:pPr>
    </w:p>
    <w:p>
      <w:pPr>
        <w:spacing w:line="500" w:lineRule="exact"/>
        <w:ind w:firstLine="482" w:firstLineChars="20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身份证明书（投标人为法人）</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 </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 </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500" w:lineRule="exact"/>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    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 </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身份证号码：</w:t>
      </w:r>
      <w:r>
        <w:rPr>
          <w:rFonts w:hint="eastAsia" w:ascii="宋体" w:hAnsi="宋体" w:eastAsia="宋体" w:cs="宋体"/>
          <w:color w:val="000000" w:themeColor="text1"/>
          <w:sz w:val="24"/>
          <w:szCs w:val="24"/>
          <w:highlight w:val="none"/>
          <w:u w:val="single"/>
          <w14:textFill>
            <w14:solidFill>
              <w14:schemeClr w14:val="tx1"/>
            </w14:solidFill>
          </w14:textFill>
        </w:rPr>
        <w:t xml:space="preserve">                             。 </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的法定代表人，为具有参加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（项目名称）的投标、签署上述投标文件、进行合同谈判、签署合同和处理与之有关的一切事务权利的投标人。 </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特此证明。</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pacing w:line="500" w:lineRule="exact"/>
        <w:ind w:firstLine="482" w:firstLineChars="200"/>
        <w:rPr>
          <w:rFonts w:hint="eastAsia" w:ascii="宋体" w:hAnsi="宋体" w:eastAsia="宋体" w:cs="宋体"/>
          <w:b/>
          <w:bCs/>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附</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法定代表人身份证正反面</w:t>
      </w:r>
      <w:r>
        <w:rPr>
          <w:rFonts w:hint="eastAsia" w:ascii="宋体" w:hAnsi="宋体" w:cs="宋体"/>
          <w:b/>
          <w:bCs/>
          <w:color w:val="000000" w:themeColor="text1"/>
          <w:sz w:val="24"/>
          <w:szCs w:val="24"/>
          <w:highlight w:val="none"/>
          <w:lang w:eastAsia="zh-CN"/>
          <w14:textFill>
            <w14:solidFill>
              <w14:schemeClr w14:val="tx1"/>
            </w14:solidFill>
          </w14:textFill>
        </w:rPr>
        <w:t>复印件</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投标人名称（盖章）：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   期：  </w:t>
      </w:r>
      <w:r>
        <w:rPr>
          <w:rFonts w:hint="eastAsia" w:ascii="宋体" w:hAnsi="宋体" w:eastAsia="宋体" w:cs="宋体"/>
          <w:bCs/>
          <w:color w:val="000000" w:themeColor="text1"/>
          <w:sz w:val="24"/>
          <w:szCs w:val="24"/>
          <w:highlight w:val="none"/>
          <w14:textFill>
            <w14:solidFill>
              <w14:schemeClr w14:val="tx1"/>
            </w14:solidFill>
          </w14:textFill>
        </w:rPr>
        <w:t>年   月   日</w:t>
      </w:r>
    </w:p>
    <w:p>
      <w:pPr>
        <w:snapToGrid w:val="0"/>
        <w:spacing w:line="500" w:lineRule="exact"/>
        <w:ind w:firstLine="482" w:firstLineChars="200"/>
        <w:jc w:val="center"/>
        <w:rPr>
          <w:rFonts w:hint="eastAsia" w:ascii="宋体" w:hAnsi="宋体" w:eastAsia="宋体" w:cs="宋体"/>
          <w:b/>
          <w:bCs/>
          <w:color w:val="000000" w:themeColor="text1"/>
          <w:sz w:val="24"/>
          <w:szCs w:val="24"/>
          <w:highlight w:val="none"/>
          <w14:textFill>
            <w14:solidFill>
              <w14:schemeClr w14:val="tx1"/>
            </w14:solidFill>
          </w14:textFill>
        </w:rPr>
      </w:pPr>
    </w:p>
    <w:p>
      <w:pPr>
        <w:pStyle w:val="11"/>
        <w:rPr>
          <w:rFonts w:hint="eastAsia" w:ascii="宋体" w:hAnsi="宋体" w:eastAsia="宋体" w:cs="宋体"/>
          <w:b/>
          <w:bCs/>
          <w:color w:val="000000" w:themeColor="text1"/>
          <w:sz w:val="24"/>
          <w:szCs w:val="24"/>
          <w:highlight w:val="none"/>
          <w14:textFill>
            <w14:solidFill>
              <w14:schemeClr w14:val="tx1"/>
            </w14:solidFill>
          </w14:textFill>
        </w:rPr>
      </w:pPr>
    </w:p>
    <w:p>
      <w:pPr>
        <w:spacing w:line="500" w:lineRule="exact"/>
        <w:ind w:firstLine="482" w:firstLineChars="200"/>
        <w:jc w:val="center"/>
        <w:rPr>
          <w:rFonts w:hint="eastAsia" w:ascii="宋体" w:hAnsi="宋体" w:eastAsia="宋体" w:cs="宋体"/>
          <w:b/>
          <w:bCs/>
          <w:color w:val="000000" w:themeColor="text1"/>
          <w:sz w:val="24"/>
          <w:szCs w:val="24"/>
          <w:highlight w:val="none"/>
          <w14:textFill>
            <w14:solidFill>
              <w14:schemeClr w14:val="tx1"/>
            </w14:solidFill>
          </w14:textFill>
        </w:rPr>
      </w:pPr>
    </w:p>
    <w:p>
      <w:pPr>
        <w:snapToGrid w:val="0"/>
        <w:spacing w:line="500" w:lineRule="exact"/>
        <w:ind w:firstLine="482" w:firstLineChars="20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r>
        <w:rPr>
          <w:rFonts w:hint="eastAsia" w:ascii="宋体" w:hAnsi="宋体" w:eastAsia="宋体" w:cs="宋体"/>
          <w:b/>
          <w:bCs/>
          <w:color w:val="000000" w:themeColor="text1"/>
          <w:sz w:val="24"/>
          <w:szCs w:val="24"/>
          <w:highlight w:val="none"/>
          <w14:textFill>
            <w14:solidFill>
              <w14:schemeClr w14:val="tx1"/>
            </w14:solidFill>
          </w14:textFill>
        </w:rPr>
        <w:t>身份证明书（投标人为非法人）</w:t>
      </w:r>
    </w:p>
    <w:p>
      <w:pPr>
        <w:keepNext/>
        <w:keepLines/>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500" w:lineRule="exact"/>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    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       </w:t>
      </w:r>
    </w:p>
    <w:p>
      <w:pPr>
        <w:snapToGrid w:val="0"/>
        <w:spacing w:line="500" w:lineRule="exact"/>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身份证号码：</w:t>
      </w:r>
      <w:r>
        <w:rPr>
          <w:rFonts w:hint="eastAsia" w:ascii="宋体" w:hAnsi="宋体" w:eastAsia="宋体" w:cs="宋体"/>
          <w:color w:val="000000" w:themeColor="text1"/>
          <w:sz w:val="24"/>
          <w:szCs w:val="24"/>
          <w:highlight w:val="none"/>
          <w:u w:val="single"/>
          <w14:textFill>
            <w14:solidFill>
              <w14:schemeClr w14:val="tx1"/>
            </w14:solidFill>
          </w14:textFill>
        </w:rPr>
        <w:t xml:space="preserve">                              。                                           </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为具有参加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（项目名称）的投标、签署上述投标文件、进行合同谈判、签署合同和处理与之有关的一切事务权利的投标人。 </w:t>
      </w:r>
    </w:p>
    <w:p>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特此证明。</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napToGrid w:val="0"/>
        <w:spacing w:line="500" w:lineRule="exact"/>
        <w:ind w:firstLine="482" w:firstLineChars="200"/>
        <w:rPr>
          <w:rFonts w:hint="eastAsia" w:ascii="宋体" w:hAnsi="宋体" w:eastAsia="宋体" w:cs="宋体"/>
          <w:b/>
          <w:bCs/>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附</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身份证正反面</w:t>
      </w:r>
      <w:r>
        <w:rPr>
          <w:rFonts w:hint="eastAsia" w:ascii="宋体" w:hAnsi="宋体" w:cs="宋体"/>
          <w:b/>
          <w:bCs/>
          <w:color w:val="000000" w:themeColor="text1"/>
          <w:sz w:val="24"/>
          <w:szCs w:val="24"/>
          <w:highlight w:val="none"/>
          <w:lang w:eastAsia="zh-CN"/>
          <w14:textFill>
            <w14:solidFill>
              <w14:schemeClr w14:val="tx1"/>
            </w14:solidFill>
          </w14:textFill>
        </w:rPr>
        <w:t>复印件</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投标人（签字或盖章）：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   期：  </w:t>
      </w:r>
      <w:r>
        <w:rPr>
          <w:rFonts w:hint="eastAsia" w:ascii="宋体" w:hAnsi="宋体" w:eastAsia="宋体" w:cs="宋体"/>
          <w:bCs/>
          <w:color w:val="000000" w:themeColor="text1"/>
          <w:sz w:val="24"/>
          <w:szCs w:val="24"/>
          <w:highlight w:val="none"/>
          <w14:textFill>
            <w14:solidFill>
              <w14:schemeClr w14:val="tx1"/>
            </w14:solidFill>
          </w14:textFill>
        </w:rPr>
        <w:t>年   月   日</w:t>
      </w:r>
    </w:p>
    <w:p>
      <w:pPr>
        <w:pStyle w:val="11"/>
        <w:rPr>
          <w:rFonts w:hint="eastAsia" w:ascii="宋体" w:hAnsi="宋体" w:eastAsia="宋体" w:cs="宋体"/>
          <w:b/>
          <w:bCs/>
          <w:color w:val="000000" w:themeColor="text1"/>
          <w:sz w:val="24"/>
          <w:szCs w:val="24"/>
          <w:highlight w:val="none"/>
          <w14:textFill>
            <w14:solidFill>
              <w14:schemeClr w14:val="tx1"/>
            </w14:solidFill>
          </w14:textFill>
        </w:rPr>
      </w:pPr>
    </w:p>
    <w:p>
      <w:pPr>
        <w:pStyle w:val="11"/>
        <w:rPr>
          <w:rFonts w:hint="eastAsia" w:ascii="宋体" w:hAnsi="宋体" w:eastAsia="宋体" w:cs="宋体"/>
          <w:b/>
          <w:bCs/>
          <w:color w:val="000000" w:themeColor="text1"/>
          <w:sz w:val="24"/>
          <w:szCs w:val="24"/>
          <w:highlight w:val="none"/>
          <w14:textFill>
            <w14:solidFill>
              <w14:schemeClr w14:val="tx1"/>
            </w14:solidFill>
          </w14:textFill>
        </w:rPr>
      </w:pPr>
    </w:p>
    <w:p>
      <w:pPr>
        <w:pStyle w:val="11"/>
        <w:rPr>
          <w:rFonts w:hint="eastAsia" w:ascii="宋体" w:hAnsi="宋体" w:eastAsia="宋体" w:cs="宋体"/>
          <w:b/>
          <w:bCs/>
          <w:color w:val="000000" w:themeColor="text1"/>
          <w:sz w:val="24"/>
          <w:szCs w:val="24"/>
          <w:highlight w:val="none"/>
          <w14:textFill>
            <w14:solidFill>
              <w14:schemeClr w14:val="tx1"/>
            </w14:solidFill>
          </w14:textFill>
        </w:rPr>
      </w:pPr>
    </w:p>
    <w:p>
      <w:pPr>
        <w:pStyle w:val="11"/>
        <w:rPr>
          <w:rFonts w:hint="eastAsia" w:ascii="宋体" w:hAnsi="宋体" w:eastAsia="宋体" w:cs="宋体"/>
          <w:b/>
          <w:bCs/>
          <w:color w:val="000000" w:themeColor="text1"/>
          <w:sz w:val="24"/>
          <w:szCs w:val="24"/>
          <w:highlight w:val="none"/>
          <w14:textFill>
            <w14:solidFill>
              <w14:schemeClr w14:val="tx1"/>
            </w14:solidFill>
          </w14:textFill>
        </w:rPr>
      </w:pPr>
    </w:p>
    <w:p>
      <w:pPr>
        <w:pStyle w:val="11"/>
        <w:rPr>
          <w:rFonts w:hint="eastAsia" w:ascii="宋体" w:hAnsi="宋体" w:eastAsia="宋体" w:cs="宋体"/>
          <w:b/>
          <w:bCs/>
          <w:color w:val="000000" w:themeColor="text1"/>
          <w:sz w:val="24"/>
          <w:szCs w:val="24"/>
          <w:highlight w:val="none"/>
          <w14:textFill>
            <w14:solidFill>
              <w14:schemeClr w14:val="tx1"/>
            </w14:solidFill>
          </w14:textFill>
        </w:rPr>
      </w:pPr>
    </w:p>
    <w:p>
      <w:pPr>
        <w:spacing w:line="500" w:lineRule="exact"/>
        <w:ind w:firstLine="482" w:firstLineChars="20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r>
        <w:rPr>
          <w:rFonts w:hint="eastAsia" w:ascii="宋体" w:hAnsi="宋体" w:eastAsia="宋体" w:cs="宋体"/>
          <w:b/>
          <w:bCs/>
          <w:color w:val="000000" w:themeColor="text1"/>
          <w:sz w:val="24"/>
          <w:szCs w:val="24"/>
          <w:highlight w:val="none"/>
          <w14:textFill>
            <w14:solidFill>
              <w14:schemeClr w14:val="tx1"/>
            </w14:solidFill>
          </w14:textFill>
        </w:rPr>
        <w:t>法定代表人授权委托书（投标人为法人）</w:t>
      </w:r>
    </w:p>
    <w:p>
      <w:pPr>
        <w:pStyle w:val="27"/>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__________________（</w:t>
      </w:r>
      <w:r>
        <w:rPr>
          <w:rFonts w:hint="eastAsia" w:ascii="宋体" w:hAnsi="宋体" w:eastAsia="宋体" w:cs="宋体"/>
          <w:bCs/>
          <w:color w:val="000000" w:themeColor="text1"/>
          <w:sz w:val="24"/>
          <w:szCs w:val="24"/>
          <w:highlight w:val="none"/>
          <w14:textFill>
            <w14:solidFill>
              <w14:schemeClr w14:val="tx1"/>
            </w14:solidFill>
          </w14:textFill>
        </w:rPr>
        <w:t>采购人</w:t>
      </w:r>
      <w:r>
        <w:rPr>
          <w:rFonts w:hint="eastAsia" w:ascii="宋体" w:hAnsi="宋体" w:eastAsia="宋体" w:cs="宋体"/>
          <w:color w:val="000000" w:themeColor="text1"/>
          <w:sz w:val="24"/>
          <w:szCs w:val="24"/>
          <w:highlight w:val="none"/>
          <w14:textFill>
            <w14:solidFill>
              <w14:schemeClr w14:val="tx1"/>
            </w14:solidFill>
          </w14:textFill>
        </w:rPr>
        <w:t>）：</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本授权声明：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（投标人名称）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（法定代表人姓名、职务）授权</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（被授权人姓名、职务）为我方 “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（项目名称、项目编号）</w:t>
      </w:r>
      <w:r>
        <w:rPr>
          <w:rFonts w:hint="eastAsia" w:ascii="宋体" w:hAnsi="宋体" w:eastAsia="宋体" w:cs="宋体"/>
          <w:color w:val="000000" w:themeColor="text1"/>
          <w:sz w:val="24"/>
          <w:szCs w:val="24"/>
          <w:highlight w:val="none"/>
          <w14:textFill>
            <w14:solidFill>
              <w14:schemeClr w14:val="tx1"/>
            </w14:solidFill>
          </w14:textFill>
        </w:rPr>
        <w:t>” 项目投标活动的合法代表，以我方名义全权处理该项目有关投标、签订合同以及执行合同等一切事宜。</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sz w:val="24"/>
          <w:szCs w:val="24"/>
          <w:highlight w:val="none"/>
          <w14:textFill>
            <w14:solidFill>
              <w14:schemeClr w14:val="tx1"/>
            </w14:solidFill>
          </w14:textFill>
        </w:rPr>
        <w:t>无权转让本授权，特此声明。</w:t>
      </w:r>
    </w:p>
    <w:p>
      <w:pPr>
        <w:spacing w:line="50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附：法定代表人及被授权人身份证正反面</w:t>
      </w:r>
      <w:r>
        <w:rPr>
          <w:rFonts w:hint="eastAsia" w:ascii="宋体" w:hAnsi="宋体" w:cs="宋体"/>
          <w:color w:val="000000" w:themeColor="text1"/>
          <w:sz w:val="24"/>
          <w:szCs w:val="24"/>
          <w:highlight w:val="none"/>
          <w:lang w:eastAsia="zh-CN"/>
          <w14:textFill>
            <w14:solidFill>
              <w14:schemeClr w14:val="tx1"/>
            </w14:solidFill>
          </w14:textFill>
        </w:rPr>
        <w:t>复印件</w:t>
      </w:r>
    </w:p>
    <w:p>
      <w:pPr>
        <w:pStyle w:val="27"/>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法定代表人（签字或盖章）：</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被授权人（签字）：</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投标人名称（盖章）：   </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    期：  年   月   日</w:t>
      </w:r>
    </w:p>
    <w:p>
      <w:pPr>
        <w:spacing w:line="500" w:lineRule="exact"/>
        <w:ind w:firstLine="480" w:firstLineChars="20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
          <w:bCs/>
          <w:color w:val="000000" w:themeColor="text1"/>
          <w:sz w:val="24"/>
          <w:szCs w:val="24"/>
          <w:highlight w:val="none"/>
          <w14:textFill>
            <w14:solidFill>
              <w14:schemeClr w14:val="tx1"/>
            </w14:solidFill>
          </w14:textFill>
        </w:rPr>
        <w:t>授权委托书（投标人为非法人）</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__________________（</w:t>
      </w:r>
      <w:r>
        <w:rPr>
          <w:rFonts w:hint="eastAsia" w:ascii="宋体" w:hAnsi="宋体" w:eastAsia="宋体" w:cs="宋体"/>
          <w:bCs/>
          <w:color w:val="000000" w:themeColor="text1"/>
          <w:sz w:val="24"/>
          <w:szCs w:val="24"/>
          <w:highlight w:val="none"/>
          <w14:textFill>
            <w14:solidFill>
              <w14:schemeClr w14:val="tx1"/>
            </w14:solidFill>
          </w14:textFill>
        </w:rPr>
        <w:t>采购人</w:t>
      </w:r>
      <w:r>
        <w:rPr>
          <w:rFonts w:hint="eastAsia" w:ascii="宋体" w:hAnsi="宋体" w:eastAsia="宋体" w:cs="宋体"/>
          <w:color w:val="000000" w:themeColor="text1"/>
          <w:sz w:val="24"/>
          <w:szCs w:val="24"/>
          <w:highlight w:val="none"/>
          <w14:textFill>
            <w14:solidFill>
              <w14:schemeClr w14:val="tx1"/>
            </w14:solidFill>
          </w14:textFill>
        </w:rPr>
        <w:t>）：</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本授权声明：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（投标人名称）授权</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（被授权人姓名、职务）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为我方 “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（项目名称、项目编号）</w:t>
      </w:r>
      <w:r>
        <w:rPr>
          <w:rFonts w:hint="eastAsia" w:ascii="宋体" w:hAnsi="宋体" w:eastAsia="宋体" w:cs="宋体"/>
          <w:color w:val="000000" w:themeColor="text1"/>
          <w:sz w:val="24"/>
          <w:szCs w:val="24"/>
          <w:highlight w:val="none"/>
          <w14:textFill>
            <w14:solidFill>
              <w14:schemeClr w14:val="tx1"/>
            </w14:solidFill>
          </w14:textFill>
        </w:rPr>
        <w:t>” 项目投标活动的合法代表，以我方名义全权处理该项目有关投标、签订合同以及执行合同等一切事宜。</w:t>
      </w: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sz w:val="24"/>
          <w:szCs w:val="24"/>
          <w:highlight w:val="none"/>
          <w14:textFill>
            <w14:solidFill>
              <w14:schemeClr w14:val="tx1"/>
            </w14:solidFill>
          </w14:textFill>
        </w:rPr>
        <w:t>无权转让本授权，特此声明。</w:t>
      </w:r>
    </w:p>
    <w:p>
      <w:pPr>
        <w:spacing w:line="50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附：授权人及被授权人身份证正反面</w:t>
      </w:r>
      <w:r>
        <w:rPr>
          <w:rFonts w:hint="eastAsia" w:ascii="宋体" w:hAnsi="宋体" w:cs="宋体"/>
          <w:color w:val="000000" w:themeColor="text1"/>
          <w:sz w:val="24"/>
          <w:szCs w:val="24"/>
          <w:highlight w:val="none"/>
          <w:lang w:eastAsia="zh-CN"/>
          <w14:textFill>
            <w14:solidFill>
              <w14:schemeClr w14:val="tx1"/>
            </w14:solidFill>
          </w14:textFill>
        </w:rPr>
        <w:t>复印件</w:t>
      </w:r>
    </w:p>
    <w:p>
      <w:pPr>
        <w:pStyle w:val="27"/>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授权人（签字或盖章）：</w:t>
      </w:r>
    </w:p>
    <w:p>
      <w:pPr>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被授权人（签字）：   </w:t>
      </w:r>
    </w:p>
    <w:p>
      <w:pPr>
        <w:pStyle w:val="11"/>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    期：   年   月   日</w:t>
      </w:r>
    </w:p>
    <w:p>
      <w:pPr>
        <w:keepNext/>
        <w:keepLines/>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482" w:firstLineChars="200"/>
        <w:jc w:val="center"/>
        <w:outlineLvl w:val="1"/>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r>
        <w:rPr>
          <w:rFonts w:hint="eastAsia" w:ascii="宋体" w:hAnsi="宋体" w:eastAsia="宋体" w:cs="宋体"/>
          <w:b/>
          <w:bCs/>
          <w:color w:val="000000" w:themeColor="text1"/>
          <w:sz w:val="24"/>
          <w:szCs w:val="24"/>
          <w:highlight w:val="none"/>
          <w14:textFill>
            <w14:solidFill>
              <w14:schemeClr w14:val="tx1"/>
            </w14:solidFill>
          </w14:textFill>
        </w:rPr>
        <w:t>三、投标报价明细表</w:t>
      </w:r>
    </w:p>
    <w:p>
      <w:pPr>
        <w:spacing w:line="500" w:lineRule="exact"/>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 xml:space="preserve">项目名称：                                     </w:t>
      </w:r>
    </w:p>
    <w:p>
      <w:pPr>
        <w:spacing w:line="500" w:lineRule="exact"/>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货币单位：人民币元</w:t>
      </w:r>
    </w:p>
    <w:p>
      <w:pPr>
        <w:pStyle w:val="11"/>
        <w:rPr>
          <w:rFonts w:hint="eastAsia"/>
          <w:color w:val="000000" w:themeColor="text1"/>
          <w:highlight w:val="none"/>
          <w14:textFill>
            <w14:solidFill>
              <w14:schemeClr w14:val="tx1"/>
            </w14:solidFill>
          </w14:textFill>
        </w:rPr>
      </w:pPr>
    </w:p>
    <w:tbl>
      <w:tblPr>
        <w:tblStyle w:val="28"/>
        <w:tblW w:w="9230" w:type="dxa"/>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295"/>
        <w:gridCol w:w="1419"/>
        <w:gridCol w:w="1293"/>
        <w:gridCol w:w="1477"/>
        <w:gridCol w:w="1130"/>
        <w:gridCol w:w="1006"/>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r>
              <w:rPr>
                <w:rFonts w:hint="eastAsia" w:ascii="宋体" w:hAnsi="宋体" w:eastAsia="宋体" w:cs="宋体"/>
                <w:color w:val="000000" w:themeColor="text1"/>
                <w:sz w:val="24"/>
                <w:highlight w:val="none"/>
                <w:lang w:bidi="ar-SA"/>
                <w14:textFill>
                  <w14:solidFill>
                    <w14:schemeClr w14:val="tx1"/>
                  </w14:solidFill>
                </w14:textFill>
              </w:rPr>
              <w:t>序号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r>
              <w:rPr>
                <w:rFonts w:hint="eastAsia" w:ascii="宋体" w:hAnsi="宋体" w:eastAsia="宋体" w:cs="宋体"/>
                <w:color w:val="000000" w:themeColor="text1"/>
                <w:sz w:val="24"/>
                <w:highlight w:val="none"/>
                <w:lang w:bidi="ar-SA"/>
                <w14:textFill>
                  <w14:solidFill>
                    <w14:schemeClr w14:val="tx1"/>
                  </w14:solidFill>
                </w14:textFill>
              </w:rPr>
              <w:t>名称</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000000" w:themeColor="text1"/>
                <w:sz w:val="24"/>
                <w:highlight w:val="none"/>
                <w:lang w:bidi="ar-SA"/>
                <w14:textFill>
                  <w14:solidFill>
                    <w14:schemeClr w14:val="tx1"/>
                  </w14:solidFill>
                </w14:textFill>
              </w:rPr>
            </w:pPr>
            <w:r>
              <w:rPr>
                <w:rFonts w:hint="eastAsia" w:ascii="宋体" w:hAnsi="宋体" w:eastAsia="宋体" w:cs="宋体"/>
                <w:color w:val="000000" w:themeColor="text1"/>
                <w:sz w:val="24"/>
                <w:highlight w:val="none"/>
                <w:lang w:bidi="ar-SA"/>
                <w14:textFill>
                  <w14:solidFill>
                    <w14:schemeClr w14:val="tx1"/>
                  </w14:solidFill>
                </w14:textFill>
              </w:rPr>
              <w:t>规格和型号</w:t>
            </w:r>
          </w:p>
        </w:tc>
        <w:tc>
          <w:tcPr>
            <w:tcW w:w="12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r>
              <w:rPr>
                <w:rFonts w:hint="eastAsia" w:ascii="宋体" w:hAnsi="宋体" w:eastAsia="宋体" w:cs="宋体"/>
                <w:color w:val="000000" w:themeColor="text1"/>
                <w:sz w:val="24"/>
                <w:highlight w:val="none"/>
                <w:lang w:bidi="ar-SA"/>
                <w14:textFill>
                  <w14:solidFill>
                    <w14:schemeClr w14:val="tx1"/>
                  </w14:solidFill>
                </w14:textFill>
              </w:rPr>
              <w:t>品牌</w:t>
            </w:r>
          </w:p>
        </w:tc>
        <w:tc>
          <w:tcPr>
            <w:tcW w:w="14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r>
              <w:rPr>
                <w:rFonts w:hint="eastAsia" w:ascii="宋体" w:hAnsi="宋体" w:eastAsia="宋体" w:cs="宋体"/>
                <w:color w:val="000000" w:themeColor="text1"/>
                <w:sz w:val="24"/>
                <w:highlight w:val="none"/>
                <w:lang w:bidi="ar-SA"/>
                <w14:textFill>
                  <w14:solidFill>
                    <w14:schemeClr w14:val="tx1"/>
                  </w14:solidFill>
                </w14:textFill>
              </w:rPr>
              <w:t>数量</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r>
              <w:rPr>
                <w:rFonts w:hint="eastAsia" w:ascii="宋体" w:hAnsi="宋体" w:eastAsia="宋体" w:cs="宋体"/>
                <w:color w:val="000000" w:themeColor="text1"/>
                <w:sz w:val="24"/>
                <w:highlight w:val="none"/>
                <w:lang w:bidi="ar-SA"/>
                <w14:textFill>
                  <w14:solidFill>
                    <w14:schemeClr w14:val="tx1"/>
                  </w14:solidFill>
                </w14:textFill>
              </w:rPr>
              <w:t>单价</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r>
              <w:rPr>
                <w:rFonts w:hint="eastAsia" w:ascii="宋体" w:hAnsi="宋体" w:eastAsia="宋体" w:cs="宋体"/>
                <w:color w:val="000000" w:themeColor="text1"/>
                <w:sz w:val="24"/>
                <w:highlight w:val="none"/>
                <w:lang w:bidi="ar-SA"/>
                <w14:textFill>
                  <w14:solidFill>
                    <w14:schemeClr w14:val="tx1"/>
                  </w14:solidFill>
                </w14:textFill>
              </w:rPr>
              <w:t>总价</w:t>
            </w: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r>
              <w:rPr>
                <w:rFonts w:hint="eastAsia" w:ascii="宋体" w:hAnsi="宋体" w:eastAsia="宋体" w:cs="宋体"/>
                <w:color w:val="000000" w:themeColor="text1"/>
                <w:sz w:val="24"/>
                <w:highlight w:val="none"/>
                <w:lang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1</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2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4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00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2</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2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4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00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3</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2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4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00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000000" w:themeColor="text1"/>
                <w:sz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2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4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100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06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themeColor="text1"/>
                <w:sz w:val="24"/>
                <w:highlight w:val="none"/>
                <w:lang w:eastAsia="zh-CN" w:bidi="ar-SA"/>
                <w14:textFill>
                  <w14:solidFill>
                    <w14:schemeClr w14:val="tx1"/>
                  </w14:solidFill>
                </w14:textFill>
              </w:rPr>
            </w:pPr>
            <w:r>
              <w:rPr>
                <w:rFonts w:hint="eastAsia" w:ascii="宋体" w:hAnsi="宋体" w:eastAsia="宋体" w:cs="宋体"/>
                <w:color w:val="000000" w:themeColor="text1"/>
                <w:sz w:val="24"/>
                <w:highlight w:val="none"/>
                <w:lang w:eastAsia="zh-CN" w:bidi="ar-SA"/>
                <w14:textFill>
                  <w14:solidFill>
                    <w14:schemeClr w14:val="tx1"/>
                  </w14:solidFill>
                </w14:textFill>
              </w:rPr>
              <w:t>总投标报价</w:t>
            </w:r>
          </w:p>
        </w:tc>
        <w:tc>
          <w:tcPr>
            <w:tcW w:w="7165" w:type="dxa"/>
            <w:gridSpan w:val="6"/>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000000" w:themeColor="text1"/>
                <w:sz w:val="24"/>
                <w:highlight w:val="none"/>
                <w:lang w:bidi="ar-SA"/>
                <w14:textFill>
                  <w14:solidFill>
                    <w14:schemeClr w14:val="tx1"/>
                  </w14:solidFill>
                </w14:textFill>
              </w:rPr>
            </w:pPr>
          </w:p>
        </w:tc>
      </w:tr>
    </w:tbl>
    <w:p>
      <w:pPr>
        <w:spacing w:line="500" w:lineRule="exact"/>
        <w:jc w:val="left"/>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p>
      <w:pPr>
        <w:spacing w:line="50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w:t>
      </w:r>
      <w:r>
        <w:rPr>
          <w:rFonts w:hint="eastAsia" w:ascii="宋体" w:hAnsi="宋体" w:cs="宋体"/>
          <w:color w:val="000000" w:themeColor="text1"/>
          <w:kern w:val="0"/>
          <w:sz w:val="24"/>
          <w:highlight w:val="none"/>
          <w14:textFill>
            <w14:solidFill>
              <w14:schemeClr w14:val="tx1"/>
            </w14:solidFill>
          </w14:textFill>
        </w:rPr>
        <w:t>项目</w:t>
      </w:r>
      <w:r>
        <w:rPr>
          <w:rFonts w:hint="eastAsia" w:ascii="宋体" w:hAnsi="宋体" w:cs="宋体"/>
          <w:color w:val="000000" w:themeColor="text1"/>
          <w:sz w:val="24"/>
          <w:highlight w:val="none"/>
          <w14:textFill>
            <w14:solidFill>
              <w14:schemeClr w14:val="tx1"/>
            </w14:solidFill>
          </w14:textFill>
        </w:rPr>
        <w:t>和数量满足本项目招标范围，内容由投标人结合自身情况填写。</w:t>
      </w:r>
    </w:p>
    <w:p>
      <w:pPr>
        <w:spacing w:line="500" w:lineRule="exact"/>
        <w:jc w:val="left"/>
        <w:rPr>
          <w:rFonts w:ascii="宋体" w:hAnsi="宋体" w:cs="宋体"/>
          <w:strike/>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2、投标人填报价格总价应与投标函载明价格一致，若不一致，以投标函为准。</w:t>
      </w:r>
    </w:p>
    <w:p>
      <w:pPr>
        <w:spacing w:line="500" w:lineRule="exact"/>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3、投标报价包含货物到达采购人指定地点的全部费用，报价包括项目实施所需</w:t>
      </w:r>
    </w:p>
    <w:p>
      <w:pPr>
        <w:spacing w:line="50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的货物费、安装费、包装运输费、装卸费、管理费、利润、税费及其他一切费用。</w:t>
      </w:r>
    </w:p>
    <w:p>
      <w:pPr>
        <w:spacing w:line="500" w:lineRule="exact"/>
        <w:rPr>
          <w:rFonts w:hint="eastAsia" w:ascii="宋体" w:hAnsi="宋体" w:eastAsia="宋体" w:cs="宋体"/>
          <w:color w:val="000000" w:themeColor="text1"/>
          <w:sz w:val="24"/>
          <w:szCs w:val="24"/>
          <w:highlight w:val="none"/>
          <w14:textFill>
            <w14:solidFill>
              <w14:schemeClr w14:val="tx1"/>
            </w14:solidFill>
          </w14:textFill>
        </w:rPr>
      </w:pPr>
    </w:p>
    <w:p>
      <w:pPr>
        <w:pStyle w:val="11"/>
        <w:rPr>
          <w:rFonts w:hint="eastAsia"/>
          <w:color w:val="000000" w:themeColor="text1"/>
          <w:highlight w:val="none"/>
          <w14:textFill>
            <w14:solidFill>
              <w14:schemeClr w14:val="tx1"/>
            </w14:solidFill>
          </w14:textFill>
        </w:rPr>
      </w:pPr>
    </w:p>
    <w:p>
      <w:pPr>
        <w:adjustRightInd w:val="0"/>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投标人名称（盖章）：         </w:t>
      </w:r>
    </w:p>
    <w:p>
      <w:pPr>
        <w:adjustRightInd w:val="0"/>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授权人或被授权人（签字或盖章）</w:t>
      </w:r>
      <w:r>
        <w:rPr>
          <w:rFonts w:hint="eastAsia" w:ascii="宋体" w:hAnsi="宋体" w:eastAsia="宋体" w:cs="宋体"/>
          <w:bCs/>
          <w:color w:val="000000" w:themeColor="text1"/>
          <w:sz w:val="24"/>
          <w:szCs w:val="24"/>
          <w:highlight w:val="none"/>
          <w14:textFill>
            <w14:solidFill>
              <w14:schemeClr w14:val="tx1"/>
            </w14:solidFill>
          </w14:textFill>
        </w:rPr>
        <w:t>：</w:t>
      </w:r>
    </w:p>
    <w:p>
      <w:pPr>
        <w:adjustRightInd w:val="0"/>
        <w:spacing w:line="5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    期：   年   月   日</w:t>
      </w:r>
    </w:p>
    <w:p>
      <w:pPr>
        <w:spacing w:line="500" w:lineRule="exact"/>
        <w:jc w:val="left"/>
        <w:rPr>
          <w:rFonts w:hint="eastAsia" w:ascii="宋体" w:hAnsi="宋体" w:cs="宋体"/>
          <w:color w:val="000000" w:themeColor="text1"/>
          <w:sz w:val="24"/>
          <w:szCs w:val="24"/>
          <w:highlight w:val="none"/>
          <w:lang w:eastAsia="zh-CN"/>
          <w14:textFill>
            <w14:solidFill>
              <w14:schemeClr w14:val="tx1"/>
            </w14:solidFill>
          </w14:textFill>
        </w:rPr>
      </w:pPr>
    </w:p>
    <w:p>
      <w:pPr>
        <w:spacing w:line="500" w:lineRule="exact"/>
        <w:jc w:val="left"/>
        <w:rPr>
          <w:rFonts w:hint="eastAsia" w:ascii="宋体" w:hAnsi="宋体" w:cs="宋体"/>
          <w:color w:val="000000" w:themeColor="text1"/>
          <w:sz w:val="24"/>
          <w:szCs w:val="24"/>
          <w:highlight w:val="none"/>
          <w:lang w:eastAsia="zh-CN"/>
          <w14:textFill>
            <w14:solidFill>
              <w14:schemeClr w14:val="tx1"/>
            </w14:solidFill>
          </w14:textFill>
        </w:rPr>
      </w:pPr>
    </w:p>
    <w:p>
      <w:pPr>
        <w:spacing w:line="500" w:lineRule="exact"/>
        <w:jc w:val="left"/>
        <w:rPr>
          <w:rFonts w:hint="eastAsia" w:ascii="宋体" w:hAnsi="宋体" w:cs="宋体"/>
          <w:color w:val="000000" w:themeColor="text1"/>
          <w:sz w:val="24"/>
          <w:szCs w:val="24"/>
          <w:highlight w:val="none"/>
          <w:lang w:eastAsia="zh-CN"/>
          <w14:textFill>
            <w14:solidFill>
              <w14:schemeClr w14:val="tx1"/>
            </w14:solidFill>
          </w14:textFill>
        </w:rPr>
      </w:pPr>
    </w:p>
    <w:p>
      <w:pPr>
        <w:spacing w:line="500" w:lineRule="exact"/>
        <w:jc w:val="left"/>
        <w:rPr>
          <w:rFonts w:hint="eastAsia" w:ascii="宋体" w:hAnsi="宋体" w:cs="宋体"/>
          <w:color w:val="000000" w:themeColor="text1"/>
          <w:sz w:val="24"/>
          <w:szCs w:val="24"/>
          <w:highlight w:val="none"/>
          <w:lang w:eastAsia="zh-CN"/>
          <w14:textFill>
            <w14:solidFill>
              <w14:schemeClr w14:val="tx1"/>
            </w14:solidFill>
          </w14:textFill>
        </w:rPr>
      </w:pPr>
    </w:p>
    <w:p>
      <w:pPr>
        <w:spacing w:line="500" w:lineRule="exact"/>
        <w:jc w:val="left"/>
        <w:rPr>
          <w:rFonts w:hint="eastAsia" w:ascii="宋体" w:hAnsi="宋体" w:cs="宋体"/>
          <w:color w:val="000000" w:themeColor="text1"/>
          <w:sz w:val="24"/>
          <w:szCs w:val="24"/>
          <w:highlight w:val="none"/>
          <w:lang w:eastAsia="zh-CN"/>
          <w14:textFill>
            <w14:solidFill>
              <w14:schemeClr w14:val="tx1"/>
            </w14:solidFill>
          </w14:textFill>
        </w:rPr>
      </w:pPr>
    </w:p>
    <w:p>
      <w:pPr>
        <w:pStyle w:val="4"/>
        <w:spacing w:before="156" w:after="156" w:line="320" w:lineRule="exact"/>
        <w:ind w:firstLine="482" w:firstLineChars="200"/>
        <w:rPr>
          <w:rFonts w:hint="eastAsia" w:ascii="宋体" w:hAnsi="宋体" w:eastAsia="宋体" w:cs="宋体"/>
          <w:bCs w:val="0"/>
          <w:color w:val="000000" w:themeColor="text1"/>
          <w:kern w:val="0"/>
          <w:sz w:val="24"/>
          <w:szCs w:val="24"/>
          <w:highlight w:val="none"/>
          <w14:textFill>
            <w14:solidFill>
              <w14:schemeClr w14:val="tx1"/>
            </w14:solidFill>
          </w14:textFill>
        </w:rPr>
      </w:pPr>
      <w:bookmarkStart w:id="139" w:name="_Toc217446088"/>
      <w:r>
        <w:rPr>
          <w:rFonts w:hint="eastAsia" w:ascii="宋体" w:hAnsi="宋体" w:eastAsia="宋体" w:cs="宋体"/>
          <w:bCs w:val="0"/>
          <w:color w:val="000000" w:themeColor="text1"/>
          <w:kern w:val="0"/>
          <w:sz w:val="24"/>
          <w:szCs w:val="24"/>
          <w:highlight w:val="none"/>
          <w14:textFill>
            <w14:solidFill>
              <w14:schemeClr w14:val="tx1"/>
            </w14:solidFill>
          </w14:textFill>
        </w:rPr>
        <w:t>四、投标人基本情况表</w:t>
      </w:r>
      <w:bookmarkEnd w:id="139"/>
    </w:p>
    <w:tbl>
      <w:tblPr>
        <w:tblStyle w:val="28"/>
        <w:tblW w:w="9104" w:type="dxa"/>
        <w:jc w:val="center"/>
        <w:tblLayout w:type="fixed"/>
        <w:tblCellMar>
          <w:top w:w="0" w:type="dxa"/>
          <w:left w:w="108" w:type="dxa"/>
          <w:bottom w:w="0" w:type="dxa"/>
          <w:right w:w="108" w:type="dxa"/>
        </w:tblCellMar>
      </w:tblPr>
      <w:tblGrid>
        <w:gridCol w:w="1853"/>
        <w:gridCol w:w="1050"/>
        <w:gridCol w:w="2525"/>
        <w:gridCol w:w="1537"/>
        <w:gridCol w:w="2139"/>
      </w:tblGrid>
      <w:tr>
        <w:tblPrEx>
          <w:tblCellMar>
            <w:top w:w="0" w:type="dxa"/>
            <w:left w:w="108" w:type="dxa"/>
            <w:bottom w:w="0" w:type="dxa"/>
            <w:right w:w="108" w:type="dxa"/>
          </w:tblCellMar>
        </w:tblPrEx>
        <w:trPr>
          <w:trHeight w:val="1080" w:hRule="atLeast"/>
          <w:jc w:val="center"/>
        </w:trPr>
        <w:tc>
          <w:tcPr>
            <w:tcW w:w="18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w:t>
            </w:r>
          </w:p>
        </w:tc>
        <w:tc>
          <w:tcPr>
            <w:tcW w:w="7251" w:type="dxa"/>
            <w:gridSpan w:val="4"/>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strike/>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3575" w:type="dxa"/>
            <w:gridSpan w:val="2"/>
            <w:tcBorders>
              <w:top w:val="single" w:color="auto" w:sz="4" w:space="0"/>
              <w:left w:val="nil"/>
              <w:bottom w:val="single" w:color="auto" w:sz="4" w:space="0"/>
              <w:right w:val="single" w:color="000000"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p>
        </w:tc>
        <w:tc>
          <w:tcPr>
            <w:tcW w:w="2139"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p>
        </w:tc>
        <w:tc>
          <w:tcPr>
            <w:tcW w:w="3575" w:type="dxa"/>
            <w:gridSpan w:val="2"/>
            <w:tcBorders>
              <w:top w:val="single" w:color="auto" w:sz="4" w:space="0"/>
              <w:left w:val="nil"/>
              <w:bottom w:val="single" w:color="auto" w:sz="4" w:space="0"/>
              <w:right w:val="single" w:color="000000"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企业性质</w:t>
            </w:r>
          </w:p>
        </w:tc>
        <w:tc>
          <w:tcPr>
            <w:tcW w:w="2139"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社会统一信用代码</w:t>
            </w:r>
          </w:p>
        </w:tc>
        <w:tc>
          <w:tcPr>
            <w:tcW w:w="3575" w:type="dxa"/>
            <w:gridSpan w:val="2"/>
            <w:tcBorders>
              <w:top w:val="single" w:color="auto" w:sz="4" w:space="0"/>
              <w:left w:val="nil"/>
              <w:bottom w:val="single" w:color="auto" w:sz="4" w:space="0"/>
              <w:right w:val="single" w:color="000000"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注册资金</w:t>
            </w:r>
          </w:p>
        </w:tc>
        <w:tc>
          <w:tcPr>
            <w:tcW w:w="2139"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p>
        </w:tc>
        <w:tc>
          <w:tcPr>
            <w:tcW w:w="105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2525"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39"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930" w:hRule="atLeast"/>
          <w:jc w:val="center"/>
        </w:trPr>
        <w:tc>
          <w:tcPr>
            <w:tcW w:w="1853"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p>
        </w:tc>
        <w:tc>
          <w:tcPr>
            <w:tcW w:w="105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tc>
        <w:tc>
          <w:tcPr>
            <w:tcW w:w="2525" w:type="dxa"/>
            <w:tcBorders>
              <w:top w:val="single" w:color="auto" w:sz="4" w:space="0"/>
              <w:left w:val="nil"/>
              <w:bottom w:val="single" w:color="auto" w:sz="4" w:space="0"/>
              <w:right w:val="single" w:color="000000"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39"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930" w:hRule="atLeast"/>
          <w:jc w:val="center"/>
        </w:trPr>
        <w:tc>
          <w:tcPr>
            <w:tcW w:w="1853"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05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邮箱</w:t>
            </w:r>
          </w:p>
        </w:tc>
        <w:tc>
          <w:tcPr>
            <w:tcW w:w="2525" w:type="dxa"/>
            <w:tcBorders>
              <w:top w:val="single" w:color="auto" w:sz="4" w:space="0"/>
              <w:left w:val="nil"/>
              <w:bottom w:val="single" w:color="auto" w:sz="4" w:space="0"/>
              <w:right w:val="single" w:color="000000"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网址</w:t>
            </w:r>
          </w:p>
        </w:tc>
        <w:tc>
          <w:tcPr>
            <w:tcW w:w="2139"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p>
        </w:tc>
        <w:tc>
          <w:tcPr>
            <w:tcW w:w="3575" w:type="dxa"/>
            <w:gridSpan w:val="2"/>
            <w:tcBorders>
              <w:top w:val="single" w:color="auto" w:sz="4" w:space="0"/>
              <w:left w:val="nil"/>
              <w:bottom w:val="single" w:color="auto" w:sz="4" w:space="0"/>
              <w:right w:val="single" w:color="000000"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p>
        </w:tc>
        <w:tc>
          <w:tcPr>
            <w:tcW w:w="2139"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经营范围</w:t>
            </w:r>
          </w:p>
        </w:tc>
        <w:tc>
          <w:tcPr>
            <w:tcW w:w="7251" w:type="dxa"/>
            <w:gridSpan w:val="4"/>
            <w:tcBorders>
              <w:top w:val="single" w:color="auto" w:sz="4" w:space="0"/>
              <w:left w:val="nil"/>
              <w:bottom w:val="single" w:color="auto" w:sz="4" w:space="0"/>
              <w:right w:val="single" w:color="000000"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c>
          <w:tcPr>
            <w:tcW w:w="7251" w:type="dxa"/>
            <w:gridSpan w:val="4"/>
            <w:tcBorders>
              <w:top w:val="single" w:color="auto" w:sz="4" w:space="0"/>
              <w:left w:val="nil"/>
              <w:bottom w:val="single" w:color="auto" w:sz="4" w:space="0"/>
              <w:right w:val="single" w:color="000000"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adjustRightInd w:val="0"/>
        <w:spacing w:line="320" w:lineRule="exact"/>
        <w:ind w:firstLine="480" w:firstLineChars="200"/>
        <w:jc w:val="left"/>
        <w:rPr>
          <w:rFonts w:hint="eastAsia" w:ascii="宋体" w:hAnsi="宋体" w:eastAsia="宋体" w:cs="宋体"/>
          <w:bCs/>
          <w:color w:val="000000" w:themeColor="text1"/>
          <w:sz w:val="24"/>
          <w:szCs w:val="24"/>
          <w:highlight w:val="none"/>
          <w14:textFill>
            <w14:solidFill>
              <w14:schemeClr w14:val="tx1"/>
            </w14:solidFill>
          </w14:textFill>
        </w:rPr>
      </w:pPr>
    </w:p>
    <w:p>
      <w:pPr>
        <w:spacing w:line="360" w:lineRule="auto"/>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p>
      <w:pPr>
        <w:spacing w:line="360" w:lineRule="auto"/>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1、投标人为法人时，后附营业执照等相关资料</w:t>
      </w:r>
      <w:r>
        <w:rPr>
          <w:rFonts w:hint="eastAsia" w:ascii="宋体" w:hAnsi="宋体" w:cs="宋体"/>
          <w:color w:val="000000" w:themeColor="text1"/>
          <w:sz w:val="24"/>
          <w:szCs w:val="24"/>
          <w:highlight w:val="none"/>
          <w:lang w:eastAsia="zh-CN"/>
          <w14:textFill>
            <w14:solidFill>
              <w14:schemeClr w14:val="tx1"/>
            </w14:solidFill>
          </w14:textFill>
        </w:rPr>
        <w:t>复印件</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pacing w:line="360" w:lineRule="auto"/>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2、投标人为非法人时，格式自拟，后附相关资料</w:t>
      </w:r>
      <w:r>
        <w:rPr>
          <w:rFonts w:hint="eastAsia" w:ascii="宋体" w:hAnsi="宋体" w:cs="宋体"/>
          <w:color w:val="000000" w:themeColor="text1"/>
          <w:sz w:val="24"/>
          <w:szCs w:val="24"/>
          <w:highlight w:val="none"/>
          <w:lang w:eastAsia="zh-CN"/>
          <w14:textFill>
            <w14:solidFill>
              <w14:schemeClr w14:val="tx1"/>
            </w14:solidFill>
          </w14:textFill>
        </w:rPr>
        <w:t>复印件</w:t>
      </w:r>
      <w:r>
        <w:rPr>
          <w:rFonts w:hint="eastAsia" w:ascii="宋体" w:hAnsi="宋体" w:eastAsia="宋体" w:cs="宋体"/>
          <w:color w:val="000000" w:themeColor="text1"/>
          <w:sz w:val="24"/>
          <w:szCs w:val="24"/>
          <w:highlight w:val="none"/>
          <w14:textFill>
            <w14:solidFill>
              <w14:schemeClr w14:val="tx1"/>
            </w14:solidFill>
          </w14:textFill>
        </w:rPr>
        <w:t>。</w:t>
      </w:r>
    </w:p>
    <w:p>
      <w:pPr>
        <w:adjustRightInd w:val="0"/>
        <w:spacing w:line="500" w:lineRule="exact"/>
        <w:ind w:firstLine="480" w:firstLineChars="200"/>
        <w:jc w:val="center"/>
        <w:rPr>
          <w:rFonts w:hint="eastAsia" w:ascii="宋体" w:hAnsi="宋体" w:eastAsia="宋体" w:cs="宋体"/>
          <w:bCs/>
          <w:color w:val="000000" w:themeColor="text1"/>
          <w:sz w:val="24"/>
          <w:szCs w:val="24"/>
          <w:highlight w:val="none"/>
          <w14:textFill>
            <w14:solidFill>
              <w14:schemeClr w14:val="tx1"/>
            </w14:solidFill>
          </w14:textFill>
        </w:rPr>
      </w:pPr>
      <w:bookmarkStart w:id="140" w:name="_Toc217446089"/>
    </w:p>
    <w:p>
      <w:pPr>
        <w:adjustRightInd w:val="0"/>
        <w:spacing w:line="500" w:lineRule="exact"/>
        <w:ind w:firstLine="480" w:firstLineChars="200"/>
        <w:jc w:val="center"/>
        <w:rPr>
          <w:rFonts w:hint="eastAsia" w:ascii="宋体" w:hAnsi="宋体" w:eastAsia="宋体" w:cs="宋体"/>
          <w:bCs/>
          <w:color w:val="000000" w:themeColor="text1"/>
          <w:sz w:val="24"/>
          <w:szCs w:val="24"/>
          <w:highlight w:val="none"/>
          <w14:textFill>
            <w14:solidFill>
              <w14:schemeClr w14:val="tx1"/>
            </w14:solidFill>
          </w14:textFill>
        </w:rPr>
      </w:pPr>
    </w:p>
    <w:p>
      <w:pPr>
        <w:adjustRightInd w:val="0"/>
        <w:spacing w:line="500" w:lineRule="exact"/>
        <w:ind w:firstLine="480" w:firstLineChars="200"/>
        <w:jc w:val="center"/>
        <w:outlineLvl w:val="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br w:type="page"/>
      </w:r>
      <w:r>
        <w:rPr>
          <w:rFonts w:hint="eastAsia" w:ascii="宋体" w:hAnsi="宋体" w:eastAsia="宋体" w:cs="宋体"/>
          <w:b/>
          <w:color w:val="000000" w:themeColor="text1"/>
          <w:sz w:val="24"/>
          <w:szCs w:val="24"/>
          <w:highlight w:val="none"/>
          <w14:textFill>
            <w14:solidFill>
              <w14:schemeClr w14:val="tx1"/>
            </w14:solidFill>
          </w14:textFill>
        </w:rPr>
        <w:t>五、投标人类似项目业绩一览表</w:t>
      </w:r>
      <w:bookmarkEnd w:id="140"/>
    </w:p>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606"/>
        <w:gridCol w:w="960"/>
        <w:gridCol w:w="1113"/>
        <w:gridCol w:w="1151"/>
        <w:gridCol w:w="1162"/>
        <w:gridCol w:w="1180"/>
        <w:gridCol w:w="1158"/>
        <w:gridCol w:w="1069"/>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tcBorders>
              <w:top w:val="single" w:color="auto" w:sz="4" w:space="0"/>
            </w:tcBorders>
            <w:vAlign w:val="center"/>
          </w:tcPr>
          <w:p>
            <w:pPr>
              <w:spacing w:line="400" w:lineRule="exac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序号</w:t>
            </w:r>
          </w:p>
        </w:tc>
        <w:tc>
          <w:tcPr>
            <w:tcW w:w="570" w:type="pct"/>
            <w:vAlign w:val="center"/>
          </w:tcPr>
          <w:p>
            <w:pPr>
              <w:spacing w:line="40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采购人</w:t>
            </w:r>
          </w:p>
        </w:tc>
        <w:tc>
          <w:tcPr>
            <w:tcW w:w="661" w:type="pct"/>
            <w:vAlign w:val="center"/>
          </w:tcPr>
          <w:p>
            <w:pPr>
              <w:spacing w:line="40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联系人</w:t>
            </w:r>
          </w:p>
        </w:tc>
        <w:tc>
          <w:tcPr>
            <w:tcW w:w="684" w:type="pct"/>
            <w:vAlign w:val="center"/>
          </w:tcPr>
          <w:p>
            <w:pPr>
              <w:spacing w:line="40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联系电话</w:t>
            </w:r>
          </w:p>
        </w:tc>
        <w:tc>
          <w:tcPr>
            <w:tcW w:w="690" w:type="pct"/>
            <w:vAlign w:val="center"/>
          </w:tcPr>
          <w:p>
            <w:pPr>
              <w:spacing w:line="40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项目名称</w:t>
            </w:r>
          </w:p>
        </w:tc>
        <w:tc>
          <w:tcPr>
            <w:tcW w:w="701" w:type="pct"/>
            <w:vAlign w:val="center"/>
          </w:tcPr>
          <w:p>
            <w:pPr>
              <w:spacing w:line="40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完成时间</w:t>
            </w:r>
          </w:p>
        </w:tc>
        <w:tc>
          <w:tcPr>
            <w:tcW w:w="688" w:type="pct"/>
            <w:vAlign w:val="center"/>
          </w:tcPr>
          <w:p>
            <w:pPr>
              <w:spacing w:line="400" w:lineRule="exac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合同金额</w:t>
            </w:r>
          </w:p>
        </w:tc>
        <w:tc>
          <w:tcPr>
            <w:tcW w:w="641" w:type="pct"/>
            <w:gridSpan w:val="2"/>
            <w:tcBorders>
              <w:right w:val="single" w:color="auto" w:sz="4" w:space="0"/>
            </w:tcBorders>
            <w:vAlign w:val="center"/>
          </w:tcPr>
          <w:p>
            <w:pPr>
              <w:spacing w:line="40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项目描述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41" w:type="pct"/>
            <w:gridSpan w:val="2"/>
            <w:tcBorders>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41" w:type="pct"/>
            <w:gridSpan w:val="2"/>
            <w:tcBorders>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41" w:type="pct"/>
            <w:gridSpan w:val="2"/>
            <w:tcBorders>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tcBorders>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tcBorders>
              <w:lef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tcBorders>
              <w:lef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tcBorders>
              <w:lef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41" w:type="pct"/>
            <w:gridSpan w:val="2"/>
            <w:tcBorders>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tcBorders>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tcBorders>
              <w:left w:val="single" w:color="auto" w:sz="4" w:space="0"/>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tcBorders>
              <w:left w:val="single" w:color="auto" w:sz="4" w:space="0"/>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tcBorders>
              <w:left w:val="single" w:color="auto" w:sz="4" w:space="0"/>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tcBorders>
              <w:left w:val="single" w:color="auto" w:sz="4" w:space="0"/>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tcBorders>
              <w:left w:val="single" w:color="auto" w:sz="4" w:space="0"/>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tcBorders>
              <w:left w:val="single" w:color="auto" w:sz="4" w:space="0"/>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41" w:type="pct"/>
            <w:gridSpan w:val="2"/>
            <w:tcBorders>
              <w:left w:val="single" w:color="auto" w:sz="4" w:space="0"/>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00" w:hRule="atLeast"/>
          <w:jc w:val="center"/>
        </w:trPr>
        <w:tc>
          <w:tcPr>
            <w:tcW w:w="360" w:type="pct"/>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tcBorders>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c>
          <w:tcPr>
            <w:tcW w:w="635" w:type="pct"/>
            <w:tcBorders>
              <w:left w:val="single" w:color="auto" w:sz="4" w:space="0"/>
              <w:right w:val="single" w:color="auto" w:sz="4" w:space="0"/>
            </w:tcBorders>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00" w:hRule="atLeast"/>
          <w:jc w:val="center"/>
        </w:trPr>
        <w:tc>
          <w:tcPr>
            <w:tcW w:w="36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tcBorders>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35" w:type="pct"/>
            <w:tcBorders>
              <w:left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00" w:hRule="atLeast"/>
          <w:jc w:val="center"/>
        </w:trPr>
        <w:tc>
          <w:tcPr>
            <w:tcW w:w="36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tcBorders>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35" w:type="pct"/>
            <w:tcBorders>
              <w:left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10" w:hRule="atLeast"/>
          <w:jc w:val="center"/>
        </w:trPr>
        <w:tc>
          <w:tcPr>
            <w:tcW w:w="360" w:type="pct"/>
            <w:tcBorders>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tcBorders>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tcBorders>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tcBorders>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tcBorders>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tcBorders>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tcBorders>
              <w:bottom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35" w:type="pct"/>
            <w:tcBorders>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15" w:hRule="atLeast"/>
          <w:jc w:val="center"/>
        </w:trPr>
        <w:tc>
          <w:tcPr>
            <w:tcW w:w="360"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tcBorders>
              <w:top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35"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15" w:hRule="atLeast"/>
          <w:jc w:val="center"/>
        </w:trPr>
        <w:tc>
          <w:tcPr>
            <w:tcW w:w="360"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tcBorders>
              <w:top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35"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450" w:hRule="atLeast"/>
          <w:jc w:val="center"/>
        </w:trPr>
        <w:tc>
          <w:tcPr>
            <w:tcW w:w="360"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tcBorders>
              <w:top w:val="single" w:color="auto" w:sz="4" w:space="0"/>
              <w:bottom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tcBorders>
              <w:top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35"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435" w:hRule="atLeast"/>
          <w:jc w:val="center"/>
        </w:trPr>
        <w:tc>
          <w:tcPr>
            <w:tcW w:w="360" w:type="pct"/>
            <w:tcBorders>
              <w:top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570" w:type="pct"/>
            <w:tcBorders>
              <w:top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61" w:type="pct"/>
            <w:tcBorders>
              <w:top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4" w:type="pct"/>
            <w:tcBorders>
              <w:top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0" w:type="pct"/>
            <w:tcBorders>
              <w:top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01" w:type="pct"/>
            <w:tcBorders>
              <w:top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88" w:type="pct"/>
            <w:tcBorders>
              <w:top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35" w:type="pct"/>
            <w:tcBorders>
              <w:top w:val="single" w:color="auto" w:sz="4" w:space="0"/>
              <w:left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360" w:lineRule="auto"/>
        <w:jc w:val="left"/>
        <w:rPr>
          <w:rFonts w:hint="eastAsia" w:ascii="宋体" w:hAnsi="宋体" w:eastAsia="宋体" w:cs="宋体"/>
          <w:bCs/>
          <w:color w:val="000000" w:themeColor="text1"/>
          <w:sz w:val="24"/>
          <w:szCs w:val="24"/>
          <w:highlight w:val="none"/>
          <w14:textFill>
            <w14:solidFill>
              <w14:schemeClr w14:val="tx1"/>
            </w14:solidFill>
          </w14:textFill>
        </w:rPr>
      </w:pP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1.本表后附</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近三年完成的类似业绩</w:t>
      </w:r>
      <w:r>
        <w:rPr>
          <w:rFonts w:hint="eastAsia" w:ascii="宋体" w:hAnsi="宋体" w:eastAsia="宋体" w:cs="宋体"/>
          <w:bCs/>
          <w:color w:val="000000" w:themeColor="text1"/>
          <w:sz w:val="24"/>
          <w:szCs w:val="24"/>
          <w:highlight w:val="none"/>
          <w14:textFill>
            <w14:solidFill>
              <w14:schemeClr w14:val="tx1"/>
            </w14:solidFill>
          </w14:textFill>
        </w:rPr>
        <w:t>，须提供中标通知书和</w:t>
      </w:r>
      <w:r>
        <w:rPr>
          <w:rFonts w:hint="eastAsia" w:ascii="宋体" w:hAnsi="宋体" w:eastAsia="宋体" w:cs="宋体"/>
          <w:color w:val="000000" w:themeColor="text1"/>
          <w:spacing w:val="6"/>
          <w:kern w:val="0"/>
          <w:sz w:val="24"/>
          <w:szCs w:val="24"/>
          <w:highlight w:val="none"/>
          <w14:textFill>
            <w14:solidFill>
              <w14:schemeClr w14:val="tx1"/>
            </w14:solidFill>
          </w14:textFill>
        </w:rPr>
        <w:t>合同</w:t>
      </w:r>
      <w:r>
        <w:rPr>
          <w:rFonts w:hint="eastAsia" w:ascii="宋体" w:hAnsi="宋体" w:cs="宋体"/>
          <w:color w:val="000000" w:themeColor="text1"/>
          <w:spacing w:val="6"/>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合同至少包含合同首页、关键页、签订时间、双方签章页</w:t>
      </w:r>
      <w:r>
        <w:rPr>
          <w:rFonts w:hint="eastAsia" w:ascii="宋体" w:hAnsi="宋体" w:cs="宋体"/>
          <w:bCs/>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复印件并加盖投标人公章</w:t>
      </w:r>
      <w:r>
        <w:rPr>
          <w:rFonts w:hint="eastAsia" w:ascii="宋体" w:hAnsi="宋体" w:eastAsia="宋体" w:cs="宋体"/>
          <w:color w:val="000000" w:themeColor="text1"/>
          <w:sz w:val="24"/>
          <w:szCs w:val="24"/>
          <w:highlight w:val="none"/>
          <w14:textFill>
            <w14:solidFill>
              <w14:schemeClr w14:val="tx1"/>
            </w14:solidFill>
          </w14:textFill>
        </w:rPr>
        <w:t>；</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2.具体年份要求：2020年0</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月01日-</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投标文件</w:t>
      </w:r>
      <w:r>
        <w:rPr>
          <w:rFonts w:hint="eastAsia" w:ascii="宋体" w:hAnsi="宋体" w:cs="宋体"/>
          <w:color w:val="000000" w:themeColor="text1"/>
          <w:sz w:val="24"/>
          <w:szCs w:val="24"/>
          <w:highlight w:val="none"/>
          <w:lang w:val="en-US" w:eastAsia="zh-CN"/>
          <w14:textFill>
            <w14:solidFill>
              <w14:schemeClr w14:val="tx1"/>
            </w14:solidFill>
          </w14:textFill>
        </w:rPr>
        <w:t>上传</w:t>
      </w:r>
      <w:r>
        <w:rPr>
          <w:rFonts w:hint="eastAsia" w:ascii="宋体" w:hAnsi="宋体" w:eastAsia="宋体" w:cs="宋体"/>
          <w:color w:val="000000" w:themeColor="text1"/>
          <w:sz w:val="24"/>
          <w:szCs w:val="24"/>
          <w:highlight w:val="none"/>
          <w:lang w:val="en-US" w:eastAsia="zh-CN"/>
          <w14:textFill>
            <w14:solidFill>
              <w14:schemeClr w14:val="tx1"/>
            </w14:solidFill>
          </w14:textFill>
        </w:rPr>
        <w:t>截止时间前</w:t>
      </w:r>
      <w:r>
        <w:rPr>
          <w:rFonts w:hint="eastAsia" w:ascii="宋体" w:hAnsi="宋体" w:eastAsia="宋体" w:cs="宋体"/>
          <w:color w:val="000000" w:themeColor="text1"/>
          <w:sz w:val="24"/>
          <w:szCs w:val="24"/>
          <w:highlight w:val="none"/>
          <w14:textFill>
            <w14:solidFill>
              <w14:schemeClr w14:val="tx1"/>
            </w14:solidFill>
          </w14:textFill>
        </w:rPr>
        <w:t>，业绩认定日期以</w:t>
      </w:r>
      <w:r>
        <w:rPr>
          <w:rFonts w:hint="eastAsia" w:ascii="宋体" w:hAnsi="宋体" w:eastAsia="宋体" w:cs="宋体"/>
          <w:color w:val="000000" w:themeColor="text1"/>
          <w:sz w:val="24"/>
          <w:szCs w:val="24"/>
          <w:highlight w:val="none"/>
          <w:lang w:val="en-US" w:eastAsia="zh-CN"/>
          <w14:textFill>
            <w14:solidFill>
              <w14:schemeClr w14:val="tx1"/>
            </w14:solidFill>
          </w14:textFill>
        </w:rPr>
        <w:t>合同签订日期</w:t>
      </w:r>
      <w:r>
        <w:rPr>
          <w:rFonts w:hint="eastAsia" w:ascii="宋体" w:hAnsi="宋体" w:eastAsia="宋体" w:cs="宋体"/>
          <w:color w:val="000000" w:themeColor="text1"/>
          <w:sz w:val="24"/>
          <w:szCs w:val="24"/>
          <w:highlight w:val="none"/>
          <w14:textFill>
            <w14:solidFill>
              <w14:schemeClr w14:val="tx1"/>
            </w14:solidFill>
          </w14:textFill>
        </w:rPr>
        <w:t>为准。</w:t>
      </w:r>
    </w:p>
    <w:p>
      <w:pPr>
        <w:spacing w:line="400" w:lineRule="exact"/>
        <w:ind w:left="360"/>
        <w:jc w:val="center"/>
        <w:rPr>
          <w:rFonts w:hint="eastAsia" w:ascii="宋体" w:hAnsi="宋体" w:eastAsia="宋体" w:cs="宋体"/>
          <w:color w:val="000000" w:themeColor="text1"/>
          <w:sz w:val="24"/>
          <w:szCs w:val="24"/>
          <w:highlight w:val="none"/>
          <w14:textFill>
            <w14:solidFill>
              <w14:schemeClr w14:val="tx1"/>
            </w14:solidFill>
          </w14:textFill>
        </w:rPr>
      </w:pPr>
    </w:p>
    <w:p>
      <w:pPr>
        <w:adjustRightInd w:val="0"/>
        <w:spacing w:line="4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投标人名称（盖章）：         </w:t>
      </w:r>
    </w:p>
    <w:p>
      <w:pPr>
        <w:adjustRightInd w:val="0"/>
        <w:spacing w:line="4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授权人或被授权人（签字或盖章）</w:t>
      </w:r>
      <w:r>
        <w:rPr>
          <w:rFonts w:hint="eastAsia" w:ascii="宋体" w:hAnsi="宋体" w:eastAsia="宋体" w:cs="宋体"/>
          <w:bCs/>
          <w:color w:val="000000" w:themeColor="text1"/>
          <w:sz w:val="24"/>
          <w:szCs w:val="24"/>
          <w:highlight w:val="none"/>
          <w14:textFill>
            <w14:solidFill>
              <w14:schemeClr w14:val="tx1"/>
            </w14:solidFill>
          </w14:textFill>
        </w:rPr>
        <w:t>：</w:t>
      </w:r>
    </w:p>
    <w:p>
      <w:pPr>
        <w:adjustRightInd w:val="0"/>
        <w:spacing w:line="40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pPr>
        <w:pStyle w:val="4"/>
        <w:numPr>
          <w:ilvl w:val="0"/>
          <w:numId w:val="6"/>
        </w:numPr>
        <w:spacing w:before="156" w:after="156" w:line="400" w:lineRule="exact"/>
        <w:rPr>
          <w:rFonts w:hint="eastAsia" w:ascii="宋体" w:hAnsi="宋体" w:eastAsia="宋体" w:cs="宋体"/>
          <w:color w:val="000000" w:themeColor="text1"/>
          <w:sz w:val="24"/>
          <w:szCs w:val="24"/>
          <w:highlight w:val="none"/>
          <w14:textFill>
            <w14:solidFill>
              <w14:schemeClr w14:val="tx1"/>
            </w14:solidFill>
          </w14:textFill>
        </w:rPr>
      </w:pPr>
      <w:bookmarkStart w:id="141" w:name="_Toc217446090"/>
      <w:bookmarkStart w:id="142" w:name="_Toc217446091"/>
      <w:r>
        <w:rPr>
          <w:rFonts w:hint="eastAsia" w:ascii="宋体" w:hAnsi="宋体" w:eastAsia="宋体" w:cs="宋体"/>
          <w:bCs w:val="0"/>
          <w:color w:val="000000" w:themeColor="text1"/>
          <w:kern w:val="0"/>
          <w:sz w:val="24"/>
          <w:szCs w:val="24"/>
          <w:highlight w:val="none"/>
          <w14:textFill>
            <w14:solidFill>
              <w14:schemeClr w14:val="tx1"/>
            </w14:solidFill>
          </w14:textFill>
        </w:rPr>
        <w:br w:type="page"/>
      </w:r>
      <w:bookmarkEnd w:id="141"/>
      <w:r>
        <w:rPr>
          <w:rFonts w:hint="eastAsia" w:ascii="宋体" w:hAnsi="宋体" w:eastAsia="宋体" w:cs="宋体"/>
          <w:color w:val="000000" w:themeColor="text1"/>
          <w:sz w:val="24"/>
          <w:szCs w:val="24"/>
          <w:highlight w:val="none"/>
          <w14:textFill>
            <w14:solidFill>
              <w14:schemeClr w14:val="tx1"/>
            </w14:solidFill>
          </w14:textFill>
        </w:rPr>
        <w:t>商务、技术需求偏离表</w:t>
      </w:r>
    </w:p>
    <w:p>
      <w:pPr>
        <w:spacing w:line="360" w:lineRule="auto"/>
        <w:jc w:val="center"/>
        <w:rPr>
          <w:rFonts w:hint="eastAsia" w:ascii="宋体"/>
          <w:b/>
          <w:color w:val="000000" w:themeColor="text1"/>
          <w:sz w:val="30"/>
          <w:szCs w:val="30"/>
          <w:highlight w:val="none"/>
          <w14:textFill>
            <w14:solidFill>
              <w14:schemeClr w14:val="tx1"/>
            </w14:solidFill>
          </w14:textFill>
        </w:rPr>
      </w:pPr>
      <w:r>
        <w:rPr>
          <w:rFonts w:hint="eastAsia" w:ascii="宋体"/>
          <w:b/>
          <w:color w:val="000000" w:themeColor="text1"/>
          <w:sz w:val="30"/>
          <w:szCs w:val="30"/>
          <w:highlight w:val="none"/>
          <w14:textFill>
            <w14:solidFill>
              <w14:schemeClr w14:val="tx1"/>
            </w14:solidFill>
          </w14:textFill>
        </w:rPr>
        <w:t>商务条款偏离表</w:t>
      </w:r>
    </w:p>
    <w:p>
      <w:pPr>
        <w:spacing w:line="360" w:lineRule="auto"/>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项目名称：           </w:t>
      </w:r>
      <w:r>
        <w:rPr>
          <w:rFonts w:hint="eastAsia" w:ascii="宋体"/>
          <w:color w:val="000000" w:themeColor="text1"/>
          <w:sz w:val="24"/>
          <w:highlight w:val="none"/>
          <w:lang w:val="en-US" w:eastAsia="zh-CN"/>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 xml:space="preserve">        </w:t>
      </w:r>
    </w:p>
    <w:p>
      <w:pPr>
        <w:spacing w:line="360" w:lineRule="auto"/>
        <w:rPr>
          <w:rFonts w:hint="eastAsia" w:ascii="宋体"/>
          <w:color w:val="000000" w:themeColor="text1"/>
          <w:sz w:val="24"/>
          <w:highlight w:val="none"/>
          <w:u w:val="single"/>
          <w14:textFill>
            <w14:solidFill>
              <w14:schemeClr w14:val="tx1"/>
            </w14:solidFill>
          </w14:textFill>
        </w:rPr>
      </w:pPr>
      <w:r>
        <w:rPr>
          <w:rFonts w:hint="eastAsia" w:ascii="宋体"/>
          <w:color w:val="000000" w:themeColor="text1"/>
          <w:sz w:val="24"/>
          <w:highlight w:val="none"/>
          <w14:textFill>
            <w14:solidFill>
              <w14:schemeClr w14:val="tx1"/>
            </w14:solidFill>
          </w14:textFill>
        </w:rPr>
        <w:t>项目编号：</w:t>
      </w:r>
    </w:p>
    <w:tbl>
      <w:tblPr>
        <w:tblStyle w:val="28"/>
        <w:tblW w:w="8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5850"/>
        <w:gridCol w:w="1008"/>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73" w:type="dxa"/>
            <w:shd w:val="clear" w:color="auto" w:fill="F3F3F3"/>
            <w:noWrap w:val="0"/>
            <w:vAlign w:val="center"/>
          </w:tcPr>
          <w:p>
            <w:pPr>
              <w:jc w:val="center"/>
              <w:rPr>
                <w:rFonts w:hint="eastAsia" w:ascii="宋体"/>
                <w:b/>
                <w:bCs/>
                <w:color w:val="000000" w:themeColor="text1"/>
                <w:szCs w:val="21"/>
                <w:highlight w:val="none"/>
                <w14:textFill>
                  <w14:solidFill>
                    <w14:schemeClr w14:val="tx1"/>
                  </w14:solidFill>
                </w14:textFill>
              </w:rPr>
            </w:pPr>
            <w:r>
              <w:rPr>
                <w:rFonts w:hint="eastAsia" w:ascii="宋体"/>
                <w:b/>
                <w:bCs/>
                <w:color w:val="000000" w:themeColor="text1"/>
                <w:szCs w:val="21"/>
                <w:highlight w:val="none"/>
                <w14:textFill>
                  <w14:solidFill>
                    <w14:schemeClr w14:val="tx1"/>
                  </w14:solidFill>
                </w14:textFill>
              </w:rPr>
              <w:t>序号</w:t>
            </w:r>
          </w:p>
        </w:tc>
        <w:tc>
          <w:tcPr>
            <w:tcW w:w="5850" w:type="dxa"/>
            <w:shd w:val="clear" w:color="auto" w:fill="F3F3F3"/>
            <w:noWrap w:val="0"/>
            <w:vAlign w:val="center"/>
          </w:tcPr>
          <w:p>
            <w:pPr>
              <w:jc w:val="center"/>
              <w:rPr>
                <w:rFonts w:hint="eastAsia" w:ascii="宋体"/>
                <w:b/>
                <w:bCs/>
                <w:color w:val="000000" w:themeColor="text1"/>
                <w:szCs w:val="21"/>
                <w:highlight w:val="none"/>
                <w14:textFill>
                  <w14:solidFill>
                    <w14:schemeClr w14:val="tx1"/>
                  </w14:solidFill>
                </w14:textFill>
              </w:rPr>
            </w:pPr>
            <w:r>
              <w:rPr>
                <w:rFonts w:hint="eastAsia" w:ascii="宋体"/>
                <w:b/>
                <w:bCs/>
                <w:color w:val="000000" w:themeColor="text1"/>
                <w:szCs w:val="21"/>
                <w:highlight w:val="none"/>
                <w14:textFill>
                  <w14:solidFill>
                    <w14:schemeClr w14:val="tx1"/>
                  </w14:solidFill>
                </w14:textFill>
              </w:rPr>
              <w:t>主要商务条款</w:t>
            </w:r>
          </w:p>
        </w:tc>
        <w:tc>
          <w:tcPr>
            <w:tcW w:w="1008" w:type="dxa"/>
            <w:shd w:val="clear" w:color="auto" w:fill="F3F3F3"/>
            <w:noWrap w:val="0"/>
            <w:vAlign w:val="center"/>
          </w:tcPr>
          <w:p>
            <w:pPr>
              <w:jc w:val="center"/>
              <w:rPr>
                <w:rFonts w:hint="eastAsia" w:ascii="宋体"/>
                <w:b/>
                <w:bCs/>
                <w:color w:val="000000" w:themeColor="text1"/>
                <w:szCs w:val="21"/>
                <w:highlight w:val="none"/>
                <w14:textFill>
                  <w14:solidFill>
                    <w14:schemeClr w14:val="tx1"/>
                  </w14:solidFill>
                </w14:textFill>
              </w:rPr>
            </w:pPr>
            <w:r>
              <w:rPr>
                <w:rFonts w:hint="eastAsia" w:ascii="宋体"/>
                <w:b/>
                <w:bCs/>
                <w:color w:val="000000" w:themeColor="text1"/>
                <w:szCs w:val="21"/>
                <w:highlight w:val="none"/>
                <w14:textFill>
                  <w14:solidFill>
                    <w14:schemeClr w14:val="tx1"/>
                  </w14:solidFill>
                </w14:textFill>
              </w:rPr>
              <w:t>是否</w:t>
            </w:r>
          </w:p>
          <w:p>
            <w:pPr>
              <w:jc w:val="center"/>
              <w:rPr>
                <w:rFonts w:hint="eastAsia" w:ascii="宋体"/>
                <w:b/>
                <w:bCs/>
                <w:color w:val="000000" w:themeColor="text1"/>
                <w:szCs w:val="21"/>
                <w:highlight w:val="none"/>
                <w14:textFill>
                  <w14:solidFill>
                    <w14:schemeClr w14:val="tx1"/>
                  </w14:solidFill>
                </w14:textFill>
              </w:rPr>
            </w:pPr>
            <w:r>
              <w:rPr>
                <w:rFonts w:hint="eastAsia" w:ascii="宋体"/>
                <w:b/>
                <w:bCs/>
                <w:color w:val="000000" w:themeColor="text1"/>
                <w:szCs w:val="21"/>
                <w:highlight w:val="none"/>
                <w14:textFill>
                  <w14:solidFill>
                    <w14:schemeClr w14:val="tx1"/>
                  </w14:solidFill>
                </w14:textFill>
              </w:rPr>
              <w:t>响应</w:t>
            </w:r>
          </w:p>
        </w:tc>
        <w:tc>
          <w:tcPr>
            <w:tcW w:w="1164" w:type="dxa"/>
            <w:shd w:val="clear" w:color="auto" w:fill="F3F3F3"/>
            <w:noWrap w:val="0"/>
            <w:vAlign w:val="center"/>
          </w:tcPr>
          <w:p>
            <w:pPr>
              <w:jc w:val="center"/>
              <w:rPr>
                <w:rFonts w:hint="eastAsia" w:ascii="宋体"/>
                <w:b/>
                <w:bCs/>
                <w:color w:val="000000" w:themeColor="text1"/>
                <w:szCs w:val="21"/>
                <w:highlight w:val="none"/>
                <w14:textFill>
                  <w14:solidFill>
                    <w14:schemeClr w14:val="tx1"/>
                  </w14:solidFill>
                </w14:textFill>
              </w:rPr>
            </w:pPr>
            <w:r>
              <w:rPr>
                <w:rFonts w:hint="eastAsia" w:ascii="宋体"/>
                <w:b/>
                <w:bCs/>
                <w:color w:val="000000" w:themeColor="text1"/>
                <w:szCs w:val="21"/>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1</w:t>
            </w:r>
          </w:p>
        </w:tc>
        <w:tc>
          <w:tcPr>
            <w:tcW w:w="5850" w:type="dxa"/>
            <w:noWrap w:val="0"/>
            <w:vAlign w:val="center"/>
          </w:tcPr>
          <w:p>
            <w:pP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完全理解并接受对合格投标人、合格的货物和服务要求</w:t>
            </w:r>
          </w:p>
        </w:tc>
        <w:tc>
          <w:tcPr>
            <w:tcW w:w="1008" w:type="dxa"/>
            <w:noWrap w:val="0"/>
            <w:vAlign w:val="center"/>
          </w:tcPr>
          <w:p>
            <w:pPr>
              <w:pStyle w:val="55"/>
              <w:keepNext w:val="0"/>
              <w:adjustRightInd/>
              <w:spacing w:before="0" w:after="0" w:line="240" w:lineRule="auto"/>
              <w:textAlignment w:val="auto"/>
              <w:rPr>
                <w:rFonts w:hint="eastAsia" w:ascii="宋体"/>
                <w:snapToGrid/>
                <w:color w:val="000000" w:themeColor="text1"/>
                <w:spacing w:val="0"/>
                <w:kern w:val="2"/>
                <w:sz w:val="21"/>
                <w:szCs w:val="21"/>
                <w:highlight w:val="none"/>
                <w14:textFill>
                  <w14:solidFill>
                    <w14:schemeClr w14:val="tx1"/>
                  </w14:solidFill>
                </w14:textFill>
              </w:rPr>
            </w:pPr>
          </w:p>
        </w:tc>
        <w:tc>
          <w:tcPr>
            <w:tcW w:w="1164" w:type="dxa"/>
            <w:noWrap w:val="0"/>
            <w:vAlign w:val="center"/>
          </w:tcPr>
          <w:p>
            <w:pPr>
              <w:jc w:val="center"/>
              <w:rPr>
                <w:rFonts w:hint="eastAsia" w:asci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w:t>
            </w:r>
          </w:p>
        </w:tc>
        <w:tc>
          <w:tcPr>
            <w:tcW w:w="5850" w:type="dxa"/>
            <w:noWrap w:val="0"/>
            <w:vAlign w:val="center"/>
          </w:tcPr>
          <w:p>
            <w:pP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完全理解并接受对投标人的各项须知、规约要求和责任义务</w:t>
            </w:r>
          </w:p>
        </w:tc>
        <w:tc>
          <w:tcPr>
            <w:tcW w:w="1008" w:type="dxa"/>
            <w:noWrap w:val="0"/>
            <w:vAlign w:val="center"/>
          </w:tcPr>
          <w:p>
            <w:pPr>
              <w:jc w:val="center"/>
              <w:rPr>
                <w:rFonts w:hint="eastAsia" w:ascii="宋体"/>
                <w:color w:val="000000" w:themeColor="text1"/>
                <w:szCs w:val="21"/>
                <w:highlight w:val="none"/>
                <w14:textFill>
                  <w14:solidFill>
                    <w14:schemeClr w14:val="tx1"/>
                  </w14:solidFill>
                </w14:textFill>
              </w:rPr>
            </w:pPr>
          </w:p>
        </w:tc>
        <w:tc>
          <w:tcPr>
            <w:tcW w:w="1164" w:type="dxa"/>
            <w:noWrap w:val="0"/>
            <w:vAlign w:val="center"/>
          </w:tcPr>
          <w:p>
            <w:pPr>
              <w:ind w:right="-35"/>
              <w:jc w:val="center"/>
              <w:rPr>
                <w:rFonts w:hint="eastAsia" w:asci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3</w:t>
            </w:r>
          </w:p>
        </w:tc>
        <w:tc>
          <w:tcPr>
            <w:tcW w:w="5850" w:type="dxa"/>
            <w:noWrap w:val="0"/>
            <w:vAlign w:val="center"/>
          </w:tcPr>
          <w:p>
            <w:pP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同意接受拟签订的合同文本所列述的各项条款</w:t>
            </w:r>
          </w:p>
        </w:tc>
        <w:tc>
          <w:tcPr>
            <w:tcW w:w="1008" w:type="dxa"/>
            <w:noWrap w:val="0"/>
            <w:vAlign w:val="center"/>
          </w:tcPr>
          <w:p>
            <w:pPr>
              <w:jc w:val="center"/>
              <w:rPr>
                <w:rFonts w:hint="eastAsia" w:ascii="宋体"/>
                <w:color w:val="000000" w:themeColor="text1"/>
                <w:szCs w:val="21"/>
                <w:highlight w:val="none"/>
                <w14:textFill>
                  <w14:solidFill>
                    <w14:schemeClr w14:val="tx1"/>
                  </w14:solidFill>
                </w14:textFill>
              </w:rPr>
            </w:pPr>
          </w:p>
        </w:tc>
        <w:tc>
          <w:tcPr>
            <w:tcW w:w="1164" w:type="dxa"/>
            <w:noWrap w:val="0"/>
            <w:vAlign w:val="center"/>
          </w:tcPr>
          <w:p>
            <w:pPr>
              <w:ind w:right="-35"/>
              <w:jc w:val="center"/>
              <w:rPr>
                <w:rFonts w:hint="eastAsia" w:asci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4</w:t>
            </w:r>
          </w:p>
        </w:tc>
        <w:tc>
          <w:tcPr>
            <w:tcW w:w="5850" w:type="dxa"/>
            <w:noWrap w:val="0"/>
            <w:vAlign w:val="center"/>
          </w:tcPr>
          <w:p>
            <w:pP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同意按本项目要求缴付相关款项</w:t>
            </w:r>
          </w:p>
        </w:tc>
        <w:tc>
          <w:tcPr>
            <w:tcW w:w="1008" w:type="dxa"/>
            <w:noWrap w:val="0"/>
            <w:vAlign w:val="center"/>
          </w:tcPr>
          <w:p>
            <w:pPr>
              <w:jc w:val="center"/>
              <w:rPr>
                <w:rFonts w:hint="eastAsia" w:ascii="宋体"/>
                <w:color w:val="000000" w:themeColor="text1"/>
                <w:szCs w:val="21"/>
                <w:highlight w:val="none"/>
                <w14:textFill>
                  <w14:solidFill>
                    <w14:schemeClr w14:val="tx1"/>
                  </w14:solidFill>
                </w14:textFill>
              </w:rPr>
            </w:pPr>
          </w:p>
        </w:tc>
        <w:tc>
          <w:tcPr>
            <w:tcW w:w="1164" w:type="dxa"/>
            <w:noWrap w:val="0"/>
            <w:vAlign w:val="center"/>
          </w:tcPr>
          <w:p>
            <w:pPr>
              <w:ind w:right="-35"/>
              <w:jc w:val="center"/>
              <w:rPr>
                <w:rFonts w:hint="eastAsia" w:asci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5</w:t>
            </w:r>
          </w:p>
        </w:tc>
        <w:tc>
          <w:tcPr>
            <w:tcW w:w="5850" w:type="dxa"/>
            <w:noWrap w:val="0"/>
            <w:vAlign w:val="center"/>
          </w:tcPr>
          <w:p>
            <w:pP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可提供货物供货来源证明或供货渠道与品质的合法性证明</w:t>
            </w:r>
          </w:p>
        </w:tc>
        <w:tc>
          <w:tcPr>
            <w:tcW w:w="1008" w:type="dxa"/>
            <w:noWrap w:val="0"/>
            <w:vAlign w:val="center"/>
          </w:tcPr>
          <w:p>
            <w:pPr>
              <w:jc w:val="center"/>
              <w:rPr>
                <w:rFonts w:hint="eastAsia" w:ascii="宋体"/>
                <w:color w:val="000000" w:themeColor="text1"/>
                <w:szCs w:val="21"/>
                <w:highlight w:val="none"/>
                <w14:textFill>
                  <w14:solidFill>
                    <w14:schemeClr w14:val="tx1"/>
                  </w14:solidFill>
                </w14:textFill>
              </w:rPr>
            </w:pPr>
          </w:p>
        </w:tc>
        <w:tc>
          <w:tcPr>
            <w:tcW w:w="1164" w:type="dxa"/>
            <w:noWrap w:val="0"/>
            <w:vAlign w:val="center"/>
          </w:tcPr>
          <w:p>
            <w:pPr>
              <w:ind w:right="-35"/>
              <w:jc w:val="center"/>
              <w:rPr>
                <w:rFonts w:hint="eastAsia" w:asci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6</w:t>
            </w:r>
          </w:p>
        </w:tc>
        <w:tc>
          <w:tcPr>
            <w:tcW w:w="5850" w:type="dxa"/>
            <w:noWrap w:val="0"/>
            <w:vAlign w:val="center"/>
          </w:tcPr>
          <w:p>
            <w:pPr>
              <w:rPr>
                <w:rFonts w:hint="eastAsia" w:ascii="宋体" w:eastAsia="宋体"/>
                <w:color w:val="000000" w:themeColor="text1"/>
                <w:szCs w:val="21"/>
                <w:highlight w:val="none"/>
                <w:lang w:eastAsia="zh-CN"/>
                <w14:textFill>
                  <w14:solidFill>
                    <w14:schemeClr w14:val="tx1"/>
                  </w14:solidFill>
                </w14:textFill>
              </w:rPr>
            </w:pPr>
            <w:r>
              <w:rPr>
                <w:rFonts w:hint="eastAsia" w:ascii="宋体"/>
                <w:color w:val="000000" w:themeColor="text1"/>
                <w:szCs w:val="21"/>
                <w:highlight w:val="none"/>
                <w14:textFill>
                  <w14:solidFill>
                    <w14:schemeClr w14:val="tx1"/>
                  </w14:solidFill>
                </w14:textFill>
              </w:rPr>
              <w:t>投标有效期：从开标之日起60日历天</w:t>
            </w:r>
            <w:r>
              <w:rPr>
                <w:rFonts w:hint="eastAsia" w:ascii="宋体"/>
                <w:color w:val="000000" w:themeColor="text1"/>
                <w:szCs w:val="21"/>
                <w:highlight w:val="none"/>
                <w:lang w:eastAsia="zh-CN"/>
                <w14:textFill>
                  <w14:solidFill>
                    <w14:schemeClr w14:val="tx1"/>
                  </w14:solidFill>
                </w14:textFill>
              </w:rPr>
              <w:t>。</w:t>
            </w:r>
          </w:p>
        </w:tc>
        <w:tc>
          <w:tcPr>
            <w:tcW w:w="1008" w:type="dxa"/>
            <w:noWrap w:val="0"/>
            <w:vAlign w:val="center"/>
          </w:tcPr>
          <w:p>
            <w:pPr>
              <w:jc w:val="center"/>
              <w:rPr>
                <w:rFonts w:hint="eastAsia" w:ascii="宋体"/>
                <w:color w:val="000000" w:themeColor="text1"/>
                <w:szCs w:val="21"/>
                <w:highlight w:val="none"/>
                <w14:textFill>
                  <w14:solidFill>
                    <w14:schemeClr w14:val="tx1"/>
                  </w14:solidFill>
                </w14:textFill>
              </w:rPr>
            </w:pPr>
          </w:p>
        </w:tc>
        <w:tc>
          <w:tcPr>
            <w:tcW w:w="1164" w:type="dxa"/>
            <w:noWrap w:val="0"/>
            <w:vAlign w:val="center"/>
          </w:tcPr>
          <w:p>
            <w:pPr>
              <w:ind w:right="-35"/>
              <w:jc w:val="center"/>
              <w:rPr>
                <w:rFonts w:hint="eastAsia" w:asci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7</w:t>
            </w:r>
          </w:p>
        </w:tc>
        <w:tc>
          <w:tcPr>
            <w:tcW w:w="5850" w:type="dxa"/>
            <w:noWrap w:val="0"/>
            <w:vAlign w:val="center"/>
          </w:tcPr>
          <w:p>
            <w:pP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投标内容均涵盖招标要求及一切费用和伴随服务</w:t>
            </w:r>
          </w:p>
        </w:tc>
        <w:tc>
          <w:tcPr>
            <w:tcW w:w="1008" w:type="dxa"/>
            <w:noWrap w:val="0"/>
            <w:vAlign w:val="center"/>
          </w:tcPr>
          <w:p>
            <w:pPr>
              <w:jc w:val="center"/>
              <w:rPr>
                <w:rFonts w:hint="eastAsia" w:ascii="宋体"/>
                <w:color w:val="000000" w:themeColor="text1"/>
                <w:szCs w:val="21"/>
                <w:highlight w:val="none"/>
                <w14:textFill>
                  <w14:solidFill>
                    <w14:schemeClr w14:val="tx1"/>
                  </w14:solidFill>
                </w14:textFill>
              </w:rPr>
            </w:pPr>
          </w:p>
        </w:tc>
        <w:tc>
          <w:tcPr>
            <w:tcW w:w="1164" w:type="dxa"/>
            <w:noWrap w:val="0"/>
            <w:vAlign w:val="center"/>
          </w:tcPr>
          <w:p>
            <w:pPr>
              <w:pStyle w:val="55"/>
              <w:keepNext w:val="0"/>
              <w:adjustRightInd/>
              <w:spacing w:before="0" w:after="0" w:line="240" w:lineRule="auto"/>
              <w:textAlignment w:val="auto"/>
              <w:rPr>
                <w:rFonts w:hint="eastAsia" w:ascii="宋体"/>
                <w:snapToGrid/>
                <w:color w:val="000000" w:themeColor="text1"/>
                <w:spacing w:val="0"/>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8</w:t>
            </w:r>
          </w:p>
        </w:tc>
        <w:tc>
          <w:tcPr>
            <w:tcW w:w="5850" w:type="dxa"/>
            <w:noWrap w:val="0"/>
            <w:vAlign w:val="center"/>
          </w:tcPr>
          <w:p>
            <w:pP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同意接受本项目供货期或相关进度安排要求</w:t>
            </w:r>
          </w:p>
        </w:tc>
        <w:tc>
          <w:tcPr>
            <w:tcW w:w="1008" w:type="dxa"/>
            <w:noWrap w:val="0"/>
            <w:vAlign w:val="center"/>
          </w:tcPr>
          <w:p>
            <w:pPr>
              <w:jc w:val="center"/>
              <w:rPr>
                <w:rFonts w:hint="eastAsia" w:ascii="宋体"/>
                <w:color w:val="000000" w:themeColor="text1"/>
                <w:szCs w:val="21"/>
                <w:highlight w:val="none"/>
                <w14:textFill>
                  <w14:solidFill>
                    <w14:schemeClr w14:val="tx1"/>
                  </w14:solidFill>
                </w14:textFill>
              </w:rPr>
            </w:pPr>
          </w:p>
        </w:tc>
        <w:tc>
          <w:tcPr>
            <w:tcW w:w="1164" w:type="dxa"/>
            <w:noWrap w:val="0"/>
            <w:vAlign w:val="center"/>
          </w:tcPr>
          <w:p>
            <w:pPr>
              <w:jc w:val="center"/>
              <w:rPr>
                <w:rFonts w:hint="eastAsia" w:asci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9</w:t>
            </w:r>
          </w:p>
        </w:tc>
        <w:tc>
          <w:tcPr>
            <w:tcW w:w="5850" w:type="dxa"/>
            <w:noWrap w:val="0"/>
            <w:vAlign w:val="center"/>
          </w:tcPr>
          <w:p>
            <w:pP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同意接受本项目的验收要求及验收标准</w:t>
            </w:r>
          </w:p>
        </w:tc>
        <w:tc>
          <w:tcPr>
            <w:tcW w:w="1008" w:type="dxa"/>
            <w:noWrap w:val="0"/>
            <w:vAlign w:val="center"/>
          </w:tcPr>
          <w:p>
            <w:pPr>
              <w:jc w:val="center"/>
              <w:rPr>
                <w:rFonts w:hint="eastAsia" w:ascii="宋体"/>
                <w:color w:val="000000" w:themeColor="text1"/>
                <w:szCs w:val="21"/>
                <w:highlight w:val="none"/>
                <w14:textFill>
                  <w14:solidFill>
                    <w14:schemeClr w14:val="tx1"/>
                  </w14:solidFill>
                </w14:textFill>
              </w:rPr>
            </w:pPr>
          </w:p>
        </w:tc>
        <w:tc>
          <w:tcPr>
            <w:tcW w:w="1164" w:type="dxa"/>
            <w:noWrap w:val="0"/>
            <w:vAlign w:val="center"/>
          </w:tcPr>
          <w:p>
            <w:pPr>
              <w:jc w:val="center"/>
              <w:rPr>
                <w:rFonts w:hint="eastAsia" w:asci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10</w:t>
            </w:r>
          </w:p>
        </w:tc>
        <w:tc>
          <w:tcPr>
            <w:tcW w:w="5850" w:type="dxa"/>
            <w:noWrap w:val="0"/>
            <w:vAlign w:val="center"/>
          </w:tcPr>
          <w:p>
            <w:pP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同意接受本项目供货期服务的各项要求</w:t>
            </w:r>
          </w:p>
        </w:tc>
        <w:tc>
          <w:tcPr>
            <w:tcW w:w="1008" w:type="dxa"/>
            <w:noWrap w:val="0"/>
            <w:vAlign w:val="center"/>
          </w:tcPr>
          <w:p>
            <w:pPr>
              <w:jc w:val="center"/>
              <w:rPr>
                <w:rFonts w:hint="eastAsia" w:ascii="宋体"/>
                <w:color w:val="000000" w:themeColor="text1"/>
                <w:szCs w:val="21"/>
                <w:highlight w:val="none"/>
                <w14:textFill>
                  <w14:solidFill>
                    <w14:schemeClr w14:val="tx1"/>
                  </w14:solidFill>
                </w14:textFill>
              </w:rPr>
            </w:pPr>
          </w:p>
        </w:tc>
        <w:tc>
          <w:tcPr>
            <w:tcW w:w="1164" w:type="dxa"/>
            <w:noWrap w:val="0"/>
            <w:vAlign w:val="center"/>
          </w:tcPr>
          <w:p>
            <w:pPr>
              <w:jc w:val="center"/>
              <w:rPr>
                <w:rFonts w:hint="eastAsia" w:asci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11</w:t>
            </w:r>
          </w:p>
        </w:tc>
        <w:tc>
          <w:tcPr>
            <w:tcW w:w="5850" w:type="dxa"/>
            <w:noWrap w:val="0"/>
            <w:vAlign w:val="center"/>
          </w:tcPr>
          <w:p>
            <w:pPr>
              <w:pStyle w:val="20"/>
              <w:rPr>
                <w:rFonts w:hint="eastAsia" w:ascii="宋体" w:hAnsi="宋体"/>
                <w:color w:val="000000" w:themeColor="text1"/>
                <w:szCs w:val="21"/>
                <w:highlight w:val="none"/>
                <w14:textFill>
                  <w14:solidFill>
                    <w14:schemeClr w14:val="tx1"/>
                  </w14:solidFill>
                </w14:textFill>
              </w:rPr>
            </w:pPr>
            <w:r>
              <w:rPr>
                <w:rFonts w:hint="eastAsia" w:ascii="宋体" w:eastAsia="宋体" w:cs="Times New Roman"/>
                <w:b w:val="0"/>
                <w:bCs w:val="0"/>
                <w:color w:val="000000" w:themeColor="text1"/>
                <w:kern w:val="2"/>
                <w:sz w:val="21"/>
                <w:szCs w:val="21"/>
                <w:highlight w:val="none"/>
                <w14:textFill>
                  <w14:solidFill>
                    <w14:schemeClr w14:val="tx1"/>
                  </w14:solidFill>
                </w14:textFill>
              </w:rPr>
              <w:t>同意</w:t>
            </w:r>
            <w:r>
              <w:rPr>
                <w:rFonts w:hint="eastAsia" w:ascii="宋体" w:eastAsia="宋体" w:cs="Times New Roman"/>
                <w:b w:val="0"/>
                <w:bCs w:val="0"/>
                <w:color w:val="000000" w:themeColor="text1"/>
                <w:kern w:val="2"/>
                <w:sz w:val="21"/>
                <w:szCs w:val="21"/>
                <w:highlight w:val="none"/>
                <w:lang w:eastAsia="zh-CN"/>
                <w14:textFill>
                  <w14:solidFill>
                    <w14:schemeClr w14:val="tx1"/>
                  </w14:solidFill>
                </w14:textFill>
              </w:rPr>
              <w:t>采购人</w:t>
            </w:r>
            <w:r>
              <w:rPr>
                <w:rFonts w:hint="eastAsia" w:ascii="宋体" w:eastAsia="宋体" w:cs="Times New Roman"/>
                <w:b w:val="0"/>
                <w:bCs w:val="0"/>
                <w:color w:val="000000" w:themeColor="text1"/>
                <w:kern w:val="2"/>
                <w:sz w:val="21"/>
                <w:szCs w:val="21"/>
                <w:highlight w:val="none"/>
                <w14:textFill>
                  <w14:solidFill>
                    <w14:schemeClr w14:val="tx1"/>
                  </w14:solidFill>
                </w14:textFill>
              </w:rPr>
              <w:t>以任何形式对我方的投标文件内容的真实性和有效性进行审查、验证</w:t>
            </w:r>
          </w:p>
        </w:tc>
        <w:tc>
          <w:tcPr>
            <w:tcW w:w="1008" w:type="dxa"/>
            <w:noWrap w:val="0"/>
            <w:vAlign w:val="center"/>
          </w:tcPr>
          <w:p>
            <w:pPr>
              <w:pStyle w:val="56"/>
              <w:numPr>
                <w:ilvl w:val="0"/>
                <w:numId w:val="0"/>
              </w:numPr>
              <w:rPr>
                <w:rFonts w:hint="eastAsia"/>
                <w:color w:val="000000" w:themeColor="text1"/>
                <w:highlight w:val="none"/>
                <w14:textFill>
                  <w14:solidFill>
                    <w14:schemeClr w14:val="tx1"/>
                  </w14:solidFill>
                </w14:textFill>
              </w:rPr>
            </w:pPr>
          </w:p>
        </w:tc>
        <w:tc>
          <w:tcPr>
            <w:tcW w:w="1164" w:type="dxa"/>
            <w:noWrap w:val="0"/>
            <w:vAlign w:val="center"/>
          </w:tcPr>
          <w:p>
            <w:pPr>
              <w:pStyle w:val="55"/>
              <w:keepNext w:val="0"/>
              <w:adjustRightInd/>
              <w:spacing w:before="0" w:after="0" w:line="240" w:lineRule="auto"/>
              <w:jc w:val="both"/>
              <w:textAlignment w:val="auto"/>
              <w:rPr>
                <w:rFonts w:hint="eastAsia" w:ascii="宋体"/>
                <w:snapToGrid/>
                <w:color w:val="000000" w:themeColor="text1"/>
                <w:spacing w:val="0"/>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3" w:type="dxa"/>
            <w:noWrap w:val="0"/>
            <w:vAlign w:val="center"/>
          </w:tcPr>
          <w:p>
            <w:pPr>
              <w:jc w:val="center"/>
              <w:rPr>
                <w:rFonts w:hint="eastAsia"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12</w:t>
            </w:r>
          </w:p>
        </w:tc>
        <w:tc>
          <w:tcPr>
            <w:tcW w:w="5850" w:type="dxa"/>
            <w:noWrap w:val="0"/>
            <w:vAlign w:val="center"/>
          </w:tcPr>
          <w:p>
            <w:pPr>
              <w:pStyle w:val="20"/>
              <w:rPr>
                <w:rFonts w:hint="eastAsia" w:ascii="宋体" w:eastAsia="宋体" w:cs="Times New Roman"/>
                <w:b w:val="0"/>
                <w:bCs w:val="0"/>
                <w:color w:val="000000" w:themeColor="text1"/>
                <w:kern w:val="2"/>
                <w:sz w:val="21"/>
                <w:szCs w:val="21"/>
                <w:highlight w:val="none"/>
                <w14:textFill>
                  <w14:solidFill>
                    <w14:schemeClr w14:val="tx1"/>
                  </w14:solidFill>
                </w14:textFill>
              </w:rPr>
            </w:pPr>
            <w:r>
              <w:rPr>
                <w:rFonts w:hint="eastAsia" w:ascii="宋体" w:eastAsia="宋体" w:cs="Times New Roman"/>
                <w:b w:val="0"/>
                <w:bCs w:val="0"/>
                <w:color w:val="000000" w:themeColor="text1"/>
                <w:kern w:val="2"/>
                <w:sz w:val="21"/>
                <w:szCs w:val="21"/>
                <w:highlight w:val="none"/>
                <w14:textFill>
                  <w14:solidFill>
                    <w14:schemeClr w14:val="tx1"/>
                  </w14:solidFill>
                </w14:textFill>
              </w:rPr>
              <w:t>同意接受本项目付款的各项要求</w:t>
            </w:r>
          </w:p>
        </w:tc>
        <w:tc>
          <w:tcPr>
            <w:tcW w:w="1008" w:type="dxa"/>
            <w:noWrap w:val="0"/>
            <w:vAlign w:val="center"/>
          </w:tcPr>
          <w:p>
            <w:pPr>
              <w:pStyle w:val="56"/>
              <w:numPr>
                <w:ilvl w:val="0"/>
                <w:numId w:val="0"/>
              </w:numPr>
              <w:rPr>
                <w:rFonts w:hint="eastAsia"/>
                <w:color w:val="000000" w:themeColor="text1"/>
                <w:highlight w:val="none"/>
                <w14:textFill>
                  <w14:solidFill>
                    <w14:schemeClr w14:val="tx1"/>
                  </w14:solidFill>
                </w14:textFill>
              </w:rPr>
            </w:pPr>
          </w:p>
        </w:tc>
        <w:tc>
          <w:tcPr>
            <w:tcW w:w="1164" w:type="dxa"/>
            <w:noWrap w:val="0"/>
            <w:vAlign w:val="center"/>
          </w:tcPr>
          <w:p>
            <w:pPr>
              <w:pStyle w:val="55"/>
              <w:keepNext w:val="0"/>
              <w:adjustRightInd/>
              <w:spacing w:before="0" w:after="0" w:line="240" w:lineRule="auto"/>
              <w:jc w:val="both"/>
              <w:textAlignment w:val="auto"/>
              <w:rPr>
                <w:rFonts w:hint="eastAsia" w:ascii="宋体"/>
                <w:snapToGrid/>
                <w:color w:val="000000" w:themeColor="text1"/>
                <w:spacing w:val="0"/>
                <w:kern w:val="2"/>
                <w:sz w:val="21"/>
                <w:szCs w:val="21"/>
                <w:highlight w:val="none"/>
                <w14:textFill>
                  <w14:solidFill>
                    <w14:schemeClr w14:val="tx1"/>
                  </w14:solidFill>
                </w14:textFill>
              </w:rPr>
            </w:pPr>
          </w:p>
        </w:tc>
      </w:tr>
    </w:tbl>
    <w:p>
      <w:pPr>
        <w:spacing w:before="156" w:line="360" w:lineRule="auto"/>
        <w:ind w:left="539" w:leftChars="-86" w:right="-359" w:rightChars="-171" w:hanging="720" w:hangingChars="300"/>
        <w:rPr>
          <w:rFonts w:hint="eastAsia" w:ascii="宋体"/>
          <w:color w:val="000000" w:themeColor="text1"/>
          <w:sz w:val="24"/>
          <w:highlight w:val="none"/>
          <w:lang w:val="en-GB" w:eastAsia="en-GB"/>
          <w14:textFill>
            <w14:solidFill>
              <w14:schemeClr w14:val="tx1"/>
            </w14:solidFill>
          </w14:textFill>
        </w:rPr>
      </w:pPr>
      <w:r>
        <w:rPr>
          <w:rFonts w:hint="eastAsia" w:ascii="宋体"/>
          <w:color w:val="000000" w:themeColor="text1"/>
          <w:sz w:val="24"/>
          <w:highlight w:val="none"/>
          <w:lang w:val="en-GB" w:eastAsia="en-GB"/>
          <w14:textFill>
            <w14:solidFill>
              <w14:schemeClr w14:val="tx1"/>
            </w14:solidFill>
          </w14:textFill>
        </w:rPr>
        <w:t>注：1.</w:t>
      </w:r>
      <w:r>
        <w:rPr>
          <w:rFonts w:hint="eastAsia" w:ascii="宋体"/>
          <w:color w:val="000000" w:themeColor="text1"/>
          <w:sz w:val="24"/>
          <w:highlight w:val="none"/>
          <w14:textFill>
            <w14:solidFill>
              <w14:schemeClr w14:val="tx1"/>
            </w14:solidFill>
          </w14:textFill>
        </w:rPr>
        <w:t>对</w:t>
      </w:r>
      <w:r>
        <w:rPr>
          <w:rFonts w:hint="eastAsia" w:ascii="宋体"/>
          <w:color w:val="000000" w:themeColor="text1"/>
          <w:sz w:val="24"/>
          <w:highlight w:val="none"/>
          <w:lang w:val="en-GB" w:eastAsia="en-GB"/>
          <w14:textFill>
            <w14:solidFill>
              <w14:schemeClr w14:val="tx1"/>
            </w14:solidFill>
          </w14:textFill>
        </w:rPr>
        <w:t>于上述要求，如投标人完全响应，则请在“是否响应”栏内打“√”，对打“×”视为偏离，请在“偏离说明”栏内扼要说明偏离情况。</w:t>
      </w:r>
    </w:p>
    <w:p>
      <w:pPr>
        <w:spacing w:line="360" w:lineRule="auto"/>
        <w:ind w:left="530" w:leftChars="142" w:right="-359" w:rightChars="-171" w:hanging="232" w:hangingChars="97"/>
        <w:rPr>
          <w:rFonts w:hint="eastAsia" w:ascii="宋体"/>
          <w:color w:val="000000" w:themeColor="text1"/>
          <w:sz w:val="24"/>
          <w:highlight w:val="none"/>
          <w:lang w:val="en-GB" w:eastAsia="en-GB"/>
          <w14:textFill>
            <w14:solidFill>
              <w14:schemeClr w14:val="tx1"/>
            </w14:solidFill>
          </w14:textFill>
        </w:rPr>
      </w:pPr>
      <w:r>
        <w:rPr>
          <w:rFonts w:hint="eastAsia" w:ascii="宋体"/>
          <w:color w:val="000000" w:themeColor="text1"/>
          <w:sz w:val="24"/>
          <w:highlight w:val="none"/>
          <w:lang w:val="en-GB" w:eastAsia="en-GB"/>
          <w14:textFill>
            <w14:solidFill>
              <w14:schemeClr w14:val="tx1"/>
            </w14:solidFill>
          </w14:textFill>
        </w:rPr>
        <w:t>2.投标人应认真填写本响应表，若评委会在评审期间，发现有虚假填写本响应表的，则将可能被视为存在两个投标方案，评委会将按本</w:t>
      </w:r>
      <w:r>
        <w:rPr>
          <w:rFonts w:hint="eastAsia" w:ascii="宋体"/>
          <w:color w:val="000000" w:themeColor="text1"/>
          <w:sz w:val="24"/>
          <w:highlight w:val="none"/>
          <w:lang w:val="en-GB" w:eastAsia="zh-CN"/>
          <w14:textFill>
            <w14:solidFill>
              <w14:schemeClr w14:val="tx1"/>
            </w14:solidFill>
          </w14:textFill>
        </w:rPr>
        <w:t>招标文件</w:t>
      </w:r>
      <w:r>
        <w:rPr>
          <w:rFonts w:hint="eastAsia" w:ascii="宋体"/>
          <w:color w:val="000000" w:themeColor="text1"/>
          <w:sz w:val="24"/>
          <w:highlight w:val="none"/>
          <w:lang w:val="en-GB" w:eastAsia="en-GB"/>
          <w14:textFill>
            <w14:solidFill>
              <w14:schemeClr w14:val="tx1"/>
            </w14:solidFill>
          </w14:textFill>
        </w:rPr>
        <w:t>相关规定执行。</w:t>
      </w:r>
    </w:p>
    <w:p>
      <w:pPr>
        <w:spacing w:line="360" w:lineRule="auto"/>
        <w:ind w:firstLine="300" w:firstLineChars="125"/>
        <w:rPr>
          <w:rFonts w:hint="eastAsia" w:ascii="宋体"/>
          <w:color w:val="000000" w:themeColor="text1"/>
          <w:sz w:val="24"/>
          <w:highlight w:val="none"/>
          <w:lang w:val="en-GB" w:eastAsia="en-GB"/>
          <w14:textFill>
            <w14:solidFill>
              <w14:schemeClr w14:val="tx1"/>
            </w14:solidFill>
          </w14:textFill>
        </w:rPr>
      </w:pPr>
      <w:r>
        <w:rPr>
          <w:rFonts w:hint="eastAsia" w:ascii="宋体"/>
          <w:color w:val="000000" w:themeColor="text1"/>
          <w:sz w:val="24"/>
          <w:highlight w:val="none"/>
          <w:lang w:val="en-GB" w:eastAsia="en-GB"/>
          <w14:textFill>
            <w14:solidFill>
              <w14:schemeClr w14:val="tx1"/>
            </w14:solidFill>
          </w14:textFill>
        </w:rPr>
        <w:t>3.本表内容不得擅自修改。</w:t>
      </w:r>
    </w:p>
    <w:p>
      <w:pPr>
        <w:pStyle w:val="27"/>
        <w:rPr>
          <w:rFonts w:hint="eastAsia"/>
          <w:color w:val="000000" w:themeColor="text1"/>
          <w:highlight w:val="none"/>
          <w:lang w:val="en-GB" w:eastAsia="en-GB"/>
          <w14:textFill>
            <w14:solidFill>
              <w14:schemeClr w14:val="tx1"/>
            </w14:solidFill>
          </w14:textFill>
        </w:rPr>
      </w:pPr>
    </w:p>
    <w:p>
      <w:pPr>
        <w:pStyle w:val="15"/>
        <w:spacing w:line="360" w:lineRule="auto"/>
        <w:ind w:left="0" w:leftChars="0"/>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投标人名称（盖章）：</w:t>
      </w:r>
    </w:p>
    <w:p>
      <w:pPr>
        <w:pStyle w:val="15"/>
        <w:spacing w:line="360" w:lineRule="auto"/>
        <w:ind w:left="0" w:leftChars="0"/>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 xml:space="preserve">                      授权人和被授权人（签字或盖章）：</w:t>
      </w:r>
    </w:p>
    <w:p>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日期： 年 月 日</w:t>
      </w:r>
    </w:p>
    <w:p>
      <w:pPr>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技术需求偏离表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062"/>
        <w:gridCol w:w="1229"/>
        <w:gridCol w:w="1575"/>
        <w:gridCol w:w="1500"/>
        <w:gridCol w:w="105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623" w:type="pct"/>
            <w:noWrap w:val="0"/>
            <w:vAlign w:val="center"/>
          </w:tcPr>
          <w:p>
            <w:pPr>
              <w:jc w:val="center"/>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eastAsia="宋体" w:cs="宋体"/>
                <w:b w:val="0"/>
                <w:bCs/>
                <w:color w:val="000000" w:themeColor="text1"/>
                <w:sz w:val="24"/>
                <w:highlight w:val="none"/>
                <w14:textFill>
                  <w14:solidFill>
                    <w14:schemeClr w14:val="tx1"/>
                  </w14:solidFill>
                </w14:textFill>
              </w:rPr>
              <w:t>序号</w:t>
            </w:r>
          </w:p>
        </w:tc>
        <w:tc>
          <w:tcPr>
            <w:tcW w:w="623" w:type="pct"/>
            <w:noWrap w:val="0"/>
            <w:vAlign w:val="center"/>
          </w:tcPr>
          <w:p>
            <w:pPr>
              <w:jc w:val="center"/>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val="en-US" w:eastAsia="zh-CN"/>
                <w14:textFill>
                  <w14:solidFill>
                    <w14:schemeClr w14:val="tx1"/>
                  </w14:solidFill>
                </w14:textFill>
              </w:rPr>
              <w:t>货物</w:t>
            </w:r>
            <w:r>
              <w:rPr>
                <w:rFonts w:hint="eastAsia" w:ascii="宋体" w:hAnsi="宋体" w:eastAsia="宋体" w:cs="宋体"/>
                <w:b w:val="0"/>
                <w:bCs/>
                <w:color w:val="000000" w:themeColor="text1"/>
                <w:sz w:val="24"/>
                <w:highlight w:val="none"/>
                <w14:textFill>
                  <w14:solidFill>
                    <w14:schemeClr w14:val="tx1"/>
                  </w14:solidFill>
                </w14:textFill>
              </w:rPr>
              <w:t>名称</w:t>
            </w:r>
          </w:p>
        </w:tc>
        <w:tc>
          <w:tcPr>
            <w:tcW w:w="721" w:type="pct"/>
            <w:noWrap w:val="0"/>
            <w:vAlign w:val="center"/>
          </w:tcPr>
          <w:p>
            <w:pPr>
              <w:jc w:val="center"/>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eastAsia="zh-CN"/>
                <w14:textFill>
                  <w14:solidFill>
                    <w14:schemeClr w14:val="tx1"/>
                  </w14:solidFill>
                </w14:textFill>
              </w:rPr>
              <w:t>招标文件</w:t>
            </w:r>
            <w:r>
              <w:rPr>
                <w:rFonts w:hint="eastAsia" w:ascii="宋体" w:hAnsi="宋体" w:eastAsia="宋体" w:cs="宋体"/>
                <w:b w:val="0"/>
                <w:bCs/>
                <w:color w:val="000000" w:themeColor="text1"/>
                <w:sz w:val="24"/>
                <w:highlight w:val="none"/>
                <w14:textFill>
                  <w14:solidFill>
                    <w14:schemeClr w14:val="tx1"/>
                  </w14:solidFill>
                </w14:textFill>
              </w:rPr>
              <w:t>条款号</w:t>
            </w:r>
          </w:p>
        </w:tc>
        <w:tc>
          <w:tcPr>
            <w:tcW w:w="924" w:type="pct"/>
            <w:noWrap w:val="0"/>
            <w:vAlign w:val="center"/>
          </w:tcPr>
          <w:p>
            <w:pPr>
              <w:jc w:val="center"/>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lang w:eastAsia="zh-CN"/>
                <w14:textFill>
                  <w14:solidFill>
                    <w14:schemeClr w14:val="tx1"/>
                  </w14:solidFill>
                </w14:textFill>
              </w:rPr>
              <w:t>招标文件</w:t>
            </w:r>
            <w:r>
              <w:rPr>
                <w:rFonts w:hint="eastAsia" w:ascii="宋体" w:hAnsi="宋体" w:eastAsia="宋体" w:cs="宋体"/>
                <w:b w:val="0"/>
                <w:bCs/>
                <w:color w:val="000000" w:themeColor="text1"/>
                <w:sz w:val="24"/>
                <w:highlight w:val="none"/>
                <w14:textFill>
                  <w14:solidFill>
                    <w14:schemeClr w14:val="tx1"/>
                  </w14:solidFill>
                </w14:textFill>
              </w:rPr>
              <w:t>的</w:t>
            </w:r>
            <w:r>
              <w:rPr>
                <w:rFonts w:hint="eastAsia" w:ascii="宋体" w:hAnsi="宋体" w:eastAsia="宋体" w:cs="宋体"/>
                <w:b w:val="0"/>
                <w:bCs/>
                <w:color w:val="000000" w:themeColor="text1"/>
                <w:sz w:val="24"/>
                <w:highlight w:val="none"/>
                <w:lang w:val="en-US" w:eastAsia="zh-CN"/>
                <w14:textFill>
                  <w14:solidFill>
                    <w14:schemeClr w14:val="tx1"/>
                  </w14:solidFill>
                </w14:textFill>
              </w:rPr>
              <w:t>要求</w:t>
            </w:r>
          </w:p>
        </w:tc>
        <w:tc>
          <w:tcPr>
            <w:tcW w:w="880" w:type="pct"/>
            <w:noWrap w:val="0"/>
            <w:vAlign w:val="center"/>
          </w:tcPr>
          <w:p>
            <w:pPr>
              <w:jc w:val="center"/>
              <w:rPr>
                <w:rFonts w:hint="eastAsia" w:ascii="宋体" w:hAnsi="宋体" w:eastAsia="宋体" w:cs="宋体"/>
                <w:b w:val="0"/>
                <w:bCs/>
                <w:color w:val="000000" w:themeColor="text1"/>
                <w:sz w:val="24"/>
                <w:highlight w:val="none"/>
                <w:lang w:val="en-US" w:eastAsia="zh-CN"/>
                <w14:textFill>
                  <w14:solidFill>
                    <w14:schemeClr w14:val="tx1"/>
                  </w14:solidFill>
                </w14:textFill>
              </w:rPr>
            </w:pPr>
            <w:r>
              <w:rPr>
                <w:rFonts w:hint="eastAsia" w:ascii="宋体" w:hAnsi="宋体" w:cs="宋体"/>
                <w:b w:val="0"/>
                <w:bCs/>
                <w:color w:val="000000" w:themeColor="text1"/>
                <w:sz w:val="24"/>
                <w:highlight w:val="none"/>
                <w:lang w:eastAsia="zh-CN"/>
                <w14:textFill>
                  <w14:solidFill>
                    <w14:schemeClr w14:val="tx1"/>
                  </w14:solidFill>
                </w14:textFill>
              </w:rPr>
              <w:t>投标文件</w:t>
            </w:r>
            <w:r>
              <w:rPr>
                <w:rFonts w:hint="eastAsia" w:ascii="宋体" w:hAnsi="宋体" w:eastAsia="宋体" w:cs="宋体"/>
                <w:b w:val="0"/>
                <w:bCs/>
                <w:color w:val="000000" w:themeColor="text1"/>
                <w:sz w:val="24"/>
                <w:highlight w:val="none"/>
                <w14:textFill>
                  <w14:solidFill>
                    <w14:schemeClr w14:val="tx1"/>
                  </w14:solidFill>
                </w14:textFill>
              </w:rPr>
              <w:t>的</w:t>
            </w:r>
            <w:r>
              <w:rPr>
                <w:rFonts w:hint="eastAsia" w:ascii="宋体" w:hAnsi="宋体" w:eastAsia="宋体" w:cs="宋体"/>
                <w:b w:val="0"/>
                <w:bCs/>
                <w:color w:val="000000" w:themeColor="text1"/>
                <w:sz w:val="24"/>
                <w:highlight w:val="none"/>
                <w:lang w:val="en-US" w:eastAsia="zh-CN"/>
                <w14:textFill>
                  <w14:solidFill>
                    <w14:schemeClr w14:val="tx1"/>
                  </w14:solidFill>
                </w14:textFill>
              </w:rPr>
              <w:t>响应</w:t>
            </w:r>
          </w:p>
        </w:tc>
        <w:tc>
          <w:tcPr>
            <w:tcW w:w="619" w:type="pct"/>
            <w:noWrap w:val="0"/>
            <w:vAlign w:val="center"/>
          </w:tcPr>
          <w:p>
            <w:pPr>
              <w:jc w:val="center"/>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eastAsia="宋体" w:cs="宋体"/>
                <w:b w:val="0"/>
                <w:bCs/>
                <w:color w:val="000000" w:themeColor="text1"/>
                <w:sz w:val="24"/>
                <w:highlight w:val="none"/>
                <w14:textFill>
                  <w14:solidFill>
                    <w14:schemeClr w14:val="tx1"/>
                  </w14:solidFill>
                </w14:textFill>
              </w:rPr>
              <w:t>偏离</w:t>
            </w:r>
          </w:p>
        </w:tc>
        <w:tc>
          <w:tcPr>
            <w:tcW w:w="607" w:type="pct"/>
            <w:noWrap w:val="0"/>
            <w:vAlign w:val="center"/>
          </w:tcPr>
          <w:p>
            <w:pPr>
              <w:jc w:val="center"/>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eastAsia="宋体" w:cs="宋体"/>
                <w:b w:val="0"/>
                <w:bCs/>
                <w:color w:val="000000" w:themeColor="text1"/>
                <w:sz w:val="24"/>
                <w:highlight w:val="none"/>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721"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924"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880"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19"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07"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721"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924"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880"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19"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07"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721"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924"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880"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19"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07"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721"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924"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880"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19"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07"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23"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721"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924"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880"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19"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c>
          <w:tcPr>
            <w:tcW w:w="607" w:type="pct"/>
            <w:noWrap w:val="0"/>
            <w:vAlign w:val="top"/>
          </w:tcPr>
          <w:p>
            <w:pPr>
              <w:rPr>
                <w:rFonts w:hint="eastAsia" w:ascii="宋体" w:hAnsi="宋体" w:eastAsia="宋体" w:cs="宋体"/>
                <w:b w:val="0"/>
                <w:bCs/>
                <w:color w:val="000000" w:themeColor="text1"/>
                <w:sz w:val="24"/>
                <w:highlight w:val="none"/>
                <w14:textFill>
                  <w14:solidFill>
                    <w14:schemeClr w14:val="tx1"/>
                  </w14:solidFill>
                </w14:textFill>
              </w:rPr>
            </w:pPr>
          </w:p>
        </w:tc>
      </w:tr>
    </w:tbl>
    <w:p>
      <w:pPr>
        <w:spacing w:line="440" w:lineRule="exact"/>
        <w:rPr>
          <w:rFonts w:hint="eastAsia" w:ascii="宋体" w:hAnsi="宋体" w:eastAsia="宋体" w:cs="宋体"/>
          <w:b w:val="0"/>
          <w:bCs/>
          <w:color w:val="000000" w:themeColor="text1"/>
          <w:sz w:val="24"/>
          <w:highlight w:val="none"/>
          <w14:textFill>
            <w14:solidFill>
              <w14:schemeClr w14:val="tx1"/>
            </w14:solidFill>
          </w14:textFill>
        </w:rPr>
      </w:pPr>
      <w:r>
        <w:rPr>
          <w:rFonts w:hint="eastAsia" w:ascii="宋体" w:hAnsi="宋体" w:eastAsia="宋体" w:cs="宋体"/>
          <w:b w:val="0"/>
          <w:bCs/>
          <w:color w:val="000000" w:themeColor="text1"/>
          <w:sz w:val="24"/>
          <w:highlight w:val="none"/>
          <w14:textFill>
            <w14:solidFill>
              <w14:schemeClr w14:val="tx1"/>
            </w14:solidFill>
          </w14:textFill>
        </w:rPr>
        <w:t>备注：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val="0"/>
          <w:bCs/>
          <w:color w:val="000000" w:themeColor="text1"/>
          <w:sz w:val="24"/>
          <w:highlight w:val="none"/>
          <w:lang w:eastAsia="zh-CN"/>
          <w14:textFill>
            <w14:solidFill>
              <w14:schemeClr w14:val="tx1"/>
            </w14:solidFill>
          </w14:textFill>
        </w:rPr>
      </w:pPr>
      <w:r>
        <w:rPr>
          <w:rFonts w:hint="eastAsia" w:ascii="宋体" w:hAnsi="宋体" w:eastAsia="宋体" w:cs="宋体"/>
          <w:b w:val="0"/>
          <w:bCs/>
          <w:color w:val="000000" w:themeColor="text1"/>
          <w:sz w:val="24"/>
          <w:highlight w:val="none"/>
          <w:lang w:val="en-US" w:eastAsia="zh-CN"/>
          <w14:textFill>
            <w14:solidFill>
              <w14:schemeClr w14:val="tx1"/>
            </w14:solidFill>
          </w14:textFill>
        </w:rPr>
        <w:t>1、</w:t>
      </w:r>
      <w:r>
        <w:rPr>
          <w:rFonts w:hint="eastAsia" w:ascii="宋体" w:hAnsi="宋体" w:cs="宋体"/>
          <w:b w:val="0"/>
          <w:bCs/>
          <w:color w:val="000000" w:themeColor="text1"/>
          <w:sz w:val="24"/>
          <w:highlight w:val="none"/>
          <w:lang w:eastAsia="zh-CN"/>
          <w14:textFill>
            <w14:solidFill>
              <w14:schemeClr w14:val="tx1"/>
            </w14:solidFill>
          </w14:textFill>
        </w:rPr>
        <w:t>投标人</w:t>
      </w:r>
      <w:r>
        <w:rPr>
          <w:rFonts w:hint="eastAsia" w:ascii="宋体" w:hAnsi="宋体" w:eastAsia="宋体" w:cs="宋体"/>
          <w:b w:val="0"/>
          <w:bCs/>
          <w:color w:val="000000" w:themeColor="text1"/>
          <w:sz w:val="24"/>
          <w:highlight w:val="none"/>
          <w14:textFill>
            <w14:solidFill>
              <w14:schemeClr w14:val="tx1"/>
            </w14:solidFill>
          </w14:textFill>
        </w:rPr>
        <w:t>应根据其提供的服务，对照</w:t>
      </w:r>
      <w:r>
        <w:rPr>
          <w:rFonts w:hint="eastAsia" w:ascii="宋体" w:hAnsi="宋体" w:cs="宋体"/>
          <w:b w:val="0"/>
          <w:bCs/>
          <w:color w:val="000000" w:themeColor="text1"/>
          <w:sz w:val="24"/>
          <w:highlight w:val="none"/>
          <w:lang w:eastAsia="zh-CN"/>
          <w14:textFill>
            <w14:solidFill>
              <w14:schemeClr w14:val="tx1"/>
            </w14:solidFill>
          </w14:textFill>
        </w:rPr>
        <w:t>招标文件</w:t>
      </w:r>
      <w:r>
        <w:rPr>
          <w:rFonts w:hint="eastAsia" w:ascii="宋体" w:hAnsi="宋体" w:eastAsia="宋体" w:cs="宋体"/>
          <w:b w:val="0"/>
          <w:bCs/>
          <w:color w:val="000000" w:themeColor="text1"/>
          <w:sz w:val="24"/>
          <w:highlight w:val="none"/>
          <w14:textFill>
            <w14:solidFill>
              <w14:schemeClr w14:val="tx1"/>
            </w14:solidFill>
          </w14:textFill>
        </w:rPr>
        <w:t>“第四章</w:t>
      </w:r>
      <w:r>
        <w:rPr>
          <w:rFonts w:hint="eastAsia" w:ascii="宋体" w:hAnsi="宋体" w:cs="宋体"/>
          <w:b w:val="0"/>
          <w:bCs/>
          <w:color w:val="000000" w:themeColor="text1"/>
          <w:sz w:val="24"/>
          <w:highlight w:val="none"/>
          <w:lang w:val="en-US" w:eastAsia="zh-CN"/>
          <w14:textFill>
            <w14:solidFill>
              <w14:schemeClr w14:val="tx1"/>
            </w14:solidFill>
          </w14:textFill>
        </w:rPr>
        <w:t>招标项目采购需求</w:t>
      </w:r>
      <w:r>
        <w:rPr>
          <w:rFonts w:hint="eastAsia" w:ascii="宋体" w:hAnsi="宋体" w:eastAsia="宋体" w:cs="宋体"/>
          <w:b w:val="0"/>
          <w:bCs/>
          <w:color w:val="000000" w:themeColor="text1"/>
          <w:sz w:val="24"/>
          <w:highlight w:val="none"/>
          <w14:textFill>
            <w14:solidFill>
              <w14:schemeClr w14:val="tx1"/>
            </w14:solidFill>
          </w14:textFill>
        </w:rPr>
        <w:t>”中的条款号逐项填写，“</w:t>
      </w:r>
      <w:r>
        <w:rPr>
          <w:rFonts w:hint="eastAsia" w:ascii="宋体" w:hAnsi="宋体" w:cs="宋体"/>
          <w:b w:val="0"/>
          <w:bCs/>
          <w:color w:val="000000" w:themeColor="text1"/>
          <w:sz w:val="24"/>
          <w:highlight w:val="none"/>
          <w:lang w:eastAsia="zh-CN"/>
          <w14:textFill>
            <w14:solidFill>
              <w14:schemeClr w14:val="tx1"/>
            </w14:solidFill>
          </w14:textFill>
        </w:rPr>
        <w:t>投标文件</w:t>
      </w:r>
      <w:r>
        <w:rPr>
          <w:rFonts w:hint="eastAsia" w:ascii="宋体" w:hAnsi="宋体" w:eastAsia="宋体" w:cs="宋体"/>
          <w:b w:val="0"/>
          <w:bCs/>
          <w:color w:val="000000" w:themeColor="text1"/>
          <w:sz w:val="24"/>
          <w:highlight w:val="none"/>
          <w14:textFill>
            <w14:solidFill>
              <w14:schemeClr w14:val="tx1"/>
            </w14:solidFill>
          </w14:textFill>
        </w:rPr>
        <w:t>的</w:t>
      </w:r>
      <w:r>
        <w:rPr>
          <w:rFonts w:hint="eastAsia" w:ascii="宋体" w:hAnsi="宋体" w:eastAsia="宋体" w:cs="宋体"/>
          <w:b w:val="0"/>
          <w:bCs/>
          <w:color w:val="000000" w:themeColor="text1"/>
          <w:sz w:val="24"/>
          <w:highlight w:val="none"/>
          <w:lang w:val="en-US" w:eastAsia="zh-CN"/>
          <w14:textFill>
            <w14:solidFill>
              <w14:schemeClr w14:val="tx1"/>
            </w14:solidFill>
          </w14:textFill>
        </w:rPr>
        <w:t>响应</w:t>
      </w:r>
      <w:r>
        <w:rPr>
          <w:rFonts w:hint="eastAsia" w:ascii="宋体" w:hAnsi="宋体" w:eastAsia="宋体" w:cs="宋体"/>
          <w:b w:val="0"/>
          <w:bCs/>
          <w:color w:val="000000" w:themeColor="text1"/>
          <w:sz w:val="24"/>
          <w:highlight w:val="none"/>
          <w14:textFill>
            <w14:solidFill>
              <w14:schemeClr w14:val="tx1"/>
            </w14:solidFill>
          </w14:textFill>
        </w:rPr>
        <w:t>”一栏应如实反映响应服务</w:t>
      </w:r>
      <w:r>
        <w:rPr>
          <w:rFonts w:hint="eastAsia" w:ascii="宋体" w:hAnsi="宋体" w:eastAsia="宋体" w:cs="宋体"/>
          <w:b w:val="0"/>
          <w:bCs/>
          <w:color w:val="000000" w:themeColor="text1"/>
          <w:sz w:val="24"/>
          <w:highlight w:val="none"/>
          <w:lang w:val="en-US" w:eastAsia="zh-CN"/>
          <w14:textFill>
            <w14:solidFill>
              <w14:schemeClr w14:val="tx1"/>
            </w14:solidFill>
          </w14:textFill>
        </w:rPr>
        <w:t>情况</w:t>
      </w:r>
      <w:r>
        <w:rPr>
          <w:rFonts w:hint="eastAsia" w:ascii="宋体" w:hAnsi="宋体" w:eastAsia="宋体" w:cs="宋体"/>
          <w:b w:val="0"/>
          <w:bCs/>
          <w:color w:val="000000" w:themeColor="text1"/>
          <w:sz w:val="24"/>
          <w:highlight w:val="none"/>
          <w14:textFill>
            <w14:solidFill>
              <w14:schemeClr w14:val="tx1"/>
            </w14:solidFill>
          </w14:textFill>
        </w:rPr>
        <w:t>，不得复制</w:t>
      </w:r>
      <w:r>
        <w:rPr>
          <w:rFonts w:hint="eastAsia" w:ascii="宋体" w:hAnsi="宋体" w:cs="宋体"/>
          <w:b w:val="0"/>
          <w:bCs/>
          <w:color w:val="000000" w:themeColor="text1"/>
          <w:sz w:val="24"/>
          <w:highlight w:val="none"/>
          <w:lang w:eastAsia="zh-CN"/>
          <w14:textFill>
            <w14:solidFill>
              <w14:schemeClr w14:val="tx1"/>
            </w14:solidFill>
          </w14:textFill>
        </w:rPr>
        <w:t>招标文件</w:t>
      </w:r>
      <w:r>
        <w:rPr>
          <w:rFonts w:hint="eastAsia" w:ascii="宋体" w:hAnsi="宋体" w:eastAsia="宋体" w:cs="宋体"/>
          <w:b w:val="0"/>
          <w:bCs/>
          <w:color w:val="000000" w:themeColor="text1"/>
          <w:sz w:val="24"/>
          <w:highlight w:val="none"/>
          <w14:textFill>
            <w14:solidFill>
              <w14:schemeClr w14:val="tx1"/>
            </w14:solidFill>
          </w14:textFill>
        </w:rPr>
        <w:t>内容，不得虚假响应，否则将视为未实质性响应</w:t>
      </w:r>
      <w:r>
        <w:rPr>
          <w:rFonts w:hint="eastAsia" w:ascii="宋体" w:hAnsi="宋体" w:cs="宋体"/>
          <w:b w:val="0"/>
          <w:bCs/>
          <w:color w:val="000000" w:themeColor="text1"/>
          <w:sz w:val="24"/>
          <w:highlight w:val="none"/>
          <w:lang w:eastAsia="zh-CN"/>
          <w14:textFill>
            <w14:solidFill>
              <w14:schemeClr w14:val="tx1"/>
            </w14:solidFill>
          </w14:textFill>
        </w:rPr>
        <w:t>招标文件</w:t>
      </w:r>
      <w:r>
        <w:rPr>
          <w:rFonts w:hint="eastAsia" w:ascii="宋体" w:hAnsi="宋体" w:eastAsia="宋体" w:cs="宋体"/>
          <w:b w:val="0"/>
          <w:bCs/>
          <w:color w:val="000000" w:themeColor="text1"/>
          <w:sz w:val="24"/>
          <w:highlight w:val="none"/>
          <w14:textFill>
            <w14:solidFill>
              <w14:schemeClr w14:val="tx1"/>
            </w14:solidFill>
          </w14:textFill>
        </w:rPr>
        <w:t>要求，</w:t>
      </w:r>
      <w:r>
        <w:rPr>
          <w:rFonts w:hint="eastAsia" w:ascii="宋体" w:hAnsi="宋体" w:eastAsia="宋体" w:cs="宋体"/>
          <w:b w:val="0"/>
          <w:bCs/>
          <w:color w:val="000000" w:themeColor="text1"/>
          <w:sz w:val="24"/>
          <w:highlight w:val="none"/>
          <w:lang w:val="en-US" w:eastAsia="zh-CN"/>
          <w14:textFill>
            <w14:solidFill>
              <w14:schemeClr w14:val="tx1"/>
            </w14:solidFill>
          </w14:textFill>
        </w:rPr>
        <w:t>响应</w:t>
      </w:r>
      <w:r>
        <w:rPr>
          <w:rFonts w:hint="eastAsia" w:ascii="宋体" w:hAnsi="宋体" w:eastAsia="宋体" w:cs="宋体"/>
          <w:b w:val="0"/>
          <w:bCs/>
          <w:color w:val="000000" w:themeColor="text1"/>
          <w:sz w:val="24"/>
          <w:highlight w:val="none"/>
          <w14:textFill>
            <w14:solidFill>
              <w14:schemeClr w14:val="tx1"/>
            </w14:solidFill>
          </w14:textFill>
        </w:rPr>
        <w:t>无效</w:t>
      </w:r>
      <w:r>
        <w:rPr>
          <w:rFonts w:hint="eastAsia" w:ascii="宋体" w:hAnsi="宋体" w:eastAsia="宋体" w:cs="宋体"/>
          <w:b w:val="0"/>
          <w:bCs/>
          <w:color w:val="000000" w:themeColor="text1"/>
          <w:sz w:val="24"/>
          <w:highlight w:val="none"/>
          <w:lang w:eastAsia="zh-CN"/>
          <w14:textFill>
            <w14:solidFill>
              <w14:schemeClr w14:val="tx1"/>
            </w14:solidFill>
          </w14:textFill>
        </w:rPr>
        <w:t>。</w:t>
      </w:r>
    </w:p>
    <w:p>
      <w:pPr>
        <w:pStyle w:val="27"/>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宋体" w:hAnsi="宋体" w:eastAsia="宋体" w:cs="宋体"/>
          <w:b w:val="0"/>
          <w:bCs/>
          <w:color w:val="000000" w:themeColor="text1"/>
          <w:highlight w:val="none"/>
          <w:lang w:val="en-US" w:eastAsia="zh-CN"/>
          <w14:textFill>
            <w14:solidFill>
              <w14:schemeClr w14:val="tx1"/>
            </w14:solidFill>
          </w14:textFill>
        </w:rPr>
      </w:pPr>
      <w:r>
        <w:rPr>
          <w:rFonts w:hint="eastAsia" w:ascii="宋体" w:hAnsi="宋体" w:eastAsia="宋体" w:cs="宋体"/>
          <w:b w:val="0"/>
          <w:bCs/>
          <w:color w:val="000000" w:themeColor="text1"/>
          <w:sz w:val="24"/>
          <w:highlight w:val="none"/>
          <w:lang w:val="en-US" w:eastAsia="zh-CN"/>
          <w14:textFill>
            <w14:solidFill>
              <w14:schemeClr w14:val="tx1"/>
            </w14:solidFill>
          </w14:textFill>
        </w:rPr>
        <w:t>2、“</w:t>
      </w:r>
      <w:r>
        <w:rPr>
          <w:rFonts w:hint="eastAsia" w:ascii="宋体" w:hAnsi="宋体" w:eastAsia="宋体" w:cs="宋体"/>
          <w:b w:val="0"/>
          <w:bCs/>
          <w:color w:val="000000" w:themeColor="text1"/>
          <w:sz w:val="24"/>
          <w:highlight w:val="none"/>
          <w14:textFill>
            <w14:solidFill>
              <w14:schemeClr w14:val="tx1"/>
            </w14:solidFill>
          </w14:textFill>
        </w:rPr>
        <w:t>第四章</w:t>
      </w:r>
      <w:r>
        <w:rPr>
          <w:rFonts w:hint="eastAsia" w:ascii="宋体" w:hAnsi="宋体" w:cs="宋体"/>
          <w:b w:val="0"/>
          <w:bCs/>
          <w:color w:val="000000" w:themeColor="text1"/>
          <w:sz w:val="24"/>
          <w:highlight w:val="none"/>
          <w:lang w:val="en-US" w:eastAsia="zh-CN"/>
          <w14:textFill>
            <w14:solidFill>
              <w14:schemeClr w14:val="tx1"/>
            </w14:solidFill>
          </w14:textFill>
        </w:rPr>
        <w:t>招标项目采购需求</w:t>
      </w:r>
      <w:r>
        <w:rPr>
          <w:rFonts w:hint="eastAsia" w:ascii="宋体" w:hAnsi="宋体" w:eastAsia="宋体" w:cs="宋体"/>
          <w:b w:val="0"/>
          <w:bCs/>
          <w:color w:val="000000" w:themeColor="text1"/>
          <w:sz w:val="24"/>
          <w:highlight w:val="none"/>
          <w14:textFill>
            <w14:solidFill>
              <w14:schemeClr w14:val="tx1"/>
            </w14:solidFill>
          </w14:textFill>
        </w:rPr>
        <w:t>”</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每项</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参数要求投标人须提供与服务需求相应的证明材料，如产品检测报告、产品合格证、鉴定证书、制造商产品彩页、制造商官网截图、制造商技术白皮书、制造商产品说明书或相应实物照片等。</w:t>
      </w:r>
    </w:p>
    <w:p>
      <w:pPr>
        <w:spacing w:line="360" w:lineRule="atLeast"/>
        <w:rPr>
          <w:rFonts w:hint="eastAsia" w:ascii="宋体" w:hAnsi="宋体" w:eastAsia="宋体" w:cs="宋体"/>
          <w:color w:val="000000" w:themeColor="text1"/>
          <w:sz w:val="24"/>
          <w:szCs w:val="24"/>
          <w:highlight w:val="none"/>
          <w14:textFill>
            <w14:solidFill>
              <w14:schemeClr w14:val="tx1"/>
            </w14:solidFill>
          </w14:textFill>
        </w:rPr>
      </w:pPr>
    </w:p>
    <w:p>
      <w:pPr>
        <w:pStyle w:val="15"/>
        <w:spacing w:line="360" w:lineRule="atLeast"/>
        <w:ind w:left="0" w:leftChars="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投标人名称（盖章）：</w:t>
      </w:r>
    </w:p>
    <w:p>
      <w:pPr>
        <w:pStyle w:val="15"/>
        <w:spacing w:line="360" w:lineRule="atLeast"/>
        <w:ind w:left="0" w:leftChars="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授权人和被授权人（签字或盖章）：</w:t>
      </w:r>
    </w:p>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日期： 年 月 日</w:t>
      </w:r>
    </w:p>
    <w:p>
      <w:pPr>
        <w:numPr>
          <w:ilvl w:val="0"/>
          <w:numId w:val="7"/>
        </w:numPr>
        <w:jc w:val="center"/>
        <w:outlineLvl w:val="1"/>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bookmarkEnd w:id="142"/>
      <w:r>
        <w:rPr>
          <w:rFonts w:hint="eastAsia" w:ascii="宋体" w:hAnsi="宋体" w:eastAsia="宋体" w:cs="宋体"/>
          <w:b/>
          <w:bCs/>
          <w:color w:val="000000" w:themeColor="text1"/>
          <w:kern w:val="0"/>
          <w:sz w:val="24"/>
          <w:szCs w:val="24"/>
          <w:highlight w:val="none"/>
          <w14:textFill>
            <w14:solidFill>
              <w14:schemeClr w14:val="tx1"/>
            </w14:solidFill>
          </w14:textFill>
        </w:rPr>
        <w:t>拟配备人员情况</w:t>
      </w:r>
    </w:p>
    <w:p>
      <w:pPr>
        <w:pStyle w:val="2"/>
        <w:numPr>
          <w:ilvl w:val="0"/>
          <w:numId w:val="0"/>
        </w:numPr>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1、项目负责人介绍应包括：姓名、性别、年龄、学历、参加工作时间等。</w:t>
      </w:r>
    </w:p>
    <w:p>
      <w:pPr>
        <w:spacing w:line="400" w:lineRule="exact"/>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、项目负责人简历格式自拟，后附身份证、学历证书等</w:t>
      </w:r>
      <w:r>
        <w:rPr>
          <w:rFonts w:hint="eastAsia" w:ascii="宋体" w:hAnsi="宋体" w:cs="宋体"/>
          <w:color w:val="000000" w:themeColor="text1"/>
          <w:sz w:val="24"/>
          <w:highlight w:val="none"/>
          <w:lang w:eastAsia="zh-CN"/>
          <w14:textFill>
            <w14:solidFill>
              <w14:schemeClr w14:val="tx1"/>
            </w14:solidFill>
          </w14:textFill>
        </w:rPr>
        <w:t>复印件</w:t>
      </w:r>
      <w:r>
        <w:rPr>
          <w:rFonts w:hint="eastAsia" w:ascii="宋体" w:hAnsi="宋体" w:cs="宋体"/>
          <w:color w:val="000000" w:themeColor="text1"/>
          <w:sz w:val="24"/>
          <w:highlight w:val="none"/>
          <w14:textFill>
            <w14:solidFill>
              <w14:schemeClr w14:val="tx1"/>
            </w14:solidFill>
          </w14:textFill>
        </w:rPr>
        <w:t>。</w:t>
      </w:r>
    </w:p>
    <w:p>
      <w:pP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、项目配备人员</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910"/>
        <w:gridCol w:w="912"/>
        <w:gridCol w:w="912"/>
        <w:gridCol w:w="912"/>
        <w:gridCol w:w="1188"/>
        <w:gridCol w:w="835"/>
        <w:gridCol w:w="951"/>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restart"/>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类别</w:t>
            </w:r>
          </w:p>
        </w:tc>
        <w:tc>
          <w:tcPr>
            <w:tcW w:w="910" w:type="dxa"/>
            <w:vMerge w:val="restart"/>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912" w:type="dxa"/>
            <w:vMerge w:val="restart"/>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联系方式</w:t>
            </w:r>
          </w:p>
        </w:tc>
        <w:tc>
          <w:tcPr>
            <w:tcW w:w="912" w:type="dxa"/>
            <w:vMerge w:val="restart"/>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职称或职务</w:t>
            </w:r>
          </w:p>
        </w:tc>
        <w:tc>
          <w:tcPr>
            <w:tcW w:w="912" w:type="dxa"/>
            <w:vMerge w:val="restart"/>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常住地</w:t>
            </w:r>
          </w:p>
        </w:tc>
        <w:tc>
          <w:tcPr>
            <w:tcW w:w="3815" w:type="dxa"/>
            <w:gridSpan w:val="4"/>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continue"/>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0" w:type="dxa"/>
            <w:vMerge w:val="continue"/>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vMerge w:val="continue"/>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vMerge w:val="continue"/>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vMerge w:val="continue"/>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8" w:type="dxa"/>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证书名称</w:t>
            </w:r>
          </w:p>
        </w:tc>
        <w:tc>
          <w:tcPr>
            <w:tcW w:w="835" w:type="dxa"/>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级别</w:t>
            </w:r>
          </w:p>
        </w:tc>
        <w:tc>
          <w:tcPr>
            <w:tcW w:w="951" w:type="dxa"/>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证号</w:t>
            </w:r>
          </w:p>
        </w:tc>
        <w:tc>
          <w:tcPr>
            <w:tcW w:w="841" w:type="dxa"/>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restart"/>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管</w:t>
            </w:r>
          </w:p>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理</w:t>
            </w:r>
          </w:p>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人</w:t>
            </w:r>
          </w:p>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员</w:t>
            </w:r>
          </w:p>
        </w:tc>
        <w:tc>
          <w:tcPr>
            <w:tcW w:w="910"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8"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35"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5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4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continue"/>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0"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8"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35"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5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4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continue"/>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0"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8"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35"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5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4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restart"/>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服</w:t>
            </w:r>
          </w:p>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务</w:t>
            </w:r>
          </w:p>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人</w:t>
            </w:r>
          </w:p>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员</w:t>
            </w:r>
          </w:p>
        </w:tc>
        <w:tc>
          <w:tcPr>
            <w:tcW w:w="910"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8"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35"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5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4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continue"/>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0"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8"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35"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5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4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continue"/>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0"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8"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35"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5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4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restart"/>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w:t>
            </w:r>
          </w:p>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他</w:t>
            </w:r>
          </w:p>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人</w:t>
            </w:r>
          </w:p>
          <w:p>
            <w:pPr>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员</w:t>
            </w:r>
          </w:p>
        </w:tc>
        <w:tc>
          <w:tcPr>
            <w:tcW w:w="910"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8"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35"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5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841"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continue"/>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0"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1188"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835"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951"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841"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continue"/>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0" w:type="dxa"/>
            <w:noWrap w:val="0"/>
            <w:vAlign w:val="top"/>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912"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1188"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835"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951"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c>
          <w:tcPr>
            <w:tcW w:w="841" w:type="dxa"/>
            <w:noWrap w:val="0"/>
            <w:vAlign w:val="top"/>
          </w:tcPr>
          <w:p>
            <w:pPr>
              <w:spacing w:line="400" w:lineRule="exact"/>
              <w:jc w:val="center"/>
              <w:rPr>
                <w:rFonts w:hint="eastAsia" w:ascii="宋体" w:hAnsi="宋体" w:cs="宋体"/>
                <w:b/>
                <w:bCs/>
                <w:color w:val="000000" w:themeColor="text1"/>
                <w:sz w:val="24"/>
                <w:highlight w:val="none"/>
                <w14:textFill>
                  <w14:solidFill>
                    <w14:schemeClr w14:val="tx1"/>
                  </w14:solidFill>
                </w14:textFill>
              </w:rPr>
            </w:pPr>
          </w:p>
        </w:tc>
      </w:tr>
    </w:tbl>
    <w:p>
      <w:pPr>
        <w:adjustRightInd w:val="0"/>
        <w:spacing w:line="400" w:lineRule="exact"/>
        <w:ind w:firstLine="900" w:firstLineChars="375"/>
        <w:jc w:val="left"/>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注：后附人员相关证书</w:t>
      </w:r>
      <w:r>
        <w:rPr>
          <w:rFonts w:hint="eastAsia" w:ascii="宋体" w:hAnsi="宋体" w:cs="宋体"/>
          <w:bCs/>
          <w:color w:val="000000" w:themeColor="text1"/>
          <w:sz w:val="24"/>
          <w:highlight w:val="none"/>
          <w:lang w:eastAsia="zh-CN"/>
          <w14:textFill>
            <w14:solidFill>
              <w14:schemeClr w14:val="tx1"/>
            </w14:solidFill>
          </w14:textFill>
        </w:rPr>
        <w:t>复印件并加盖单位公章</w:t>
      </w:r>
      <w:r>
        <w:rPr>
          <w:rFonts w:hint="eastAsia" w:ascii="宋体" w:hAnsi="宋体" w:cs="宋体"/>
          <w:bCs/>
          <w:color w:val="000000" w:themeColor="text1"/>
          <w:sz w:val="24"/>
          <w:highlight w:val="none"/>
          <w14:textFill>
            <w14:solidFill>
              <w14:schemeClr w14:val="tx1"/>
            </w14:solidFill>
          </w14:textFill>
        </w:rPr>
        <w:t>。</w:t>
      </w:r>
    </w:p>
    <w:p>
      <w:pPr>
        <w:pStyle w:val="11"/>
        <w:rPr>
          <w:rFonts w:hint="eastAsia" w:ascii="宋体" w:hAnsi="宋体" w:cs="宋体"/>
          <w:color w:val="000000" w:themeColor="text1"/>
          <w:sz w:val="24"/>
          <w:highlight w:val="none"/>
          <w14:textFill>
            <w14:solidFill>
              <w14:schemeClr w14:val="tx1"/>
            </w14:solidFill>
          </w14:textFill>
        </w:rPr>
      </w:pPr>
    </w:p>
    <w:p>
      <w:pPr>
        <w:adjustRightInd w:val="0"/>
        <w:spacing w:line="400" w:lineRule="exact"/>
        <w:ind w:firstLine="900" w:firstLineChars="375"/>
        <w:jc w:val="center"/>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 xml:space="preserve">         投标人名称（盖章）：        </w:t>
      </w:r>
    </w:p>
    <w:p>
      <w:pPr>
        <w:adjustRightInd w:val="0"/>
        <w:spacing w:line="400" w:lineRule="exact"/>
        <w:ind w:firstLine="4020" w:firstLineChars="1675"/>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授权人或被授权人（签字或盖章）</w:t>
      </w:r>
      <w:r>
        <w:rPr>
          <w:rFonts w:hint="eastAsia" w:ascii="宋体" w:hAnsi="宋体" w:cs="宋体"/>
          <w:bCs/>
          <w:color w:val="000000" w:themeColor="text1"/>
          <w:sz w:val="24"/>
          <w:highlight w:val="none"/>
          <w14:textFill>
            <w14:solidFill>
              <w14:schemeClr w14:val="tx1"/>
            </w14:solidFill>
          </w14:textFill>
        </w:rPr>
        <w:t>：</w:t>
      </w:r>
    </w:p>
    <w:p>
      <w:pPr>
        <w:adjustRightInd w:val="0"/>
        <w:spacing w:line="400" w:lineRule="exact"/>
        <w:ind w:firstLine="900" w:firstLineChars="375"/>
        <w:jc w:val="center"/>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日期:</w:t>
      </w:r>
    </w:p>
    <w:p>
      <w:pPr>
        <w:spacing w:line="360" w:lineRule="auto"/>
        <w:ind w:firstLine="4080" w:firstLineChars="1700"/>
        <w:jc w:val="left"/>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pStyle w:val="23"/>
        <w:spacing w:before="75" w:beforeAutospacing="0" w:after="75" w:afterAutospacing="0" w:line="540" w:lineRule="atLeast"/>
        <w:rPr>
          <w:rFonts w:hint="eastAsia" w:ascii="宋体" w:hAnsi="宋体" w:eastAsia="宋体" w:cs="宋体"/>
          <w:color w:val="000000" w:themeColor="text1"/>
          <w:sz w:val="24"/>
          <w:szCs w:val="24"/>
          <w:highlight w:val="none"/>
          <w14:textFill>
            <w14:solidFill>
              <w14:schemeClr w14:val="tx1"/>
            </w14:solidFill>
          </w14:textFill>
        </w:rPr>
      </w:pPr>
    </w:p>
    <w:p>
      <w:pPr>
        <w:pStyle w:val="23"/>
        <w:spacing w:before="75" w:beforeAutospacing="0" w:after="75" w:afterAutospacing="0" w:line="540" w:lineRule="atLeast"/>
        <w:rPr>
          <w:rFonts w:hint="eastAsia" w:ascii="宋体" w:hAnsi="宋体" w:eastAsia="宋体" w:cs="宋体"/>
          <w:color w:val="000000" w:themeColor="text1"/>
          <w:sz w:val="24"/>
          <w:szCs w:val="24"/>
          <w:highlight w:val="none"/>
          <w14:textFill>
            <w14:solidFill>
              <w14:schemeClr w14:val="tx1"/>
            </w14:solidFill>
          </w14:textFill>
        </w:rPr>
      </w:pPr>
    </w:p>
    <w:p>
      <w:pPr>
        <w:pStyle w:val="23"/>
        <w:spacing w:before="75" w:beforeAutospacing="0" w:after="75" w:afterAutospacing="0" w:line="540" w:lineRule="atLeast"/>
        <w:rPr>
          <w:rFonts w:hint="eastAsia" w:ascii="宋体" w:hAnsi="宋体" w:eastAsia="宋体" w:cs="宋体"/>
          <w:color w:val="000000" w:themeColor="text1"/>
          <w:sz w:val="24"/>
          <w:szCs w:val="24"/>
          <w:highlight w:val="none"/>
          <w14:textFill>
            <w14:solidFill>
              <w14:schemeClr w14:val="tx1"/>
            </w14:solidFill>
          </w14:textFill>
        </w:rPr>
      </w:pPr>
    </w:p>
    <w:p>
      <w:pPr>
        <w:pStyle w:val="27"/>
        <w:numPr>
          <w:ilvl w:val="0"/>
          <w:numId w:val="8"/>
        </w:numPr>
        <w:ind w:firstLine="0"/>
        <w:jc w:val="center"/>
        <w:outlineLvl w:val="1"/>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br w:type="page"/>
      </w:r>
      <w:r>
        <w:rPr>
          <w:rFonts w:hint="eastAsia" w:ascii="宋体" w:hAnsi="宋体" w:eastAsia="宋体" w:cs="宋体"/>
          <w:b/>
          <w:bCs/>
          <w:color w:val="000000" w:themeColor="text1"/>
          <w:kern w:val="0"/>
          <w:sz w:val="24"/>
          <w:szCs w:val="24"/>
          <w:highlight w:val="none"/>
          <w14:textFill>
            <w14:solidFill>
              <w14:schemeClr w14:val="tx1"/>
            </w14:solidFill>
          </w14:textFill>
        </w:rPr>
        <w:t>实施方案</w:t>
      </w: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投标人应根据本</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要求和项目的具体情况，自行编制实施方案，格式自拟，但应主要包括以下内容：</w:t>
      </w:r>
    </w:p>
    <w:bookmarkEnd w:id="138"/>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pPr>
      <w:bookmarkStart w:id="143" w:name="_Toc31271_WPSOffice_Level1"/>
      <w:r>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t>1、配送及安装方案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t>2、进度计划及保障措施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t>3、故障检修方案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t>4、售后服务方案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t>5、备品备件供应方案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t>6、培训方案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t>7、应急服务响应与处理方案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t>8、安全文明施工措施</w:t>
      </w:r>
      <w:r>
        <w:rPr>
          <w:rFonts w:hint="eastAsia" w:ascii="宋体" w:hAnsi="宋体" w:cs="宋体"/>
          <w:b w:val="0"/>
          <w:bCs w:val="0"/>
          <w:color w:val="000000" w:themeColor="text1"/>
          <w:kern w:val="0"/>
          <w:sz w:val="24"/>
          <w:szCs w:val="24"/>
          <w:highlight w:val="none"/>
          <w:lang w:val="en-US" w:eastAsia="zh-CN"/>
          <w14:textFill>
            <w14:solidFill>
              <w14:schemeClr w14:val="tx1"/>
            </w14:solidFill>
          </w14:textFill>
        </w:rPr>
        <w:br w:type="page"/>
      </w:r>
    </w:p>
    <w:p>
      <w:pPr>
        <w:pStyle w:val="2"/>
        <w:ind w:firstLine="0" w:firstLineChars="0"/>
        <w:jc w:val="center"/>
        <w:outlineLvl w:val="1"/>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lang w:val="en-US" w:eastAsia="zh-CN"/>
          <w14:textFill>
            <w14:solidFill>
              <w14:schemeClr w14:val="tx1"/>
            </w14:solidFill>
          </w14:textFill>
        </w:rPr>
        <w:t>九</w:t>
      </w:r>
      <w:r>
        <w:rPr>
          <w:rFonts w:hint="eastAsia" w:ascii="宋体" w:hAnsi="宋体" w:eastAsia="宋体" w:cs="宋体"/>
          <w:b/>
          <w:bCs/>
          <w:color w:val="000000" w:themeColor="text1"/>
          <w:kern w:val="0"/>
          <w:sz w:val="24"/>
          <w:szCs w:val="24"/>
          <w:highlight w:val="none"/>
          <w14:textFill>
            <w14:solidFill>
              <w14:schemeClr w14:val="tx1"/>
            </w14:solidFill>
          </w14:textFill>
        </w:rPr>
        <w:t>、投标人认为需要提供的其他文件和资料</w:t>
      </w:r>
    </w:p>
    <w:p>
      <w:pPr>
        <w:spacing w:line="460" w:lineRule="exact"/>
        <w:rPr>
          <w:rFonts w:hint="eastAsia" w:ascii="宋体" w:hAnsi="宋体" w:eastAsia="宋体" w:cs="宋体"/>
          <w:bCs/>
          <w:color w:val="000000" w:themeColor="text1"/>
          <w:sz w:val="24"/>
          <w:szCs w:val="24"/>
          <w:highlight w:val="none"/>
          <w14:textFill>
            <w14:solidFill>
              <w14:schemeClr w14:val="tx1"/>
            </w14:solidFill>
          </w14:textFill>
        </w:rPr>
      </w:pPr>
    </w:p>
    <w:p>
      <w:pPr>
        <w:spacing w:line="460" w:lineRule="exact"/>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1、以下《中小微企业声明函》、《监狱企业的证明文件》及《残疾人福利性单位声明函》投标人根据自身的实际情况选用（如有）。</w:t>
      </w:r>
    </w:p>
    <w:p>
      <w:pPr>
        <w:spacing w:line="460" w:lineRule="exact"/>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2、投标人同时为小型（或微型）企业、监狱企业、残疾人福利性单位任两种或以上情况的，评审中只享受一次价格扣除（或评审得分优惠），不重复进行价格扣除。</w:t>
      </w:r>
    </w:p>
    <w:p>
      <w:pPr>
        <w:pStyle w:val="14"/>
        <w:spacing w:line="46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（一）中小企业声明函</w:t>
      </w:r>
    </w:p>
    <w:p>
      <w:pPr>
        <w:pStyle w:val="14"/>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本公司（联合体）郑重声明，根据《政府采购促进中小企业发展管理办法》（财库﹝2020﹞46号）的规定，本公司（联合体）参加</w:t>
      </w:r>
    </w:p>
    <w:p>
      <w:pPr>
        <w:pStyle w:val="14"/>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（单位名称）</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color w:val="000000" w:themeColor="text1"/>
          <w:sz w:val="24"/>
          <w:szCs w:val="24"/>
          <w:highlight w:val="none"/>
          <w:u w:val="single"/>
          <w14:textFill>
            <w14:solidFill>
              <w14:schemeClr w14:val="tx1"/>
            </w14:solidFill>
          </w14:textFill>
        </w:rPr>
        <w:t>（项目名称）</w:t>
      </w:r>
      <w:r>
        <w:rPr>
          <w:rFonts w:hint="eastAsia" w:ascii="宋体" w:hAnsi="宋体" w:eastAsia="宋体" w:cs="宋体"/>
          <w:color w:val="000000" w:themeColor="text1"/>
          <w:sz w:val="24"/>
          <w:szCs w:val="24"/>
          <w:highlight w:val="none"/>
          <w14:textFill>
            <w14:solidFill>
              <w14:schemeClr w14:val="tx1"/>
            </w14:solidFill>
          </w14:textFill>
        </w:rPr>
        <w:t>采购活动，</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提供的货物</w:t>
      </w:r>
      <w:r>
        <w:rPr>
          <w:rFonts w:hint="eastAsia" w:ascii="宋体" w:hAnsi="宋体" w:eastAsia="宋体" w:cs="宋体"/>
          <w:color w:val="000000" w:themeColor="text1"/>
          <w:sz w:val="24"/>
          <w:szCs w:val="24"/>
          <w:highlight w:val="none"/>
          <w14:textFill>
            <w14:solidFill>
              <w14:schemeClr w14:val="tx1"/>
            </w14:solidFill>
          </w14:textFill>
        </w:rPr>
        <w:t>全部</w:t>
      </w:r>
      <w:r>
        <w:rPr>
          <w:rFonts w:hint="eastAsia" w:ascii="宋体" w:hAnsi="宋体" w:eastAsia="宋体" w:cs="宋体"/>
          <w:color w:val="000000" w:themeColor="text1"/>
          <w:sz w:val="24"/>
          <w:szCs w:val="24"/>
          <w:highlight w:val="none"/>
          <w:lang w:val="en-US" w:eastAsia="zh-CN"/>
          <w14:textFill>
            <w14:solidFill>
              <w14:schemeClr w14:val="tx1"/>
            </w14:solidFill>
          </w14:textFill>
        </w:rPr>
        <w:t>由</w:t>
      </w:r>
      <w:r>
        <w:rPr>
          <w:rFonts w:hint="eastAsia" w:ascii="宋体" w:hAnsi="宋体" w:eastAsia="宋体" w:cs="宋体"/>
          <w:color w:val="000000" w:themeColor="text1"/>
          <w:sz w:val="24"/>
          <w:szCs w:val="24"/>
          <w:highlight w:val="none"/>
          <w14:textFill>
            <w14:solidFill>
              <w14:schemeClr w14:val="tx1"/>
            </w14:solidFill>
          </w14:textFill>
        </w:rPr>
        <w:t>符合政策要求的中小企业</w:t>
      </w:r>
      <w:r>
        <w:rPr>
          <w:rFonts w:hint="eastAsia" w:ascii="宋体" w:hAnsi="宋体" w:eastAsia="宋体" w:cs="宋体"/>
          <w:color w:val="000000" w:themeColor="text1"/>
          <w:sz w:val="24"/>
          <w:szCs w:val="24"/>
          <w:highlight w:val="none"/>
          <w:lang w:val="en-US" w:eastAsia="zh-CN"/>
          <w14:textFill>
            <w14:solidFill>
              <w14:schemeClr w14:val="tx1"/>
            </w14:solidFill>
          </w14:textFill>
        </w:rPr>
        <w:t>制造。</w:t>
      </w:r>
      <w:r>
        <w:rPr>
          <w:rFonts w:hint="eastAsia" w:ascii="宋体" w:hAnsi="宋体" w:eastAsia="宋体" w:cs="宋体"/>
          <w:color w:val="000000" w:themeColor="text1"/>
          <w:sz w:val="24"/>
          <w:szCs w:val="24"/>
          <w:highlight w:val="none"/>
          <w14:textFill>
            <w14:solidFill>
              <w14:schemeClr w14:val="tx1"/>
            </w14:solidFill>
          </w14:textFill>
        </w:rPr>
        <w:t>相关企业（含联合体中的中小企业、签订分包意向协议的中小企业）的具体情况如下：</w:t>
      </w:r>
    </w:p>
    <w:p>
      <w:pPr>
        <w:pStyle w:val="14"/>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hAnsi="宋体" w:cs="宋体"/>
          <w:color w:val="000000" w:themeColor="text1"/>
          <w:sz w:val="24"/>
          <w:szCs w:val="24"/>
          <w:highlight w:val="none"/>
          <w:u w:val="singl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u w:val="single"/>
          <w14:textFill>
            <w14:solidFill>
              <w14:schemeClr w14:val="tx1"/>
            </w14:solidFill>
          </w14:textFill>
        </w:rPr>
        <w:t>中明确的所属行业）</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行业</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制造商为</w:t>
      </w:r>
      <w:r>
        <w:rPr>
          <w:rFonts w:hint="eastAsia" w:ascii="宋体" w:hAnsi="宋体" w:eastAsia="宋体" w:cs="宋体"/>
          <w:color w:val="000000" w:themeColor="text1"/>
          <w:sz w:val="24"/>
          <w:szCs w:val="24"/>
          <w:highlight w:val="none"/>
          <w:u w:val="single"/>
          <w14:textFill>
            <w14:solidFill>
              <w14:schemeClr w14:val="tx1"/>
            </w14:solidFill>
          </w14:textFill>
        </w:rPr>
        <w:t>（企业名称）</w:t>
      </w:r>
      <w:r>
        <w:rPr>
          <w:rFonts w:hint="eastAsia" w:ascii="宋体" w:hAnsi="宋体" w:eastAsia="宋体" w:cs="宋体"/>
          <w:color w:val="000000" w:themeColor="text1"/>
          <w:sz w:val="24"/>
          <w:szCs w:val="24"/>
          <w:highlight w:val="none"/>
          <w14:textFill>
            <w14:solidFill>
              <w14:schemeClr w14:val="tx1"/>
            </w14:solidFill>
          </w14:textFill>
        </w:rPr>
        <w:t>，从业人员</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人，营业收入为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万元，资产总额为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w:t>
      </w:r>
      <w:r>
        <w:rPr>
          <w:rFonts w:hint="eastAsia" w:ascii="宋体" w:hAnsi="宋体" w:eastAsia="宋体" w:cs="宋体"/>
          <w:color w:val="000000" w:themeColor="text1"/>
          <w:sz w:val="24"/>
          <w:szCs w:val="24"/>
          <w:highlight w:val="none"/>
          <w:vertAlign w:val="superscript"/>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，属于（中型企业、小型企业</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微型企业</w:t>
      </w:r>
      <w:r>
        <w:rPr>
          <w:rFonts w:hint="eastAsia" w:ascii="宋体" w:hAnsi="宋体" w:eastAsia="宋体" w:cs="宋体"/>
          <w:color w:val="000000" w:themeColor="text1"/>
          <w:sz w:val="24"/>
          <w:szCs w:val="24"/>
          <w:highlight w:val="none"/>
          <w14:textFill>
            <w14:solidFill>
              <w14:schemeClr w14:val="tx1"/>
            </w14:solidFill>
          </w14:textFill>
        </w:rPr>
        <w:t>）；</w:t>
      </w:r>
    </w:p>
    <w:p>
      <w:pPr>
        <w:pStyle w:val="14"/>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hAnsi="宋体" w:cs="宋体"/>
          <w:color w:val="000000" w:themeColor="text1"/>
          <w:sz w:val="24"/>
          <w:szCs w:val="24"/>
          <w:highlight w:val="none"/>
          <w:u w:val="singl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u w:val="single"/>
          <w14:textFill>
            <w14:solidFill>
              <w14:schemeClr w14:val="tx1"/>
            </w14:solidFill>
          </w14:textFill>
        </w:rPr>
        <w:t>中明确的所属行业）行业</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制造商为</w:t>
      </w:r>
      <w:r>
        <w:rPr>
          <w:rFonts w:hint="eastAsia" w:ascii="宋体" w:hAnsi="宋体" w:eastAsia="宋体" w:cs="宋体"/>
          <w:color w:val="000000" w:themeColor="text1"/>
          <w:sz w:val="24"/>
          <w:szCs w:val="24"/>
          <w:highlight w:val="none"/>
          <w:u w:val="single"/>
          <w14:textFill>
            <w14:solidFill>
              <w14:schemeClr w14:val="tx1"/>
            </w14:solidFill>
          </w14:textFill>
        </w:rPr>
        <w:t>（企业名称）</w:t>
      </w:r>
      <w:r>
        <w:rPr>
          <w:rFonts w:hint="eastAsia" w:ascii="宋体" w:hAnsi="宋体" w:eastAsia="宋体" w:cs="宋体"/>
          <w:color w:val="000000" w:themeColor="text1"/>
          <w:sz w:val="24"/>
          <w:szCs w:val="24"/>
          <w:highlight w:val="none"/>
          <w14:textFill>
            <w14:solidFill>
              <w14:schemeClr w14:val="tx1"/>
            </w14:solidFill>
          </w14:textFill>
        </w:rPr>
        <w:t>，从业人员</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人，营业收入为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万元，资产总额为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万元，属于</w:t>
      </w:r>
      <w:r>
        <w:rPr>
          <w:rFonts w:hint="eastAsia" w:ascii="宋体" w:hAnsi="宋体" w:eastAsia="宋体" w:cs="宋体"/>
          <w:color w:val="000000" w:themeColor="text1"/>
          <w:sz w:val="24"/>
          <w:szCs w:val="24"/>
          <w:highlight w:val="none"/>
          <w:u w:val="single"/>
          <w14:textFill>
            <w14:solidFill>
              <w14:schemeClr w14:val="tx1"/>
            </w14:solidFill>
          </w14:textFill>
        </w:rPr>
        <w:t>（中型企业、小型企业</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微型企业</w:t>
      </w: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pPr>
        <w:pStyle w:val="14"/>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pPr>
        <w:pStyle w:val="14"/>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以上企业，不属于大企业的分支机构，不存在控股股东为大企业的情形，也不存在与大企业的负责人为同一人的情形。</w:t>
      </w:r>
    </w:p>
    <w:p>
      <w:pPr>
        <w:pStyle w:val="14"/>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本企业对上述声明内容的真实性负责。如有虚假，将依法承担相应责任。</w:t>
      </w:r>
    </w:p>
    <w:p>
      <w:pPr>
        <w:pStyle w:val="14"/>
        <w:spacing w:line="46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企业名称（盖章）：</w:t>
      </w:r>
    </w:p>
    <w:p>
      <w:pPr>
        <w:pStyle w:val="14"/>
        <w:spacing w:line="460" w:lineRule="exact"/>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p>
    <w:p>
      <w:pPr>
        <w:pStyle w:val="14"/>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从业人员、营业收入、资产总额填报上一年度数据，无上一年度数据的新成立企业可不填报</w:t>
      </w:r>
    </w:p>
    <w:p>
      <w:pPr>
        <w:spacing w:line="46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p>
      <w:pPr>
        <w:pStyle w:val="24"/>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spacing w:line="460" w:lineRule="exact"/>
        <w:jc w:val="center"/>
        <w:rPr>
          <w:rFonts w:hint="eastAsia" w:ascii="宋体" w:hAnsi="宋体" w:eastAsia="宋体" w:cs="宋体"/>
          <w:b/>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（二） </w:t>
      </w:r>
      <w:bookmarkStart w:id="144" w:name="OLE_LINK13"/>
      <w:bookmarkStart w:id="145" w:name="OLE_LINK14"/>
      <w:r>
        <w:rPr>
          <w:rFonts w:hint="eastAsia" w:ascii="宋体" w:hAnsi="宋体" w:eastAsia="宋体" w:cs="宋体"/>
          <w:b/>
          <w:color w:val="000000" w:themeColor="text1"/>
          <w:spacing w:val="6"/>
          <w:sz w:val="24"/>
          <w:szCs w:val="24"/>
          <w:highlight w:val="none"/>
          <w14:textFill>
            <w14:solidFill>
              <w14:schemeClr w14:val="tx1"/>
            </w14:solidFill>
          </w14:textFill>
        </w:rPr>
        <w:t>残疾人福利性单位声明函</w:t>
      </w:r>
    </w:p>
    <w:bookmarkEnd w:id="144"/>
    <w:bookmarkEnd w:id="145"/>
    <w:p>
      <w:pPr>
        <w:spacing w:line="460" w:lineRule="exact"/>
        <w:rPr>
          <w:rFonts w:hint="eastAsia" w:ascii="宋体" w:hAnsi="宋体" w:eastAsia="宋体" w:cs="宋体"/>
          <w:b/>
          <w:color w:val="000000" w:themeColor="text1"/>
          <w:spacing w:val="6"/>
          <w:sz w:val="24"/>
          <w:szCs w:val="24"/>
          <w:highlight w:val="none"/>
          <w14:textFill>
            <w14:solidFill>
              <w14:schemeClr w14:val="tx1"/>
            </w14:solidFill>
          </w14:textFill>
        </w:rPr>
      </w:pPr>
    </w:p>
    <w:p>
      <w:pPr>
        <w:spacing w:line="460" w:lineRule="exact"/>
        <w:ind w:firstLine="504" w:firstLineChars="200"/>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24"/>
          <w:szCs w:val="24"/>
          <w:highlight w:val="none"/>
          <w14:textFill>
            <w14:solidFill>
              <w14:schemeClr w14:val="tx1"/>
            </w14:solidFill>
          </w14:textFill>
        </w:rPr>
        <w:t>〔2017〕 141</w:t>
      </w:r>
      <w:r>
        <w:rPr>
          <w:rFonts w:hint="eastAsia" w:ascii="宋体" w:hAnsi="宋体" w:eastAsia="宋体" w:cs="宋体"/>
          <w:color w:val="000000" w:themeColor="text1"/>
          <w:spacing w:val="6"/>
          <w:sz w:val="24"/>
          <w:szCs w:val="24"/>
          <w:highlight w:val="none"/>
          <w14:textFill>
            <w14:solidFill>
              <w14:schemeClr w14:val="tx1"/>
            </w14:solidFill>
          </w14:textFill>
        </w:rPr>
        <w:t>号）的规定，本单位为符合条件的残疾人福利性单位，且本单位参加</w:t>
      </w:r>
      <w:r>
        <w:rPr>
          <w:rFonts w:hint="eastAsia" w:ascii="宋体" w:hAnsi="宋体" w:eastAsia="宋体" w:cs="宋体"/>
          <w:color w:val="000000" w:themeColor="text1"/>
          <w:spacing w:val="6"/>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szCs w:val="24"/>
          <w:highlight w:val="none"/>
          <w14:textFill>
            <w14:solidFill>
              <w14:schemeClr w14:val="tx1"/>
            </w14:solidFill>
          </w14:textFill>
        </w:rPr>
        <w:t>单位的</w:t>
      </w:r>
      <w:r>
        <w:rPr>
          <w:rFonts w:hint="eastAsia" w:ascii="宋体" w:hAnsi="宋体" w:eastAsia="宋体" w:cs="宋体"/>
          <w:color w:val="000000" w:themeColor="text1"/>
          <w:spacing w:val="6"/>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szCs w:val="24"/>
          <w:highlight w:val="none"/>
          <w14:textFill>
            <w14:solidFill>
              <w14:schemeClr w14:val="tx1"/>
            </w14:solidFill>
          </w14:textFill>
        </w:rPr>
        <w:t>项目采购活动提供本单位制造的服务（由本单位承担工程/提供服务），或者提供其他残疾人福利性单位制造的货物（不包括使用非残疾人福利性单位注册商标的货物）。</w:t>
      </w:r>
    </w:p>
    <w:p>
      <w:pPr>
        <w:spacing w:line="460" w:lineRule="exact"/>
        <w:ind w:firstLine="504" w:firstLineChars="200"/>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本单位对上述声明的真实性负责。如有虚假，将依法承担相应责任。</w:t>
      </w:r>
    </w:p>
    <w:p>
      <w:pPr>
        <w:spacing w:line="460" w:lineRule="exact"/>
        <w:ind w:firstLine="504" w:firstLineChars="200"/>
        <w:rPr>
          <w:rFonts w:hint="eastAsia" w:ascii="宋体" w:hAnsi="宋体" w:eastAsia="宋体" w:cs="宋体"/>
          <w:color w:val="000000" w:themeColor="text1"/>
          <w:spacing w:val="6"/>
          <w:sz w:val="24"/>
          <w:szCs w:val="24"/>
          <w:highlight w:val="none"/>
          <w14:textFill>
            <w14:solidFill>
              <w14:schemeClr w14:val="tx1"/>
            </w14:solidFill>
          </w14:textFill>
        </w:rPr>
      </w:pPr>
    </w:p>
    <w:p>
      <w:pPr>
        <w:spacing w:line="460" w:lineRule="exact"/>
        <w:ind w:firstLine="504" w:firstLineChars="200"/>
        <w:rPr>
          <w:rFonts w:hint="eastAsia" w:ascii="宋体" w:hAnsi="宋体" w:eastAsia="宋体" w:cs="宋体"/>
          <w:color w:val="000000" w:themeColor="text1"/>
          <w:spacing w:val="6"/>
          <w:sz w:val="24"/>
          <w:szCs w:val="24"/>
          <w:highlight w:val="none"/>
          <w14:textFill>
            <w14:solidFill>
              <w14:schemeClr w14:val="tx1"/>
            </w14:solidFill>
          </w14:textFill>
        </w:rPr>
      </w:pPr>
    </w:p>
    <w:p>
      <w:pPr>
        <w:tabs>
          <w:tab w:val="left" w:pos="4860"/>
        </w:tabs>
        <w:spacing w:line="460" w:lineRule="exact"/>
        <w:ind w:right="1560" w:firstLine="504" w:firstLineChars="200"/>
        <w:jc w:val="center"/>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 xml:space="preserve">               </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6"/>
          <w:sz w:val="24"/>
          <w:szCs w:val="24"/>
          <w:highlight w:val="none"/>
          <w14:textFill>
            <w14:solidFill>
              <w14:schemeClr w14:val="tx1"/>
            </w14:solidFill>
          </w14:textFill>
        </w:rPr>
        <w:t>单位名称（盖章）：</w:t>
      </w:r>
    </w:p>
    <w:p>
      <w:pPr>
        <w:tabs>
          <w:tab w:val="left" w:pos="4860"/>
        </w:tabs>
        <w:spacing w:line="460" w:lineRule="exact"/>
        <w:ind w:right="1560" w:firstLine="504" w:firstLineChars="200"/>
        <w:jc w:val="center"/>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 xml:space="preserve">       日  期：</w:t>
      </w:r>
    </w:p>
    <w:p>
      <w:pPr>
        <w:widowControl/>
        <w:adjustRightInd w:val="0"/>
        <w:snapToGrid w:val="0"/>
        <w:spacing w:line="46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460" w:lineRule="exact"/>
        <w:jc w:val="left"/>
        <w:rPr>
          <w:rFonts w:hint="eastAsia" w:ascii="宋体" w:hAnsi="宋体" w:eastAsia="宋体" w:cs="宋体"/>
          <w:bCs/>
          <w:color w:val="000000" w:themeColor="text1"/>
          <w:sz w:val="24"/>
          <w:szCs w:val="24"/>
          <w:highlight w:val="none"/>
          <w14:textFill>
            <w14:solidFill>
              <w14:schemeClr w14:val="tx1"/>
            </w14:solidFill>
          </w14:textFill>
        </w:rPr>
      </w:pPr>
    </w:p>
    <w:p>
      <w:pPr>
        <w:widowControl/>
        <w:spacing w:line="46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备注</w:t>
      </w:r>
      <w:r>
        <w:rPr>
          <w:rFonts w:hint="eastAsia" w:ascii="宋体" w:hAnsi="宋体" w:eastAsia="宋体" w:cs="宋体"/>
          <w:color w:val="000000" w:themeColor="text1"/>
          <w:sz w:val="24"/>
          <w:szCs w:val="24"/>
          <w:highlight w:val="none"/>
          <w14:textFill>
            <w14:solidFill>
              <w14:schemeClr w14:val="tx1"/>
            </w14:solidFill>
          </w14:textFill>
        </w:rPr>
        <w:t>：须提供证明材料（能反映出企业残疾人的占比等情况的材料及残疾人证等）。</w:t>
      </w:r>
    </w:p>
    <w:p>
      <w:pPr>
        <w:spacing w:line="46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p>
      <w:pPr>
        <w:spacing w:line="46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p>
      <w:pPr>
        <w:widowControl/>
        <w:spacing w:line="4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br w:type="page"/>
      </w:r>
      <w:r>
        <w:rPr>
          <w:rFonts w:hint="eastAsia" w:ascii="宋体" w:hAnsi="宋体" w:eastAsia="宋体" w:cs="宋体"/>
          <w:b/>
          <w:color w:val="000000" w:themeColor="text1"/>
          <w:sz w:val="24"/>
          <w:szCs w:val="24"/>
          <w:highlight w:val="none"/>
          <w14:textFill>
            <w14:solidFill>
              <w14:schemeClr w14:val="tx1"/>
            </w14:solidFill>
          </w14:textFill>
        </w:rPr>
        <w:t>（三）监狱企业证明文件（如有）</w:t>
      </w:r>
    </w:p>
    <w:p>
      <w:pPr>
        <w:spacing w:line="46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p>
    <w:p>
      <w:pPr>
        <w:spacing w:line="46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监狱企业证明（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14"/>
        <w:spacing w:line="46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2.证明材料加盖投标人公章。</w:t>
      </w:r>
    </w:p>
    <w:p>
      <w:pPr>
        <w:pStyle w:val="14"/>
        <w:spacing w:line="460" w:lineRule="exact"/>
        <w:jc w:val="both"/>
        <w:rPr>
          <w:rFonts w:hint="eastAsia" w:ascii="宋体" w:hAnsi="宋体" w:eastAsia="宋体" w:cs="宋体"/>
          <w:b/>
          <w:bCs/>
          <w:color w:val="000000" w:themeColor="text1"/>
          <w:sz w:val="24"/>
          <w:szCs w:val="24"/>
          <w:highlight w:val="none"/>
          <w14:textFill>
            <w14:solidFill>
              <w14:schemeClr w14:val="tx1"/>
            </w14:solidFill>
          </w14:textFill>
        </w:rPr>
      </w:pPr>
    </w:p>
    <w:p>
      <w:pPr>
        <w:pStyle w:val="14"/>
        <w:spacing w:line="460" w:lineRule="exact"/>
        <w:jc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（四）投标保证金</w:t>
      </w:r>
      <w:r>
        <w:rPr>
          <w:rFonts w:hint="eastAsia" w:ascii="宋体" w:hAnsi="宋体" w:eastAsia="宋体" w:cs="宋体"/>
          <w:b/>
          <w:bCs/>
          <w:color w:val="000000" w:themeColor="text1"/>
          <w:sz w:val="24"/>
          <w:szCs w:val="24"/>
          <w:highlight w:val="none"/>
          <w:lang w:eastAsia="zh-CN"/>
          <w14:textFill>
            <w14:solidFill>
              <w14:schemeClr w14:val="tx1"/>
            </w14:solidFill>
          </w14:textFill>
        </w:rPr>
        <w:t>缴纳凭证</w:t>
      </w:r>
    </w:p>
    <w:p>
      <w:pPr>
        <w:pStyle w:val="14"/>
        <w:spacing w:line="460" w:lineRule="exact"/>
        <w:jc w:val="center"/>
        <w:rPr>
          <w:rFonts w:hint="eastAsia" w:ascii="宋体" w:hAnsi="宋体" w:eastAsia="宋体" w:cs="宋体"/>
          <w:color w:val="000000" w:themeColor="text1"/>
          <w:sz w:val="24"/>
          <w:szCs w:val="24"/>
          <w:highlight w:val="none"/>
          <w14:textFill>
            <w14:solidFill>
              <w14:schemeClr w14:val="tx1"/>
            </w14:solidFill>
          </w14:textFill>
        </w:rPr>
      </w:pPr>
    </w:p>
    <w:tbl>
      <w:tblPr>
        <w:tblStyle w:val="28"/>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7" w:hRule="atLeast"/>
          <w:jc w:val="center"/>
        </w:trPr>
        <w:tc>
          <w:tcPr>
            <w:tcW w:w="5000" w:type="pct"/>
            <w:tcBorders>
              <w:top w:val="single" w:color="auto" w:sz="4" w:space="0"/>
              <w:bottom w:val="single" w:color="auto" w:sz="4" w:space="0"/>
            </w:tcBorders>
            <w:vAlign w:val="center"/>
          </w:tcPr>
          <w:p>
            <w:pPr>
              <w:pStyle w:val="14"/>
              <w:spacing w:line="440" w:lineRule="exact"/>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w:t>
            </w:r>
            <w:r>
              <w:rPr>
                <w:rFonts w:hint="eastAsia" w:ascii="宋体" w:hAnsi="宋体" w:eastAsia="宋体" w:cs="宋体"/>
                <w:color w:val="000000" w:themeColor="text1"/>
                <w:sz w:val="24"/>
                <w:szCs w:val="24"/>
                <w:highlight w:val="none"/>
                <w:lang w:eastAsia="zh-CN"/>
                <w14:textFill>
                  <w14:solidFill>
                    <w14:schemeClr w14:val="tx1"/>
                  </w14:solidFill>
                </w14:textFill>
              </w:rPr>
              <w:t>缴纳凭证</w:t>
            </w:r>
          </w:p>
        </w:tc>
      </w:tr>
    </w:tbl>
    <w:p>
      <w:pPr>
        <w:adjustRightInd w:val="0"/>
        <w:snapToGrid w:val="0"/>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widowControl/>
        <w:shd w:val="clear" w:color="auto" w:fill="FFFFFF"/>
        <w:spacing w:line="460" w:lineRule="exact"/>
        <w:jc w:val="left"/>
        <w:rPr>
          <w:rFonts w:hint="eastAsia" w:ascii="宋体" w:hAnsi="宋体" w:eastAsia="宋体" w:cs="宋体"/>
          <w:color w:val="000000" w:themeColor="text1"/>
          <w:kern w:val="0"/>
          <w:sz w:val="24"/>
          <w:szCs w:val="24"/>
          <w:highlight w:val="none"/>
          <w14:textFill>
            <w14:solidFill>
              <w14:schemeClr w14:val="tx1"/>
            </w14:solidFill>
          </w14:textFill>
        </w:rPr>
      </w:pPr>
    </w:p>
    <w:p>
      <w:pPr>
        <w:spacing w:line="460" w:lineRule="exact"/>
        <w:rPr>
          <w:rFonts w:hint="eastAsia" w:ascii="宋体" w:hAnsi="宋体" w:eastAsia="宋体" w:cs="宋体"/>
          <w:color w:val="000000" w:themeColor="text1"/>
          <w:sz w:val="24"/>
          <w:szCs w:val="24"/>
          <w:highlight w:val="none"/>
          <w14:textFill>
            <w14:solidFill>
              <w14:schemeClr w14:val="tx1"/>
            </w14:solidFill>
          </w14:textFill>
        </w:rPr>
      </w:pPr>
    </w:p>
    <w:bookmarkEnd w:id="143"/>
    <w:p>
      <w:pPr>
        <w:pStyle w:val="14"/>
        <w:spacing w:line="460" w:lineRule="exact"/>
        <w:jc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bookmarkStart w:id="146" w:name="_Toc2964"/>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b/>
          <w:bCs/>
          <w:color w:val="000000" w:themeColor="text1"/>
          <w:sz w:val="24"/>
          <w:szCs w:val="24"/>
          <w:highlight w:val="none"/>
          <w:lang w:eastAsia="zh-CN"/>
          <w14:textFill>
            <w14:solidFill>
              <w14:schemeClr w14:val="tx1"/>
            </w14:solidFill>
          </w14:textFill>
        </w:rPr>
        <w:t>）其他</w:t>
      </w:r>
    </w:p>
    <w:bookmarkEnd w:id="146"/>
    <w:p>
      <w:pPr>
        <w:spacing w:line="500" w:lineRule="exact"/>
        <w:ind w:firstLine="42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val="0"/>
          <w:bCs/>
          <w:color w:val="000000" w:themeColor="text1"/>
          <w:highlight w:val="none"/>
          <w:shd w:val="clear" w:color="auto" w:fill="auto"/>
          <w:lang w:val="en-US" w:eastAsia="zh-CN"/>
          <w14:textFill>
            <w14:solidFill>
              <w14:schemeClr w14:val="tx1"/>
            </w14:solidFill>
          </w14:textFill>
        </w:rPr>
        <w:t>投标人</w:t>
      </w:r>
      <w:r>
        <w:rPr>
          <w:rFonts w:hint="eastAsia" w:ascii="宋体" w:hAnsi="宋体" w:eastAsia="宋体" w:cs="宋体"/>
          <w:b w:val="0"/>
          <w:bCs/>
          <w:color w:val="000000" w:themeColor="text1"/>
          <w:highlight w:val="none"/>
          <w:shd w:val="clear" w:color="auto" w:fill="auto"/>
          <w:lang w:val="en-US" w:eastAsia="zh-CN"/>
          <w14:textFill>
            <w14:solidFill>
              <w14:schemeClr w14:val="tx1"/>
            </w14:solidFill>
          </w14:textFill>
        </w:rPr>
        <w:t>认为需提供的</w:t>
      </w:r>
      <w:r>
        <w:rPr>
          <w:rFonts w:hint="eastAsia" w:ascii="宋体" w:hAnsi="宋体" w:eastAsia="宋体" w:cs="宋体"/>
          <w:b/>
          <w:bCs w:val="0"/>
          <w:color w:val="000000" w:themeColor="text1"/>
          <w:highlight w:val="none"/>
          <w:shd w:val="clear" w:color="auto" w:fill="auto"/>
          <w:lang w:val="en-US" w:eastAsia="zh-CN"/>
          <w14:textFill>
            <w14:solidFill>
              <w14:schemeClr w14:val="tx1"/>
            </w14:solidFill>
          </w14:textFill>
        </w:rPr>
        <w:t>资格审查</w:t>
      </w:r>
      <w:r>
        <w:rPr>
          <w:rFonts w:hint="eastAsia" w:ascii="宋体" w:hAnsi="宋体" w:eastAsia="宋体" w:cs="宋体"/>
          <w:b w:val="0"/>
          <w:bCs/>
          <w:color w:val="000000" w:themeColor="text1"/>
          <w:highlight w:val="none"/>
          <w:shd w:val="clear" w:color="auto" w:fill="auto"/>
          <w:lang w:val="en-US" w:eastAsia="zh-CN"/>
          <w14:textFill>
            <w14:solidFill>
              <w14:schemeClr w14:val="tx1"/>
            </w14:solidFill>
          </w14:textFill>
        </w:rPr>
        <w:t>及其他补充资料。</w:t>
      </w:r>
    </w:p>
    <w:p>
      <w:pPr>
        <w:pStyle w:val="40"/>
        <w:spacing w:line="460" w:lineRule="exact"/>
        <w:ind w:left="964" w:right="-50" w:rightChars="-24" w:firstLine="0"/>
        <w:jc w:val="center"/>
        <w:outlineLvl w:val="0"/>
        <w:rPr>
          <w:rFonts w:hint="eastAsia" w:ascii="宋体" w:hAnsi="宋体" w:eastAsia="宋体" w:cs="宋体"/>
          <w:b/>
          <w:color w:val="000000" w:themeColor="text1"/>
          <w:sz w:val="24"/>
          <w:szCs w:val="24"/>
          <w:highlight w:val="none"/>
          <w:lang w:eastAsia="zh-CN"/>
          <w14:textFill>
            <w14:solidFill>
              <w14:schemeClr w14:val="tx1"/>
            </w14:solidFill>
          </w14:textFill>
        </w:rPr>
        <w:sectPr>
          <w:footerReference r:id="rId6"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eastAsia="宋体" w:cs="宋体"/>
          <w:b/>
          <w:color w:val="000000" w:themeColor="text1"/>
          <w:sz w:val="24"/>
          <w:szCs w:val="24"/>
          <w:highlight w:val="none"/>
          <w:lang w:eastAsia="zh-CN"/>
          <w14:textFill>
            <w14:solidFill>
              <w14:schemeClr w14:val="tx1"/>
            </w14:solidFill>
          </w14:textFill>
        </w:rPr>
        <w:br w:type="page"/>
      </w:r>
      <w:bookmarkStart w:id="147" w:name="_Toc20068"/>
    </w:p>
    <w:p>
      <w:pPr>
        <w:pStyle w:val="40"/>
        <w:spacing w:line="460" w:lineRule="exact"/>
        <w:ind w:left="964" w:right="-50" w:rightChars="-24" w:firstLine="0"/>
        <w:jc w:val="center"/>
        <w:outlineLvl w:val="0"/>
        <w:rPr>
          <w:rStyle w:val="41"/>
          <w:rFonts w:hint="eastAsia" w:ascii="宋体" w:hAnsi="宋体" w:eastAsia="宋体" w:cs="宋体"/>
          <w:color w:val="000000" w:themeColor="text1"/>
          <w:sz w:val="24"/>
          <w:szCs w:val="24"/>
          <w:highlight w:val="none"/>
          <w:shd w:val="clear" w:color="auto" w:fill="FFFF00"/>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eastAsia="zh-CN"/>
          <w14:textFill>
            <w14:solidFill>
              <w14:schemeClr w14:val="tx1"/>
            </w14:solidFill>
          </w14:textFill>
        </w:rPr>
        <w:t xml:space="preserve">第四章  </w:t>
      </w:r>
      <w:bookmarkEnd w:id="147"/>
      <w:r>
        <w:rPr>
          <w:rFonts w:hint="eastAsia" w:ascii="宋体" w:hAnsi="宋体" w:cs="宋体"/>
          <w:b/>
          <w:bCs/>
          <w:color w:val="000000" w:themeColor="text1"/>
          <w:kern w:val="2"/>
          <w:sz w:val="24"/>
          <w:szCs w:val="24"/>
          <w:highlight w:val="none"/>
          <w:lang w:eastAsia="zh-CN"/>
          <w14:textFill>
            <w14:solidFill>
              <w14:schemeClr w14:val="tx1"/>
            </w14:solidFill>
          </w14:textFill>
        </w:rPr>
        <w:t>招标项目采购需求</w:t>
      </w:r>
    </w:p>
    <w:tbl>
      <w:tblPr>
        <w:tblStyle w:val="28"/>
        <w:tblW w:w="14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49"/>
        <w:gridCol w:w="7066"/>
        <w:gridCol w:w="4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14540" w:type="dxa"/>
            <w:gridSpan w:val="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bookmarkStart w:id="148" w:name="_Toc17884_WPSOffice_Level1"/>
            <w:bookmarkStart w:id="149" w:name="_Toc15082"/>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第四中学理化生实验室汇总表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序号</w:t>
            </w:r>
          </w:p>
        </w:tc>
        <w:tc>
          <w:tcPr>
            <w:tcW w:w="7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实验室类型</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w:t>
            </w:r>
          </w:p>
        </w:tc>
        <w:tc>
          <w:tcPr>
            <w:tcW w:w="7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物理创新实验室2间</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交钥匙工程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w:t>
            </w:r>
          </w:p>
        </w:tc>
        <w:tc>
          <w:tcPr>
            <w:tcW w:w="7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物理准备室/仪器室</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交钥匙工程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w:t>
            </w:r>
          </w:p>
        </w:tc>
        <w:tc>
          <w:tcPr>
            <w:tcW w:w="7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新型化学创新实验室2间</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交钥匙工程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w:t>
            </w:r>
          </w:p>
        </w:tc>
        <w:tc>
          <w:tcPr>
            <w:tcW w:w="7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化学准备室/仪器室</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交钥匙工程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5</w:t>
            </w:r>
          </w:p>
        </w:tc>
        <w:tc>
          <w:tcPr>
            <w:tcW w:w="7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生物创新实验室2间</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交钥匙工程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6</w:t>
            </w:r>
          </w:p>
        </w:tc>
        <w:tc>
          <w:tcPr>
            <w:tcW w:w="7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生物准备室/仪器室</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交钥匙工程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7</w:t>
            </w:r>
          </w:p>
        </w:tc>
        <w:tc>
          <w:tcPr>
            <w:tcW w:w="7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合计</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bl>
    <w:p>
      <w:pPr>
        <w:pStyle w:val="11"/>
        <w:rPr>
          <w:rFonts w:hint="eastAsia"/>
          <w:color w:val="000000" w:themeColor="text1"/>
          <w:highlight w:val="none"/>
          <w:lang w:val="en-US" w:eastAsia="zh-CN"/>
          <w14:textFill>
            <w14:solidFill>
              <w14:schemeClr w14:val="tx1"/>
            </w14:solidFill>
          </w14:textFill>
        </w:rPr>
      </w:pPr>
    </w:p>
    <w:tbl>
      <w:tblPr>
        <w:tblStyle w:val="28"/>
        <w:tblW w:w="147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5"/>
        <w:gridCol w:w="1616"/>
        <w:gridCol w:w="8777"/>
        <w:gridCol w:w="600"/>
        <w:gridCol w:w="671"/>
        <w:gridCol w:w="24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47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一、FS-A Pro物理创新实验室整体方案清单（56座/间）2间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序号</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设备名称</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规格参数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单位</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数量</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图片（</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以下</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图片仅供参考，不做为验收依据</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78" w:type="dxa"/>
            <w:gridSpan w:val="3"/>
            <w:tcBorders>
              <w:top w:val="single" w:color="000000" w:sz="4" w:space="0"/>
              <w:left w:val="single" w:color="000000" w:sz="4" w:space="0"/>
              <w:bottom w:val="single" w:color="000000" w:sz="4" w:space="0"/>
              <w:right w:val="nil"/>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一、教师演示控制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智慧黑板</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整机要求：</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整机采用全金属外壳，三拼接平面一体化设计，中间主屏幕整机采用86英寸液晶显示器，整机采用UHD超高清LED液晶屏，显示比例16:9，分辨率3840×2160。屏幕边缘采用金属圆角包边防护，整机背板采用金属材质。无推拉式结构，外部无任何可见内部功能模块连接线。主副屏过渡平滑并在同一平面，中间无单独边框阻隔。</w:t>
            </w:r>
          </w:p>
          <w:p>
            <w:pPr>
              <w:keepNext w:val="0"/>
              <w:keepLines w:val="0"/>
              <w:widowControl/>
              <w:numPr>
                <w:ilvl w:val="0"/>
                <w:numId w:val="9"/>
              </w:numPr>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主屏支持普通粉笔直接书写。整机两侧副屏可支持普通粉笔、液体粉笔、成膜笔进行板书书写。</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3.整机设备副屏支持磁吸附功能，可以满足带有磁吸的板擦等教具进行吸附在副屏上。</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4.嵌入式系统版本不低于Android，内存≥2GB，存储空间≥8GB。</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5.采用先进触控方式，支持Windows系统中进行20点或以上触控，支持Android系统中进行10点或以上触控。</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6.输入接口要求：具备≥2路HDMI、≥1路RS232、≥1路USB接口；输出接口要求：具备≥1路音频输出、≥1路触控USB输出；</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7.具备前置全功能Type-C接口，外接电脑设备经双头Type-C线连接至整机，可调用整机内置的摄像头、麦克风、扬声器，在外接电脑即可控制整机拍摄教室画面。</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8.整机支持色彩空间可选，包含标准模式和sRGB模式，在sRGB模式下可做到高色准△E≤1.5</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9.支持标准、多媒体和节能三种图像模式调节。支持可自定义图像设置，可对对比度、屏幕色温、图像亮度、亮度范围、色彩空间等进行更进一步调节设置。</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10.设备支持自定义前置“设置"按键，可通过自定义设置实现前置面板功能按键一键启用任一全局小工具或某功能快捷开关。</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11.当整机处于黑暗环境中并无人操作，一分钟后整机将可以自动进入熄屏模式。</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12.支持将自定义图片设置为开机画面。</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13.支持云端在线系统固件升级。</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14.整机支持纸质护眼模式，可以在任意通道任意画面任意软件所有显示内容下实现画面纹理的实时调整；支持纸质纹理：牛皮纸、素描纸、宣纸、水彩纸、水纹纸；支持透明度调节；支持色温调节。</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扬声器与摄像头</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1.整机内置不低于2.2声道扬声器，具备多方向扬声器，额定总功率不低于60W。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2.整机支持高级音效设置，可以调节左右声道平衡；在中低频段、高频段分别有不小于-10dB～10dB范围的调节功能。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3.整机内置扬声器采用先进的发声技术，喇叭位于设备上边框，顶置朝前发声。</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4.整机内置非独立外扩展的4阵列麦克风，可用于对教室环境音频进行采集，拾音距离≥8m。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5.整机扬声器在100%音量下，可做到1米处声压级≥88db，10米处声压级≥73dB</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6.内置摄像头、麦克风无需外接线材连接，无任何可见外接线材及模块化拼接痕迹，未占用整机设备端口。</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整机内置非独立摄像头，拍摄照片像素数≥1300万。摄像头视场角≥120度。可用于远程巡课，整机摄像头支持大于等于10米距离时实现AI识别人像。具备人脸识别、快速点人数、随机抽人；识别所有学生，显示标记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8.整机摄像头支持环境色温判断，根据环境调节合适的显示图像效果。</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9.整机支持通过人脸识别进行人脸识别进行登录账号。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通道功能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1.嵌入式Android操作系统下，白板支持对已经书写的笔迹和形状的颜色进行更换。在嵌入式系统下使用白板软件时，整机可根据用户书写操作智能调节屏幕亮度。</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2.嵌入式Android操作系统下，互动白板支持不同背景颜色，同时提供学科背景，如：五线谱、信纸、田字格、英文格、篮球和足球场地平面图。</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无PC状态下，嵌入式系统内置互动白板支持十笔书写及手掌擦除（手掌擦除面积根据手掌与屏幕的接触面大小自动调整），白板书写内容可以PDF、IWB和SVG格式导出。支持10种以上平面图形工具。支持8种以上立体图形工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4.无PC状态下，嵌入式Android操作系统下可实现windows系统中常用的教学应用功能，如白板书写、WPS软件使用和网页浏览。</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5.整机全通道具备多种工具至少具备批注、截屏、计时、降半屏、放大镜、日历功能。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6.整机安卓和全部外接通道支持通过扫描二维码等方式加入班级，老师设置题型，学生回答后提交，教师查看正确率比例及详细讲解；支持随机抽选、实时弹幕；支持管理当前班级成员；支持导出学生报告。</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教学界面</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1.整机支持通过人脸识别进行登录账号。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2.整机设备开机启动后，自动进入教学桌面，支持账号登录、退出，自动获取个人云端教学课件列表、并可进入校本资源库。</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3.教学桌面支持教学常用的教学白板软件、文件管理软件、学生行为评价软件、随机抽选软件，以便于快速开启授课；并提供快速进入本机所有应用的入口，满足不同教师授课需要。</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4.整机设备教学桌面的教师登录账号后，可自动获取并在桌面显示最近使用的教学课件，点击任意课件可直接进入授课模式；并支持查看所有个人教学课件资源。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5.整机设备教学桌面中的文件管理，支持同时显示本地磁盘、移动类存储设备、学校资源库、教师个人云空间的文件资源。</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物联功能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1.整机支持蓝牙Bluetooth 5.2标准，整机支持主动发现蓝牙外设从而连接（无需整机进入发现模式），支持连接外部蓝牙音箱播放音频。</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2.Wi-Fi及AP热点支持频段2.4GHz/5GHz ，Wi-Fi制式支持IEEE 802.11 a/b/g/n/ac/ax；支持版本Wi-Fi6。</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整机支持通过BT（蓝牙）、红外等方式连接音箱、麦克风，支持实时显示/控制音箱音量、麦克风音量；在任意通道下均可实时查看音箱、麦克风连接状态，当设备连接/断开连接时，提供实时反馈提示，并在反馈提示中显示麦克风实时电量；支持读取音箱/麦克风型号，对应显示设备实物图片。</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整机支持音箱音量的智能调节，当麦克风接入时，自动调整合适的音箱音量且带有麦克风电量智能提醒，当麦克风电量过低时，提供低电量反馈提示，支持麦克风自动判断同一房间内的整机和音箱，自动匹配连接。</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5.整机支持智能笔，通过BLE（蓝牙低能耗技术）、USB Dongle（通用串口总线接收器）等方式连接，当整机和智能笔均支持BLE功能时，支持指定区域内智能笔自动发现、自动连接，并支持读取智能笔型号， 对应显示设备实物图片。</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6.整机支持传屏器，通过BLE（蓝牙低能耗技术）、Type-C、USB 等方式连接，当整机和传屏器均支持BLE功能时，在指定区域内传屏器可自动发现、自动连接。</w:t>
            </w:r>
          </w:p>
          <w:p>
            <w:pPr>
              <w:keepNext w:val="0"/>
              <w:keepLines w:val="0"/>
              <w:widowControl/>
              <w:numPr>
                <w:ilvl w:val="0"/>
                <w:numId w:val="0"/>
              </w:numPr>
              <w:suppressLineNumbers w:val="0"/>
              <w:jc w:val="lef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OPS模块：</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1.处理器：Intel Core i5 及以上，内存：8G DDR4 笔记本内存或以上配置，硬盘≥256G SSD 固态硬盘，采用抽拉内置式模块化电脑，抽拉内置式，PC模块可插入整机，可实现无单独接线的插拔。</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2.具有独立非外扩展的电脑USB接口：≥3路USB。≥1 路 HDMI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3.PC模块的USB接口须为冗余备份接口，在正常使用整机的内置摄像头、内置麦克风功能时，USB接口不被占用，确保教师有足够的接口外接存储设备及显示设备</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4.整机具备供电保护模块，能够检测内置电脑是否插好在位，在内置电脑未在位的情况下，内置电脑无法上电工作。</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台</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-49530</wp:posOffset>
                  </wp:positionH>
                  <wp:positionV relativeFrom="paragraph">
                    <wp:posOffset>92710</wp:posOffset>
                  </wp:positionV>
                  <wp:extent cx="1499870" cy="675640"/>
                  <wp:effectExtent l="0" t="0" r="8890" b="10160"/>
                  <wp:wrapNone/>
                  <wp:docPr id="10" name="图片_1"/>
                  <wp:cNvGraphicFramePr/>
                  <a:graphic xmlns:a="http://schemas.openxmlformats.org/drawingml/2006/main">
                    <a:graphicData uri="http://schemas.openxmlformats.org/drawingml/2006/picture">
                      <pic:pic xmlns:pic="http://schemas.openxmlformats.org/drawingml/2006/picture">
                        <pic:nvPicPr>
                          <pic:cNvPr id="10" name="图片_1"/>
                          <pic:cNvPicPr/>
                        </pic:nvPicPr>
                        <pic:blipFill>
                          <a:blip r:embed="rId8"/>
                          <a:stretch>
                            <a:fillRect/>
                          </a:stretch>
                        </pic:blipFill>
                        <pic:spPr>
                          <a:xfrm>
                            <a:off x="0" y="0"/>
                            <a:ext cx="1499870" cy="6756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教师演示台</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80"/>
                <w:color w:val="000000" w:themeColor="text1"/>
                <w:highlight w:val="none"/>
                <w:lang w:val="en-US" w:eastAsia="zh-CN" w:bidi="ar"/>
                <w14:textFill>
                  <w14:solidFill>
                    <w14:schemeClr w14:val="tx1"/>
                  </w14:solidFill>
                </w14:textFill>
              </w:rPr>
            </w:pPr>
            <w:r>
              <w:rPr>
                <w:rStyle w:val="80"/>
                <w:color w:val="000000" w:themeColor="text1"/>
                <w:highlight w:val="none"/>
                <w:lang w:val="en-US" w:eastAsia="zh-CN" w:bidi="ar"/>
                <w14:textFill>
                  <w14:solidFill>
                    <w14:schemeClr w14:val="tx1"/>
                  </w14:solidFill>
                </w14:textFill>
              </w:rPr>
              <w:t>规格：</w:t>
            </w:r>
            <w:r>
              <w:rPr>
                <w:rStyle w:val="81"/>
                <w:color w:val="000000" w:themeColor="text1"/>
                <w:highlight w:val="none"/>
                <w:lang w:val="en-US" w:eastAsia="zh-CN" w:bidi="ar"/>
                <w14:textFill>
                  <w14:solidFill>
                    <w14:schemeClr w14:val="tx1"/>
                  </w14:solidFill>
                </w14:textFill>
              </w:rPr>
              <w:t>2400（</w:t>
            </w:r>
            <w:r>
              <w:rPr>
                <w:rStyle w:val="82"/>
                <w:color w:val="000000" w:themeColor="text1"/>
                <w:highlight w:val="none"/>
                <w:lang w:val="en-US" w:eastAsia="zh-CN" w:bidi="ar"/>
                <w14:textFill>
                  <w14:solidFill>
                    <w14:schemeClr w14:val="tx1"/>
                  </w14:solidFill>
                </w14:textFill>
              </w:rPr>
              <w:t>±</w:t>
            </w:r>
            <w:r>
              <w:rPr>
                <w:rStyle w:val="81"/>
                <w:color w:val="000000" w:themeColor="text1"/>
                <w:highlight w:val="none"/>
                <w:lang w:val="en-US" w:eastAsia="zh-CN" w:bidi="ar"/>
                <w14:textFill>
                  <w14:solidFill>
                    <w14:schemeClr w14:val="tx1"/>
                  </w14:solidFill>
                </w14:textFill>
              </w:rPr>
              <w:t>20mm）*700（±20mm）*900mm（±20mm）</w:t>
            </w:r>
            <w:r>
              <w:rPr>
                <w:rStyle w:val="80"/>
                <w:color w:val="000000" w:themeColor="text1"/>
                <w:highlight w:val="none"/>
                <w:lang w:val="en-US" w:eastAsia="zh-CN" w:bidi="ar"/>
                <w14:textFill>
                  <w14:solidFill>
                    <w14:schemeClr w14:val="tx1"/>
                  </w14:solidFill>
                </w14:textFill>
              </w:rPr>
              <w:t xml:space="preserve">  </w:t>
            </w:r>
          </w:p>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1.全钢结构；</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2.台面：采用20mm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3.柜体：采用</w:t>
            </w:r>
            <w:r>
              <w:rPr>
                <w:rStyle w:val="81"/>
                <w:color w:val="000000" w:themeColor="text1"/>
                <w:highlight w:val="none"/>
                <w:lang w:val="en-US" w:eastAsia="zh-CN" w:bidi="ar"/>
                <w14:textFill>
                  <w14:solidFill>
                    <w14:schemeClr w14:val="tx1"/>
                  </w14:solidFill>
                </w14:textFill>
              </w:rPr>
              <w:t>1.2</w:t>
            </w:r>
            <w:r>
              <w:rPr>
                <w:rStyle w:val="80"/>
                <w:color w:val="000000" w:themeColor="text1"/>
                <w:highlight w:val="none"/>
                <w:lang w:val="en-US" w:eastAsia="zh-CN" w:bidi="ar"/>
                <w14:textFill>
                  <w14:solidFill>
                    <w14:schemeClr w14:val="tx1"/>
                  </w14:solidFill>
                </w14:textFill>
              </w:rPr>
              <w:t>mm优质高强度镀锌钢板，采用CO2保护焊焊接，打磨处理，表面经耐酸碱EPOXY粉末烤漆处理；整体结构设计合理，预留电脑主机、键盘托、实物展台、教师电源位置；</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高强度镀锌钢板技术要求满足：GB/T 10125-2012 人造气氛腐蚀试验 盐雾试验；GB/T 6461-2002  金属基体上金属和其他无机覆盖层 经腐蚀试验后的试样和试件的评级：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1、盐雾试验：72h中性盐雾试验 检测结果：10级。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4.拉手：采用</w:t>
            </w:r>
            <w:r>
              <w:rPr>
                <w:rStyle w:val="81"/>
                <w:color w:val="000000" w:themeColor="text1"/>
                <w:highlight w:val="none"/>
                <w:lang w:val="en-US" w:eastAsia="zh-CN" w:bidi="ar"/>
                <w14:textFill>
                  <w14:solidFill>
                    <w14:schemeClr w14:val="tx1"/>
                  </w14:solidFill>
                </w14:textFill>
              </w:rPr>
              <w:t>C型</w:t>
            </w:r>
            <w:r>
              <w:rPr>
                <w:rStyle w:val="80"/>
                <w:color w:val="000000" w:themeColor="text1"/>
                <w:highlight w:val="none"/>
                <w:lang w:val="en-US" w:eastAsia="zh-CN" w:bidi="ar"/>
                <w14:textFill>
                  <w14:solidFill>
                    <w14:schemeClr w14:val="tx1"/>
                  </w14:solidFill>
                </w14:textFill>
              </w:rPr>
              <w:t>不锈钢拉手；</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5.防撞胶垫：装于抽屉及门板内侧，减缓碰撞，保护柜体；</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6.门板及抽面：采用双层钢板，必须两层组装是设计，保证两层双面都喷涂处理，中间采用隔音材料，保证关门减少噪音；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7.耐腐蚀连接件：采用ABS专用连接组装件；</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耐腐蚀连接件技术要求满足：GB/T 10125-2012 人造气氛腐蚀试验 盐雾试验；GB/T 6461-2002  金属基体上金属和其他无机覆盖层 经腐蚀试验后的试样和试件的评级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1、盐雾试验：72h中性盐雾试验 检测结果：10级。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8.不锈钢防腐合页：采用优质不锈钢模具一体成型，强度必须达到一个正常成年座在门上方合页不脱落；</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不锈钢防腐合页技术要求满足：QB/T 3826-1999(2009)轻工产品金属镀层和化学处理层的耐腐蚀试验方法 中性盐雾试验（NSS）法：          </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1、中性盐雾（18h） 检测结果：锈点数：0点， 10级。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9.防腐三节静音导轨：三节重型滚珠滑轨，承重性强，滑动性能良好，无噪音；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防腐三节静音导轨技术要求满足：检测依据：QB/T 2454-2013 家具五金 抽屉导轨：</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1、垂直向下静荷载：将抽屉导轨拉出至限位状态，在抽屉面板顶端一角用力垂直向下加载10次 商用型：300N a）所有组件或连接件不应断裂损坏；b）通过手触压证实，用于紧固的组件不应松动；c）所有零部件不应有影响正常运作的变形或磨损；d）五金连接件不应松动；e）所有组件的功能不应损害；f）抽屉导轨及其组件不应分离；</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2、水平侧向静荷载：将抽屉导轨拉出至限位状态，分别在抽屉面板两侧端中点用力水平格加载5次  商用型：150N a）所有组件或连接件不应断裂损坏；b）通过手触压证实，用于紧固的组件不应松动；c）所有零部件不应有影响正常运作的变形或磨损；d）五金连接件不应松动；e）所有组件的功能不应损害；f）抽屉导轨及其组件不应分离；</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3、猛关： 将抽屉导轨拉出300mm，如果抽屉导轨拉出长度不足300mm，则将导轨充分拉出。猛关抽屉导轨，配重增加的力应在抽屉导轨转移到终点位置还剩10mm时停止加载10次   a）所有组件或连接件不应断裂损坏；b）通过手触压证实，用于紧固的组件不应松动；c）所有零部件不应有影响正常运作的变形或磨损；d）五金连接件不应松动；e）所有组件的功能不应损害；f）抽屉导轨及其组件不应分离；</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4、猛开： 将抽屉导轨推进300mm，当抽屉导轨的行程长度小于300mm时，就推到满关位置。猛开抽屉导轨，配重增加的力应在抽屉导轨转移到终点位置还剩10mm时停止加载10次   a）所有组件或连接件不应断裂损坏；b）通过手触压证实，用于紧固的组件不应松动；c）所有零部件不应有影响正常运作的变形或磨损；d）五金连接件不应松动；e）所有组件的功能不应损害；f）抽屉导轨及其组件不应分离。</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10.固定桌脚：采用柜体内置可调ABS调整脚，保证调整脚前后都可以调节高低。</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教师演示讲台技术要求满足：GB 24820-2009 实验室家具通用技术条件：</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1、操作台力学性能：水平静载荷试验：技术要求：力600N，10次；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垂直静载荷试验：主桌面：力2000N，10次；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持续垂直静载荷：载荷1.25kg/dm²，24h；</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独立操作台水平冲击稳定性：质量50kg，跌落高度40mm；</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独立操作台垂直加载稳定性：750N；</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活动操作台跌落：跌落高度：150mm，10次；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垂直冲击试验：跌落高度：300mm，10次。</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162560</wp:posOffset>
                  </wp:positionH>
                  <wp:positionV relativeFrom="paragraph">
                    <wp:posOffset>645795</wp:posOffset>
                  </wp:positionV>
                  <wp:extent cx="1442720" cy="701040"/>
                  <wp:effectExtent l="0" t="0" r="5080" b="0"/>
                  <wp:wrapNone/>
                  <wp:docPr id="8" name="ID_2463388D1E264668A89E9D34937B1E96"/>
                  <wp:cNvGraphicFramePr/>
                  <a:graphic xmlns:a="http://schemas.openxmlformats.org/drawingml/2006/main">
                    <a:graphicData uri="http://schemas.openxmlformats.org/drawingml/2006/picture">
                      <pic:pic xmlns:pic="http://schemas.openxmlformats.org/drawingml/2006/picture">
                        <pic:nvPicPr>
                          <pic:cNvPr id="8" name="ID_2463388D1E264668A89E9D34937B1E96"/>
                          <pic:cNvPicPr/>
                        </pic:nvPicPr>
                        <pic:blipFill>
                          <a:blip r:embed="rId9"/>
                          <a:stretch>
                            <a:fillRect/>
                          </a:stretch>
                        </pic:blipFill>
                        <pic:spPr>
                          <a:xfrm>
                            <a:off x="0" y="0"/>
                            <a:ext cx="1442720" cy="701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78" w:type="dxa"/>
            <w:gridSpan w:val="3"/>
            <w:tcBorders>
              <w:top w:val="single" w:color="000000" w:sz="4" w:space="0"/>
              <w:left w:val="single" w:color="000000" w:sz="4" w:space="0"/>
              <w:bottom w:val="single" w:color="000000" w:sz="4" w:space="0"/>
              <w:right w:val="nil"/>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二、学生实验操作及学习区</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2"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物理学生实验桌</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80"/>
                <w:color w:val="000000" w:themeColor="text1"/>
                <w:highlight w:val="none"/>
                <w:lang w:val="en-US" w:eastAsia="zh-CN" w:bidi="ar"/>
                <w14:textFill>
                  <w14:solidFill>
                    <w14:schemeClr w14:val="tx1"/>
                  </w14:solidFill>
                </w14:textFill>
              </w:rPr>
            </w:pPr>
            <w:r>
              <w:rPr>
                <w:rStyle w:val="80"/>
                <w:color w:val="000000" w:themeColor="text1"/>
                <w:highlight w:val="none"/>
                <w:lang w:val="en-US" w:eastAsia="zh-CN" w:bidi="ar"/>
                <w14:textFill>
                  <w14:solidFill>
                    <w14:schemeClr w14:val="tx1"/>
                  </w14:solidFill>
                </w14:textFill>
              </w:rPr>
              <w:t>规格：</w:t>
            </w:r>
            <w:r>
              <w:rPr>
                <w:rStyle w:val="81"/>
                <w:color w:val="000000" w:themeColor="text1"/>
                <w:highlight w:val="none"/>
                <w:lang w:val="en-US" w:eastAsia="zh-CN" w:bidi="ar"/>
                <w14:textFill>
                  <w14:solidFill>
                    <w14:schemeClr w14:val="tx1"/>
                  </w14:solidFill>
                </w14:textFill>
              </w:rPr>
              <w:t>1200（</w:t>
            </w:r>
            <w:r>
              <w:rPr>
                <w:rStyle w:val="82"/>
                <w:color w:val="000000" w:themeColor="text1"/>
                <w:highlight w:val="none"/>
                <w:lang w:val="en-US" w:eastAsia="zh-CN" w:bidi="ar"/>
                <w14:textFill>
                  <w14:solidFill>
                    <w14:schemeClr w14:val="tx1"/>
                  </w14:solidFill>
                </w14:textFill>
              </w:rPr>
              <w:t>±</w:t>
            </w:r>
            <w:r>
              <w:rPr>
                <w:rStyle w:val="81"/>
                <w:color w:val="000000" w:themeColor="text1"/>
                <w:highlight w:val="none"/>
                <w:lang w:val="en-US" w:eastAsia="zh-CN" w:bidi="ar"/>
                <w14:textFill>
                  <w14:solidFill>
                    <w14:schemeClr w14:val="tx1"/>
                  </w14:solidFill>
                </w14:textFill>
              </w:rPr>
              <w:t>50）*600（±20）*780mm（±20）</w:t>
            </w:r>
            <w:r>
              <w:rPr>
                <w:rStyle w:val="80"/>
                <w:color w:val="000000" w:themeColor="text1"/>
                <w:highlight w:val="none"/>
                <w:lang w:val="en-US" w:eastAsia="zh-CN" w:bidi="ar"/>
                <w14:textFill>
                  <w14:solidFill>
                    <w14:schemeClr w14:val="tx1"/>
                  </w14:solidFill>
                </w14:textFill>
              </w:rPr>
              <w:t xml:space="preserve">  </w:t>
            </w:r>
          </w:p>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1.新型塑铝结构</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2.台面：采用无甲醛新型环保陶瓷台面，台面厚度为20mm，台面表面为实验室专业耐腐蚀、耐刻刮、耐污染釉面。采用一体实芯黑色坯体，台面釉面为亚马逊蓝色，釉面和胚体经高温一体烧结而成，釉面与胚体结合后不脱落、不脱层。台面四周带有宽10mm深2mm内圆弧止滑槽，不仅能有效防止实验物品滚落造成意外事故，还能避免实验试剂和药品倾洒到桌面上造成的危险。</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3.结构：新型塑铝结构，整体</w:t>
            </w:r>
            <w:r>
              <w:rPr>
                <w:rStyle w:val="81"/>
                <w:color w:val="000000" w:themeColor="text1"/>
                <w:highlight w:val="none"/>
                <w:lang w:val="en-US" w:eastAsia="zh-CN" w:bidi="ar"/>
                <w14:textFill>
                  <w14:solidFill>
                    <w14:schemeClr w14:val="tx1"/>
                  </w14:solidFill>
                </w14:textFill>
              </w:rPr>
              <w:t>1200（</w:t>
            </w:r>
            <w:r>
              <w:rPr>
                <w:rStyle w:val="82"/>
                <w:color w:val="000000" w:themeColor="text1"/>
                <w:highlight w:val="none"/>
                <w:lang w:val="en-US" w:eastAsia="zh-CN" w:bidi="ar"/>
                <w14:textFill>
                  <w14:solidFill>
                    <w14:schemeClr w14:val="tx1"/>
                  </w14:solidFill>
                </w14:textFill>
              </w:rPr>
              <w:t>±</w:t>
            </w:r>
            <w:r>
              <w:rPr>
                <w:rStyle w:val="81"/>
                <w:color w:val="000000" w:themeColor="text1"/>
                <w:highlight w:val="none"/>
                <w:lang w:val="en-US" w:eastAsia="zh-CN" w:bidi="ar"/>
                <w14:textFill>
                  <w14:solidFill>
                    <w14:schemeClr w14:val="tx1"/>
                  </w14:solidFill>
                </w14:textFill>
              </w:rPr>
              <w:t>50）*600（±20）*780mm（±20）</w:t>
            </w:r>
            <w:r>
              <w:rPr>
                <w:rStyle w:val="80"/>
                <w:color w:val="000000" w:themeColor="text1"/>
                <w:highlight w:val="none"/>
                <w:lang w:val="en-US" w:eastAsia="zh-CN" w:bidi="ar"/>
                <w14:textFill>
                  <w14:solidFill>
                    <w14:schemeClr w14:val="tx1"/>
                  </w14:solidFill>
                </w14:textFill>
              </w:rPr>
              <w:t xml:space="preserve"> 。学生位镂空式，符合人体工程学设计，美观大方。专用书包斗ABS注塑一体注塑成型尺寸410</w:t>
            </w:r>
            <w:r>
              <w:rPr>
                <w:rStyle w:val="81"/>
                <w:color w:val="000000" w:themeColor="text1"/>
                <w:highlight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*330</w:t>
            </w:r>
            <w:r>
              <w:rPr>
                <w:rStyle w:val="81"/>
                <w:color w:val="000000" w:themeColor="text1"/>
                <w:highlight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*120</w:t>
            </w:r>
            <w:r>
              <w:rPr>
                <w:rStyle w:val="81"/>
                <w:color w:val="000000" w:themeColor="text1"/>
                <w:highlight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，镂空设计，便于清理，不屯垃圾，中间设挂凳卡。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4.侧脚采用高强度铝合金型材结构，整体规格580</w:t>
            </w:r>
            <w:r>
              <w:rPr>
                <w:rStyle w:val="81"/>
                <w:color w:val="000000" w:themeColor="text1"/>
                <w:highlight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*750</w:t>
            </w:r>
            <w:r>
              <w:rPr>
                <w:rStyle w:val="81"/>
                <w:color w:val="000000" w:themeColor="text1"/>
                <w:highlight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w:t>
            </w:r>
            <w:r>
              <w:rPr>
                <w:rStyle w:val="81"/>
                <w:color w:val="000000" w:themeColor="text1"/>
                <w:highlight w:val="none"/>
                <w:lang w:val="en-US" w:eastAsia="zh-CN" w:bidi="ar"/>
                <w14:textFill>
                  <w14:solidFill>
                    <w14:schemeClr w14:val="tx1"/>
                  </w14:solidFill>
                </w14:textFill>
              </w:rPr>
              <w:t>易碰撞处全部采用倒圆角，产品款式要求整体设计美观、合理、安全、牢固、耐用。金属表面经环氧树脂粉末喷涂高温固化处理。要做到承重性能强和耐酸碱、耐腐蚀。</w:t>
            </w:r>
            <w:r>
              <w:rPr>
                <w:rStyle w:val="81"/>
                <w:color w:val="000000" w:themeColor="text1"/>
                <w:highlight w:val="none"/>
                <w:lang w:val="en-US" w:eastAsia="zh-CN" w:bidi="ar"/>
                <w14:textFill>
                  <w14:solidFill>
                    <w14:schemeClr w14:val="tx1"/>
                  </w14:solidFill>
                </w14:textFill>
              </w:rPr>
              <w:br w:type="textWrapping"/>
            </w:r>
            <w:r>
              <w:rPr>
                <w:rStyle w:val="81"/>
                <w:color w:val="000000" w:themeColor="text1"/>
                <w:highlight w:val="none"/>
                <w:lang w:val="en-US" w:eastAsia="zh-CN" w:bidi="ar"/>
                <w14:textFill>
                  <w14:solidFill>
                    <w14:schemeClr w14:val="tx1"/>
                  </w14:solidFill>
                </w14:textFill>
              </w:rPr>
              <w:t>求整体设计美观、合理、安全、牢固、耐用。金属表面经环氧树脂粉末喷涂高温固化处理。要做到承重性能强和耐酸碱、耐腐蚀。</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铝合金型材技术要求满足：GB/T 10125-2012 人造气氛腐蚀试验 盐雾试验；GB/T 6461-2002  金属基体上金属和其他无机覆盖层 经腐蚀试验后的试样和试件的评级：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1、盐雾试验：72h中性盐雾试验 检测结果：10级。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铸铝件技术要求满足：GB/T 10125-2012 人造气氛腐蚀试验 盐雾试验；GB/T 6461-2002  金属基体上金属和其他无机覆盖层 经腐蚀试验后的试样和试件的评级：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1、盐雾试验：72h中性盐雾试验 检测结果：10级。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5.背部档水板、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6.桌侧脚：桌侧脚设置专用孔位与地面固定，并配有跟台面同色ABS脚套装饰盖。</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物理学生实验桌技术要求满足：GB 24820-2009 实验室家具通用技术条件：</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1、操作台力学性能：水平静载荷试验：技术要求：力600N，10次；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垂直静载荷试验：主桌面：力2000N，10次；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持续垂直静载荷：载荷1.25kg/dm²，24h；</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独立操作台水平冲击稳定性：质量50kg，跌落高度40mm；</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独立操作台垂直加载稳定性：力1000N；</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活动操作台跌落：跌落高度：150mm，10次；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垂直冲击试验：跌落高度：300mm，10次。</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215900</wp:posOffset>
                  </wp:positionH>
                  <wp:positionV relativeFrom="paragraph">
                    <wp:posOffset>511810</wp:posOffset>
                  </wp:positionV>
                  <wp:extent cx="1391920" cy="751205"/>
                  <wp:effectExtent l="0" t="0" r="0" b="10795"/>
                  <wp:wrapNone/>
                  <wp:docPr id="11" name="ID_5F8AAD81E9CB4E04B4C33298D9B6E114"/>
                  <wp:cNvGraphicFramePr/>
                  <a:graphic xmlns:a="http://schemas.openxmlformats.org/drawingml/2006/main">
                    <a:graphicData uri="http://schemas.openxmlformats.org/drawingml/2006/picture">
                      <pic:pic xmlns:pic="http://schemas.openxmlformats.org/drawingml/2006/picture">
                        <pic:nvPicPr>
                          <pic:cNvPr id="11" name="ID_5F8AAD81E9CB4E04B4C33298D9B6E114"/>
                          <pic:cNvPicPr/>
                        </pic:nvPicPr>
                        <pic:blipFill>
                          <a:blip r:embed="rId10"/>
                          <a:stretch>
                            <a:fillRect/>
                          </a:stretch>
                        </pic:blipFill>
                        <pic:spPr>
                          <a:xfrm>
                            <a:off x="0" y="0"/>
                            <a:ext cx="1391920" cy="751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实验凳</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规格：Φ315（±20）*450-500mm</w:t>
            </w:r>
            <w:r>
              <w:rPr>
                <w:rStyle w:val="80"/>
                <w:color w:val="000000" w:themeColor="text1"/>
                <w:highlight w:val="none"/>
                <w:lang w:val="en-US" w:eastAsia="zh-CN" w:bidi="ar"/>
                <w14:textFill>
                  <w14:solidFill>
                    <w14:schemeClr w14:val="tx1"/>
                  </w14:solidFill>
                </w14:textFill>
              </w:rPr>
              <w:t xml:space="preserve">  1、凳脚材质：4个凳脚。全圆满焊接完成，结构牢固，经高温粉体烤漆处理，长时间使用也不会产生表面烤漆剥落现象 螺旋升降式，升降距离为50mm，最高离地距离为500mm。Ф凳面直径315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×高450-500mm，2、聚丙烯凳面材质：脚垫材质：采用PP加耐磨纤维增强塑料，方便教室的打扫。</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钢管技术要求满足：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1、维氏硬度，HV1，检测结果＞300。</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聚丙烯凳面技术要求满足：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GB/T 2408-2008 《塑料燃烧性能的测定水平法和垂直法》，检验结论：垂直燃烧性能符合GB/T2408-2008规定的V-0级要求；</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塑料垂直燃烧性能：</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1、余焰和（或）余辉未蔓延至夹具，标准值：余焰和（或）余辉未蔓延至夹具；</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2、第二次施加火焰后单个试样的余焰加上余辉时间，标准值：s≤30，检测结果：s≤3；</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3、任一状态调节的一组试样总的余焰时间，标准值：s≤50，检测结果：s≤5；</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4、单个试样余焰时间，标准值：s≤10，检测结果：s≤1。</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纤维增强塑料技术要求满足：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GB/T 2408-2008 《塑料燃烧性能的测定水平法和垂直法》，检验结论：垂直燃烧性能符合GB/T2408-2008规定的V-0级要求；</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塑料垂直燃烧性能：</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1、余焰和（或）余辉未蔓延至夹具，标准值：余焰和（或）余辉未蔓延至夹具；</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2、第二次施加火焰后单个试样的余焰加上余辉时间，标准值：s≤30，检测结果：s≤3；</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3、任一状态调节的一组试样总的余焰时间，标准值：s≤50，检测结果：s≤5；</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4、单个试样余焰时间，标准值：s≤10，检测结果：s≤1。</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实验凳技术要求满足：GB/T 3325-2017 金属家具通用技术条件：</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1、椅凳类稳定性：凳子任意方向倾翻；检测结果：无倾翻；</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2、椅凳类强度和耐久性：座面和椅背载荷试验：单人位：座面加载力：1300N，椅背加载力：450N，加载次数：10次，加载时间：≥10S；</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椅腿前向静载试验：加载力：500N，加载次数：10次，加载时间:≥10S，座面平衡载荷：1000N；</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座面冲击试验：冲击高度：180mm；冲击次数：10次；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椅背冲击试验：冲击高度：210mm；冲击角度：38°；冲击次数：10次；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椅凳类强度和耐久性：跌落试验：跌落高度：200mm；跌落次数：10次；腿或基座大于200mm非叠放椅。</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607695</wp:posOffset>
                  </wp:positionH>
                  <wp:positionV relativeFrom="paragraph">
                    <wp:posOffset>224155</wp:posOffset>
                  </wp:positionV>
                  <wp:extent cx="632460" cy="837565"/>
                  <wp:effectExtent l="0" t="0" r="7620" b="635"/>
                  <wp:wrapNone/>
                  <wp:docPr id="9" name="ID_935A4E733B5342C68A648F532A216E68"/>
                  <wp:cNvGraphicFramePr/>
                  <a:graphic xmlns:a="http://schemas.openxmlformats.org/drawingml/2006/main">
                    <a:graphicData uri="http://schemas.openxmlformats.org/drawingml/2006/picture">
                      <pic:pic xmlns:pic="http://schemas.openxmlformats.org/drawingml/2006/picture">
                        <pic:nvPicPr>
                          <pic:cNvPr id="9" name="ID_935A4E733B5342C68A648F532A216E68"/>
                          <pic:cNvPicPr/>
                        </pic:nvPicPr>
                        <pic:blipFill>
                          <a:blip r:embed="rId11"/>
                          <a:stretch>
                            <a:fillRect/>
                          </a:stretch>
                        </pic:blipFill>
                        <pic:spPr>
                          <a:xfrm>
                            <a:off x="0" y="0"/>
                            <a:ext cx="632460" cy="837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78" w:type="dxa"/>
            <w:gridSpan w:val="3"/>
            <w:tcBorders>
              <w:top w:val="single" w:color="000000" w:sz="4" w:space="0"/>
              <w:left w:val="single" w:color="000000" w:sz="4" w:space="0"/>
              <w:bottom w:val="single" w:color="000000" w:sz="4" w:space="0"/>
              <w:right w:val="nil"/>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三、控制系统</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智能系统控制柜</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规格：</w:t>
            </w:r>
            <w:r>
              <w:rPr>
                <w:rStyle w:val="81"/>
                <w:color w:val="000000" w:themeColor="text1"/>
                <w:highlight w:val="none"/>
                <w:lang w:val="en-US" w:eastAsia="zh-CN" w:bidi="ar"/>
                <w14:textFill>
                  <w14:solidFill>
                    <w14:schemeClr w14:val="tx1"/>
                  </w14:solidFill>
                </w14:textFill>
              </w:rPr>
              <w:t xml:space="preserve">500（±20）*200（±20）*1250（±20）mm </w:t>
            </w:r>
            <w:r>
              <w:rPr>
                <w:rStyle w:val="80"/>
                <w:color w:val="000000" w:themeColor="text1"/>
                <w:highlight w:val="none"/>
                <w:lang w:val="en-US" w:eastAsia="zh-CN" w:bidi="ar"/>
                <w14:textFill>
                  <w14:solidFill>
                    <w14:schemeClr w14:val="tx1"/>
                  </w14:solidFill>
                </w14:textFill>
              </w:rPr>
              <w:t xml:space="preserve"> 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w:t>
            </w: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6755130</wp:posOffset>
                  </wp:positionH>
                  <wp:positionV relativeFrom="paragraph">
                    <wp:posOffset>215900</wp:posOffset>
                  </wp:positionV>
                  <wp:extent cx="691515" cy="1052195"/>
                  <wp:effectExtent l="0" t="0" r="9525" b="14605"/>
                  <wp:wrapNone/>
                  <wp:docPr id="12" name="ID_0D16E3BD615342559AAAA3D077542D25"/>
                  <wp:cNvGraphicFramePr/>
                  <a:graphic xmlns:a="http://schemas.openxmlformats.org/drawingml/2006/main">
                    <a:graphicData uri="http://schemas.openxmlformats.org/drawingml/2006/picture">
                      <pic:pic xmlns:pic="http://schemas.openxmlformats.org/drawingml/2006/picture">
                        <pic:nvPicPr>
                          <pic:cNvPr id="12" name="ID_0D16E3BD615342559AAAA3D077542D25"/>
                          <pic:cNvPicPr/>
                        </pic:nvPicPr>
                        <pic:blipFill>
                          <a:blip r:embed="rId12"/>
                          <a:stretch>
                            <a:fillRect/>
                          </a:stretch>
                        </pic:blipFill>
                        <pic:spPr>
                          <a:xfrm>
                            <a:off x="0" y="0"/>
                            <a:ext cx="691515" cy="1052195"/>
                          </a:xfrm>
                          <a:prstGeom prst="rect">
                            <a:avLst/>
                          </a:prstGeom>
                          <a:noFill/>
                          <a:ln>
                            <a:noFill/>
                          </a:ln>
                        </pic:spPr>
                      </pic:pic>
                    </a:graphicData>
                  </a:graphic>
                </wp:anchor>
              </w:drawing>
            </w:r>
            <w:r>
              <w:rPr>
                <w:rStyle w:val="80"/>
                <w:color w:val="000000" w:themeColor="text1"/>
                <w:highlight w:val="none"/>
                <w:lang w:val="en-US" w:eastAsia="zh-CN" w:bidi="ar"/>
                <w14:textFill>
                  <w14:solidFill>
                    <w14:schemeClr w14:val="tx1"/>
                  </w14:solidFill>
                </w14:textFill>
              </w:rPr>
              <w:t>照明控制系统、给排水控制系统）。</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（1）电源控制系统：可以对220V进行控制，可以单独进行控制，进行单选、全选、反选，分组进行控制；</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（2）照明控制系统可以对照明进行控制，可以单独进行控制，进行单选、全选、反选，分组进行控制；</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智能灯光照明系统技术要求满足：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1、标志：调节装置、输出插孔应有清晰明了、耐用的提示文字和符号；直流电压输出应能显示电压；</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2、电压调节范围，V.:AC/DC:0～30V；</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3、内部导线连接：连线后应无应力；黄绿双色线必须是接地端子，部分固定牢固，无松动现象；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4、电压指示精度，V:显示值与输出值之间的误差应在±2V以内。</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(3)智能摇臂控制系统：可以对摇臂进行控制，可以单独进行控制，进行单选、全选、反选，分组进行控制。</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智能摇臂升降系统技术要求满足：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1、外观要求：各部件应进行防腐处理；可触及部位应无毛刺，飞边，快口等缺陷；外壳加工规整，无明显敲击和机械损伤；部件的定位应可靠，不应有窜动、歪斜、工作卡阻等影响使用的缺陷；</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2、主体金属材料硬度，HV ：技术要求≥180HV；</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3、防护涂层的要求，μm：涂层表面光滑，颜色、色泽应基本一致，无气泡，不脱落，任意五点的平均厚度应≥100μm，经2H铅笔硬度试验后，涂层应无明显痕迹；  </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4、运行稳定性：经升降200次试验后，运行应无异常现象发生。</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智能系统控制柜技术要求满足：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1、标志：调节装置、输出插孔应有清晰明了、耐用的提示文字和符号；直流电压输出应能显示电压。</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2、电压调节范围，V.:AC/DC:0～30V;</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3、内部导线连接：连线后应无应力；黄绿双色线必须是接地端子，部分固定牢固，无松动现象。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4、电压指示精度，V:显示值与输出值之间的误差应在±2V以内。</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顶装智能控制平台</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规格：10寸触摸屏。</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集中控制系统。可执行各分项分页控制；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（1）照明控制：分组控制整室照明；</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（2）电源控制：控制学生AC220V电源；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（3）摇臂控制：可以实现单个控制，可以集中控制，可以任意组合控制。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6323330</wp:posOffset>
                  </wp:positionH>
                  <wp:positionV relativeFrom="paragraph">
                    <wp:posOffset>252730</wp:posOffset>
                  </wp:positionV>
                  <wp:extent cx="1476375" cy="1114425"/>
                  <wp:effectExtent l="0" t="0" r="1905" b="13335"/>
                  <wp:wrapNone/>
                  <wp:docPr id="15" name="ID_76E9214E3C23499D8C6A0866DC3C81A1"/>
                  <wp:cNvGraphicFramePr/>
                  <a:graphic xmlns:a="http://schemas.openxmlformats.org/drawingml/2006/main">
                    <a:graphicData uri="http://schemas.openxmlformats.org/drawingml/2006/picture">
                      <pic:pic xmlns:pic="http://schemas.openxmlformats.org/drawingml/2006/picture">
                        <pic:nvPicPr>
                          <pic:cNvPr id="15" name="ID_76E9214E3C23499D8C6A0866DC3C81A1"/>
                          <pic:cNvPicPr/>
                        </pic:nvPicPr>
                        <pic:blipFill>
                          <a:blip r:embed="rId13"/>
                          <a:stretch>
                            <a:fillRect/>
                          </a:stretch>
                        </pic:blipFill>
                        <pic:spPr>
                          <a:xfrm>
                            <a:off x="0" y="0"/>
                            <a:ext cx="1476375" cy="11144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顶装智能控制平台技术要求满足：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1、标志：调节装置、输出插孔应有清晰明了、耐用的提示文字和符号，直流电压输出应能显示电压；内部布线接线端子应有文字或符号明示；</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2、内部导线连接：连接后应无应力；黄绿双色线必须是接地端子；部件固定牢固，无松动现象；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3、漏电保护：输入端应有漏电保护断路装置；</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4、接地措施：接地电阻≤0.1Ω；绝缘电阻≥7MΩ；变压器、插座应可靠接地；</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5、发热，K：变压器在1.06倍额定电压（233.2V）工作至温度状态，其绕组温升≤90K；</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6、操作性：试验后，提环连接部位不应脱落、变形，桶口部位不应产生永久性变形；各组插座、开关工作有效，无影响正常工作和安全的异常现象；指示灯正常，无闪烁、损坏现象；电压指示正常，无闪烁和损坏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7、电压电流设置性能指示性：电压按设定值输入确认后，显示和输出应一致；电压设定值与实际输出值得误差应≤10%。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8"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学生端分组控制系统</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可以对学生端模块的电源控制系统、照明控制系统、给排水控制系统、智能摇臂控制系统经行独立分组控制，实现全选、反选、单选功能</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学生端分组控制系统技术要求满足：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1、标志：调节装置、输出插孔应有清晰明了、耐用的提示文字和符号；直流电压输出应能显示电压；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2、电压调节范围，V：AC/DC:0-30V；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3、内部导线连接：连接后应无应力；黄绿双色线必须是接地端子，部件固定牢固，无松动现象；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4、电压指示精度：V：显示值与输出值之间的误差应在±2V以内。</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远程控制系统</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A、APP登入有网络注册功能，注册后登入系统操作，使用者忘记密码方便找回，同时方便升级系统，带来新的体验。</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B、能使用APP能控制总电源关闭；</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C、APP能显示当前温度、相对湿度及当前时间；</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D、使用APP能控制学生低压电源的交流电压，且电压值为实测值。如APP给学生交流3V，学生电源电压实测电压为3V；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E、使用APP同时控制电光源开启与关闭，同时可以扩展功能（监控布防、空调控制等等）</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远程控制系统技术要求满足：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1、标志：调节装置、输出插孔应有清晰明了、耐用的提示文字和符号；直流电压输出应能显示电压；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2、电压调节范围，V.:AC/DC:0～30V；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3、内部导线连接：连线后应无应力；黄绿双色线必须是接地端子，部分固定牢固，无松动现象；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4、电压指示精度，V:显示值与输出值之间的误差应在±2V以内。</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509270</wp:posOffset>
                  </wp:positionH>
                  <wp:positionV relativeFrom="paragraph">
                    <wp:posOffset>36195</wp:posOffset>
                  </wp:positionV>
                  <wp:extent cx="638175" cy="1130300"/>
                  <wp:effectExtent l="0" t="0" r="1905" b="12700"/>
                  <wp:wrapNone/>
                  <wp:docPr id="13" name="ID_0933B19EBDBF4375B627B2D47880FD98"/>
                  <wp:cNvGraphicFramePr/>
                  <a:graphic xmlns:a="http://schemas.openxmlformats.org/drawingml/2006/main">
                    <a:graphicData uri="http://schemas.openxmlformats.org/drawingml/2006/picture">
                      <pic:pic xmlns:pic="http://schemas.openxmlformats.org/drawingml/2006/picture">
                        <pic:nvPicPr>
                          <pic:cNvPr id="13" name="ID_0933B19EBDBF4375B627B2D47880FD98"/>
                          <pic:cNvPicPr/>
                        </pic:nvPicPr>
                        <pic:blipFill>
                          <a:blip r:embed="rId14"/>
                          <a:stretch>
                            <a:fillRect/>
                          </a:stretch>
                        </pic:blipFill>
                        <pic:spPr>
                          <a:xfrm>
                            <a:off x="0" y="0"/>
                            <a:ext cx="638175" cy="11303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1"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温湿度监视系统</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内置精密温湿度传感装置，实时监控房间内的温度和湿度，保障室内舒适的环境舒适性，在触摸屏中实时显示当前环境的温度和湿度。</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温湿度监视系统技术要求满足：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1、标志：调节装置、输出插孔应有清晰明了、耐用的提示文字和符号；直流电压输出应能显示电压；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2、电压调节范围，V.:AC/DC:0～30V；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3、内部导线连接：连线后应无应力；黄绿双色线必须是接地端子，部分固定牢固，无松动现象；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4、电压指示精度，V:显示值与输出值之间的误差应在±2V以内。</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c>
          <w:tcPr>
            <w:tcW w:w="10393" w:type="dxa"/>
            <w:gridSpan w:val="2"/>
            <w:tcBorders>
              <w:top w:val="single" w:color="000000" w:sz="4" w:space="0"/>
              <w:left w:val="nil"/>
              <w:bottom w:val="single" w:color="000000" w:sz="4" w:space="0"/>
              <w:right w:val="single" w:color="000000" w:sz="4" w:space="0"/>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四、控制系统</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244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摇臂控制系统</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动力采用为直流24V减速低压电机，连接杆采用DN60*1.8mm专用铝合金模具一体成型，内部水电分离，功能模块采用模具一体成型，功能模块可安装高低压电源（低压电源为交直流，可以显示交直流电压）、急停开关，可选配网络及上下水模块，同时可以扩展煤气等模块。系统自带障碍物保护功能，当摇臂在运动的过程中遇到障碍物时会自动复位；摇臂在运动的过程中供应模块的电源处于断电状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智能摇臂升降系统技术要求满足：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1、外观要求：各部件应进行防腐处理；可触及部位应无毛刺，飞边，快口等缺陷；外壳加工规整，无明显敲击和机械损伤；部件的定位应可靠，不应有窜动、歪斜、工作卡阻等影响使用的缺陷；</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2、主体金属材料硬度，HV ：技术要求≥180HV；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3、防护涂层的要求，μm：涂层表面光滑，颜色、色泽应基本一致，无气泡，不脱落，任意五点的平均厚度应≥100μm，经2H铅笔硬度试验后，涂层应无明显痕迹；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4、运行稳定性：经升降200次试验后，运行应无异常现象发生。</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310515</wp:posOffset>
                  </wp:positionH>
                  <wp:positionV relativeFrom="paragraph">
                    <wp:posOffset>575310</wp:posOffset>
                  </wp:positionV>
                  <wp:extent cx="1598930" cy="921385"/>
                  <wp:effectExtent l="0" t="0" r="1270" b="8255"/>
                  <wp:wrapNone/>
                  <wp:docPr id="7" name="ID_98A8E387A8A94784AD17D8606343F69D"/>
                  <wp:cNvGraphicFramePr/>
                  <a:graphic xmlns:a="http://schemas.openxmlformats.org/drawingml/2006/main">
                    <a:graphicData uri="http://schemas.openxmlformats.org/drawingml/2006/picture">
                      <pic:pic xmlns:pic="http://schemas.openxmlformats.org/drawingml/2006/picture">
                        <pic:nvPicPr>
                          <pic:cNvPr id="7" name="ID_98A8E387A8A94784AD17D8606343F69D"/>
                          <pic:cNvPicPr/>
                        </pic:nvPicPr>
                        <pic:blipFill>
                          <a:blip r:embed="rId15"/>
                          <a:stretch>
                            <a:fillRect/>
                          </a:stretch>
                        </pic:blipFill>
                        <pic:spPr>
                          <a:xfrm>
                            <a:off x="0" y="0"/>
                            <a:ext cx="1598930" cy="92138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w:t>
            </w:r>
          </w:p>
        </w:tc>
        <w:tc>
          <w:tcPr>
            <w:tcW w:w="0" w:type="auto"/>
            <w:vMerge w:val="restart"/>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模块主架舱体</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规格：采用标准模块化组成，1200</w:t>
            </w:r>
            <w:r>
              <w:rPr>
                <w:rStyle w:val="81"/>
                <w:color w:val="000000" w:themeColor="text1"/>
                <w:highlight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*720</w:t>
            </w:r>
            <w:r>
              <w:rPr>
                <w:rStyle w:val="81"/>
                <w:color w:val="000000" w:themeColor="text1"/>
                <w:highlight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*195</w:t>
            </w:r>
            <w:r>
              <w:rPr>
                <w:rStyle w:val="81"/>
                <w:color w:val="000000" w:themeColor="text1"/>
                <w:highlight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mm为一组；</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外形及材质：主框架采用航空飞碟式设计1.8MM-3mm厚铝合金模具成型表面经环氧树脂粉末喷涂高温固化处理，舱体下部采用镀锌钢板配色成型，左右装饰条采用实验室专用铝合金模具型材，表面经环氧树脂粉末喷涂高温固化处理。具有阻燃性强和耐酸碱、耐腐蚀，光泽度好，美观大方。</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模块主架舱体技术要求满足：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1、外观：表面光洁，形状规正，不应有毛刺，快口等现象；组件结合接缝平服，间隙应基本一致，无明显高低差和缝隙不一的现象；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w:t>
            </w:r>
            <w:r>
              <w:rPr>
                <w:rStyle w:val="81"/>
                <w:color w:val="000000" w:themeColor="text1"/>
                <w:highlight w:val="none"/>
                <w:lang w:val="en-US" w:eastAsia="zh-CN" w:bidi="ar"/>
                <w14:textFill>
                  <w14:solidFill>
                    <w14:schemeClr w14:val="tx1"/>
                  </w14:solidFill>
                </w14:textFill>
              </w:rPr>
              <w:t>涂层要求，μm：</w:t>
            </w:r>
            <w:r>
              <w:rPr>
                <w:rStyle w:val="80"/>
                <w:color w:val="000000" w:themeColor="text1"/>
                <w:highlight w:val="none"/>
                <w:lang w:val="en-US" w:eastAsia="zh-CN" w:bidi="ar"/>
                <w14:textFill>
                  <w14:solidFill>
                    <w14:schemeClr w14:val="tx1"/>
                  </w14:solidFill>
                </w14:textFill>
              </w:rPr>
              <w:t>主体的内外面均应做涂层处理；涂层色泽均匀一致，无气泡，流挂，露底等缺陷；外表面任意五点的平均厚度应≥80μm；</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3、切边口：光滑，无裂边、锐边、皱折等现象； </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4、焊接：焊接牢固，焊点圆正，无虚焊、尖角、穿孔等现象。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w:t>
            </w:r>
          </w:p>
        </w:tc>
        <w:tc>
          <w:tcPr>
            <w:tcW w:w="0" w:type="auto"/>
            <w:vMerge w:val="continue"/>
            <w:tcBorders>
              <w:top w:val="single" w:color="000000" w:sz="4" w:space="0"/>
              <w:left w:val="nil"/>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集成功能模块舱体</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采用ABS材质，模具一体成型。模块内部采用双层设计，水电隔离设计，相互不干扰，保证设备安全可靠性。模块内预留高压、低压、网络、上下水接口位置。</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集成功能模块舱体技术要求满足：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1、外观：技术要求，表面光洁，形状规正，不应有毛刺，快口等现象；组件结合接缝平服，间隙应基本一致，无明显高低差和缝隙不一的现象；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2、涂层要求，μm 。主体的内外面均应做涂层处理；涂层色泽均匀一致，无气泡，流挂，露底等缺陷；外表面任意五点的平均厚度应≥80μm；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3、切边口：光滑，无裂边、锐边、皱折等现象；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4、焊接：焊接牢固，焊点圆正，无虚焊、尖角、穿孔等现象。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4" w:hRule="atLeast"/>
        </w:trPr>
        <w:tc>
          <w:tcPr>
            <w:tcW w:w="68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1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电源供应模块</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220V 接收智能化控制系统控制，内含新国标插座。可以分组或独立控制电源供给。</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415290</wp:posOffset>
                  </wp:positionH>
                  <wp:positionV relativeFrom="paragraph">
                    <wp:posOffset>190500</wp:posOffset>
                  </wp:positionV>
                  <wp:extent cx="1099185" cy="970280"/>
                  <wp:effectExtent l="0" t="0" r="0" b="0"/>
                  <wp:wrapNone/>
                  <wp:docPr id="5" name="ID_AD1941F7D5494281A2580FE87B2339D5"/>
                  <wp:cNvGraphicFramePr/>
                  <a:graphic xmlns:a="http://schemas.openxmlformats.org/drawingml/2006/main">
                    <a:graphicData uri="http://schemas.openxmlformats.org/drawingml/2006/picture">
                      <pic:pic xmlns:pic="http://schemas.openxmlformats.org/drawingml/2006/picture">
                        <pic:nvPicPr>
                          <pic:cNvPr id="5" name="ID_AD1941F7D5494281A2580FE87B2339D5"/>
                          <pic:cNvPicPr/>
                        </pic:nvPicPr>
                        <pic:blipFill>
                          <a:blip r:embed="rId16"/>
                          <a:stretch>
                            <a:fillRect/>
                          </a:stretch>
                        </pic:blipFill>
                        <pic:spPr>
                          <a:xfrm>
                            <a:off x="0" y="0"/>
                            <a:ext cx="1099185" cy="9702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68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0-24V  1、教师主控型，学生低压电源都可接收主控电源发送的锁定信号，在锁定指示灯点亮后，学生接收老师输送的设定电源电压，教师锁定时,学生自己无法操作，这样可避免学生的误操作。可以分组或独立控制；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2、学生电源采用耐磨、耐腐蚀、耐高温的PC亮光薄膜面板，学生电源的控制采用按钮式按键，可以随意设置电压，贴片元件生产技术，微电脑控制，采用1.38寸液晶显示电源学生交直流电压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3、学生交流电源通过上下键0～24V电压，最小调节单元可达1V,额定电流2A；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4、学生直流电源也是通过上下键选取，调节范围为1.5～24V，分辨率可达0.1V,额定电流2A。</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4" w:hRule="atLeast"/>
        </w:trPr>
        <w:tc>
          <w:tcPr>
            <w:tcW w:w="68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采用485网络模块接口，不含网络布线；</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电源供应模块技术要求满足：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1、标志：调节装置、输出插孔应有清晰明了、耐用的提示文字和符号；直流电压输出应能显示电压；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2、电压调节范围，V：AC/DC:0～30V；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3、内部导线连接：连线后应无应力；黄绿双色线必须是接地端子；部件固定牢固，无松动现象；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4、电压指示精度，V：显示值与输出值之间的误差应在±2V以内。</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主架舱体防尘检修板</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规格：采用那个CO2保护焊焊接，打磨处理，表面经耐酸碱EPOXY粉末烤漆处理（烤漆膜厚度平均值≥70μm）；造型独特美观，检修方便。</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高强度镀锌钢板技术要求满足：GB/T 10125-2012 人造气氛腐蚀试验 盐雾试验；GB/T 6461-2002  金属基体上金属和其他无机覆盖层 经腐蚀试验后的试样和试件的评级：</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1、盐雾试验：72h中性盐雾试验 检测结果：10级。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智能灯光照明装置</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接收智能化控制系统控制，配置LED日光灯1根，每根15W。</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电源供应线路</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模块化设计，每组模块间采用活接式连接，方便安装、检修。采用</w:t>
            </w:r>
            <w:r>
              <w:rPr>
                <w:rStyle w:val="81"/>
                <w:color w:val="000000" w:themeColor="text1"/>
                <w:highlight w:val="none"/>
                <w:lang w:val="en-US" w:eastAsia="zh-CN" w:bidi="ar"/>
                <w14:textFill>
                  <w14:solidFill>
                    <w14:schemeClr w14:val="tx1"/>
                  </w14:solidFill>
                </w14:textFill>
              </w:rPr>
              <w:t>2.5mm²电线</w:t>
            </w:r>
            <w:r>
              <w:rPr>
                <w:rStyle w:val="80"/>
                <w:color w:val="000000" w:themeColor="text1"/>
                <w:highlight w:val="none"/>
                <w:lang w:val="en-US" w:eastAsia="zh-CN" w:bidi="ar"/>
                <w14:textFill>
                  <w14:solidFill>
                    <w14:schemeClr w14:val="tx1"/>
                  </w14:solidFill>
                </w14:textFill>
              </w:rPr>
              <w:t>进行系统布线。</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智能控制系统线路</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模块化设计，每组模块间采用活接式连接，方便安装、检修。采用</w:t>
            </w:r>
            <w:r>
              <w:rPr>
                <w:rStyle w:val="81"/>
                <w:color w:val="000000" w:themeColor="text1"/>
                <w:highlight w:val="none"/>
                <w:lang w:val="en-US" w:eastAsia="zh-CN" w:bidi="ar"/>
                <w14:textFill>
                  <w14:solidFill>
                    <w14:schemeClr w14:val="tx1"/>
                  </w14:solidFill>
                </w14:textFill>
              </w:rPr>
              <w:t>1.mm²屏蔽电线</w:t>
            </w:r>
            <w:r>
              <w:rPr>
                <w:rStyle w:val="80"/>
                <w:color w:val="000000" w:themeColor="text1"/>
                <w:highlight w:val="none"/>
                <w:lang w:val="en-US" w:eastAsia="zh-CN" w:bidi="ar"/>
                <w14:textFill>
                  <w14:solidFill>
                    <w14:schemeClr w14:val="tx1"/>
                  </w14:solidFill>
                </w14:textFill>
              </w:rPr>
              <w:t>进行系统布线。</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舱体末端封板</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采用ABS材质，模具一体成型。</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支架功能封板</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能隐藏水电通风管道及电线，采用PVC材质，方便检修。</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支架功能封板技术要求满足：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GB/T 2408-2008 《塑料燃烧性能的测定水平法和垂直法》，检验结论：垂直燃烧性能符合GB/T2408-2008规定的V-0级要求；</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塑料垂直燃烧性能：</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1、余焰和（或）余辉未蔓延至夹具，标准值：余焰和（或）余辉未蔓延至夹具；</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2、第二次施加火焰后单个试样的余焰加上余辉时间，标准值：s≤30，检测结果：s≤3；</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3、任一状态调节的一组试样总的余焰时间，标准值：s≤50，检测结果：s≤5；</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4、单个试样余焰时间，标准值：s≤10，检测结果：s≤1。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安装支架</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80"/>
                <w:color w:val="000000" w:themeColor="text1"/>
                <w:highlight w:val="none"/>
                <w:lang w:val="en-US" w:eastAsia="zh-CN" w:bidi="ar"/>
                <w14:textFill>
                  <w14:solidFill>
                    <w14:schemeClr w14:val="tx1"/>
                  </w14:solidFill>
                </w14:textFill>
              </w:rPr>
              <w:t>采用碳钢丝杠及专业连接件、直角座、龙骨架连接件、吊装挂件、安装连接板等。</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安装支架技术要求满足：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1、抗拉强度Rm，MPa，/；检测结果≥150。</w:t>
            </w:r>
          </w:p>
        </w:tc>
        <w:tc>
          <w:tcPr>
            <w:tcW w:w="60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间</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17</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安装辅件</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采用双槽钢横梁吊装方式，减少楼板承重，防止左右晃动，可进行上下、左右的平衡调节，实验功能板离地2m左右，主要辅件有：槽钢等</w:t>
            </w:r>
          </w:p>
        </w:tc>
        <w:tc>
          <w:tcPr>
            <w:tcW w:w="60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间</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18</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系统调试</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系统调试：</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1、吊顶式系统采用模块化结构设计，采用吊装安装方式；</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2、系统结构调试；</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3、系统控制调试；</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4、供电系统调试；</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5、照明系统调试。</w:t>
            </w:r>
          </w:p>
        </w:tc>
        <w:tc>
          <w:tcPr>
            <w:tcW w:w="60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顶装安装</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标准化安装</w:t>
            </w:r>
          </w:p>
        </w:tc>
        <w:tc>
          <w:tcPr>
            <w:tcW w:w="60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078" w:type="dxa"/>
            <w:gridSpan w:val="3"/>
            <w:tcBorders>
              <w:top w:val="single" w:color="000000" w:sz="4" w:space="0"/>
              <w:left w:val="single" w:color="000000" w:sz="4" w:space="0"/>
              <w:bottom w:val="single" w:color="000000" w:sz="4" w:space="0"/>
              <w:right w:val="nil"/>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五、照明护眼灯</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LED黑板灯</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1、黑板灯为一体式LED防眩灯具。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2、为了防止眩光和避免产生用眼不适，黑板灯需为经过科学匀光处理、视感舒适的照明灯具。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3、黑板灯驱动电源需为隔离型恒流驱动，电源有外壳并可靠固定。</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4、黑板灯须通过CCC认证。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5、黑板灯功率＜50W。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6、黑板灯光效（或灯具效能）≥80 lm/W。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7、黑板灯色温（或相关色温）4300K-5300K。</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8、黑板灯显色指数Ra＞95、R9＞90。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9、黑板灯色容差（色品容差）≤5 SDCM。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10、黑板灯应满足30000小时或以上时间的光通维持率≥93%，以保证产品质量和灯具使用寿命。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11、黑板灯至少依据但不限于《GB 7793》《GB 50034》《GB/T 5700》《T/JYBZ 005》及《GB 7000.1》等教室照明质量参考标准要求通过教室照明设备认证。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12、黑板灯蓝光危害等级为RG0（或0类危险）。</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13、黑板灯频闪无危害或无显著影响或无频闪危害。</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14、黑板灯至少依据但不限于《GB7793》、《GB50034》、《GB/T5700》、《T/JYBZ005》及《GB7000.1》标准满足发光面法线方向、长边γ1=60°及短边γ2=60°角度内亮度测试结果均为“P”或合格。</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245745</wp:posOffset>
                  </wp:positionH>
                  <wp:positionV relativeFrom="paragraph">
                    <wp:posOffset>93980</wp:posOffset>
                  </wp:positionV>
                  <wp:extent cx="1221105" cy="582295"/>
                  <wp:effectExtent l="0" t="0" r="13335" b="12065"/>
                  <wp:wrapNone/>
                  <wp:docPr id="3" name="Picture_1"/>
                  <wp:cNvGraphicFramePr/>
                  <a:graphic xmlns:a="http://schemas.openxmlformats.org/drawingml/2006/main">
                    <a:graphicData uri="http://schemas.openxmlformats.org/drawingml/2006/picture">
                      <pic:pic xmlns:pic="http://schemas.openxmlformats.org/drawingml/2006/picture">
                        <pic:nvPicPr>
                          <pic:cNvPr id="3" name="Picture_1"/>
                          <pic:cNvPicPr/>
                        </pic:nvPicPr>
                        <pic:blipFill>
                          <a:blip r:embed="rId17"/>
                          <a:stretch>
                            <a:fillRect/>
                          </a:stretch>
                        </pic:blipFill>
                        <pic:spPr>
                          <a:xfrm>
                            <a:off x="0" y="0"/>
                            <a:ext cx="1221105" cy="582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LED教室灯</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1、教室灯为一体式LED防眩灯具，长度≥1000mm。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2、为了防止眩光和避免产生用眼不适，教室灯需为经过科学匀光处理、视感舒适的照明灯具。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3、教室灯驱动电源需为隔离型恒流驱动，电源有外壳并可靠固定。</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4、教室灯须通过CCC认证。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5、教室灯功率＜50W。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6、教室灯光效（或灯具效能）≥80 lm/W。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7、教室灯色温（或相关色温）4300K-5300K。</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8、教室灯显色指数Ra＞95、R9＞90。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9、教室灯色容差（色品容差）≤5 SDCM。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10、教室灯应满足30000小时或以上时间的光通维持率≥93%，以保证产品质量和灯具使用寿命。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11、教室灯至少依据但不限于《GB 7793》《GB 50034》《GB/T 5700》《T/JYBZ 005》及《GB 7000.1》等教室照明质量参考标准要求通过教室照明设备认证。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12、教室灯蓝光危害等级为RG0（或0类危险）。</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13、教室灯频闪无危害或无显著影响或无频闪危害。</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14、教室灯至少依据但不限于《GB7793》、《GB50034》、《GB/T5700》。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14、教室灯至少依据但不限于《GB7793》、《GB50034》、《GB/T5700》、《T/JYBZ005》及《GB7000.1》标准满足发光面法线方向、长边γ1=60°及短边γ2=60°角度内亮度测试结果均为“P”或合格。</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18</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132080</wp:posOffset>
                  </wp:positionV>
                  <wp:extent cx="1237615" cy="477520"/>
                  <wp:effectExtent l="0" t="0" r="12065" b="10160"/>
                  <wp:wrapNone/>
                  <wp:docPr id="14" name="图片_5"/>
                  <wp:cNvGraphicFramePr/>
                  <a:graphic xmlns:a="http://schemas.openxmlformats.org/drawingml/2006/main">
                    <a:graphicData uri="http://schemas.openxmlformats.org/drawingml/2006/picture">
                      <pic:pic xmlns:pic="http://schemas.openxmlformats.org/drawingml/2006/picture">
                        <pic:nvPicPr>
                          <pic:cNvPr id="14" name="图片_5"/>
                          <pic:cNvPicPr/>
                        </pic:nvPicPr>
                        <pic:blipFill>
                          <a:blip r:embed="rId18"/>
                          <a:stretch>
                            <a:fillRect/>
                          </a:stretch>
                        </pic:blipFill>
                        <pic:spPr>
                          <a:xfrm>
                            <a:off x="0" y="0"/>
                            <a:ext cx="1237615" cy="477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地面处理</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地面修复处理、铺设医用PVC地板胶 厚度：2.0mm</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平米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180</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215265</wp:posOffset>
                  </wp:positionH>
                  <wp:positionV relativeFrom="paragraph">
                    <wp:posOffset>47625</wp:posOffset>
                  </wp:positionV>
                  <wp:extent cx="1309370" cy="763270"/>
                  <wp:effectExtent l="0" t="0" r="1270" b="13970"/>
                  <wp:wrapNone/>
                  <wp:docPr id="4" name="图片_6"/>
                  <wp:cNvGraphicFramePr/>
                  <a:graphic xmlns:a="http://schemas.openxmlformats.org/drawingml/2006/main">
                    <a:graphicData uri="http://schemas.openxmlformats.org/drawingml/2006/picture">
                      <pic:pic xmlns:pic="http://schemas.openxmlformats.org/drawingml/2006/picture">
                        <pic:nvPicPr>
                          <pic:cNvPr id="4" name="图片_6"/>
                          <pic:cNvPicPr/>
                        </pic:nvPicPr>
                        <pic:blipFill>
                          <a:blip r:embed="rId19"/>
                          <a:stretch>
                            <a:fillRect/>
                          </a:stretch>
                        </pic:blipFill>
                        <pic:spPr>
                          <a:xfrm>
                            <a:off x="0" y="0"/>
                            <a:ext cx="1309370" cy="7632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w:t>
            </w:r>
          </w:p>
        </w:tc>
        <w:tc>
          <w:tcPr>
            <w:tcW w:w="161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吊顶天花</w:t>
            </w:r>
          </w:p>
        </w:tc>
        <w:tc>
          <w:tcPr>
            <w:tcW w:w="8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铝扣板</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平米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180</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20320</wp:posOffset>
                  </wp:positionH>
                  <wp:positionV relativeFrom="paragraph">
                    <wp:posOffset>132080</wp:posOffset>
                  </wp:positionV>
                  <wp:extent cx="1391920" cy="578485"/>
                  <wp:effectExtent l="0" t="0" r="10160" b="635"/>
                  <wp:wrapNone/>
                  <wp:docPr id="6" name="图片_13"/>
                  <wp:cNvGraphicFramePr/>
                  <a:graphic xmlns:a="http://schemas.openxmlformats.org/drawingml/2006/main">
                    <a:graphicData uri="http://schemas.openxmlformats.org/drawingml/2006/picture">
                      <pic:pic xmlns:pic="http://schemas.openxmlformats.org/drawingml/2006/picture">
                        <pic:nvPicPr>
                          <pic:cNvPr id="6" name="图片_13"/>
                          <pic:cNvPicPr/>
                        </pic:nvPicPr>
                        <pic:blipFill>
                          <a:blip r:embed="rId20"/>
                          <a:stretch>
                            <a:fillRect/>
                          </a:stretch>
                        </pic:blipFill>
                        <pic:spPr>
                          <a:xfrm>
                            <a:off x="0" y="0"/>
                            <a:ext cx="1391920" cy="578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实验室文化装饰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物理</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实验室文化装饰</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，包含物理实验室挂图、制度、物理家名人名言等</w:t>
            </w:r>
            <w:r>
              <w:rPr>
                <w:rStyle w:val="83"/>
                <w:color w:val="000000" w:themeColor="text1"/>
                <w:highlight w:val="none"/>
                <w:lang w:val="en-US" w:eastAsia="zh-CN" w:bidi="ar"/>
                <w14:textFill>
                  <w14:solidFill>
                    <w14:schemeClr w14:val="tx1"/>
                  </w14:solidFill>
                </w14:textFill>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拆除/安装/辅材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拆除旧实验室设备，重新电源布线，</w:t>
            </w:r>
            <w:r>
              <w:rPr>
                <w:rStyle w:val="83"/>
                <w:color w:val="000000" w:themeColor="text1"/>
                <w:highlight w:val="none"/>
                <w:lang w:val="en-US" w:eastAsia="zh-CN" w:bidi="ar"/>
                <w14:textFill>
                  <w14:solidFill>
                    <w14:schemeClr w14:val="tx1"/>
                  </w14:solidFill>
                </w14:textFill>
              </w:rPr>
              <w:t>主线10m㎡电源线。</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合计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bl>
    <w:p>
      <w:pPr>
        <w:rPr>
          <w:rFonts w:hint="eastAsia"/>
          <w:color w:val="000000" w:themeColor="text1"/>
          <w:highlight w:val="none"/>
          <w:lang w:val="en-US" w:eastAsia="zh-CN"/>
          <w14:textFill>
            <w14:solidFill>
              <w14:schemeClr w14:val="tx1"/>
            </w14:solidFill>
          </w14:textFill>
        </w:rPr>
      </w:pPr>
    </w:p>
    <w:tbl>
      <w:tblPr>
        <w:tblStyle w:val="28"/>
        <w:tblW w:w="1393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1"/>
        <w:gridCol w:w="971"/>
        <w:gridCol w:w="6377"/>
        <w:gridCol w:w="971"/>
        <w:gridCol w:w="972"/>
        <w:gridCol w:w="3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942"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二、物理准备室/仪器室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序号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设备名称</w:t>
            </w:r>
          </w:p>
        </w:tc>
        <w:tc>
          <w:tcPr>
            <w:tcW w:w="6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规格参数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单位</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数量</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p>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default"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179195"/>
                  <wp:effectExtent l="0" t="0" r="0" b="0"/>
                  <wp:wrapNone/>
                  <wp:docPr id="17" name="Picture_2"/>
                  <wp:cNvGraphicFramePr/>
                  <a:graphic xmlns:a="http://schemas.openxmlformats.org/drawingml/2006/main">
                    <a:graphicData uri="http://schemas.openxmlformats.org/drawingml/2006/picture">
                      <pic:pic xmlns:pic="http://schemas.openxmlformats.org/drawingml/2006/picture">
                        <pic:nvPicPr>
                          <pic:cNvPr id="17" name="Picture_2"/>
                          <pic:cNvPicPr/>
                        </pic:nvPicPr>
                        <pic:blipFill>
                          <a:blip r:embed="rId21"/>
                          <a:stretch>
                            <a:fillRect/>
                          </a:stretch>
                        </pic:blipFill>
                        <pic:spPr>
                          <a:xfrm>
                            <a:off x="0" y="0"/>
                            <a:ext cx="0" cy="1179195"/>
                          </a:xfrm>
                          <a:prstGeom prst="rect">
                            <a:avLst/>
                          </a:prstGeom>
                          <a:noFill/>
                          <a:ln>
                            <a:noFill/>
                          </a:ln>
                        </pic:spPr>
                      </pic:pic>
                    </a:graphicData>
                  </a:graphic>
                </wp:anchor>
              </w:drawing>
            </w:r>
            <w:r>
              <w:rPr>
                <w:rFonts w:hint="eastAsia" w:ascii="宋体" w:hAnsi="宋体" w:eastAsia="宋体" w:cs="宋体"/>
                <w:b/>
                <w:bCs/>
                <w:i w:val="0"/>
                <w:iCs w:val="0"/>
                <w:color w:val="000000" w:themeColor="text1"/>
                <w:sz w:val="22"/>
                <w:szCs w:val="22"/>
                <w:highlight w:val="none"/>
                <w:u w:val="none"/>
                <w:lang w:val="en-US" w:eastAsia="zh-CN"/>
                <w14:textFill>
                  <w14:solidFill>
                    <w14:schemeClr w14:val="tx1"/>
                  </w14:solidFill>
                </w14:textFill>
              </w:rPr>
              <w:t>图片</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以下</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图片仅供参考，不做为验收依据</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边台</w:t>
            </w:r>
          </w:p>
        </w:tc>
        <w:tc>
          <w:tcPr>
            <w:tcW w:w="6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规格：</w:t>
            </w:r>
            <w:r>
              <w:rPr>
                <w:rStyle w:val="84"/>
                <w:color w:val="000000" w:themeColor="text1"/>
                <w:highlight w:val="none"/>
                <w:lang w:val="en-US" w:eastAsia="zh-CN" w:bidi="ar"/>
                <w14:textFill>
                  <w14:solidFill>
                    <w14:schemeClr w14:val="tx1"/>
                  </w14:solidFill>
                </w14:textFill>
              </w:rPr>
              <w:t>1600（±20）×600（±20）×780（±20）mm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台面：*采用12mm双面膜实芯理化板，1.2米长台面前后端热压一体成型，实验台前端热弯R30半圆弧形，曲面造型，时尚美观，耐酸碱、耐冲击、韧性强等特点。                                                      桌身：由桌腿、立柱、前横梁、中横梁、后横梁组成。</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桌腿：采用工字型压铸铝一次成型。材料均采用优质铝镁合金材料，材料表面经高压静电喷涂环氧树脂防护层，耐酸碱，耐腐蚀处理。</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储物柜：规格高640（±20）*宽1110（±20）*深500（±20）mm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材质：储物柜主材为ABS＋尼龙全新工程塑料制成，强度高、韧性好、耐冲击、不易腐蚀、无毒无味、环保耐用。</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工艺：采用钢制模具注塑一次成型。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28575</wp:posOffset>
                  </wp:positionH>
                  <wp:positionV relativeFrom="paragraph">
                    <wp:posOffset>217170</wp:posOffset>
                  </wp:positionV>
                  <wp:extent cx="1998345" cy="648335"/>
                  <wp:effectExtent l="0" t="0" r="13335" b="6985"/>
                  <wp:wrapNone/>
                  <wp:docPr id="18" name="图片_9"/>
                  <wp:cNvGraphicFramePr/>
                  <a:graphic xmlns:a="http://schemas.openxmlformats.org/drawingml/2006/main">
                    <a:graphicData uri="http://schemas.openxmlformats.org/drawingml/2006/picture">
                      <pic:pic xmlns:pic="http://schemas.openxmlformats.org/drawingml/2006/picture">
                        <pic:nvPicPr>
                          <pic:cNvPr id="18" name="图片_9"/>
                          <pic:cNvPicPr/>
                        </pic:nvPicPr>
                        <pic:blipFill>
                          <a:blip r:embed="rId22"/>
                          <a:stretch>
                            <a:fillRect/>
                          </a:stretch>
                        </pic:blipFill>
                        <pic:spPr>
                          <a:xfrm>
                            <a:off x="0" y="0"/>
                            <a:ext cx="1998345" cy="6483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仪器柜</w:t>
            </w:r>
          </w:p>
        </w:tc>
        <w:tc>
          <w:tcPr>
            <w:tcW w:w="6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84"/>
                <w:color w:val="000000" w:themeColor="text1"/>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规格：</w:t>
            </w:r>
            <w:r>
              <w:rPr>
                <w:rStyle w:val="84"/>
                <w:color w:val="000000" w:themeColor="text1"/>
                <w:highlight w:val="none"/>
                <w:lang w:val="en-US" w:eastAsia="zh-CN" w:bidi="ar"/>
                <w14:textFill>
                  <w14:solidFill>
                    <w14:schemeClr w14:val="tx1"/>
                  </w14:solidFill>
                </w14:textFill>
              </w:rPr>
              <w:t xml:space="preserve">1000（±20）*500（±20）*1970（±20） </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Style w:val="84"/>
                <w:color w:val="000000" w:themeColor="text1"/>
                <w:highlight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、PP材质</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 柜体：侧板、顶底板采用改性PP材料增加强度，注塑模一次性成型，</w:t>
            </w:r>
            <w:r>
              <w:rPr>
                <w:rFonts w:hint="eastAsia" w:ascii="宋体" w:hAnsi="宋体" w:eastAsia="宋体" w:cs="宋体"/>
                <w:b/>
                <w:bCs/>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5692775</wp:posOffset>
                  </wp:positionH>
                  <wp:positionV relativeFrom="paragraph">
                    <wp:posOffset>99695</wp:posOffset>
                  </wp:positionV>
                  <wp:extent cx="1158240" cy="1891030"/>
                  <wp:effectExtent l="0" t="0" r="0" b="0"/>
                  <wp:wrapNone/>
                  <wp:docPr id="16" name="图片_2"/>
                  <wp:cNvGraphicFramePr/>
                  <a:graphic xmlns:a="http://schemas.openxmlformats.org/drawingml/2006/main">
                    <a:graphicData uri="http://schemas.openxmlformats.org/drawingml/2006/picture">
                      <pic:pic xmlns:pic="http://schemas.openxmlformats.org/drawingml/2006/picture">
                        <pic:nvPicPr>
                          <pic:cNvPr id="16" name="图片_2"/>
                          <pic:cNvPicPr/>
                        </pic:nvPicPr>
                        <pic:blipFill>
                          <a:blip r:embed="rId23"/>
                          <a:stretch>
                            <a:fillRect/>
                          </a:stretch>
                        </pic:blipFill>
                        <pic:spPr>
                          <a:xfrm>
                            <a:off x="0" y="0"/>
                            <a:ext cx="1158240" cy="189103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表面沙面和光面相结合处理,保证柜体之坚固及密封性，耐腐蚀性强。</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3. 下储物柜门：内框采用改性PP材质注塑模一次成型, </w:t>
            </w:r>
            <w:r>
              <w:rPr>
                <w:rStyle w:val="84"/>
                <w:color w:val="000000" w:themeColor="text1"/>
                <w:highlight w:val="none"/>
                <w:lang w:val="en-US" w:eastAsia="zh-CN" w:bidi="ar"/>
                <w14:textFill>
                  <w14:solidFill>
                    <w14:schemeClr w14:val="tx1"/>
                  </w14:solidFill>
                </w14:textFill>
              </w:rPr>
              <w:t>外嵌4.6mm厚</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钢化烤漆玻璃</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4. 上柜视窗们：内框采用改性PP材质注塑模一次成型, </w:t>
            </w:r>
            <w:r>
              <w:rPr>
                <w:rStyle w:val="84"/>
                <w:color w:val="000000" w:themeColor="text1"/>
                <w:highlight w:val="none"/>
                <w:lang w:val="en-US" w:eastAsia="zh-CN" w:bidi="ar"/>
                <w14:textFill>
                  <w14:solidFill>
                    <w14:schemeClr w14:val="tx1"/>
                  </w14:solidFill>
                </w14:textFill>
              </w:rPr>
              <w:t>外嵌4.6mm厚</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钢化烤漆玻璃，中间烤漆镂空制作。</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5. 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 门把手：采用经过改性PP材质注塑模一次成型，与柜门平行，开启方便。</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 门铰链：采用经过射出成型的PP材料制成，耐腐蚀性好。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 螺丝：PP材质，可选不锈钢304材质</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 备注 ：可以用于各种腐蚀性化学品的储存，如硫酸、盐酸、硝酸、乙酸、硫磺酸等</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179195"/>
                  <wp:effectExtent l="0" t="0" r="0" b="0"/>
                  <wp:wrapNone/>
                  <wp:docPr id="19" name="Picture_2_SpCnt_1"/>
                  <wp:cNvGraphicFramePr/>
                  <a:graphic xmlns:a="http://schemas.openxmlformats.org/drawingml/2006/main">
                    <a:graphicData uri="http://schemas.openxmlformats.org/drawingml/2006/picture">
                      <pic:pic xmlns:pic="http://schemas.openxmlformats.org/drawingml/2006/picture">
                        <pic:nvPicPr>
                          <pic:cNvPr id="19" name="Picture_2_SpCnt_1"/>
                          <pic:cNvPicPr/>
                        </pic:nvPicPr>
                        <pic:blipFill>
                          <a:blip r:embed="rId24"/>
                          <a:stretch>
                            <a:fillRect/>
                          </a:stretch>
                        </pic:blipFill>
                        <pic:spPr>
                          <a:xfrm>
                            <a:off x="0" y="0"/>
                            <a:ext cx="0" cy="1179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8326" w:type="dxa"/>
            <w:gridSpan w:val="3"/>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合计</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bl>
    <w:p>
      <w:pPr>
        <w:rPr>
          <w:rFonts w:hint="eastAsia"/>
          <w:color w:val="000000" w:themeColor="text1"/>
          <w:highlight w:val="none"/>
          <w:lang w:val="en-US" w:eastAsia="zh-CN"/>
          <w14:textFill>
            <w14:solidFill>
              <w14:schemeClr w14:val="tx1"/>
            </w14:solidFill>
          </w14:textFill>
        </w:rPr>
      </w:pPr>
    </w:p>
    <w:tbl>
      <w:tblPr>
        <w:tblStyle w:val="28"/>
        <w:tblW w:w="1432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1"/>
        <w:gridCol w:w="1616"/>
        <w:gridCol w:w="8561"/>
        <w:gridCol w:w="563"/>
        <w:gridCol w:w="631"/>
        <w:gridCol w:w="22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4327" w:type="dxa"/>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三、FS-A Pro新型化学创新实验室（52座/间）2间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序号</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设备名称</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规格参数</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单位</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数量</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图片（</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以下</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图片仅供参考，不做为验收依据</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10878" w:type="dxa"/>
            <w:gridSpan w:val="3"/>
            <w:tcBorders>
              <w:top w:val="single" w:color="000000" w:sz="4" w:space="0"/>
              <w:left w:val="single" w:color="000000" w:sz="4" w:space="0"/>
              <w:bottom w:val="single" w:color="000000" w:sz="4" w:space="0"/>
              <w:right w:val="single" w:color="000000" w:sz="4" w:space="0"/>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一、教师演示控制</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6"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智慧黑板</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Style w:val="87"/>
                <w:rFonts w:hint="eastAsia"/>
                <w:color w:val="000000" w:themeColor="text1"/>
                <w:highlight w:val="none"/>
                <w:lang w:val="en-US" w:eastAsia="zh-CN" w:bidi="ar"/>
                <w14:textFill>
                  <w14:solidFill>
                    <w14:schemeClr w14:val="tx1"/>
                  </w14:solidFill>
                </w14:textFill>
              </w:rPr>
              <w:t>整</w:t>
            </w:r>
            <w:r>
              <w:rPr>
                <w:rStyle w:val="87"/>
                <w:color w:val="000000" w:themeColor="text1"/>
                <w:highlight w:val="none"/>
                <w:lang w:val="en-US" w:eastAsia="zh-CN" w:bidi="ar"/>
                <w14:textFill>
                  <w14:solidFill>
                    <w14:schemeClr w14:val="tx1"/>
                  </w14:solidFill>
                </w14:textFill>
              </w:rPr>
              <w:t>机要求：</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整机采用全金属外壳，三拼接平面一体化设计，中间主屏幕整机采用86英寸液晶显示器，整机采用UHD超高清LED液晶屏，显示比例16:9，分辨率3840×2160。屏幕边缘采用金属圆角包边防护，整机背板采用金属材质。无推拉式结构，外部无任何可见内部功能模块连接线。主副屏过渡平滑并在同一平面，中间无单独边框阻隔。</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2.主屏支持普通粉笔直接书写。整机两侧副屏可支持普通粉笔、液体粉笔、成膜笔进行板书书写。</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3.整机设备副屏支持磁吸附功能，可以满足带有磁吸的板擦等教具进行吸附在副屏上。</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4.嵌入式系统版本不低于Android，内存≥2GB，存储空间≥8GB。</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5.采用先进触控方式，支持Windows系统中进行20点或以上触控，支持Android系统中进行10点或以上触控。</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6.输入接口要求：具备≥2路HDMI、≥1路RS232、≥1路USB接口；输出接口要求：具备≥1路音频输出、≥1路触控USB输出；</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7.具备前置全功能Type-C接口，外接电脑设备经双头Type-C线连接至整机，可调用整机内置的摄像头、麦克风、扬声器，在外接电脑即可控制整机拍摄教室画面。</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8.整机支持色彩空间可选，包含标准模式和sRGB模式，在sRGB模式下可做到高色准△E≤1.5</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9.支持标准、多媒体和节能三种图像模式调节。支持可自定义图像设置，可对对比度、屏幕色温、图像亮度、亮度范围、色彩空间等进行更进一步调节设置。</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10.设备支持自定义前置“设置"按键，可通过自定义设置实现前置面板功能按键一键启用任一全局小工具或某功能快捷开关。</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11.当整机处于黑暗环境中并无人操作，一分钟后整机将可以自动进入熄屏模式。</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12.支持将自定义图片设置为开机画面。</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13.支持云端在线系统固件升级。</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14.整机支持纸质护眼模式，可以在任意通道任意画面任意软件所有显示内容下实现画面纹理的实时调整；支持纸质纹理：牛皮纸、素描纸、宣纸、水彩纸、水纹纸；支持透明度调节；支持色温调节。</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扬声器与摄像头</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1.整机内置不低于2.2声道扬声器，具备多方向扬声器，额定总功率不低于60W。</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2.整机支持高级音效设置，可以调节左右声道平衡；在中低频段、高频段分别有不小于-10dB～10dB范围的调节功能。</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3.整机内置扬声器采用先进的发声技术，喇叭位于设备上边框，顶置朝前发声。</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4.整机内置非独立外扩展的4阵列麦克风，可用于对教室环境音频进行采集，拾音距离≥8m。</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5.整机扬声器在100%音量下，可做到1米处声压级≥88db，10米处声压级≥73dB</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6.内置摄像头、麦克风无需外接线材连接，无任何可见外接线材及模块化拼接痕迹，未占用整机设备端口。</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7.整机内置非独立摄像头，拍摄照片像素数≥1300万。摄像头视场角≥120度。可用于远程巡课，整机摄像头支持大于等于10米距离时实现AI识别人像。具备人脸识别、快速点人数、随机抽人；识别所有学生，显示标记功能。</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8.整机摄像头支持环境色温判断，根据环境调节合适的显示图像效果。</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9.整机支持通过人脸识别进行人脸识别进行登录账号。</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通道功能</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1.嵌入式Android操作系统下，白板支持对已经书写的笔迹和形状的颜色进行更换。在嵌入式系统下使用白板软件时，整机可根据用户书写操作智能调节屏幕亮度。</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2.嵌入式Android操作系统下，互动白板支持不同背景颜色，同时提供学科背景，如：五线谱、信纸、田字格、英文格、篮球和足球场地平面图。</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3.无PC状态下，嵌入式系统内置互动白板支持十笔书写及手掌擦除（手掌擦除面积根据手掌与屏幕的接触面大小自动调整），白板书写内容可以PDF、IWB和SVG格式导出。支持10种以上平面图形工具。支持8种以上立体图形工具。</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4.无PC状态下，嵌入式Android操作系统下可实现windows系统中常用的教学应用功能，如白板书写、WPS软件使用和网页浏览。</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5.整机全通道具备多种工具至少具备批注、截屏、计时、降半屏、放大镜、日历功能。</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6.整机安卓和全部外接通道支持通过扫描二维码等方式加入班级，老师设置题型，学生回答后提交，教师查看正确率比例及详细讲解；支持随机抽选、实时弹幕；支持管理当前班级成员；支持导出学生报告。</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教学界面</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1.整机支持通过人脸识别进行登录账号。</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2.整机设备开机启动后，自动进入教学桌面，支持账号登录、退出，自动获取个人云端教学课件列表、并可进入校本资源库。</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3.教学桌面支持教学常用的教学白板软件、文件管理软件、学生行为评价软件、随机抽选软件，以便于快速开启授课；并提供快速进入本机所有应用的入口，满足不同教师授课需要。</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4.整机设备教学桌面的教师登录账号后，可自动获取并在桌面显示最近使用的教学课件，点击任意课件可直接进入授课模式；并支持查看所有个人教学课件资源。</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5.整机设备教学桌面中的文件管理，支持同时显示本地磁盘、移动类存储设备、学校资源库、教师个人云空间的文件资源。</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物联功能</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1.整机支持蓝牙Bluetooth 5.2标准，整机支持主动发现蓝牙外设从而连接（无需整机进入发现模式），支持连接外部蓝牙音箱播放音频。</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2.Wi-Fi及AP热点支持频段2.4GHz/5GHz ，Wi-Fi制式支持IEEE 802.11 a/b/g/n/ac/ax；支持版本Wi-Fi6。</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3.整机支持通过BT（蓝牙）、红外等方式连接音箱、麦克风，支持实时显示/控制音箱音量、麦克风音量；在任意通道下均可实时查看音箱、麦克风连接状态，当设备连接/断开连接时，提供实时反馈提示，并在反馈提示中显示麦克风实时电量；支持读取音箱/麦克风型号，对应显示设备实物图片。</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4.整机支持音箱音量的智能调节，当麦克风接入时，自动调整合适的音箱音量且带有麦克风电量智能提醒，当麦克风电量过低时，提供低电量反馈提示，支持麦克风自动判断同一房间内的整机和音箱，自动匹配连接。</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5.整机支持智能笔，通过BLE（蓝牙低能耗技术）、USB Dongle（通用串口总线接收器）等方式连接，当整机和智能笔均支持BLE功能时，支持指定区域内智能笔自动发现、自动连接，并支持读取智能笔型号， 对应显示设备实物图片。</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6.整机支持传屏器，通过BLE（蓝牙低能耗技术）、Type-C、USB 等方式连接，当整机和传屏器均支持BLE功能时，在指定区域内传屏器可自动发现、自动连接。</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OPS模块：</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1.处理器：Intel Core i5 及以上，内存：8G DDR4 笔记本内存或以上配置，硬盘≥256G SSD 固态硬盘，采用抽拉内置式模块化电脑，抽拉内置式，PC模块可插入整机，可实现无单独接线的插拔。</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2.具有独立非外扩展的电脑USB接口：≥3路USB。≥1 路 HDMI ；</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3.PC模块的USB接口须为冗余备份接口，在正常使用整机的内置摄像头、内置麦克风功能时，USB接口不被占用，确保教师有足够的接口外接存储设备及显示设备</w:t>
            </w:r>
            <w:r>
              <w:rPr>
                <w:rStyle w:val="87"/>
                <w:color w:val="000000" w:themeColor="text1"/>
                <w:highlight w:val="none"/>
                <w:lang w:val="en-US" w:eastAsia="zh-CN" w:bidi="ar"/>
                <w14:textFill>
                  <w14:solidFill>
                    <w14:schemeClr w14:val="tx1"/>
                  </w14:solidFill>
                </w14:textFill>
              </w:rPr>
              <w:br w:type="textWrapping"/>
            </w:r>
            <w:r>
              <w:rPr>
                <w:rStyle w:val="87"/>
                <w:color w:val="000000" w:themeColor="text1"/>
                <w:highlight w:val="none"/>
                <w:lang w:val="en-US" w:eastAsia="zh-CN" w:bidi="ar"/>
                <w14:textFill>
                  <w14:solidFill>
                    <w14:schemeClr w14:val="tx1"/>
                  </w14:solidFill>
                </w14:textFill>
              </w:rPr>
              <w:t>4.整机具备供电保护模块，能够检测内置电脑是否插好在位，在内置电脑未在位的情况下，内置电脑无法上电工作。</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台</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-49530</wp:posOffset>
                  </wp:positionH>
                  <wp:positionV relativeFrom="paragraph">
                    <wp:posOffset>146050</wp:posOffset>
                  </wp:positionV>
                  <wp:extent cx="1280160" cy="694055"/>
                  <wp:effectExtent l="0" t="0" r="0" b="6985"/>
                  <wp:wrapNone/>
                  <wp:docPr id="37" name="图片_26"/>
                  <wp:cNvGraphicFramePr/>
                  <a:graphic xmlns:a="http://schemas.openxmlformats.org/drawingml/2006/main">
                    <a:graphicData uri="http://schemas.openxmlformats.org/drawingml/2006/picture">
                      <pic:pic xmlns:pic="http://schemas.openxmlformats.org/drawingml/2006/picture">
                        <pic:nvPicPr>
                          <pic:cNvPr id="37" name="图片_26"/>
                          <pic:cNvPicPr/>
                        </pic:nvPicPr>
                        <pic:blipFill>
                          <a:blip r:embed="rId25"/>
                          <a:stretch>
                            <a:fillRect/>
                          </a:stretch>
                        </pic:blipFill>
                        <pic:spPr>
                          <a:xfrm>
                            <a:off x="0" y="0"/>
                            <a:ext cx="1280160" cy="6940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教师演示讲台</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2850（</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20）*700（</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20）*900mm（±20）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1.新型塑钢结构</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2.台面：采用20mm新型环保陶瓷台面。</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3.整体采用内侧板、后功能背板、连接框架组成。</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4.侧护板：尺</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寸600*790*48m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m，自带侧面围边，采用环保型ABS一体注塑成型。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5.挡水条采用铝合金材质，高出台面31mm，有效保护实验器材跌落。</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-49530</wp:posOffset>
                  </wp:positionH>
                  <wp:positionV relativeFrom="paragraph">
                    <wp:posOffset>320040</wp:posOffset>
                  </wp:positionV>
                  <wp:extent cx="1226820" cy="753745"/>
                  <wp:effectExtent l="0" t="0" r="7620" b="8255"/>
                  <wp:wrapNone/>
                  <wp:docPr id="21" name="图片_5"/>
                  <wp:cNvGraphicFramePr/>
                  <a:graphic xmlns:a="http://schemas.openxmlformats.org/drawingml/2006/main">
                    <a:graphicData uri="http://schemas.openxmlformats.org/drawingml/2006/picture">
                      <pic:pic xmlns:pic="http://schemas.openxmlformats.org/drawingml/2006/picture">
                        <pic:nvPicPr>
                          <pic:cNvPr id="21" name="图片_5"/>
                          <pic:cNvPicPr/>
                        </pic:nvPicPr>
                        <pic:blipFill>
                          <a:blip r:embed="rId26"/>
                          <a:stretch>
                            <a:fillRect/>
                          </a:stretch>
                        </pic:blipFill>
                        <pic:spPr>
                          <a:xfrm>
                            <a:off x="0" y="0"/>
                            <a:ext cx="1226820" cy="753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8"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抽拉式水槽柜</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480（</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20）*600（</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20）*750（</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20）mm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1.抽拉掩蔽式结构</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2.柜体：采用1.0mm优质镀锌钢板制作，经切割、圆角折弯、焊接、打磨平整，表面经环氧树脂喷涂处理，耐酸碱；正面设计门轴式铰链检修门，柜门圆弧设计。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3.水槽采用PP材质，内径尺寸为350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*360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，深度满足240mm，水槽抽拉式设计，采用托底重型三节阻尼导轨，使用时拉出，保证桌面空间充分利用。</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4.地脚：采用ABS材质，模具一次成型，耐磨耐酸碱。</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506095</wp:posOffset>
                  </wp:positionH>
                  <wp:positionV relativeFrom="paragraph">
                    <wp:posOffset>85090</wp:posOffset>
                  </wp:positionV>
                  <wp:extent cx="641985" cy="827405"/>
                  <wp:effectExtent l="0" t="0" r="13335" b="10795"/>
                  <wp:wrapNone/>
                  <wp:docPr id="22" name="图片_20"/>
                  <wp:cNvGraphicFramePr/>
                  <a:graphic xmlns:a="http://schemas.openxmlformats.org/drawingml/2006/main">
                    <a:graphicData uri="http://schemas.openxmlformats.org/drawingml/2006/picture">
                      <pic:pic xmlns:pic="http://schemas.openxmlformats.org/drawingml/2006/picture">
                        <pic:nvPicPr>
                          <pic:cNvPr id="22" name="图片_20"/>
                          <pic:cNvPicPr/>
                        </pic:nvPicPr>
                        <pic:blipFill>
                          <a:blip r:embed="rId27"/>
                          <a:stretch>
                            <a:fillRect/>
                          </a:stretch>
                        </pic:blipFill>
                        <pic:spPr>
                          <a:xfrm>
                            <a:off x="0" y="0"/>
                            <a:ext cx="641985" cy="8274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储藏柜</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规格：480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*600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*750mm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柜体：采用1.0mm优质镀锌钢板制作，经切割、圆角折弯、焊接、打磨平整，表面经环氧树脂喷涂处理；柜体上部为储物抽屉，导轨采用托底重型三节阻尼导轨，下柜为内凹式门轴式铰链单开门储物柜，柜门圆弧设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2.地脚：采用ABS材质，模具一次成型，耐酸碱。</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666115</wp:posOffset>
                  </wp:positionH>
                  <wp:positionV relativeFrom="paragraph">
                    <wp:posOffset>88265</wp:posOffset>
                  </wp:positionV>
                  <wp:extent cx="461645" cy="601345"/>
                  <wp:effectExtent l="0" t="0" r="10795" b="8255"/>
                  <wp:wrapNone/>
                  <wp:docPr id="26" name="图片_7"/>
                  <wp:cNvGraphicFramePr/>
                  <a:graphic xmlns:a="http://schemas.openxmlformats.org/drawingml/2006/main">
                    <a:graphicData uri="http://schemas.openxmlformats.org/drawingml/2006/picture">
                      <pic:pic xmlns:pic="http://schemas.openxmlformats.org/drawingml/2006/picture">
                        <pic:nvPicPr>
                          <pic:cNvPr id="26" name="图片_7"/>
                          <pic:cNvPicPr/>
                        </pic:nvPicPr>
                        <pic:blipFill>
                          <a:blip r:embed="rId28"/>
                          <a:stretch>
                            <a:fillRect/>
                          </a:stretch>
                        </pic:blipFill>
                        <pic:spPr>
                          <a:xfrm>
                            <a:off x="0" y="0"/>
                            <a:ext cx="461645" cy="6013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升降折叠水龙头</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双口 1、主体材质为加厚H63铜管，主管管径26mm。2、涂层：环氧树脂涂层，耐腐蚀、耐热、防紫外线辐射，达到国际及国内相关标准的技术要求。3，折叠双联龙头在使用过程中可以自由升降水嘴，以满足不同身高的高度仪器清洗要求使用。其中一个出水嘴加装了可调节水花装置，保证实验过程中对水花的不同要求，调节方便，美观耐用。4，实验室龙头采用壁式安装，壁厚大于2.5mm，固定底座直径55mm，底座锁母与台面中间添加齿形止退垫，使连接后不易松动稳定性强，与台面安装牢固。双联龙头可以分开折叠90度收纳，保证实验室的整洁美观。5，开关旋钮：通过环保Rohs认证，材质PP，符合人体工学设计，启闭方式为平面式，开关标识清晰醒目，装配好的开关旋钮应平稳轻便无卡阻，与阀杆连接后不易松动稳定性强。6，水龙头开关寿命：采用高精度陶瓷阀芯，可90°旋转，启闭寿命经过50万次寿命试验后，阀芯上游及阀芯下游在水压1.6MPa，保压时间60s，无永久性变形，通道过水无渗漏，密封性能符合 GB18145-2014 国家标准，静态最大耐压10巴。7、水咀三通与上控水阀，用200T四拉液压机、模具一体热冲成形，密度高，强度大，牢固耐用。</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教师电源</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规格：350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*350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1.教师电源配备总漏电保护和分组保护，可分组控制学生的高低压电源，确保学生实验安全方便；</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2.教师交流电源通过智能控制按键直接选取0～24V电压，最小调节单元可达1V,额定电流3A；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3.教师直流电源也是通过智能控制按键直接选取，调节范围为1.5～24V，分辨率可达0.1V,额定电流3A；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4.低压大电流值为40A，自动关断；</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5.220V交流输出为带安全门的新国标插座，带有电源指示，学生低压交流电源可通过智能控制按键直接选取0～24V电压，最小调节单元为1V，组输送至学生桌；低压直流电压教师能准确控制，最小调节单元为0.1V。</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278765</wp:posOffset>
                  </wp:positionH>
                  <wp:positionV relativeFrom="paragraph">
                    <wp:posOffset>114300</wp:posOffset>
                  </wp:positionV>
                  <wp:extent cx="709295" cy="596265"/>
                  <wp:effectExtent l="0" t="0" r="6985" b="13335"/>
                  <wp:wrapNone/>
                  <wp:docPr id="35" name="图片_6"/>
                  <wp:cNvGraphicFramePr/>
                  <a:graphic xmlns:a="http://schemas.openxmlformats.org/drawingml/2006/main">
                    <a:graphicData uri="http://schemas.openxmlformats.org/drawingml/2006/picture">
                      <pic:pic xmlns:pic="http://schemas.openxmlformats.org/drawingml/2006/picture">
                        <pic:nvPicPr>
                          <pic:cNvPr id="35" name="图片_6"/>
                          <pic:cNvPicPr/>
                        </pic:nvPicPr>
                        <pic:blipFill>
                          <a:blip r:embed="rId29"/>
                          <a:stretch>
                            <a:fillRect/>
                          </a:stretch>
                        </pic:blipFill>
                        <pic:spPr>
                          <a:xfrm>
                            <a:off x="0" y="0"/>
                            <a:ext cx="709295" cy="5962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智能控制平台</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屏幕规格：10寸 1.电源控制系统：可分组控制学生的高低压电源，确保学生实验安全方便；带电源锁定功能，教师锁定后学生不能调节，可避免学生的误操作，可以单独进行控制，进行单选、全选、反选，分组进行控制；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给排水控制系统：给水系统：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3.智能摇臂控制系统：可以对摇臂进行控制，可以单独进行控制，进行单选、全选、反选，分组进行控制。</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壁式洗眼器</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单眼 1.水流开关按压后自动锁定，持续出水，一步到位，绝无因开关失灵而无法关闭水流的困扰，使用方便快捷，环保卫生；</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2.采用限流型止逆阀门，防止管道里可能存在的污水回流到洗眼器管件里，对眼睛造成污水污染眼睛的二次伤害；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3.洗眼喷头为优质铜材外覆环氧树脂涂层，外加软性橡胶，出水经缓压处理呈泡沫状水柱，防止因水压过大二次伤害眼睛；</w:t>
            </w:r>
          </w:p>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4.进水管采用软性PVC管外覆不锈钢编织网，外层包裹PE管，耐强腐蚀，有效防止生锈、渗漏，避免造成身体伤害或水管爆裂。</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付</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ascii="Tahoma" w:hAnsi="Tahoma" w:eastAsia="Tahoma" w:cs="Tahoma"/>
                <w:i w:val="0"/>
                <w:iCs w:val="0"/>
                <w:color w:val="000000" w:themeColor="text1"/>
                <w:sz w:val="22"/>
                <w:szCs w:val="22"/>
                <w:highlight w:val="none"/>
                <w:u w:val="none"/>
                <w14:textFill>
                  <w14:solidFill>
                    <w14:schemeClr w14:val="tx1"/>
                  </w14:solidFill>
                </w14:textFill>
              </w:rPr>
            </w:pPr>
            <w:r>
              <w:rPr>
                <w:rFonts w:hint="default" w:ascii="Tahoma" w:hAnsi="Tahoma" w:eastAsia="Tahoma" w:cs="Tahoma"/>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464185</wp:posOffset>
                  </wp:positionH>
                  <wp:positionV relativeFrom="paragraph">
                    <wp:posOffset>57785</wp:posOffset>
                  </wp:positionV>
                  <wp:extent cx="404495" cy="607060"/>
                  <wp:effectExtent l="0" t="0" r="6985" b="2540"/>
                  <wp:wrapNone/>
                  <wp:docPr id="29" name="图片_15"/>
                  <wp:cNvGraphicFramePr/>
                  <a:graphic xmlns:a="http://schemas.openxmlformats.org/drawingml/2006/main">
                    <a:graphicData uri="http://schemas.openxmlformats.org/drawingml/2006/picture">
                      <pic:pic xmlns:pic="http://schemas.openxmlformats.org/drawingml/2006/picture">
                        <pic:nvPicPr>
                          <pic:cNvPr id="29" name="图片_15"/>
                          <pic:cNvPicPr/>
                        </pic:nvPicPr>
                        <pic:blipFill>
                          <a:blip r:embed="rId30"/>
                          <a:stretch>
                            <a:fillRect/>
                          </a:stretch>
                        </pic:blipFill>
                        <pic:spPr>
                          <a:xfrm>
                            <a:off x="0" y="0"/>
                            <a:ext cx="404495" cy="6070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10878" w:type="dxa"/>
            <w:gridSpan w:val="3"/>
            <w:tcBorders>
              <w:top w:val="single" w:color="000000" w:sz="4" w:space="0"/>
              <w:left w:val="single" w:color="000000" w:sz="4" w:space="0"/>
              <w:bottom w:val="single" w:color="000000" w:sz="4" w:space="0"/>
              <w:right w:val="single" w:color="000000" w:sz="4" w:space="0"/>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二、学生实验操作及学习区</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8"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学生实验桌</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2850（±20）*600（±20）*780（±20）mm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1.新型塑钢结构</w:t>
            </w:r>
            <w:r>
              <w:rPr>
                <w:rFonts w:hint="eastAsia" w:ascii="宋体" w:hAnsi="宋体" w:eastAsia="宋体" w:cs="宋体"/>
                <w:i w:val="0"/>
                <w:iCs w:val="0"/>
                <w:strike/>
                <w:color w:val="000000" w:themeColor="text1"/>
                <w:kern w:val="0"/>
                <w:sz w:val="18"/>
                <w:szCs w:val="18"/>
                <w:highlight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2.台面：采用20mm新型环保陶瓷台面。</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3.整体采用内侧板、后功能背板、连接框架组成。框架两侧与柜体、内侧板连接，底部安装书包斗。</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4.侧护板：</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尺寸600（±20）*790（±20）*48（±20）mm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，自带侧面围边，采用采用环保型ABS一体注塑成型。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5.书包斗：采用ABS一体注塑成型。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7.挡水条采用铝合金材质，</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高出台面31mm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，有效保护实验器材跌落。</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-2540</wp:posOffset>
                  </wp:positionH>
                  <wp:positionV relativeFrom="paragraph">
                    <wp:posOffset>133350</wp:posOffset>
                  </wp:positionV>
                  <wp:extent cx="1177290" cy="708660"/>
                  <wp:effectExtent l="0" t="0" r="11430" b="7620"/>
                  <wp:wrapNone/>
                  <wp:docPr id="20" name="图片_9"/>
                  <wp:cNvGraphicFramePr/>
                  <a:graphic xmlns:a="http://schemas.openxmlformats.org/drawingml/2006/main">
                    <a:graphicData uri="http://schemas.openxmlformats.org/drawingml/2006/picture">
                      <pic:pic xmlns:pic="http://schemas.openxmlformats.org/drawingml/2006/picture">
                        <pic:nvPicPr>
                          <pic:cNvPr id="20" name="图片_9"/>
                          <pic:cNvPicPr/>
                        </pic:nvPicPr>
                        <pic:blipFill>
                          <a:blip r:embed="rId31"/>
                          <a:stretch>
                            <a:fillRect/>
                          </a:stretch>
                        </pic:blipFill>
                        <pic:spPr>
                          <a:xfrm>
                            <a:off x="0" y="0"/>
                            <a:ext cx="1177290" cy="708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6"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抽拉式水槽柜</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480（±20）*600（±20）*750（±20）mm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1.抽拉掩蔽式结构</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2.柜体：采用1.0mm优质镀锌钢板制作。</w:t>
            </w:r>
          </w:p>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3.水槽采用PP材质，内径尺寸为350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*360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，深度满足240mm，水槽抽拉式设计，采用托底重型三节阻尼导轨，使用时拉出，保证桌面空间充分利用。</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4.地脚：采用ABS材质，模具一次成型，耐磨耐酸碱。</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99695</wp:posOffset>
                  </wp:positionH>
                  <wp:positionV relativeFrom="paragraph">
                    <wp:posOffset>150495</wp:posOffset>
                  </wp:positionV>
                  <wp:extent cx="943610" cy="925195"/>
                  <wp:effectExtent l="0" t="0" r="1270" b="4445"/>
                  <wp:wrapNone/>
                  <wp:docPr id="23" name="图片_10"/>
                  <wp:cNvGraphicFramePr/>
                  <a:graphic xmlns:a="http://schemas.openxmlformats.org/drawingml/2006/main">
                    <a:graphicData uri="http://schemas.openxmlformats.org/drawingml/2006/picture">
                      <pic:pic xmlns:pic="http://schemas.openxmlformats.org/drawingml/2006/picture">
                        <pic:nvPicPr>
                          <pic:cNvPr id="23" name="图片_10"/>
                          <pic:cNvPicPr/>
                        </pic:nvPicPr>
                        <pic:blipFill>
                          <a:blip r:embed="rId32"/>
                          <a:stretch>
                            <a:fillRect/>
                          </a:stretch>
                        </pic:blipFill>
                        <pic:spPr>
                          <a:xfrm>
                            <a:off x="0" y="0"/>
                            <a:ext cx="943610" cy="925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4"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升降折叠水龙头</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双口 1、主体材质为加厚H63铜管，主管管径26mm。2、涂层：环氧树脂涂层，耐腐蚀、耐热、防紫外线辐射，达到国际及国内相关标准的技术要求。3，折叠双联龙头在使用过程中可以自由升降水嘴，以满足不同身高的高度仪器清洗要求使用。其中一个出水嘴加装了可调节水花装置，保证实验过程中对水花的不同要求，调节方便，美观耐用。4，实验室龙头采用壁式安装，壁厚大于2.5mm，固定底座直径55mm，底座锁母与台面中间添加齿形止退垫，使连接后不易松动稳定性强，与台面安装牢固。双联龙头可以分开折叠90度收纳，保证实验室的整洁美观。5，开关旋钮：通过环保Rohs认证，材质PP，符合人体工学设计，启闭方式为平面式，开关标识清晰醒目，装配好的开关旋钮应平稳轻便无卡阻，与阀杆连接后不易松动稳定性强。6，水龙头开关寿命：采用高精度陶瓷阀芯，可90°旋转，启闭寿命经过50万次寿命试验后，阀芯上游及阀芯下游在水压1.6MPa，保压时间60s，无永久性变形，通道过水无渗漏，密封性能符合 GB18145-2014 国家标准，静态最大耐压10巴。</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学生电源</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1.电源部分尺寸为347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*179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*355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带4个五孔国标插座，两组低压电源，2、学生电源采用耐磨、耐腐蚀、耐高温的PC亮光薄膜面板，学生电源的控制采用触摸按键，可以随意设置电压，贴片元件生产技术，微电脑控制，采用液晶显示电源学生交直流电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2.学生交流电源通过上下键0～24V电压，最小调节单元可达1V,额定电流2A；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3.学生直流电源通过上下键选取，调节范围为1.5～24V，分辨率可达0.1V,额定电流2A。</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151765</wp:posOffset>
                  </wp:positionH>
                  <wp:positionV relativeFrom="paragraph">
                    <wp:posOffset>47625</wp:posOffset>
                  </wp:positionV>
                  <wp:extent cx="894080" cy="802640"/>
                  <wp:effectExtent l="0" t="0" r="5080" b="5080"/>
                  <wp:wrapNone/>
                  <wp:docPr id="30" name="图片_12"/>
                  <wp:cNvGraphicFramePr/>
                  <a:graphic xmlns:a="http://schemas.openxmlformats.org/drawingml/2006/main">
                    <a:graphicData uri="http://schemas.openxmlformats.org/drawingml/2006/picture">
                      <pic:pic xmlns:pic="http://schemas.openxmlformats.org/drawingml/2006/picture">
                        <pic:nvPicPr>
                          <pic:cNvPr id="30" name="图片_12"/>
                          <pic:cNvPicPr/>
                        </pic:nvPicPr>
                        <pic:blipFill>
                          <a:blip r:embed="rId33"/>
                          <a:stretch>
                            <a:fillRect/>
                          </a:stretch>
                        </pic:blipFill>
                        <pic:spPr>
                          <a:xfrm>
                            <a:off x="0" y="0"/>
                            <a:ext cx="894080" cy="8026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实验凳</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规格：Φ315（±20）*450-500mm </w:t>
            </w:r>
            <w:r>
              <w:rPr>
                <w:rStyle w:val="80"/>
                <w:color w:val="000000" w:themeColor="text1"/>
                <w:highlight w:val="none"/>
                <w:lang w:val="en-US" w:eastAsia="zh-CN" w:bidi="ar"/>
                <w14:textFill>
                  <w14:solidFill>
                    <w14:schemeClr w14:val="tx1"/>
                  </w14:solidFill>
                </w14:textFill>
              </w:rPr>
              <w:t xml:space="preserve"> 1、凳脚材质：4个凳脚。全圆满焊接完成，结构牢固，经高温粉体烤漆处理，长时间使用也不会产生表面烤漆剥落现象 螺旋升降式，升降距离为50mm，最高离地距离为500mm。Ф凳面直径315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r>
              <w:rPr>
                <w:rStyle w:val="80"/>
                <w:color w:val="000000" w:themeColor="text1"/>
                <w:highlight w:val="none"/>
                <w:lang w:val="en-US" w:eastAsia="zh-CN" w:bidi="ar"/>
                <w14:textFill>
                  <w14:solidFill>
                    <w14:schemeClr w14:val="tx1"/>
                  </w14:solidFill>
                </w14:textFill>
              </w:rPr>
              <w:t>×高450-500mm，2、聚丙烯凳面材质：脚垫材质：采用PP加耐磨纤维增强塑料，方便教室的打扫。</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钢管技术要求满足：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1、维氏硬度，HV1，检测结果＞300。</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聚丙烯凳面技术要求满足：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GB/T 2408-2008 《塑料燃烧性能的测定水平法和垂直法》，检验结论：垂直燃烧性能符合GB/T2408-2008规定的V-0级要求；</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塑料垂直燃烧性能：</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1、余焰和（或）余辉未蔓延至夹具，标准值：余焰和（或）余辉未蔓延至夹具；</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2、第二次施加火焰后单个试样的余焰加上余辉时间，标准值：s≤30，检测结果：s≤3；</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3、任一状态调节的一组试样总的余焰时间，标准值：s≤50，检测结果：s≤5；</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4、单个试样余焰时间，标准值：s≤10，检测结果：s≤1。</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纤维增强塑料技术要求满足：</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GB/T 2408-2008 《塑料燃烧性能的测定水平法和垂直法》，检验结论：垂直燃烧性能符合GB/T2408-2008规定的V-0级要求；</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塑料垂直燃烧性能：</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1、余焰和（或）余辉未蔓延至夹具，标准值：余焰和（或）余辉未蔓延至夹具；</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2、第二次施加火焰后单个试样的余焰加上余辉时间，标准值：s≤30，检测结果：s≤3；</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3、任一状态调节的一组试样总的余焰时间，标准值：s≤50，检测结果：s≤5；</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4、单个试样余焰时间，标准值：s≤10，检测结果：s≤1。</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实验凳技术要求满足：GB/T 3325-2017 金属家具通用技术条件：</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1、椅凳类稳定性：凳子任意方向倾翻；检测结果：无倾翻；</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2、椅凳类强度和耐久性：座面和椅背载荷试验：单人位：座面加载力：1300N，椅背加载力：450N，加载次数：10次，加载时间：≥10S；</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椅腿前向静载试验：加载力：500N，加载次数：10次，加载时间:≥10S，座面平衡载荷：1000N；</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座面冲击试验：冲击高度：180mm；冲击次数：10次；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椅背冲击试验：冲击高度：210mm；冲击角度：38°；冲击次数：10次；</w:t>
            </w:r>
            <w:r>
              <w:rPr>
                <w:rStyle w:val="80"/>
                <w:color w:val="000000" w:themeColor="text1"/>
                <w:highlight w:val="none"/>
                <w:lang w:val="en-US" w:eastAsia="zh-CN" w:bidi="ar"/>
                <w14:textFill>
                  <w14:solidFill>
                    <w14:schemeClr w14:val="tx1"/>
                  </w14:solidFill>
                </w14:textFill>
              </w:rPr>
              <w:br w:type="textWrapping"/>
            </w:r>
            <w:r>
              <w:rPr>
                <w:rStyle w:val="80"/>
                <w:color w:val="000000" w:themeColor="text1"/>
                <w:highlight w:val="none"/>
                <w:lang w:val="en-US" w:eastAsia="zh-CN" w:bidi="ar"/>
                <w14:textFill>
                  <w14:solidFill>
                    <w14:schemeClr w14:val="tx1"/>
                  </w14:solidFill>
                </w14:textFill>
              </w:rPr>
              <w:t xml:space="preserve">  椅凳类强度和耐久性：跌落试验：跌落高度：200mm；跌落次数：10次；腿或基座大于200mm非叠放椅。</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104</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123190</wp:posOffset>
                  </wp:positionV>
                  <wp:extent cx="743585" cy="875030"/>
                  <wp:effectExtent l="0" t="0" r="3175" b="8890"/>
                  <wp:wrapNone/>
                  <wp:docPr id="24" name="图片_27"/>
                  <wp:cNvGraphicFramePr/>
                  <a:graphic xmlns:a="http://schemas.openxmlformats.org/drawingml/2006/main">
                    <a:graphicData uri="http://schemas.openxmlformats.org/drawingml/2006/picture">
                      <pic:pic xmlns:pic="http://schemas.openxmlformats.org/drawingml/2006/picture">
                        <pic:nvPicPr>
                          <pic:cNvPr id="24" name="图片_27"/>
                          <pic:cNvPicPr/>
                        </pic:nvPicPr>
                        <pic:blipFill>
                          <a:blip r:embed="rId34"/>
                          <a:stretch>
                            <a:fillRect/>
                          </a:stretch>
                        </pic:blipFill>
                        <pic:spPr>
                          <a:xfrm>
                            <a:off x="0" y="0"/>
                            <a:ext cx="743585" cy="8750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10878" w:type="dxa"/>
            <w:gridSpan w:val="3"/>
            <w:tcBorders>
              <w:top w:val="single" w:color="000000" w:sz="4" w:space="0"/>
              <w:left w:val="single" w:color="000000" w:sz="4" w:space="0"/>
              <w:bottom w:val="single" w:color="000000" w:sz="4" w:space="0"/>
              <w:right w:val="single" w:color="000000" w:sz="4" w:space="0"/>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三、通风系统</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866775</wp:posOffset>
                  </wp:positionH>
                  <wp:positionV relativeFrom="paragraph">
                    <wp:posOffset>0</wp:posOffset>
                  </wp:positionV>
                  <wp:extent cx="0" cy="1176020"/>
                  <wp:effectExtent l="0" t="0" r="0" b="0"/>
                  <wp:wrapNone/>
                  <wp:docPr id="36" name="Picture_2"/>
                  <wp:cNvGraphicFramePr/>
                  <a:graphic xmlns:a="http://schemas.openxmlformats.org/drawingml/2006/main">
                    <a:graphicData uri="http://schemas.openxmlformats.org/drawingml/2006/picture">
                      <pic:pic xmlns:pic="http://schemas.openxmlformats.org/drawingml/2006/picture">
                        <pic:nvPicPr>
                          <pic:cNvPr id="36" name="Picture_2"/>
                          <pic:cNvPicPr/>
                        </pic:nvPicPr>
                        <pic:blipFill>
                          <a:blip r:embed="rId24"/>
                          <a:stretch>
                            <a:fillRect/>
                          </a:stretch>
                        </pic:blipFill>
                        <pic:spPr>
                          <a:xfrm>
                            <a:off x="0" y="0"/>
                            <a:ext cx="0" cy="1176020"/>
                          </a:xfrm>
                          <a:prstGeom prst="rect">
                            <a:avLst/>
                          </a:prstGeom>
                          <a:noFill/>
                          <a:ln>
                            <a:noFill/>
                          </a:ln>
                        </pic:spPr>
                      </pic:pic>
                    </a:graphicData>
                  </a:graphic>
                </wp:anchor>
              </w:drawing>
            </w: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866775</wp:posOffset>
                  </wp:positionH>
                  <wp:positionV relativeFrom="paragraph">
                    <wp:posOffset>0</wp:posOffset>
                  </wp:positionV>
                  <wp:extent cx="0" cy="1165860"/>
                  <wp:effectExtent l="0" t="0" r="0" b="0"/>
                  <wp:wrapNone/>
                  <wp:docPr id="39" name="Picture_2_SpCnt_1"/>
                  <wp:cNvGraphicFramePr/>
                  <a:graphic xmlns:a="http://schemas.openxmlformats.org/drawingml/2006/main">
                    <a:graphicData uri="http://schemas.openxmlformats.org/drawingml/2006/picture">
                      <pic:pic xmlns:pic="http://schemas.openxmlformats.org/drawingml/2006/picture">
                        <pic:nvPicPr>
                          <pic:cNvPr id="39" name="Picture_2_SpCnt_1"/>
                          <pic:cNvPicPr/>
                        </pic:nvPicPr>
                        <pic:blipFill>
                          <a:blip r:embed="rId35"/>
                          <a:stretch>
                            <a:fillRect/>
                          </a:stretch>
                        </pic:blipFill>
                        <pic:spPr>
                          <a:xfrm>
                            <a:off x="0" y="0"/>
                            <a:ext cx="0" cy="1165860"/>
                          </a:xfrm>
                          <a:prstGeom prst="rect">
                            <a:avLst/>
                          </a:prstGeom>
                          <a:noFill/>
                          <a:ln>
                            <a:noFill/>
                          </a:ln>
                        </pic:spPr>
                      </pic:pic>
                    </a:graphicData>
                  </a:graphic>
                </wp:anchor>
              </w:drawing>
            </w: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866775</wp:posOffset>
                  </wp:positionH>
                  <wp:positionV relativeFrom="paragraph">
                    <wp:posOffset>0</wp:posOffset>
                  </wp:positionV>
                  <wp:extent cx="0" cy="1165860"/>
                  <wp:effectExtent l="0" t="0" r="0" b="0"/>
                  <wp:wrapNone/>
                  <wp:docPr id="25" name="Picture_2_SpCnt_2"/>
                  <wp:cNvGraphicFramePr/>
                  <a:graphic xmlns:a="http://schemas.openxmlformats.org/drawingml/2006/main">
                    <a:graphicData uri="http://schemas.openxmlformats.org/drawingml/2006/picture">
                      <pic:pic xmlns:pic="http://schemas.openxmlformats.org/drawingml/2006/picture">
                        <pic:nvPicPr>
                          <pic:cNvPr id="25" name="Picture_2_SpCnt_2"/>
                          <pic:cNvPicPr/>
                        </pic:nvPicPr>
                        <pic:blipFill>
                          <a:blip r:embed="rId21"/>
                          <a:stretch>
                            <a:fillRect/>
                          </a:stretch>
                        </pic:blipFill>
                        <pic:spPr>
                          <a:xfrm>
                            <a:off x="0" y="0"/>
                            <a:ext cx="0" cy="1165860"/>
                          </a:xfrm>
                          <a:prstGeom prst="rect">
                            <a:avLst/>
                          </a:prstGeom>
                          <a:noFill/>
                          <a:ln>
                            <a:noFill/>
                          </a:ln>
                        </pic:spPr>
                      </pic:pic>
                    </a:graphicData>
                  </a:graphic>
                </wp:anchor>
              </w:drawing>
            </w: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866775</wp:posOffset>
                  </wp:positionH>
                  <wp:positionV relativeFrom="paragraph">
                    <wp:posOffset>0</wp:posOffset>
                  </wp:positionV>
                  <wp:extent cx="0" cy="1176020"/>
                  <wp:effectExtent l="0" t="0" r="0" b="0"/>
                  <wp:wrapNone/>
                  <wp:docPr id="27" name="Picture_2_SpCnt_3"/>
                  <wp:cNvGraphicFramePr/>
                  <a:graphic xmlns:a="http://schemas.openxmlformats.org/drawingml/2006/main">
                    <a:graphicData uri="http://schemas.openxmlformats.org/drawingml/2006/picture">
                      <pic:pic xmlns:pic="http://schemas.openxmlformats.org/drawingml/2006/picture">
                        <pic:nvPicPr>
                          <pic:cNvPr id="27" name="Picture_2_SpCnt_3"/>
                          <pic:cNvPicPr/>
                        </pic:nvPicPr>
                        <pic:blipFill>
                          <a:blip r:embed="rId36"/>
                          <a:stretch>
                            <a:fillRect/>
                          </a:stretch>
                        </pic:blipFill>
                        <pic:spPr>
                          <a:xfrm>
                            <a:off x="0" y="0"/>
                            <a:ext cx="0" cy="11760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铝合金万向罩</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四节 1.关节：高密度PP材质表面磨砂，可360°旋转调节方向</w:t>
            </w:r>
            <w:r>
              <w:rPr>
                <w:rStyle w:val="89"/>
                <w:color w:val="000000" w:themeColor="text1"/>
                <w:highlight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2.关节密封圈：不易老化之高密度橡胶。在关节之间随着旋钮压力加大而产生阻尼效果。</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3.关节连接杆：304不锈钢双头锁杆。</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4.关节盖：高密度PP材质表面磨砂。</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5.关节松紧选钮：高密度PP材质，内置微形平面推力不锈钢轴承，与关节连接杆锁合。</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6.铝合金万向罩口：直径253mm，高密度铝合金制成。</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7.伸缩导管：4节直径60mm的6系专业抗氧化抗腐蚀的镁硅铝合金，表面做特氟龙表面处理，耐酸、耐碱、耐划痕。</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8.旋转关节：6系专业抗氧化抗腐蚀的镁硅铝合金，在下部设计增加旋转功能，内部设计PVC离合结构。</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9.扭簧：使用90度的4mm专用弹簧钢抗氧化处理，防止吸风罩整体滑下。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10.安装后可根据使用需要达到三维360度任意转停，集气罩吸气角度360度任意转停。</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58</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403225</wp:posOffset>
                  </wp:positionH>
                  <wp:positionV relativeFrom="paragraph">
                    <wp:posOffset>158115</wp:posOffset>
                  </wp:positionV>
                  <wp:extent cx="563245" cy="809625"/>
                  <wp:effectExtent l="0" t="0" r="635" b="13335"/>
                  <wp:wrapNone/>
                  <wp:docPr id="28" name="ID_A128E21C00974594A674CC0EAD6F0043"/>
                  <wp:cNvGraphicFramePr/>
                  <a:graphic xmlns:a="http://schemas.openxmlformats.org/drawingml/2006/main">
                    <a:graphicData uri="http://schemas.openxmlformats.org/drawingml/2006/picture">
                      <pic:pic xmlns:pic="http://schemas.openxmlformats.org/drawingml/2006/picture">
                        <pic:nvPicPr>
                          <pic:cNvPr id="28" name="ID_A128E21C00974594A674CC0EAD6F0043"/>
                          <pic:cNvPicPr/>
                        </pic:nvPicPr>
                        <pic:blipFill>
                          <a:blip r:embed="rId37"/>
                          <a:stretch>
                            <a:fillRect/>
                          </a:stretch>
                        </pic:blipFill>
                        <pic:spPr>
                          <a:xfrm>
                            <a:off x="0" y="0"/>
                            <a:ext cx="563245" cy="809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万向吸风罩底座</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固定底座：6系专业抗氧化抗腐蚀的镁硅铝合金，根据不同的组合方式可选择丝口和挂口结构，拆装方便。</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58</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PP离心风机</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功率；5.5KW,风量；7100-13500m³/h，压头；1210-756Pa,转速；1440转/分,电压：380V</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151765</wp:posOffset>
                  </wp:positionH>
                  <wp:positionV relativeFrom="paragraph">
                    <wp:posOffset>74295</wp:posOffset>
                  </wp:positionV>
                  <wp:extent cx="878840" cy="1082040"/>
                  <wp:effectExtent l="0" t="0" r="5080" b="0"/>
                  <wp:wrapNone/>
                  <wp:docPr id="31" name="图片_31"/>
                  <wp:cNvGraphicFramePr/>
                  <a:graphic xmlns:a="http://schemas.openxmlformats.org/drawingml/2006/main">
                    <a:graphicData uri="http://schemas.openxmlformats.org/drawingml/2006/picture">
                      <pic:pic xmlns:pic="http://schemas.openxmlformats.org/drawingml/2006/picture">
                        <pic:nvPicPr>
                          <pic:cNvPr id="31" name="图片_31"/>
                          <pic:cNvPicPr/>
                        </pic:nvPicPr>
                        <pic:blipFill>
                          <a:blip r:embed="rId38"/>
                          <a:stretch>
                            <a:fillRect/>
                          </a:stretch>
                        </pic:blipFill>
                        <pic:spPr>
                          <a:xfrm>
                            <a:off x="0" y="0"/>
                            <a:ext cx="878840" cy="1082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风帽</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PP材质，具有防雨功能，风阻小。</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只</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进风口软接头</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De650/500*250H，软质PVC</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只</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消音器</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双层PP材质，内部填充环玻璃纤维吸音棉</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消音器底架</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40*40*2mm镀锌C型钢</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式</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防火阀</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500*250H，不锈钢材质</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只</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室内行程通风管道</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室内管道，采用防腐蚀PP材质，具有整体结构性能好、严密性高等优点大小管道组成，各支管风速小于8m/s</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wp:posOffset>
                  </wp:positionH>
                  <wp:positionV relativeFrom="paragraph">
                    <wp:posOffset>177800</wp:posOffset>
                  </wp:positionV>
                  <wp:extent cx="1330960" cy="699135"/>
                  <wp:effectExtent l="0" t="0" r="10160" b="1905"/>
                  <wp:wrapNone/>
                  <wp:docPr id="40" name="图片_30"/>
                  <wp:cNvGraphicFramePr/>
                  <a:graphic xmlns:a="http://schemas.openxmlformats.org/drawingml/2006/main">
                    <a:graphicData uri="http://schemas.openxmlformats.org/drawingml/2006/picture">
                      <pic:pic xmlns:pic="http://schemas.openxmlformats.org/drawingml/2006/picture">
                        <pic:nvPicPr>
                          <pic:cNvPr id="40" name="图片_30"/>
                          <pic:cNvPicPr/>
                        </pic:nvPicPr>
                        <pic:blipFill>
                          <a:blip r:embed="rId39"/>
                          <a:stretch>
                            <a:fillRect/>
                          </a:stretch>
                        </pic:blipFill>
                        <pic:spPr>
                          <a:xfrm>
                            <a:off x="0" y="0"/>
                            <a:ext cx="1330960" cy="699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室外行程通风管道</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室外管道，采用防腐蚀PP材质，具有整体结构性能好、严密性高等优点大小管道组成，各主管风速小于12m/s</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风机电缆线+PVC线管</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4㎡*3+2.5㎡*2</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耗材及附件</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含风管安装及支架，安装螺杆，密封垫（不含桁架）</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通风系统安装</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标准化安装、现场安装机具</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 </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878" w:type="dxa"/>
            <w:gridSpan w:val="3"/>
            <w:tcBorders>
              <w:top w:val="single" w:color="000000" w:sz="4" w:space="0"/>
              <w:left w:val="single" w:color="000000" w:sz="4" w:space="0"/>
              <w:bottom w:val="single" w:color="000000" w:sz="4" w:space="0"/>
              <w:right w:val="nil"/>
            </w:tcBorders>
            <w:shd w:val="clear" w:color="auto" w:fill="E4DFE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四、照明护眼灯</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6"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Style w:val="87"/>
                <w:color w:val="000000" w:themeColor="text1"/>
                <w:highlight w:val="none"/>
                <w:lang w:val="en-US" w:eastAsia="zh-CN" w:bidi="ar"/>
                <w14:textFill>
                  <w14:solidFill>
                    <w14:schemeClr w14:val="tx1"/>
                  </w14:solidFill>
                </w14:textFill>
              </w:rPr>
              <w:t>LED黑板灯</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1、黑板灯为一体式LED防眩灯具。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2、为了防止眩光和避免产生用眼不适，黑板灯需为经过科学匀光处理、视感舒适的照明灯具。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3、黑板灯驱动电源需为隔离型恒流驱动，电源有外壳并可靠固定。</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4、黑板灯须通过CCC认证。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5、黑板灯功率＜50W。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6、黑板灯光效（或灯具效能）≥80 lm/W。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7、黑板灯色温（或相关色温）4300K-5300K。</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8、黑板灯显色指数Ra＞95、R9＞90。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9、黑板灯色容差（色品容差）≤5 SDCM。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10、黑板灯应满足30000小时或以上时间的光通维持率≥93%，以保证产品质量和灯具使用寿命。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11、黑板灯至少依据但不限于《GB 7793》《GB 50034》《GB/T 5700》《T/JYBZ 005》及《GB 7000.1》等教室照明质量参考标准要求通过教室照明设备认证。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12、黑板灯蓝光危害等级为RG0（或0类危险）。</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13、黑板灯频闪无危害或无显著影响或无频闪危害。</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14、黑板灯至少依据但不限于《GB7793》、《GB50034》、《GB/T5700》、《T/JYBZ005》及《GB7000.1》标准满足发光面法线方向、长边γ1=60°及短边γ2=60°角度内亮度测试结果均为“P”或合格。</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盏</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-28575</wp:posOffset>
                  </wp:positionH>
                  <wp:positionV relativeFrom="paragraph">
                    <wp:posOffset>170180</wp:posOffset>
                  </wp:positionV>
                  <wp:extent cx="1221105" cy="582295"/>
                  <wp:effectExtent l="0" t="0" r="13335" b="12065"/>
                  <wp:wrapNone/>
                  <wp:docPr id="32" name="Picture_1"/>
                  <wp:cNvGraphicFramePr/>
                  <a:graphic xmlns:a="http://schemas.openxmlformats.org/drawingml/2006/main">
                    <a:graphicData uri="http://schemas.openxmlformats.org/drawingml/2006/picture">
                      <pic:pic xmlns:pic="http://schemas.openxmlformats.org/drawingml/2006/picture">
                        <pic:nvPicPr>
                          <pic:cNvPr id="32" name="Picture_1"/>
                          <pic:cNvPicPr/>
                        </pic:nvPicPr>
                        <pic:blipFill>
                          <a:blip r:embed="rId17"/>
                          <a:stretch>
                            <a:fillRect/>
                          </a:stretch>
                        </pic:blipFill>
                        <pic:spPr>
                          <a:xfrm>
                            <a:off x="0" y="0"/>
                            <a:ext cx="1221105" cy="582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LED教室灯</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1、教室灯为一体式LED防眩灯具，长度≥1000mm。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2、为了防止眩光和避免产生用眼不适，教室灯需为经过科学匀光处理、视感舒适的照明灯具。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3、教室灯驱动电源需为隔离型恒流驱动，电源有外壳并可靠固定。</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4、教室灯须通过CCC认证。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5、教室灯功率＜50W。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6、教室灯光效（或灯具效能）≥80 lm/W。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7、教室灯色温（或相关色温）4300K-5300K。</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8、教室灯显色指数Ra＞95、R9＞90。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9、教室灯色容差（色品容差）≤5 SDCM。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10、教室灯应满足30000小时或以上时间的光通维持率≥93%，以保证产品质量和灯具使用寿命。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11、教室灯至少依据但不限于《GB 7793》《GB 50034》《GB/T 5700》《T/JYBZ 005》及《GB 7000.1》等教室照明质量参考标准要求通过教室照明设备认证。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12、教室灯蓝光危害等级为RG0（或0类危险）。</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13、教室灯频闪无危害或无显著影响或无频闪危害。</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14、教室灯至少依据但不限于《GB7793》、《GB50034》、《GB/T5700》。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14、教室灯至少依据但不限于《GB7793》、《GB50034》、《GB/T5700》、《T/JYBZ005》及《GB7000.1》标准满足发光面法线方向、长边γ1=60°及短边γ2=60°角度内亮度测试结果均为“P”或合格。</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盏</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18</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-4445</wp:posOffset>
                  </wp:positionH>
                  <wp:positionV relativeFrom="paragraph">
                    <wp:posOffset>139700</wp:posOffset>
                  </wp:positionV>
                  <wp:extent cx="1237615" cy="477520"/>
                  <wp:effectExtent l="0" t="0" r="12065" b="10160"/>
                  <wp:wrapNone/>
                  <wp:docPr id="33" name="图片_25"/>
                  <wp:cNvGraphicFramePr/>
                  <a:graphic xmlns:a="http://schemas.openxmlformats.org/drawingml/2006/main">
                    <a:graphicData uri="http://schemas.openxmlformats.org/drawingml/2006/picture">
                      <pic:pic xmlns:pic="http://schemas.openxmlformats.org/drawingml/2006/picture">
                        <pic:nvPicPr>
                          <pic:cNvPr id="33" name="图片_25"/>
                          <pic:cNvPicPr/>
                        </pic:nvPicPr>
                        <pic:blipFill>
                          <a:blip r:embed="rId18"/>
                          <a:stretch>
                            <a:fillRect/>
                          </a:stretch>
                        </pic:blipFill>
                        <pic:spPr>
                          <a:xfrm>
                            <a:off x="0" y="0"/>
                            <a:ext cx="1237615" cy="477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地面处理</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地面修复处理、铺设医用PVC地板胶 厚度：2.0mm</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平米</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180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-43815</wp:posOffset>
                  </wp:positionH>
                  <wp:positionV relativeFrom="paragraph">
                    <wp:posOffset>19050</wp:posOffset>
                  </wp:positionV>
                  <wp:extent cx="1356995" cy="797560"/>
                  <wp:effectExtent l="0" t="0" r="14605" b="10160"/>
                  <wp:wrapNone/>
                  <wp:docPr id="34" name="图片_28"/>
                  <wp:cNvGraphicFramePr/>
                  <a:graphic xmlns:a="http://schemas.openxmlformats.org/drawingml/2006/main">
                    <a:graphicData uri="http://schemas.openxmlformats.org/drawingml/2006/picture">
                      <pic:pic xmlns:pic="http://schemas.openxmlformats.org/drawingml/2006/picture">
                        <pic:nvPicPr>
                          <pic:cNvPr id="34" name="图片_28"/>
                          <pic:cNvPicPr/>
                        </pic:nvPicPr>
                        <pic:blipFill>
                          <a:blip r:embed="rId40"/>
                          <a:stretch>
                            <a:fillRect/>
                          </a:stretch>
                        </pic:blipFill>
                        <pic:spPr>
                          <a:xfrm>
                            <a:off x="0" y="0"/>
                            <a:ext cx="1356995" cy="7975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w:t>
            </w:r>
          </w:p>
        </w:tc>
        <w:tc>
          <w:tcPr>
            <w:tcW w:w="161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吊顶天花</w:t>
            </w:r>
          </w:p>
        </w:tc>
        <w:tc>
          <w:tcPr>
            <w:tcW w:w="8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铝扣板</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平米</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180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-45085</wp:posOffset>
                  </wp:positionH>
                  <wp:positionV relativeFrom="paragraph">
                    <wp:posOffset>-1905</wp:posOffset>
                  </wp:positionV>
                  <wp:extent cx="1351915" cy="578485"/>
                  <wp:effectExtent l="0" t="0" r="4445" b="635"/>
                  <wp:wrapNone/>
                  <wp:docPr id="38" name="图片_29"/>
                  <wp:cNvGraphicFramePr/>
                  <a:graphic xmlns:a="http://schemas.openxmlformats.org/drawingml/2006/main">
                    <a:graphicData uri="http://schemas.openxmlformats.org/drawingml/2006/picture">
                      <pic:pic xmlns:pic="http://schemas.openxmlformats.org/drawingml/2006/picture">
                        <pic:nvPicPr>
                          <pic:cNvPr id="38" name="图片_29"/>
                          <pic:cNvPicPr/>
                        </pic:nvPicPr>
                        <pic:blipFill>
                          <a:blip r:embed="rId41"/>
                          <a:stretch>
                            <a:fillRect/>
                          </a:stretch>
                        </pic:blipFill>
                        <pic:spPr>
                          <a:xfrm>
                            <a:off x="0" y="0"/>
                            <a:ext cx="1351915" cy="578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实验室文化装饰</w:t>
            </w:r>
          </w:p>
        </w:tc>
        <w:tc>
          <w:tcPr>
            <w:tcW w:w="8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化学</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实验室文化装饰</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，包含化学实验室挂图、制度、化学家名人名言等</w:t>
            </w:r>
            <w:r>
              <w:rPr>
                <w:rStyle w:val="83"/>
                <w:color w:val="000000" w:themeColor="text1"/>
                <w:highlight w:val="none"/>
                <w:lang w:val="en-US" w:eastAsia="zh-CN" w:bidi="ar"/>
                <w14:textFill>
                  <w14:solidFill>
                    <w14:schemeClr w14:val="tx1"/>
                  </w14:solidFill>
                </w14:textFill>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间</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拆除/安装/辅材</w:t>
            </w:r>
          </w:p>
        </w:tc>
        <w:tc>
          <w:tcPr>
            <w:tcW w:w="8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Style w:val="87"/>
                <w:color w:val="000000" w:themeColor="text1"/>
                <w:highlight w:val="none"/>
                <w:lang w:val="en-US" w:eastAsia="zh-CN" w:bidi="ar"/>
                <w14:textFill>
                  <w14:solidFill>
                    <w14:schemeClr w14:val="tx1"/>
                  </w14:solidFill>
                </w14:textFill>
              </w:rPr>
              <w:t>拆除旧实验室设备</w:t>
            </w:r>
            <w:r>
              <w:rPr>
                <w:rStyle w:val="87"/>
                <w:rFonts w:hint="eastAsia"/>
                <w:color w:val="000000" w:themeColor="text1"/>
                <w:highlight w:val="none"/>
                <w:lang w:val="en-US" w:eastAsia="zh-CN" w:bidi="ar"/>
                <w14:textFill>
                  <w14:solidFill>
                    <w14:schemeClr w14:val="tx1"/>
                  </w14:solidFill>
                </w14:textFill>
              </w:rPr>
              <w:t>56座课桌椅</w:t>
            </w:r>
            <w:r>
              <w:rPr>
                <w:rStyle w:val="87"/>
                <w:color w:val="000000" w:themeColor="text1"/>
                <w:highlight w:val="none"/>
                <w:lang w:val="en-US" w:eastAsia="zh-CN" w:bidi="ar"/>
                <w14:textFill>
                  <w14:solidFill>
                    <w14:schemeClr w14:val="tx1"/>
                  </w14:solidFill>
                </w14:textFill>
              </w:rPr>
              <w:t>，重新电源布线，主线</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w:t>
            </w:r>
            <w:r>
              <w:rPr>
                <w:rStyle w:val="87"/>
                <w:color w:val="000000" w:themeColor="text1"/>
                <w:highlight w:val="none"/>
                <w:lang w:val="en-US" w:eastAsia="zh-CN" w:bidi="ar"/>
                <w14:textFill>
                  <w14:solidFill>
                    <w14:schemeClr w14:val="tx1"/>
                  </w14:solidFill>
                </w14:textFill>
              </w:rPr>
              <w:t xml:space="preserve">电源线 </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（国标电源线）。</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间</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701"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11371" w:type="dxa"/>
            <w:gridSpan w:val="4"/>
            <w:tcBorders>
              <w:top w:val="single" w:color="000000" w:sz="4" w:space="0"/>
              <w:left w:val="single" w:color="000000" w:sz="4" w:space="0"/>
              <w:bottom w:val="single" w:color="000000" w:sz="4" w:space="0"/>
              <w:right w:val="nil"/>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合计</w:t>
            </w:r>
          </w:p>
        </w:tc>
        <w:tc>
          <w:tcPr>
            <w:tcW w:w="2255"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bl>
    <w:p>
      <w:pPr>
        <w:pStyle w:val="11"/>
        <w:rPr>
          <w:rFonts w:hint="eastAsia"/>
          <w:color w:val="000000" w:themeColor="text1"/>
          <w:highlight w:val="none"/>
          <w:lang w:val="en-US" w:eastAsia="zh-CN"/>
          <w14:textFill>
            <w14:solidFill>
              <w14:schemeClr w14:val="tx1"/>
            </w14:solidFill>
          </w14:textFill>
        </w:rPr>
      </w:pPr>
    </w:p>
    <w:p>
      <w:pPr>
        <w:rPr>
          <w:rFonts w:hint="eastAsia"/>
          <w:color w:val="000000" w:themeColor="text1"/>
          <w:highlight w:val="none"/>
          <w:lang w:val="en-US" w:eastAsia="zh-CN"/>
          <w14:textFill>
            <w14:solidFill>
              <w14:schemeClr w14:val="tx1"/>
            </w14:solidFill>
          </w14:textFill>
        </w:rPr>
      </w:pPr>
    </w:p>
    <w:tbl>
      <w:tblPr>
        <w:tblStyle w:val="28"/>
        <w:tblW w:w="139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3"/>
        <w:gridCol w:w="1025"/>
        <w:gridCol w:w="6390"/>
        <w:gridCol w:w="1025"/>
        <w:gridCol w:w="1025"/>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920"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四、化学准备室/仪器室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设备名称</w:t>
            </w:r>
          </w:p>
        </w:tc>
        <w:tc>
          <w:tcPr>
            <w:tcW w:w="6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规格参数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单位</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数量</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pPr>
            <w:r>
              <w:rPr>
                <w:rFonts w:hint="default"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373505"/>
                  <wp:effectExtent l="0" t="0" r="0" b="0"/>
                  <wp:wrapNone/>
                  <wp:docPr id="41" name="Picture_2"/>
                  <wp:cNvGraphicFramePr/>
                  <a:graphic xmlns:a="http://schemas.openxmlformats.org/drawingml/2006/main">
                    <a:graphicData uri="http://schemas.openxmlformats.org/drawingml/2006/picture">
                      <pic:pic xmlns:pic="http://schemas.openxmlformats.org/drawingml/2006/picture">
                        <pic:nvPicPr>
                          <pic:cNvPr id="41" name="Picture_2"/>
                          <pic:cNvPicPr/>
                        </pic:nvPicPr>
                        <pic:blipFill>
                          <a:blip r:embed="rId21"/>
                          <a:stretch>
                            <a:fillRect/>
                          </a:stretch>
                        </pic:blipFill>
                        <pic:spPr>
                          <a:xfrm>
                            <a:off x="0" y="0"/>
                            <a:ext cx="0" cy="1373505"/>
                          </a:xfrm>
                          <a:prstGeom prst="rect">
                            <a:avLst/>
                          </a:prstGeom>
                          <a:noFill/>
                          <a:ln>
                            <a:noFill/>
                          </a:ln>
                        </pic:spPr>
                      </pic:pic>
                    </a:graphicData>
                  </a:graphic>
                </wp:anchor>
              </w:drawing>
            </w:r>
            <w:r>
              <w:rPr>
                <w:rFonts w:hint="default"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373505"/>
                  <wp:effectExtent l="0" t="0" r="0" b="0"/>
                  <wp:wrapNone/>
                  <wp:docPr id="43" name="Picture_2_SpCnt_1"/>
                  <wp:cNvGraphicFramePr/>
                  <a:graphic xmlns:a="http://schemas.openxmlformats.org/drawingml/2006/main">
                    <a:graphicData uri="http://schemas.openxmlformats.org/drawingml/2006/picture">
                      <pic:pic xmlns:pic="http://schemas.openxmlformats.org/drawingml/2006/picture">
                        <pic:nvPicPr>
                          <pic:cNvPr id="43" name="Picture_2_SpCnt_1"/>
                          <pic:cNvPicPr/>
                        </pic:nvPicPr>
                        <pic:blipFill>
                          <a:blip r:embed="rId42"/>
                          <a:stretch>
                            <a:fillRect/>
                          </a:stretch>
                        </pic:blipFill>
                        <pic:spPr>
                          <a:xfrm>
                            <a:off x="0" y="0"/>
                            <a:ext cx="0" cy="1373505"/>
                          </a:xfrm>
                          <a:prstGeom prst="rect">
                            <a:avLst/>
                          </a:prstGeom>
                          <a:noFill/>
                          <a:ln>
                            <a:noFill/>
                          </a:ln>
                        </pic:spPr>
                      </pic:pic>
                    </a:graphicData>
                  </a:graphic>
                </wp:anchor>
              </w:drawing>
            </w:r>
          </w:p>
          <w:p>
            <w:pPr>
              <w:pStyle w:val="1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图片</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以下</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图片仅供参考，不做为验收依据</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2" w:hRule="atLeast"/>
        </w:trPr>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边台</w:t>
            </w:r>
          </w:p>
        </w:tc>
        <w:tc>
          <w:tcPr>
            <w:tcW w:w="6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1600（±20）×600（±20）×780（±20）mm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台面：*采用12mm双面膜实芯理化板，1.2米长台面前后端热压一体成型，实验台前端热弯R30半圆弧形。</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桌腿：采用工字型压铸铝一次成型，材料表面经高压静电喷涂环氧树脂防护层，耐酸碱，耐腐蚀处理。</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立柱：采用50×100mm，壁厚1.5mm。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储物柜：规格高640*宽1110*深500mm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材质：储物柜主材为ABS＋尼龙全新工程塑料制成。</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617855</wp:posOffset>
                  </wp:positionH>
                  <wp:positionV relativeFrom="paragraph">
                    <wp:posOffset>1677670</wp:posOffset>
                  </wp:positionV>
                  <wp:extent cx="849630" cy="1588770"/>
                  <wp:effectExtent l="0" t="0" r="0" b="0"/>
                  <wp:wrapNone/>
                  <wp:docPr id="42" name="图片_2"/>
                  <wp:cNvGraphicFramePr/>
                  <a:graphic xmlns:a="http://schemas.openxmlformats.org/drawingml/2006/main">
                    <a:graphicData uri="http://schemas.openxmlformats.org/drawingml/2006/picture">
                      <pic:pic xmlns:pic="http://schemas.openxmlformats.org/drawingml/2006/picture">
                        <pic:nvPicPr>
                          <pic:cNvPr id="42" name="图片_2"/>
                          <pic:cNvPicPr/>
                        </pic:nvPicPr>
                        <pic:blipFill>
                          <a:blip r:embed="rId43"/>
                          <a:stretch>
                            <a:fillRect/>
                          </a:stretch>
                        </pic:blipFill>
                        <pic:spPr>
                          <a:xfrm>
                            <a:off x="0" y="0"/>
                            <a:ext cx="849630" cy="158877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257175</wp:posOffset>
                  </wp:positionH>
                  <wp:positionV relativeFrom="paragraph">
                    <wp:posOffset>209550</wp:posOffset>
                  </wp:positionV>
                  <wp:extent cx="1809115" cy="648335"/>
                  <wp:effectExtent l="0" t="0" r="4445" b="6985"/>
                  <wp:wrapNone/>
                  <wp:docPr id="46" name="图片_9"/>
                  <wp:cNvGraphicFramePr/>
                  <a:graphic xmlns:a="http://schemas.openxmlformats.org/drawingml/2006/main">
                    <a:graphicData uri="http://schemas.openxmlformats.org/drawingml/2006/picture">
                      <pic:pic xmlns:pic="http://schemas.openxmlformats.org/drawingml/2006/picture">
                        <pic:nvPicPr>
                          <pic:cNvPr id="46" name="图片_9"/>
                          <pic:cNvPicPr/>
                        </pic:nvPicPr>
                        <pic:blipFill>
                          <a:blip r:embed="rId44"/>
                          <a:stretch>
                            <a:fillRect/>
                          </a:stretch>
                        </pic:blipFill>
                        <pic:spPr>
                          <a:xfrm>
                            <a:off x="0" y="0"/>
                            <a:ext cx="1809115" cy="6483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仪器柜</w:t>
            </w:r>
          </w:p>
        </w:tc>
        <w:tc>
          <w:tcPr>
            <w:tcW w:w="6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Style w:val="91"/>
                <w:color w:val="000000" w:themeColor="text1"/>
                <w:highlight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1000（±20）*500（±20）*1970（±20） 1、PP材质</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2. 柜体：侧板、顶底板采用改性PP材料增加强度，注塑模一次性成型，表面沙面和光面相结合处理,保证柜体之坚固及密封性，耐腐蚀性强。</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3. 下储物柜门：内框采用改性PP材质注塑模一次成型, 外嵌4.6mm厚钢化烤漆玻璃</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4. 上柜视窗们：内框采用改性PP材质注塑模一次成型, 外嵌4.6mm厚钢化烤漆玻璃，中间烤漆镂空制作。</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 xml:space="preserve">5. 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 </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6. 门把手：与柜门平行，开启方便。</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7. 门铰链：PP材料制成，耐腐蚀性好。</w:t>
            </w:r>
            <w:r>
              <w:rPr>
                <w:rStyle w:val="91"/>
                <w:color w:val="000000" w:themeColor="text1"/>
                <w:highlight w:val="none"/>
                <w:lang w:val="en-US" w:eastAsia="zh-CN" w:bidi="ar"/>
                <w14:textFill>
                  <w14:solidFill>
                    <w14:schemeClr w14:val="tx1"/>
                  </w14:solidFill>
                </w14:textFill>
              </w:rPr>
              <w:br w:type="textWrapping"/>
            </w:r>
            <w:r>
              <w:rPr>
                <w:rStyle w:val="91"/>
                <w:rFonts w:hint="eastAsia"/>
                <w:color w:val="000000" w:themeColor="text1"/>
                <w:highlight w:val="none"/>
                <w:lang w:val="en-US" w:eastAsia="zh-CN" w:bidi="ar"/>
                <w14:textFill>
                  <w14:solidFill>
                    <w14:schemeClr w14:val="tx1"/>
                  </w14:solidFill>
                </w14:textFill>
              </w:rPr>
              <w:t>8</w:t>
            </w:r>
            <w:r>
              <w:rPr>
                <w:rStyle w:val="91"/>
                <w:color w:val="000000" w:themeColor="text1"/>
                <w:highlight w:val="none"/>
                <w:lang w:val="en-US" w:eastAsia="zh-CN" w:bidi="ar"/>
                <w14:textFill>
                  <w14:solidFill>
                    <w14:schemeClr w14:val="tx1"/>
                  </w14:solidFill>
                </w14:textFill>
              </w:rPr>
              <w:t>. 备注 ：可以用于各种腐蚀性化学品的储存，如硫酸、盐酸、硝酸、乙酸、硫磺酸等</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179195"/>
                  <wp:effectExtent l="0" t="0" r="0" b="0"/>
                  <wp:wrapNone/>
                  <wp:docPr id="44" name="Picture_2_SpCnt_2"/>
                  <wp:cNvGraphicFramePr/>
                  <a:graphic xmlns:a="http://schemas.openxmlformats.org/drawingml/2006/main">
                    <a:graphicData uri="http://schemas.openxmlformats.org/drawingml/2006/picture">
                      <pic:pic xmlns:pic="http://schemas.openxmlformats.org/drawingml/2006/picture">
                        <pic:nvPicPr>
                          <pic:cNvPr id="44" name="Picture_2_SpCnt_2"/>
                          <pic:cNvPicPr/>
                        </pic:nvPicPr>
                        <pic:blipFill>
                          <a:blip r:embed="rId24"/>
                          <a:stretch>
                            <a:fillRect/>
                          </a:stretch>
                        </pic:blipFill>
                        <pic:spPr>
                          <a:xfrm>
                            <a:off x="0" y="0"/>
                            <a:ext cx="0" cy="1179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10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w:t>
            </w:r>
          </w:p>
        </w:tc>
        <w:tc>
          <w:tcPr>
            <w:tcW w:w="10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药品柜</w:t>
            </w:r>
          </w:p>
        </w:tc>
        <w:tc>
          <w:tcPr>
            <w:tcW w:w="63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1000（±20）*500（±20）*1970（±20）   </w:t>
            </w:r>
          </w:p>
          <w:p>
            <w:pPr>
              <w:keepNext w:val="0"/>
              <w:keepLines w:val="0"/>
              <w:widowControl/>
              <w:suppressLineNumbers w:val="0"/>
              <w:jc w:val="left"/>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1、PP材质</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 柜体：侧板、顶底板采用改性PP材料增加强度，注塑模一次性成型。3. 下储物柜门：内框采用改性PP材质注塑模一次成型, 外嵌4.6mm厚钢化烤漆玻璃。</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 上柜视窗们：内框采用改性PP材质注塑模一次成型, 外嵌4.6mm厚钢化烤漆玻璃，中间烤漆镂空制作。</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 层板：上部配置阶梯层板，下部配置一块活动层板，层板全部采用改性PP材质注塑模一次成型，表面沙面和光面相结合处理，承重力强。整体设计为活动式，可随意抽取放在合适的隔层，自由组合各层空间。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 门把手：与柜门平行，开启方便。</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 门铰链：PP材料制成，耐腐蚀性好。</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 备注 ：可以用于各种腐蚀性化学品的储存，如硫酸、盐酸、硝酸、乙酸、硫磺酸等。</w:t>
            </w:r>
          </w:p>
        </w:tc>
        <w:tc>
          <w:tcPr>
            <w:tcW w:w="10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10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343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171450</wp:posOffset>
                  </wp:positionV>
                  <wp:extent cx="1011555" cy="1913890"/>
                  <wp:effectExtent l="0" t="0" r="0" b="0"/>
                  <wp:wrapNone/>
                  <wp:docPr id="45" name="图片_4"/>
                  <wp:cNvGraphicFramePr/>
                  <a:graphic xmlns:a="http://schemas.openxmlformats.org/drawingml/2006/main">
                    <a:graphicData uri="http://schemas.openxmlformats.org/drawingml/2006/picture">
                      <pic:pic xmlns:pic="http://schemas.openxmlformats.org/drawingml/2006/picture">
                        <pic:nvPicPr>
                          <pic:cNvPr id="45" name="图片_4"/>
                          <pic:cNvPicPr/>
                        </pic:nvPicPr>
                        <pic:blipFill>
                          <a:blip r:embed="rId45"/>
                          <a:stretch>
                            <a:fillRect/>
                          </a:stretch>
                        </pic:blipFill>
                        <pic:spPr>
                          <a:xfrm>
                            <a:off x="0" y="0"/>
                            <a:ext cx="1011555" cy="19138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p>
        </w:tc>
        <w:tc>
          <w:tcPr>
            <w:tcW w:w="84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合计</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p>
        </w:tc>
      </w:tr>
    </w:tbl>
    <w:p>
      <w:pPr>
        <w:pStyle w:val="11"/>
        <w:rPr>
          <w:rFonts w:hint="eastAsia"/>
          <w:color w:val="000000" w:themeColor="text1"/>
          <w:highlight w:val="none"/>
          <w:lang w:val="en-US" w:eastAsia="zh-CN"/>
          <w14:textFill>
            <w14:solidFill>
              <w14:schemeClr w14:val="tx1"/>
            </w14:solidFill>
          </w14:textFill>
        </w:rPr>
      </w:pPr>
    </w:p>
    <w:p>
      <w:pPr>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tbl>
      <w:tblPr>
        <w:tblStyle w:val="28"/>
        <w:tblW w:w="1383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3"/>
        <w:gridCol w:w="1310"/>
        <w:gridCol w:w="7964"/>
        <w:gridCol w:w="581"/>
        <w:gridCol w:w="581"/>
        <w:gridCol w:w="28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3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pPr>
          </w:p>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五、FS-A Pro生物创新实验室方案清单（52座/间）2间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序号</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设备名称</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规格参数</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单位</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数量</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图片</w:t>
            </w:r>
            <w:r>
              <w:rPr>
                <w:rFonts w:hint="eastAsia"/>
                <w:color w:val="000000" w:themeColor="text1"/>
                <w:highlight w:val="none"/>
                <w:lang w:val="en-US" w:eastAsia="zh-CN"/>
                <w14:textFill>
                  <w14:solidFill>
                    <w14:schemeClr w14:val="tx1"/>
                  </w14:solidFill>
                </w14:textFill>
              </w:rPr>
              <w:t xml:space="preserve"> </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以下</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图片仅供参考，不做为验收依据</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9869" w:type="dxa"/>
            <w:gridSpan w:val="3"/>
            <w:tcBorders>
              <w:top w:val="single" w:color="000000" w:sz="4" w:space="0"/>
              <w:left w:val="single" w:color="000000" w:sz="4" w:space="0"/>
              <w:bottom w:val="single" w:color="000000" w:sz="4" w:space="0"/>
              <w:right w:val="single" w:color="000000" w:sz="4" w:space="0"/>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一、教师演示控制</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8"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智慧黑板</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整</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机要求：</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整机采用全金属外壳，三拼接平面一体化设计，中间主屏幕整机采用86英寸液晶显示器，整机采用UHD超高清LED液晶屏，显示比例16:9，分辨率3840×2160。屏幕边缘采用金属圆角包边防护，整机背板采用金属材质。无推拉式结构，外部无任何可见内部功能模块连接线。主副屏过渡平滑并在同一平面，中间无单独边框阻隔。</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2.主屏支持普通粉笔直接书写。整机两侧副屏可支持普通粉笔、液体粉笔、成膜笔进行板书书写。</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3.整机设备副屏支持磁吸附功能，可以满足带有磁吸的板擦等教具进行吸附在副屏上。</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4.嵌入式系统版本不低于Android 11，内存≥2GB，存储空间≥8GB。</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5.采用先进触控方式，支持Windows系统中进行20点或以上触控，支持Android系统中进行10点或以上触控。</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6.输入接口要求：具备≥2路HDMI、≥1路RS232、≥1路USB接口；输出接口要求：具备≥1路音频输出、≥1路触控USB输出；</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7.具备前置全功能Type-C接口，外接电脑设备经双头Type-C线连接至整机，可调用整机内置的摄像头、麦克风、扬声器，在外接电脑即可控制整机拍摄教室画面。</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8.整机支持色彩空间可选，包含标准模式和sRGB模式，在sRGB模式下可做到高色准△E≤1.5</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9.支持标准、多媒体和节能三种图像模式调节。支持可自定义图像设置，可对对比度、屏幕色温、图像亮度、亮度范围、色彩空间等进行更进一步调节设置。</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10.设备支持自定义前置“设置"按键，可通过自定义设置实现前置面板功能按键一键启用任一全局小工具或某功能快捷开关。</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11.当整机处于黑暗环境中并无人操作，一分钟后整机将可以自动进入熄屏模式。</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12.支持将自定义图片设置为开机画面。</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13.支持云端在线系统固件升级。</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14.整机支持纸质护眼模式，可以在任意通道任意画面任意软件所有显示内容下实现画面纹理的实时调整；支持纸质纹理：牛皮纸、素描纸、宣纸、水彩纸、水纹纸；支持透明度调节；支持色温调节。</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扬声器与摄像头</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1.整机内置不低于2.2声道扬声器，具备多方向扬声器，额定总功率不低于60W。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2.整机支持高级音效设置，可以调节左右声道平衡；在中低频段、高频段分别有不小于-10dB～10dB范围的调节功能。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3.整机内置扬声器采用先进的发声技术，喇叭位于设备上边框，顶置朝前发声。</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4.整机内置非独立外扩展的4阵列麦克风，可用于对教室环境音频进行采集，拾音距离≥8m。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5.整机扬声器在100%音量下，可做到1米处声压级≥88db，10米处声压级≥73dB</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6.内置摄像头、麦克风无需外接线材连接，无任何可见外接线材及模块化拼接痕迹，未占用整机设备端口。</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整机内置非独立摄像头，拍摄照片像素数≥1300万。摄像头视场角≥120度。可用于远程巡课，整机摄像头支持大于等于10米距离时实现AI识别人像。具备人脸识别、快速点人数、随机抽人；识别所有学生，显示标记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8.整机摄像头支持环境色温判断，根据环境调节合适的显示图像效果。</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9.整机支持通过人脸识别进行人脸识别进行登录账号。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通道功能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1.嵌入式Android操作系统下，白板支持对已经书写的笔迹和形状的颜色进行更换。在嵌入式系统下使用白板软件时，整机可根据用户书写操作智能调节屏幕亮度。</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2.嵌入式Android操作系统下，互动白板支持不同背景颜色，同时提供学科背景，如：五线谱、信纸、田字格、英文格、篮球和足球场地平面图。</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无PC状态下，嵌入式系统内置互动白板支持十笔书写及手掌擦除（手掌擦除面积根据手掌与屏幕的接触面大小自动调整），白板书写内容可以PDF、IWB和SVG格式导出。支持10种以上平面图形工具。支持8种以上立体图形工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4.无PC状态下，嵌入式Android操作系统下可实现windows系统中常用的教学应用功能，如白板书写、WPS软件使用和网页浏览。</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5.整机全通道具备多种工具至少具备批注、截屏、计时、降半屏、放大镜、日历功能。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6.整机安卓和全部外接通道支持通过扫描二维码等方式加入班级，老师设置题型，学生回答后提交，教师查看正确率比例及详细讲解；支持随机抽选、实时弹幕；支持管理当前班级成员；支持导出学生报告。</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教学界面</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1.整机支持通过人脸识别进行登录账号。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2.整机设备开机启动后，自动进入教学桌面，支持账号登录、退出，自动获取个人云端教学课件列表、并可进入校本资源库。</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3.教学桌面支持教学常用的教学白板软件、文件管理软件、学生行为评价软件、随机抽选软件，以便于快速开启授课；并提供快速进入本机所有应用的入口，满足不同教师授课需要。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4.整机设备教学桌面的教师登录账号后，可自动获取并在桌面显示最近使用的教学课件，点击任意课件可直接进入授课模式；并支持查看所有个人教学课件资源。</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5.整机设备教学桌面中的文件管理，支持同时显示本地磁盘、移动类存储设备、学校资源库、教师个人云空间的文件资源。</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物联功能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1.整机支持蓝牙Bluetooth 5.2标准，整机支持主动发现蓝牙外设从而连接（无需整机进入发现模式），支持连接外部蓝牙音箱播放音频。</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2.Wi-Fi及AP热点支持频段2.4GHz/5GHz ，Wi-Fi制式支持IEEE 802.11 a/b/g/n/ac/ax；支持版本Wi-Fi6。</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整机支持通过BT（蓝牙）、红外等方式连接音箱、麦克风，支持实时显示/控制音箱音量、麦克风音量；在任意通道下均可实时查看音箱、麦克风连接状态，当设备连接/断开连接时，提供实时反馈提示，并在反馈提示中显示麦克风实时电量；支持读取音箱/麦克风型号，对应显示设备实物图片。</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整机支持音箱音量的智能调节，当麦克风接入时，自动调整合适的音箱音量且带有麦克风电量智能提醒，当麦克风电量过低时，提供低电量反馈提示，支持麦克风自动判断同一房间内的整机和音箱，自动匹配连接。</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5.整机支持智能笔，通过BLE（蓝牙低能耗技术）、USB Dongle（通用串口总线接收器）等方式连接，当整机和智能笔均支持BLE功能时，支持指定区域内智能笔自动发现、自动连接，并支持读取智能笔型号， 对应显示设备实物图片。</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6.整机支持传屏器，通过BLE（蓝牙低能耗技术）、Type-C、USB 等方式连接，当整机和传屏器均支持BLE功能时，在指定区域内传屏器可自动发现、自动连接。</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OPS模块：</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1.处理器：Intel Core i5 及以上，内存：8G DDR4 笔记本内存或以上配置，硬盘≥256G SSD 固态硬盘，采用抽拉内置式模块化电脑，抽拉内置式，PC模块可插入整机，可实现无单独接线的插拔。</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2.具有独立非外扩展的电脑USB接口：≥3路USB。≥1 路 HDMI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3.PC模块的USB接口须为冗余备份接口，在正常使用整机的内置摄像头、内置麦克风功能时，USB接口不被占用，确保教师有足够的接口外接存储设备及显示设备</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4.整机具备供电保护模块，能够检测内置电脑是否插好在位，在内置电脑未在位的情况下，内置电脑无法上电工作。</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台</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69850</wp:posOffset>
                  </wp:positionV>
                  <wp:extent cx="1499870" cy="617855"/>
                  <wp:effectExtent l="0" t="0" r="8890" b="6985"/>
                  <wp:wrapNone/>
                  <wp:docPr id="56" name="图片_11"/>
                  <wp:cNvGraphicFramePr/>
                  <a:graphic xmlns:a="http://schemas.openxmlformats.org/drawingml/2006/main">
                    <a:graphicData uri="http://schemas.openxmlformats.org/drawingml/2006/picture">
                      <pic:pic xmlns:pic="http://schemas.openxmlformats.org/drawingml/2006/picture">
                        <pic:nvPicPr>
                          <pic:cNvPr id="56" name="图片_11"/>
                          <pic:cNvPicPr/>
                        </pic:nvPicPr>
                        <pic:blipFill>
                          <a:blip r:embed="rId46"/>
                          <a:stretch>
                            <a:fillRect/>
                          </a:stretch>
                        </pic:blipFill>
                        <pic:spPr>
                          <a:xfrm>
                            <a:off x="0" y="0"/>
                            <a:ext cx="1499870" cy="6178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教师演示讲台</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
              </w:numPr>
              <w:suppressLineNumbers w:val="0"/>
              <w:jc w:val="left"/>
              <w:textAlignment w:val="cente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全钢结构；</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2.台面：采用20mm厚一体实芯黑色胚体实验室工业陶瓷台面</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3.柜体：采用1.0mm优质高强度镀锌钢板，采用CO2保护焊焊接，打磨处理，表面经耐酸碱EPOXY粉末烤漆处理；整体结构设计合理，预留电脑主机、键盘托、实物展台、教师电源位置；</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高强度镀锌钢板技术要求满足：GB/T 10125-2012 人造气氛腐蚀试验 盐雾试验；GB/T 6461-2002  金属基体上金属和其他无机覆盖层 经腐蚀试验后的试样和试件的评级：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1、盐雾试验：72h中性盐雾试验 检测结果：10级。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4.拉手：采用C型不锈钢拉手；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5.防撞胶垫：装于抽屉及门板内侧，减缓碰撞，保护柜体；</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6.门板及抽面：采用双层钢板，必须两层组装是设计，保证两层双面都喷涂处理，中间采用隔音材料，保证关门减少噪音；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7.耐腐蚀连接件：采用ABS专用连接组装件；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耐腐蚀连接件技术要求满足：GB/T 10125-2012 人造气氛腐蚀试验 盐雾试验；GB/T 6461-2002  金属基体上金属和其他无机覆盖层 经腐蚀试验后的试样和试件的评级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1、盐雾试验：72h中性盐雾试验 检测结果：10级。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8.不锈钢防腐合页：采用优质不锈钢模具一体成型；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不锈钢防腐合页技术要求满足：QB/T 3826-1999(2009)轻工产品金属镀层和化学处理层的耐腐蚀试验方法 中性盐雾试验（NSS）法：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1、中性盐雾（18h） 检测结果：锈点数：0点， 10级。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9.防腐三节静音导轨：三节重型滚珠滑轨，承重性强，滑动性能良好，无噪音；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防腐三节静音导轨技术要求满足：检测依据：QB/T 2454-2013 家具五金 抽屉导轨：</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1、垂直向下静荷载：将抽屉导轨拉出至限位状态，在抽屉面板顶端一角用力垂直向下加载10次 商用型：300N a）所有组件或连接件不应断裂损坏；b）通过手触压证实，用于紧固的组件不应松动；c）所有零部件不应有影响正常运作的变形或磨损；d）五金连接件不应松动；e）所有组件的功能不应损害；f）抽屉导轨及其组件不应分离；</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2、水平侧向静荷载：将抽屉导轨拉出至限位状态，分别在抽屉面板两侧端中点用力水平格加载5次  商用型：150N a）所有组件或连接件不应断裂损坏；b）通过手触压证实，用于紧固的组件不应松动；c）所有零部件不应有影响正常运作的变形或磨损；d）五金连接件不应松动；e）所有组件的功能不应损害；f）抽屉导轨及其组件不应分离；</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3、猛关： 将抽屉导轨拉出300mm，如果抽屉导轨拉出长度不足300mm，则将导轨充分拉出。猛关抽屉导轨，配重增加的力应在抽屉导轨转移到终点位置还剩10mm时停止加载10次   a）所有组件或连接件不应断裂损坏；b）通过手触压证实，用于紧固的组件不应松动；c）所有零部件不应有影响正常运作的变形或磨损；d）五金连接件不应松动；e）所有组件的功能不应损害；f）抽屉导轨及其组件不应分离；</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4、猛开： 将抽屉导轨推进300mm，当抽屉导轨的行程长度小于300mm时，就推到满关位置。猛开抽屉导轨，配重增加的力应在抽屉导轨转移到终点位置还剩10mm时停止加载10次   a）所有组件或连接件不应断裂损坏；b）通过手触压证实，用于紧固的组件不应松动；c）所有零部件不应有影响正常运作的变形或磨损；d）五金连接件不应松动；e）所有组件的功能不应损害；f）抽屉导轨及其组件不应分离。</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10.固定桌脚：采用柜体内置可调ABS调整脚，保证调整脚前后都可以调节高低。</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教师演示讲台技术要求满足：GB 24820-2009 实验室家具通用技术条件：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1、操作台力学性能：水平静载荷试验：技术要求：力600N，10次；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垂直静载荷试验：主桌面：力2000N，10次；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持续垂直静载荷：载荷1.25kg/dm²，24h；</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独立操作台水平冲击稳定性：质量50kg，跌落高度40mm；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独立操作台垂直加载稳定性：750N；</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活动操作台跌落：跌落高度：150mm，10次；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垂直冲击试验：跌落高度：300mm，10次。</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ascii="Tahoma" w:hAnsi="Tahoma" w:eastAsia="Tahoma" w:cs="Tahoma"/>
                <w:i w:val="0"/>
                <w:iCs w:val="0"/>
                <w:color w:val="000000" w:themeColor="text1"/>
                <w:sz w:val="22"/>
                <w:szCs w:val="22"/>
                <w:highlight w:val="none"/>
                <w:u w:val="none"/>
                <w14:textFill>
                  <w14:solidFill>
                    <w14:schemeClr w14:val="tx1"/>
                  </w14:solidFill>
                </w14:textFill>
              </w:rPr>
            </w:pPr>
            <w:r>
              <w:rPr>
                <w:rFonts w:hint="default" w:ascii="Tahoma" w:hAnsi="Tahoma" w:eastAsia="Tahoma" w:cs="Tahoma"/>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wp:posOffset>
                  </wp:positionH>
                  <wp:positionV relativeFrom="paragraph">
                    <wp:posOffset>114300</wp:posOffset>
                  </wp:positionV>
                  <wp:extent cx="1716405" cy="1038225"/>
                  <wp:effectExtent l="0" t="0" r="5715" b="13335"/>
                  <wp:wrapNone/>
                  <wp:docPr id="55" name="ID_1B6552C2DCD14DFB8BD85C20F7713819"/>
                  <wp:cNvGraphicFramePr/>
                  <a:graphic xmlns:a="http://schemas.openxmlformats.org/drawingml/2006/main">
                    <a:graphicData uri="http://schemas.openxmlformats.org/drawingml/2006/picture">
                      <pic:pic xmlns:pic="http://schemas.openxmlformats.org/drawingml/2006/picture">
                        <pic:nvPicPr>
                          <pic:cNvPr id="55" name="ID_1B6552C2DCD14DFB8BD85C20F7713819"/>
                          <pic:cNvPicPr/>
                        </pic:nvPicPr>
                        <pic:blipFill>
                          <a:blip r:embed="rId47"/>
                          <a:stretch>
                            <a:fillRect/>
                          </a:stretch>
                        </pic:blipFill>
                        <pic:spPr>
                          <a:xfrm>
                            <a:off x="0" y="0"/>
                            <a:ext cx="1716405" cy="1038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6"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highlight w:val="none"/>
                <w:u w:val="none"/>
                <w:lang w:val="en-US" w:eastAsia="zh-CN"/>
                <w14:textFill>
                  <w14:solidFill>
                    <w14:schemeClr w14:val="tx1"/>
                  </w14:solidFill>
                </w14:textFill>
              </w:rPr>
              <w:t>3</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教师演示电源</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1.教师演示台配备总漏电保护和分组保护，可分组控制学生的高低压电源，确保学生实验安全方便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2.教师电源总控采用7寸"电阻式"液晶屏，显示智能控制按键同时显示电源电压；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3.教师交流电源通过智能控制按键直接选取0～24V电压，最小调节单元可达1V,额定电流3A；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4.教师直流电源也是通过智能控制按键直接选取，调节范围为1.5～24V，分辨率可达0.1V,额定电流3A；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5.低压大电流值为40A，自动关断；</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6.220V交流输出为带安全门的新国标插座，带有电源指示 ，学生低压交流电源可通过智能控制按键直接选取0～24V电压，最小调节单元为1V，组输送至学生桌；低压直流电压教师能准确控制，最小调节单元为0.1V。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教师演示电源技术要求满足：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1、标志：调节装置、输出插孔应有清晰明了，耐用的提示文字和符号；直流电压输出应能显示电压；内部布线接线端子应有文字或符号明示；</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2、内部导线连接：连接后应无应力；黄绿双色线必须是接地端子；部件固定牢固，无松动现象；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3、漏电保护：输入端应有漏电保护断路装置；</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4、接地措施：接地电阻≤0.1Ω；绝缘电阻≥7MΩ；变压器、插座应可靠接地；</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5、发热、K：变压器在1.06倍额定电压（233.2V）工作至温度状态，其绕组温升≤90K；</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6、操作性：各按组插座、开关工作有效，无影响正常工作和安全的异常现象；指示灯正常，无闪烁，损坏现象；漏电开关经试验后电路能正常断开；电压指示正常，无闪烁和损坏现象；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7、电压设置性能指示性：电压按设定值输入确认后，显示和输出应一致；电压设定值与实际输出值的误差应≤10%。</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-27940</wp:posOffset>
                  </wp:positionH>
                  <wp:positionV relativeFrom="paragraph">
                    <wp:posOffset>199390</wp:posOffset>
                  </wp:positionV>
                  <wp:extent cx="1642745" cy="821055"/>
                  <wp:effectExtent l="0" t="0" r="3175" b="1905"/>
                  <wp:wrapNone/>
                  <wp:docPr id="57" name="ID_50B95F34A6EB46BEBC6DFC50891D089F"/>
                  <wp:cNvGraphicFramePr/>
                  <a:graphic xmlns:a="http://schemas.openxmlformats.org/drawingml/2006/main">
                    <a:graphicData uri="http://schemas.openxmlformats.org/drawingml/2006/picture">
                      <pic:pic xmlns:pic="http://schemas.openxmlformats.org/drawingml/2006/picture">
                        <pic:nvPicPr>
                          <pic:cNvPr id="57" name="ID_50B95F34A6EB46BEBC6DFC50891D089F"/>
                          <pic:cNvPicPr/>
                        </pic:nvPicPr>
                        <pic:blipFill>
                          <a:blip r:embed="rId48"/>
                          <a:stretch>
                            <a:fillRect/>
                          </a:stretch>
                        </pic:blipFill>
                        <pic:spPr>
                          <a:xfrm>
                            <a:off x="0" y="0"/>
                            <a:ext cx="1642745" cy="8210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实验室专用水槽</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采用实验室专用高密度PP一体化成型水槽，易清洁，耐腐蚀，且利于台面残水自然回流，美观实用；具耐酸碱、耐有机溶剂、耐紫外线等特点。</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实验室专用水槽技术性能满足：QB/T 2658-2017 卫生设备用台盆：</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1、外观：产品使用表面应光滑顺畅，不应有划伤、裂纹、气泡、爆边等明显缺陷；</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2、抗负载：试验后不应有裂纹、破裂、或永久性变形，但直接受力点的变形不视为不合格；</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3、耐化学腐蚀和耐污染性能：试验后，测试面不应出现不可消除的不良，如污点、损坏等。</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只</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517525</wp:posOffset>
                  </wp:positionH>
                  <wp:positionV relativeFrom="paragraph">
                    <wp:posOffset>95885</wp:posOffset>
                  </wp:positionV>
                  <wp:extent cx="783590" cy="483870"/>
                  <wp:effectExtent l="0" t="0" r="8890" b="3810"/>
                  <wp:wrapNone/>
                  <wp:docPr id="58" name="ID_7B4CFE7FC306414AA12A00BAD18EA55C"/>
                  <wp:cNvGraphicFramePr/>
                  <a:graphic xmlns:a="http://schemas.openxmlformats.org/drawingml/2006/main">
                    <a:graphicData uri="http://schemas.openxmlformats.org/drawingml/2006/picture">
                      <pic:pic xmlns:pic="http://schemas.openxmlformats.org/drawingml/2006/picture">
                        <pic:nvPicPr>
                          <pic:cNvPr id="58" name="ID_7B4CFE7FC306414AA12A00BAD18EA55C"/>
                          <pic:cNvPicPr/>
                        </pic:nvPicPr>
                        <pic:blipFill>
                          <a:blip r:embed="rId49"/>
                          <a:stretch>
                            <a:fillRect/>
                          </a:stretch>
                        </pic:blipFill>
                        <pic:spPr>
                          <a:xfrm>
                            <a:off x="0" y="0"/>
                            <a:ext cx="783590" cy="483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2"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三联高低位龙头</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鹅颈式实验室专用优质化验水嘴：要求防酸碱、防锈、防虹吸、防阻塞，表面环氧树脂喷涂。出水嘴为铜质瓷芯，高头，便于多用途使用，可拆卸清洗阻塞。出水嘴可拆卸，内有成型螺纹，可方便连接循环等特殊用水水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三联高低位龙头技术要求满足：GB 18145-2014 陶瓷片密封水嘴：</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1、螺纹：螺纹表面应光洁，不得有凹痕、断牙等明显缺陷；产品外接非密封管螺纹应符合GB/T7307的要求，其中外螺纹应不低于GB/T 7307的B级精度；</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抗水压机械性能：阀芯上游：关闭阀芯，出水口打开，在静压（2.5±0.05）Mpa下保压（60±5）s，阀芯上游的任何零部件无永久性变形；出水口不带流量调节器的水嘴阀芯下游：打开阀芯，出水口打开，水嘴流量为（0.4±0.04）L/S时的压力下保压（60±5）s，阀芯下游的任何零部件无永久性变形；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密封性能：阀芯及阀芯上游：阀芯关闭，出水口打开，在静压（1.6±0.05）Mpa下保压（60±5）s，阀芯及上游过水通道无渗漏；阀芯下游：出水口能够被堵住的水嘴阀芯下游：阀芯打开，堵住出水口，在静压（0.4±0.02）Mpa下保压（60±5）s，减压至（0.05±0.01）Mpa保压（60±5）s，阀芯下游任何密封部位无渗漏。</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769620</wp:posOffset>
                  </wp:positionH>
                  <wp:positionV relativeFrom="paragraph">
                    <wp:posOffset>62865</wp:posOffset>
                  </wp:positionV>
                  <wp:extent cx="470535" cy="645160"/>
                  <wp:effectExtent l="0" t="0" r="1905" b="10160"/>
                  <wp:wrapNone/>
                  <wp:docPr id="59" name="ID_55FEFDBC91DD41E8A5D9A194444B56CC"/>
                  <wp:cNvGraphicFramePr/>
                  <a:graphic xmlns:a="http://schemas.openxmlformats.org/drawingml/2006/main">
                    <a:graphicData uri="http://schemas.openxmlformats.org/drawingml/2006/picture">
                      <pic:pic xmlns:pic="http://schemas.openxmlformats.org/drawingml/2006/picture">
                        <pic:nvPicPr>
                          <pic:cNvPr id="59" name="ID_55FEFDBC91DD41E8A5D9A194444B56CC"/>
                          <pic:cNvPicPr/>
                        </pic:nvPicPr>
                        <pic:blipFill>
                          <a:blip r:embed="rId50"/>
                          <a:stretch>
                            <a:fillRect/>
                          </a:stretch>
                        </pic:blipFill>
                        <pic:spPr>
                          <a:xfrm>
                            <a:off x="0" y="0"/>
                            <a:ext cx="470535" cy="645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869" w:type="dxa"/>
            <w:gridSpan w:val="3"/>
            <w:tcBorders>
              <w:top w:val="single" w:color="000000" w:sz="4" w:space="0"/>
              <w:left w:val="single" w:color="000000" w:sz="4" w:space="0"/>
              <w:bottom w:val="single" w:color="000000" w:sz="4" w:space="0"/>
              <w:right w:val="single" w:color="000000" w:sz="4" w:space="0"/>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二、学生实验操作及学习区</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c>
          <w:tcPr>
            <w:tcW w:w="2808"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生物学生实验桌</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
              </w:numPr>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新型塑铝结构</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2.台面：采用无甲醛新型环保陶瓷台面，台面厚度为20mm。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3.结构：新型塑铝结构，整体1200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*600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*780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侧脚采用三段式高强度铝合金结构，整体规格580*750，立柱采用倾斜式设计，内嵌入上下铸铝件40mm，后端配备加固支撑梁，厚度为80MM.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铸铝件技术要求满足：GB/T 10125-2012 人造气氛腐蚀试验 盐雾试验；GB/T 6461-2002  金属基体上金属和其他无机覆盖层 经腐蚀试验后的试样和试件的评级：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1、盐雾试验：72h中性盐雾试验 检测结果：10级。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5.背部档水板、前横梁、中间横梁全部采用高强度挤出铝合金型材，各部分连接设置专用定位件，并用高强度内六角螺丝连接，便于组装及拆卸。</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铝合金型材技术要求满足：GB/T 10125-2012 人造气氛腐蚀试验 盐雾试验；GB/T 6461-2002  金属基体上金属和其他无机覆盖层 经腐蚀试验后的试样和试件的评级：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1、盐雾试验：72h中性盐雾试验 检测结果：10级。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6.桌侧脚：桌侧脚设置专用孔位与地面固定，并配有跟台面同色ABS脚套装饰盖。</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生物学生实验桌技术要求满足：GB 24820-2009 实验室家具通用技术条件：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1、操作台力学性能：水平静载荷试验：技术要求：力600N，10次；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垂直静载荷试验：主桌面：力2000N，10次；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持续垂直静载荷：载荷1.25kg/dm²，24h；</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独立操作台水平冲击稳定性：质量50kg，跌落高度40mm；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独立操作台垂直加载稳定性：力1000N；</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活动操作台跌落：跌落高度：150mm，10次；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垂直冲击试验：跌落高度：300mm，10次。</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52</w:t>
            </w:r>
          </w:p>
        </w:tc>
        <w:tc>
          <w:tcPr>
            <w:tcW w:w="2808" w:type="dxa"/>
            <w:tcBorders>
              <w:top w:val="single" w:color="000000" w:sz="4" w:space="0"/>
              <w:left w:val="single" w:color="000000" w:sz="4" w:space="0"/>
              <w:bottom w:val="nil"/>
              <w:right w:val="single" w:color="000000" w:sz="4" w:space="0"/>
            </w:tcBorders>
            <w:shd w:val="clear" w:color="auto" w:fill="auto"/>
            <w:vAlign w:val="bottom"/>
          </w:tcPr>
          <w:p>
            <w:pPr>
              <w:keepNext w:val="0"/>
              <w:keepLines w:val="0"/>
              <w:widowControl/>
              <w:suppressLineNumbers w:val="0"/>
              <w:jc w:val="left"/>
              <w:textAlignment w:val="bottom"/>
              <w:rPr>
                <w:rFonts w:hint="default" w:ascii="Tahoma" w:hAnsi="Tahoma" w:eastAsia="Tahoma" w:cs="Tahoma"/>
                <w:i w:val="0"/>
                <w:iCs w:val="0"/>
                <w:color w:val="000000" w:themeColor="text1"/>
                <w:sz w:val="22"/>
                <w:szCs w:val="22"/>
                <w:highlight w:val="none"/>
                <w:u w:val="none"/>
                <w14:textFill>
                  <w14:solidFill>
                    <w14:schemeClr w14:val="tx1"/>
                  </w14:solidFill>
                </w14:textFill>
              </w:rPr>
            </w:pPr>
            <w:r>
              <w:rPr>
                <w:rFonts w:hint="default" w:ascii="Tahoma" w:hAnsi="Tahoma" w:eastAsia="Tahoma" w:cs="Tahoma"/>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142875</wp:posOffset>
                  </wp:positionV>
                  <wp:extent cx="1673860" cy="1260475"/>
                  <wp:effectExtent l="0" t="0" r="2540" b="4445"/>
                  <wp:wrapNone/>
                  <wp:docPr id="60" name="ID_27F0A7DE283340649D17CEAD5143EB13"/>
                  <wp:cNvGraphicFramePr/>
                  <a:graphic xmlns:a="http://schemas.openxmlformats.org/drawingml/2006/main">
                    <a:graphicData uri="http://schemas.openxmlformats.org/drawingml/2006/picture">
                      <pic:pic xmlns:pic="http://schemas.openxmlformats.org/drawingml/2006/picture">
                        <pic:nvPicPr>
                          <pic:cNvPr id="60" name="ID_27F0A7DE283340649D17CEAD5143EB13"/>
                          <pic:cNvPicPr/>
                        </pic:nvPicPr>
                        <pic:blipFill>
                          <a:blip r:embed="rId51"/>
                          <a:stretch>
                            <a:fillRect/>
                          </a:stretch>
                        </pic:blipFill>
                        <pic:spPr>
                          <a:xfrm>
                            <a:off x="0" y="0"/>
                            <a:ext cx="1673860" cy="12604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8"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全新钢塑水槽柜（参照化学创新实验室）</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组合式水槽柜</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1、尺寸：</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438</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*600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*855</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2、结构：三段组合式结构，分为水槽、柜体、地脚三部分；整体造型美观</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3、水槽：采用具有抗弯曲、抗拉伸、抗压强度；不导电、抗老化、耐高温、耐腐蚀、性能稳定、具备良好的阻燃性GFRP纤维增强塑料，内外双层设计。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4、柜体：采用1.0mm优质高强度镀锌钢板制作，经切割、圆角折弯、焊接、打磨成型，表面经环氧树脂喷涂处理，耐酸碱；柜门圆弧设计。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5、地脚：采用PP材质，磨具一次成型，耐酸碱。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纤维增强塑料技术要求满足：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GB/T 2408-2008 《塑料燃烧性能的测定水平法和垂直法》，检验结论：垂直燃烧性能符合GB/T2408-2008规定的V-0级要求；</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塑料垂直燃烧性能：</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1、余焰和（或）余辉未蔓延至夹具，标准值：余焰和（或）余辉未蔓延至夹具；</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2、第二次施加火焰后单个试样的余焰加上余辉时间，标准值：s≤30，检测结果：s≤3；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3、任一状态调节的一组试样总的余焰时间，标准值：s≤50，检测结果：s≤5；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4、单个试样余焰时间，标准值：s≤10，检测结果：s≤1。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高强度镀锌钢板技术要求满足：GB/T 10125-2012 人造气氛腐蚀试验 盐雾试验；GB/T 6461-2002  金属基体上金属和其他无机覆盖层 经腐蚀试验后的试样和试件的评级：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1、盐雾试验：72h中性盐雾试验 检测结果：10级。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全新钢塑水槽柜技术要求满足：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外观要求：外表面光洁，色泽清晰，人体触及部位应无毛刺，快口，棱边等缺陷；金属件均应进行电镀，喷涂等防腐处理；金属件成型完整，无裂纹，凹坑、皱折等缺陷；塑料件色泽一致，无缺角、回料斑、缩痕、溢料、变形等缺陷；</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2、焊接要求：焊点美观，焊接可靠，平整，无穿孔等不良现象；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3、平整性，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：底座与上台面定位应可靠，平整，连接件无松动，歪斜等装配缺陷；底平面和台面的高低差应≤4mm；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4、封闭门盖要求：安装，拆卸便利，各卡口定位有效可靠，安装后应平服，不应有自行脱落和翘曲现象。</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561340</wp:posOffset>
                  </wp:positionH>
                  <wp:positionV relativeFrom="paragraph">
                    <wp:posOffset>102870</wp:posOffset>
                  </wp:positionV>
                  <wp:extent cx="734695" cy="1310640"/>
                  <wp:effectExtent l="0" t="0" r="0" b="0"/>
                  <wp:wrapNone/>
                  <wp:docPr id="53" name="ID_B4443E70021043B9BAF3137C9BED3E8D"/>
                  <wp:cNvGraphicFramePr/>
                  <a:graphic xmlns:a="http://schemas.openxmlformats.org/drawingml/2006/main">
                    <a:graphicData uri="http://schemas.openxmlformats.org/drawingml/2006/picture">
                      <pic:pic xmlns:pic="http://schemas.openxmlformats.org/drawingml/2006/picture">
                        <pic:nvPicPr>
                          <pic:cNvPr id="53" name="ID_B4443E70021043B9BAF3137C9BED3E8D"/>
                          <pic:cNvPicPr/>
                        </pic:nvPicPr>
                        <pic:blipFill>
                          <a:blip r:embed="rId52"/>
                          <a:stretch>
                            <a:fillRect/>
                          </a:stretch>
                        </pic:blipFill>
                        <pic:spPr>
                          <a:xfrm>
                            <a:off x="0" y="0"/>
                            <a:ext cx="734695" cy="13106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双联折叠龙头（参照化学创新实验室）</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联定制型鹅颈式实验室专用水嘴；鹅颈出水管采用直径25mm铜质加厚铜管弯制成型，铜质出水水咀采用螺纹式安装，可方便拆卸；开关手柄采用PP旋转式手柄，两个出水鹅颈可以向前折叠，不用时可以掩藏在水槽柜内。上水接口自带成型螺纹，可方便连接上水软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双联折叠龙头技术要求满足：GB 18145-2014 陶瓷片密封水嘴：</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1、螺纹：螺纹表面应光洁，不得有凹痕、断牙等明显缺陷；产品外接非密封管螺纹应符合GB/T7307的要求，其中外螺纹应不低于GB/T 7307的B级精度；</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抗水压机械性能：阀芯上游：关闭阀芯，出水口打开，在静压（2.5±0.05）Mpa下保压（60±5）s，阀芯上游的任何零部件无永久性变形；出水口不带流量调节器的水嘴阀芯下游：打开阀芯，出水口打开，水嘴流量为（0.4±0.04）L/S时的压力下保压（60±5）s，阀芯下游的任何零部件无永久性变形；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密封性能：阀芯及阀芯上游：阀芯关闭，出水口打开，在静压（1.6±0.05）Mpa下保压（60±5）s，阀芯及上游过水通道无渗漏；阀芯下游：出水口能够被堵住的水嘴阀芯下游：阀芯打开，堵住出水口，在静压（0.4±0.02）Mpa下保压（60±5）s，减压至（0.05±0.01）Mpa保压（60±5）s，阀芯下游任何密封部位无渗漏。</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4"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多功能柱</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整体采用实验室专用PP材质，四脚圆弧处理，地脚线缩进30mm，前后二块拼接而成，可拆装，内部隐藏实验线管及通风管道，方便检修。</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多功能柱技术要求满足：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1、外观：表面光洁，形状规正，不应有毛刺、快口等现象；组件结合接缝平服，间隙应基本一致，无明显高低差和缝隙不一的现象；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2、涂层要求，μm：主体的内外面均应做涂层处理，涂层色泽均匀一致，无气泡、流挂、露底等缺陷，外表面任意五点的平均厚度≥80μm；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3、切边口：光滑，无裂边、锐边、皱折等现象；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4、焊接：焊接牢固，焊点圆正，无虚焊、尖角、穿孔等现象；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5、装配：自攻螺钉装配应到位，内侧螺纹应露出2圈以上；成型后应无歪斜，单边等装配缺陷。</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2808" w:type="dxa"/>
            <w:tcBorders>
              <w:top w:val="nil"/>
              <w:left w:val="single" w:color="000000" w:sz="4" w:space="0"/>
              <w:bottom w:val="single" w:color="000000" w:sz="4" w:space="0"/>
              <w:right w:val="single" w:color="000000" w:sz="4" w:space="0"/>
            </w:tcBorders>
            <w:shd w:val="clear" w:color="auto" w:fill="auto"/>
            <w:vAlign w:val="bottom"/>
          </w:tcPr>
          <w:p>
            <w:pPr>
              <w:jc w:val="center"/>
              <w:rPr>
                <w:rFonts w:hint="default" w:ascii="Tahoma" w:hAnsi="Tahoma" w:eastAsia="Tahoma" w:cs="Tahoma"/>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安全光源</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不锈钢LED灯，支架采用不锈钢材质，灯管角度可以自由调节，灯管采用LED灯，光照亮度温和，使用寿命长。</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只</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558800</wp:posOffset>
                  </wp:positionH>
                  <wp:positionV relativeFrom="paragraph">
                    <wp:posOffset>77470</wp:posOffset>
                  </wp:positionV>
                  <wp:extent cx="929640" cy="692785"/>
                  <wp:effectExtent l="0" t="0" r="0" b="8255"/>
                  <wp:wrapNone/>
                  <wp:docPr id="51" name="ID_3B3B37D0C03448948AA9C9173D8AB38D"/>
                  <wp:cNvGraphicFramePr/>
                  <a:graphic xmlns:a="http://schemas.openxmlformats.org/drawingml/2006/main">
                    <a:graphicData uri="http://schemas.openxmlformats.org/drawingml/2006/picture">
                      <pic:pic xmlns:pic="http://schemas.openxmlformats.org/drawingml/2006/picture">
                        <pic:nvPicPr>
                          <pic:cNvPr id="51" name="ID_3B3B37D0C03448948AA9C9173D8AB38D"/>
                          <pic:cNvPicPr/>
                        </pic:nvPicPr>
                        <pic:blipFill>
                          <a:blip r:embed="rId53"/>
                          <a:stretch>
                            <a:fillRect/>
                          </a:stretch>
                        </pic:blipFill>
                        <pic:spPr>
                          <a:xfrm>
                            <a:off x="0" y="0"/>
                            <a:ext cx="929640" cy="692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学生安全电源</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1．工作环境：温度-10ºC~+40ºC  相对湿度&lt;85％（25ºC）海拔&lt;4000M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  市电AC220V/ 3A输出为2个新国标五孔插座。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3.学生电源采用耐磨、耐腐蚀、耐高温（≤140℃）的PC亮光薄膜面板，学生电源的控制采用“电容式”触摸键盘，贴片元件生产技术，微电脑控制，采用1.54寸液晶显示电源学生交直流电压</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  直流稳压电源：液晶显示，触摸按键调节，1.5-24V/2A，电压调节分辨率为0.1V。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  交流低压电源：液晶显示，触摸按键调节，1-24V/2A，电压调节分辨率为1V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6.学生低压电源都可接收老师发送的锁定信号，教师主控在锁定指示灯点亮后，学生只能接收老师输送的设定电源电压，学生自己无法操作，这样可避免学生的误操作。</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146050</wp:posOffset>
                  </wp:positionH>
                  <wp:positionV relativeFrom="paragraph">
                    <wp:posOffset>93980</wp:posOffset>
                  </wp:positionV>
                  <wp:extent cx="1473200" cy="850265"/>
                  <wp:effectExtent l="0" t="0" r="5080" b="3175"/>
                  <wp:wrapNone/>
                  <wp:docPr id="49" name="ID_F743747F085A40E5826BCA7F7456A23E"/>
                  <wp:cNvGraphicFramePr/>
                  <a:graphic xmlns:a="http://schemas.openxmlformats.org/drawingml/2006/main">
                    <a:graphicData uri="http://schemas.openxmlformats.org/drawingml/2006/picture">
                      <pic:pic xmlns:pic="http://schemas.openxmlformats.org/drawingml/2006/picture">
                        <pic:nvPicPr>
                          <pic:cNvPr id="49" name="ID_F743747F085A40E5826BCA7F7456A23E"/>
                          <pic:cNvPicPr/>
                        </pic:nvPicPr>
                        <pic:blipFill>
                          <a:blip r:embed="rId54"/>
                          <a:stretch>
                            <a:fillRect/>
                          </a:stretch>
                        </pic:blipFill>
                        <pic:spPr>
                          <a:xfrm>
                            <a:off x="0" y="0"/>
                            <a:ext cx="1473200" cy="8502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实验凳（参照化学创新实验室）</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1、凳脚材质：4个凳脚采用17×34×1.7mm 无缝钢管模具一次成型。全圆满焊接完成，结构牢固，经高温粉体烤漆处理，长时间使用也不会产生表面烤漆剥落现象 螺旋升降式，升降距离为50mm，最高离地距离为500mm。Ф凳面直径315×高450-500mm，2、聚丙烯凳面材质：采用聚丙烯共聚级注塑。表面细纹咬花，防滑不发光，凳面底部镶嵌4枚铜质螺纹，采用不锈钢螺丝与圆型托盘固定。3、脚垫材质：采用PP加耐磨纤维增强塑料，实心倒勾式一体射出成型 凳面与凳脚留有一定的空间便于凳子挂在挂凳扣上。方便教室的打扫。</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钢管技术要求满足：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1、维氏硬度，HV1，检测结果＞300。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聚丙烯凳面技术要求满足：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GB/T 2408-2008 《塑料燃烧性能的测定水平法和垂直法》，检验结论：垂直燃烧性能符合GB/T2408-2008规定的V-0级要求；</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塑料垂直燃烧性能：</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1、余焰和（或）余辉未蔓延至夹具，标准值：余焰和（或）余辉未蔓延至夹具；</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2、第二次施加火焰后单个试样的余焰加上余辉时间，标准值：s≤30，检测结果：s≤3；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3、任一状态调节的一组试样总的余焰时间，标准值：s≤50，检测结果：s≤5；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4、单个试样余焰时间，标准值：s≤10，检测结果：s≤1。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纤维增强塑料技术要求满足：</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GB/T 2408-2008 《塑料燃烧性能的测定水平法和垂直法》，检验结论：垂直燃烧性能符合GB/T2408-2008规定的V-0级要求；</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塑料垂直燃烧性能：</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1、余焰和（或）余辉未蔓延至夹具，标准值：余焰和（或）余辉未蔓延至夹具；</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2、第二次施加火焰后单个试样的余焰加上余辉时间，标准值：s≤30，检测结果：s≤3；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3、任一状态调节的一组试样总的余焰时间，标准值：s≤50，检测结果：s≤5；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4、单个试样余焰时间，标准值：s≤10，检测结果：s≤1。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实验凳技术要求满足：GB/T 3325-2017 金属家具通用技术条件：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1、椅凳类稳定性：凳子任意方向倾翻；检测结果：无倾翻；</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2、椅凳类强度和耐久性：座面和椅背载荷试验：单人位：座面加载力：1300N，椅背加载力：450N，加载次数：10次，加载时间：≥10S；</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椅腿前向静载试验：加载力：500N，加载次数：10次，加载时间:≥10S，座面平衡载荷：1000N；</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座面冲击试验：冲击高度：180mm；冲击次数：10次；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椅背冲击试验：冲击高度：210mm；冲击角度：38°；冲击次数：10次；</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椅凳类强度和耐久性：跌落试验：跌落高度：200mm；跌落次数：10次；腿或基座大于200mm非叠放椅。</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104</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701040</wp:posOffset>
                  </wp:positionH>
                  <wp:positionV relativeFrom="paragraph">
                    <wp:posOffset>243840</wp:posOffset>
                  </wp:positionV>
                  <wp:extent cx="588645" cy="779145"/>
                  <wp:effectExtent l="0" t="0" r="0" b="13335"/>
                  <wp:wrapNone/>
                  <wp:docPr id="50" name="ID_E84F3083E8884C629BA6D22A11A342F4"/>
                  <wp:cNvGraphicFramePr/>
                  <a:graphic xmlns:a="http://schemas.openxmlformats.org/drawingml/2006/main">
                    <a:graphicData uri="http://schemas.openxmlformats.org/drawingml/2006/picture">
                      <pic:pic xmlns:pic="http://schemas.openxmlformats.org/drawingml/2006/picture">
                        <pic:nvPicPr>
                          <pic:cNvPr id="50" name="ID_E84F3083E8884C629BA6D22A11A342F4"/>
                          <pic:cNvPicPr/>
                        </pic:nvPicPr>
                        <pic:blipFill>
                          <a:blip r:embed="rId55"/>
                          <a:stretch>
                            <a:fillRect/>
                          </a:stretch>
                        </pic:blipFill>
                        <pic:spPr>
                          <a:xfrm>
                            <a:off x="0" y="0"/>
                            <a:ext cx="588645" cy="779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电气布线（地面以上部分）</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DN25阻燃线管；2.5平方国标线材，符合国家标准。</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给、排水系统（地面以上部分）</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给水：采用PPR复合管敷设。排水：使用国标优质UPVC专用排水管。</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9869" w:type="dxa"/>
            <w:gridSpan w:val="3"/>
            <w:tcBorders>
              <w:top w:val="single" w:color="000000" w:sz="4" w:space="0"/>
              <w:left w:val="single" w:color="000000" w:sz="4" w:space="0"/>
              <w:bottom w:val="single" w:color="000000" w:sz="4" w:space="0"/>
              <w:right w:val="nil"/>
            </w:tcBorders>
            <w:shd w:val="clear" w:color="auto" w:fill="E4DFEC"/>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三、照明护眼灯</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LED黑板灯</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1、黑板灯为一体式LED防眩灯具。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2、为了防止眩光和避免产生用眼不适，黑板灯需为经过科学匀光处理、视感舒适的照明灯具。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3、黑板灯驱动电源需为隔离型恒流驱动，电源有外壳并可靠固定。</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4、黑板灯须通过CCC认证。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5、黑板灯功率＜50W。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6、黑板灯光效（或灯具效能）≥80 lm/W。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7、黑板灯色温（或相关色温）4300K-5300K。</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8、黑板灯显色指数Ra＞95、R9＞90。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9、黑板灯色容差（色品容差）≤5 SDCM。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10、黑板灯应满足30000小时或以上时间的光通维持率≥93%，以保证产品质量和灯具使用寿命。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11、黑板灯至少依据但不限于《GB 7793》《GB 50034》《GB/T 5700》《T/JYBZ 005》及《GB 7000.1》等教室照明质量参考标准要求通过教室照明设备认证。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12、黑板灯蓝光危害等级为RG0（或0类危险）。</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13、黑板灯频闪无危害或无显著影响或无频闪危害。</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14、黑板灯至少依据但不限于《GB7793》、《GB50034》、《GB/T5700》、《T/JYBZ005》及《GB7000.1》标准满足发光面法线方向、长边γ1=60°及短边γ2=60°角度内亮度测试结果均为“P”或合格。</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盏</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245745</wp:posOffset>
                  </wp:positionH>
                  <wp:positionV relativeFrom="paragraph">
                    <wp:posOffset>93980</wp:posOffset>
                  </wp:positionV>
                  <wp:extent cx="1221105" cy="582295"/>
                  <wp:effectExtent l="0" t="0" r="13335" b="12065"/>
                  <wp:wrapNone/>
                  <wp:docPr id="54" name="Picture_1"/>
                  <wp:cNvGraphicFramePr/>
                  <a:graphic xmlns:a="http://schemas.openxmlformats.org/drawingml/2006/main">
                    <a:graphicData uri="http://schemas.openxmlformats.org/drawingml/2006/picture">
                      <pic:pic xmlns:pic="http://schemas.openxmlformats.org/drawingml/2006/picture">
                        <pic:nvPicPr>
                          <pic:cNvPr id="54" name="Picture_1"/>
                          <pic:cNvPicPr/>
                        </pic:nvPicPr>
                        <pic:blipFill>
                          <a:blip r:embed="rId56"/>
                          <a:stretch>
                            <a:fillRect/>
                          </a:stretch>
                        </pic:blipFill>
                        <pic:spPr>
                          <a:xfrm>
                            <a:off x="0" y="0"/>
                            <a:ext cx="1221105" cy="582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LED教室灯</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1、教室灯为一体式LED防眩灯具，长度≥1000mm。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2、为了防止眩光和避免产生用眼不适，教室灯需为经过科学匀光处理、视感舒适的照明灯具。</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3、教室灯驱动电源需为隔离型恒流驱动，电源有外壳并可靠固定。</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4、教室灯须通过CCC认证。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5、教室灯功率＜50W。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6、教室灯光效（或灯具效能）≥80 lm/W。</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7、教室灯色温（或相关色温）4300K-5300K。</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8、教室灯显色指数Ra＞95、R9＞90。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9、教室灯色容差（色品容差）≤5 SDCM。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10、教室灯应满足30000小时或以上时间的光通维持率≥93%，以保证产品质量和灯具使用寿命。</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11、教室灯至少依据但不限于《GB 7793》《GB 50034》《GB/T 5700》《T/JYBZ 005》及《GB 7000.1》等教室照明质量参考标准要求通过教室照明设备认证。</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12、教室灯蓝光危害等级为RG0（或0类危险）。</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13、教室灯频闪无危害或无显著影响或无频闪危害。</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14、教室灯至少依据但不限于《GB7793》、《GB50034》、《GB/T5700》。</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14、教室灯至少依据但不限于《GB7793》、《GB50034》、《GB/T5700》、《T/JYBZ005》及《GB7000.1》标准满足发光面法线方向、长边γ1=60°及短边γ2=60°角度内亮度测试结果均为“P”或合格。</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盏</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180</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132080</wp:posOffset>
                  </wp:positionV>
                  <wp:extent cx="1237615" cy="477520"/>
                  <wp:effectExtent l="0" t="0" r="12065" b="10160"/>
                  <wp:wrapNone/>
                  <wp:docPr id="52" name="图片_13"/>
                  <wp:cNvGraphicFramePr/>
                  <a:graphic xmlns:a="http://schemas.openxmlformats.org/drawingml/2006/main">
                    <a:graphicData uri="http://schemas.openxmlformats.org/drawingml/2006/picture">
                      <pic:pic xmlns:pic="http://schemas.openxmlformats.org/drawingml/2006/picture">
                        <pic:nvPicPr>
                          <pic:cNvPr id="52" name="图片_13"/>
                          <pic:cNvPicPr/>
                        </pic:nvPicPr>
                        <pic:blipFill>
                          <a:blip r:embed="rId57"/>
                          <a:stretch>
                            <a:fillRect/>
                          </a:stretch>
                        </pic:blipFill>
                        <pic:spPr>
                          <a:xfrm>
                            <a:off x="0" y="0"/>
                            <a:ext cx="1237615" cy="477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地面处理</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地面修复处理、铺设医用PVC地板胶 厚度：2.0mm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平米</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180</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100965</wp:posOffset>
                  </wp:positionH>
                  <wp:positionV relativeFrom="paragraph">
                    <wp:posOffset>95250</wp:posOffset>
                  </wp:positionV>
                  <wp:extent cx="1356995" cy="797560"/>
                  <wp:effectExtent l="0" t="0" r="14605" b="10160"/>
                  <wp:wrapNone/>
                  <wp:docPr id="47" name="图片_14"/>
                  <wp:cNvGraphicFramePr/>
                  <a:graphic xmlns:a="http://schemas.openxmlformats.org/drawingml/2006/main">
                    <a:graphicData uri="http://schemas.openxmlformats.org/drawingml/2006/picture">
                      <pic:pic xmlns:pic="http://schemas.openxmlformats.org/drawingml/2006/picture">
                        <pic:nvPicPr>
                          <pic:cNvPr id="47" name="图片_14"/>
                          <pic:cNvPicPr/>
                        </pic:nvPicPr>
                        <pic:blipFill>
                          <a:blip r:embed="rId40"/>
                          <a:stretch>
                            <a:fillRect/>
                          </a:stretch>
                        </pic:blipFill>
                        <pic:spPr>
                          <a:xfrm>
                            <a:off x="0" y="0"/>
                            <a:ext cx="1356995" cy="7975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w:t>
            </w:r>
          </w:p>
        </w:tc>
        <w:tc>
          <w:tcPr>
            <w:tcW w:w="131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吊顶天花</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铝扣板</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平米</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180</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122555</wp:posOffset>
                  </wp:positionH>
                  <wp:positionV relativeFrom="paragraph">
                    <wp:posOffset>28575</wp:posOffset>
                  </wp:positionV>
                  <wp:extent cx="1391920" cy="578485"/>
                  <wp:effectExtent l="0" t="0" r="10160" b="635"/>
                  <wp:wrapNone/>
                  <wp:docPr id="48" name="图片_15"/>
                  <wp:cNvGraphicFramePr/>
                  <a:graphic xmlns:a="http://schemas.openxmlformats.org/drawingml/2006/main">
                    <a:graphicData uri="http://schemas.openxmlformats.org/drawingml/2006/picture">
                      <pic:pic xmlns:pic="http://schemas.openxmlformats.org/drawingml/2006/picture">
                        <pic:nvPicPr>
                          <pic:cNvPr id="48" name="图片_15"/>
                          <pic:cNvPicPr/>
                        </pic:nvPicPr>
                        <pic:blipFill>
                          <a:blip r:embed="rId20"/>
                          <a:stretch>
                            <a:fillRect/>
                          </a:stretch>
                        </pic:blipFill>
                        <pic:spPr>
                          <a:xfrm>
                            <a:off x="0" y="0"/>
                            <a:ext cx="1391920" cy="578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实验室文化装饰</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生物</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实验室文化装饰</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，包含生物实验室挂图、制度、生物学家名人名言等</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间</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拆除/安装/辅材</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Style w:val="87"/>
                <w:color w:val="000000" w:themeColor="text1"/>
                <w:highlight w:val="none"/>
                <w:lang w:val="en-US" w:eastAsia="zh-CN" w:bidi="ar"/>
                <w14:textFill>
                  <w14:solidFill>
                    <w14:schemeClr w14:val="tx1"/>
                  </w14:solidFill>
                </w14:textFill>
              </w:rPr>
              <w:t>拆除旧实验室设备</w:t>
            </w:r>
            <w:r>
              <w:rPr>
                <w:rStyle w:val="87"/>
                <w:rFonts w:hint="eastAsia"/>
                <w:color w:val="000000" w:themeColor="text1"/>
                <w:highlight w:val="none"/>
                <w:lang w:val="en-US" w:eastAsia="zh-CN" w:bidi="ar"/>
                <w14:textFill>
                  <w14:solidFill>
                    <w14:schemeClr w14:val="tx1"/>
                  </w14:solidFill>
                </w14:textFill>
              </w:rPr>
              <w:t>56座课桌椅</w:t>
            </w:r>
            <w:r>
              <w:rPr>
                <w:rStyle w:val="87"/>
                <w:color w:val="000000" w:themeColor="text1"/>
                <w:highlight w:val="none"/>
                <w:lang w:val="en-US" w:eastAsia="zh-CN" w:bidi="ar"/>
                <w14:textFill>
                  <w14:solidFill>
                    <w14:schemeClr w14:val="tx1"/>
                  </w14:solidFill>
                </w14:textFill>
              </w:rPr>
              <w:t>，重新电源布线，主线</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w:t>
            </w:r>
            <w:r>
              <w:rPr>
                <w:rStyle w:val="87"/>
                <w:color w:val="000000" w:themeColor="text1"/>
                <w:highlight w:val="none"/>
                <w:lang w:val="en-US" w:eastAsia="zh-CN" w:bidi="ar"/>
                <w14:textFill>
                  <w14:solidFill>
                    <w14:schemeClr w14:val="tx1"/>
                  </w14:solidFill>
                </w14:textFill>
              </w:rPr>
              <w:t xml:space="preserve">电源线 </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（国标电源线）。</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间</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1310" w:type="dxa"/>
            <w:tcBorders>
              <w:top w:val="single" w:color="000000" w:sz="4" w:space="0"/>
              <w:left w:val="single" w:color="000000" w:sz="4" w:space="0"/>
              <w:bottom w:val="single" w:color="000000" w:sz="4" w:space="0"/>
              <w:right w:val="single" w:color="000000" w:sz="4" w:space="0"/>
            </w:tcBorders>
            <w:shd w:val="clear" w:color="auto" w:fill="C5D9F1"/>
            <w:vAlign w:val="center"/>
          </w:tcPr>
          <w:p>
            <w:pPr>
              <w:jc w:val="left"/>
              <w:rPr>
                <w:rFonts w:hint="default" w:ascii="Tahoma" w:hAnsi="Tahoma" w:eastAsia="Tahoma" w:cs="Tahoma"/>
                <w:i w:val="0"/>
                <w:iCs w:val="0"/>
                <w:color w:val="000000" w:themeColor="text1"/>
                <w:sz w:val="22"/>
                <w:szCs w:val="22"/>
                <w:highlight w:val="none"/>
                <w:u w:val="none"/>
                <w14:textFill>
                  <w14:solidFill>
                    <w14:schemeClr w14:val="tx1"/>
                  </w14:solidFill>
                </w14:textFill>
              </w:rPr>
            </w:pPr>
          </w:p>
        </w:tc>
        <w:tc>
          <w:tcPr>
            <w:tcW w:w="7965" w:type="dxa"/>
            <w:tcBorders>
              <w:top w:val="single" w:color="000000" w:sz="4" w:space="0"/>
              <w:left w:val="single" w:color="000000" w:sz="4" w:space="0"/>
              <w:bottom w:val="single" w:color="000000" w:sz="4" w:space="0"/>
              <w:right w:val="single" w:color="000000" w:sz="4" w:space="0"/>
            </w:tcBorders>
            <w:shd w:val="clear" w:color="auto" w:fill="C5D9F1"/>
            <w:vAlign w:val="bottom"/>
          </w:tcPr>
          <w:p>
            <w:pPr>
              <w:keepNext w:val="0"/>
              <w:keepLines w:val="0"/>
              <w:widowControl/>
              <w:suppressLineNumbers w:val="0"/>
              <w:jc w:val="left"/>
              <w:textAlignment w:val="bottom"/>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合计</w:t>
            </w:r>
          </w:p>
        </w:tc>
        <w:tc>
          <w:tcPr>
            <w:tcW w:w="581" w:type="dxa"/>
            <w:tcBorders>
              <w:top w:val="single" w:color="000000" w:sz="4" w:space="0"/>
              <w:left w:val="single" w:color="000000" w:sz="4" w:space="0"/>
              <w:bottom w:val="single" w:color="000000" w:sz="4" w:space="0"/>
              <w:right w:val="single" w:color="000000" w:sz="4" w:space="0"/>
            </w:tcBorders>
            <w:shd w:val="clear" w:color="auto" w:fill="C5D9F1"/>
            <w:vAlign w:val="bottom"/>
          </w:tcPr>
          <w:p>
            <w:pPr>
              <w:rPr>
                <w:rFonts w:hint="default" w:ascii="Tahoma" w:hAnsi="Tahoma" w:eastAsia="Tahoma" w:cs="Tahoma"/>
                <w:i w:val="0"/>
                <w:iCs w:val="0"/>
                <w:color w:val="000000" w:themeColor="text1"/>
                <w:sz w:val="22"/>
                <w:szCs w:val="22"/>
                <w:highlight w:val="none"/>
                <w:u w:val="none"/>
                <w14:textFill>
                  <w14:solidFill>
                    <w14:schemeClr w14:val="tx1"/>
                  </w14:solidFill>
                </w14:textFill>
              </w:rPr>
            </w:pPr>
          </w:p>
        </w:tc>
        <w:tc>
          <w:tcPr>
            <w:tcW w:w="581" w:type="dxa"/>
            <w:tcBorders>
              <w:top w:val="single" w:color="000000" w:sz="4" w:space="0"/>
              <w:left w:val="single" w:color="000000" w:sz="4" w:space="0"/>
              <w:bottom w:val="single" w:color="000000" w:sz="4" w:space="0"/>
              <w:right w:val="single" w:color="000000" w:sz="4" w:space="0"/>
            </w:tcBorders>
            <w:shd w:val="clear" w:color="auto" w:fill="C5D9F1"/>
            <w:vAlign w:val="bottom"/>
          </w:tcPr>
          <w:p>
            <w:pPr>
              <w:rPr>
                <w:rFonts w:hint="default" w:ascii="Tahoma" w:hAnsi="Tahoma" w:eastAsia="Tahoma" w:cs="Tahoma"/>
                <w:i w:val="0"/>
                <w:iCs w:val="0"/>
                <w:color w:val="000000" w:themeColor="text1"/>
                <w:sz w:val="22"/>
                <w:szCs w:val="22"/>
                <w:highlight w:val="none"/>
                <w:u w:val="none"/>
                <w14:textFill>
                  <w14:solidFill>
                    <w14:schemeClr w14:val="tx1"/>
                  </w14:solidFill>
                </w14:textFill>
              </w:rPr>
            </w:pPr>
          </w:p>
        </w:tc>
        <w:tc>
          <w:tcPr>
            <w:tcW w:w="2808" w:type="dxa"/>
            <w:tcBorders>
              <w:top w:val="single" w:color="000000" w:sz="4" w:space="0"/>
              <w:left w:val="single" w:color="000000" w:sz="4" w:space="0"/>
              <w:bottom w:val="single" w:color="000000" w:sz="4" w:space="0"/>
              <w:right w:val="single" w:color="000000" w:sz="4" w:space="0"/>
            </w:tcBorders>
            <w:shd w:val="clear" w:color="auto" w:fill="C5D9F1"/>
            <w:vAlign w:val="bottom"/>
          </w:tcPr>
          <w:p>
            <w:pPr>
              <w:rPr>
                <w:rFonts w:hint="default" w:ascii="Tahoma" w:hAnsi="Tahoma" w:eastAsia="Tahoma" w:cs="Tahoma"/>
                <w:i w:val="0"/>
                <w:iCs w:val="0"/>
                <w:color w:val="000000" w:themeColor="text1"/>
                <w:sz w:val="22"/>
                <w:szCs w:val="22"/>
                <w:highlight w:val="none"/>
                <w:u w:val="none"/>
                <w14:textFill>
                  <w14:solidFill>
                    <w14:schemeClr w14:val="tx1"/>
                  </w14:solidFill>
                </w14:textFill>
              </w:rPr>
            </w:pPr>
          </w:p>
        </w:tc>
      </w:tr>
    </w:tbl>
    <w:p>
      <w:pPr>
        <w:rPr>
          <w:rFonts w:hint="eastAsia"/>
          <w:color w:val="000000" w:themeColor="text1"/>
          <w:highlight w:val="none"/>
          <w:lang w:val="en-US" w:eastAsia="zh-CN"/>
          <w14:textFill>
            <w14:solidFill>
              <w14:schemeClr w14:val="tx1"/>
            </w14:solidFill>
          </w14:textFill>
        </w:rPr>
      </w:pPr>
    </w:p>
    <w:p>
      <w:pPr>
        <w:pStyle w:val="11"/>
        <w:rPr>
          <w:rFonts w:hint="eastAsia"/>
          <w:color w:val="000000" w:themeColor="text1"/>
          <w:highlight w:val="none"/>
          <w:lang w:val="en-US" w:eastAsia="zh-CN"/>
          <w14:textFill>
            <w14:solidFill>
              <w14:schemeClr w14:val="tx1"/>
            </w14:solidFill>
          </w14:textFill>
        </w:rPr>
      </w:pPr>
    </w:p>
    <w:tbl>
      <w:tblPr>
        <w:tblStyle w:val="28"/>
        <w:tblW w:w="140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9"/>
        <w:gridCol w:w="1139"/>
        <w:gridCol w:w="6147"/>
        <w:gridCol w:w="646"/>
        <w:gridCol w:w="1140"/>
        <w:gridCol w:w="37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4000"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六、生物准备室/仪器室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序号</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设备名称</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规格参数</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数量</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179195"/>
                  <wp:effectExtent l="0" t="0" r="0" b="0"/>
                  <wp:wrapNone/>
                  <wp:docPr id="62" name="Picture_2"/>
                  <wp:cNvGraphicFramePr/>
                  <a:graphic xmlns:a="http://schemas.openxmlformats.org/drawingml/2006/main">
                    <a:graphicData uri="http://schemas.openxmlformats.org/drawingml/2006/picture">
                      <pic:pic xmlns:pic="http://schemas.openxmlformats.org/drawingml/2006/picture">
                        <pic:nvPicPr>
                          <pic:cNvPr id="62" name="Picture_2"/>
                          <pic:cNvPicPr/>
                        </pic:nvPicPr>
                        <pic:blipFill>
                          <a:blip r:embed="rId58"/>
                          <a:stretch>
                            <a:fillRect/>
                          </a:stretch>
                        </pic:blipFill>
                        <pic:spPr>
                          <a:xfrm>
                            <a:off x="0" y="0"/>
                            <a:ext cx="0" cy="1179195"/>
                          </a:xfrm>
                          <a:prstGeom prst="rect">
                            <a:avLst/>
                          </a:prstGeom>
                          <a:noFill/>
                          <a:ln>
                            <a:noFill/>
                          </a:ln>
                        </pic:spPr>
                      </pic:pic>
                    </a:graphicData>
                  </a:graphic>
                </wp:anchor>
              </w:drawing>
            </w:r>
            <w: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179195"/>
                  <wp:effectExtent l="0" t="0" r="0" b="0"/>
                  <wp:wrapNone/>
                  <wp:docPr id="61" name="Picture_2_SpCnt_1"/>
                  <wp:cNvGraphicFramePr/>
                  <a:graphic xmlns:a="http://schemas.openxmlformats.org/drawingml/2006/main">
                    <a:graphicData uri="http://schemas.openxmlformats.org/drawingml/2006/picture">
                      <pic:pic xmlns:pic="http://schemas.openxmlformats.org/drawingml/2006/picture">
                        <pic:nvPicPr>
                          <pic:cNvPr id="61" name="Picture_2_SpCnt_1"/>
                          <pic:cNvPicPr/>
                        </pic:nvPicPr>
                        <pic:blipFill>
                          <a:blip r:embed="rId59"/>
                          <a:stretch>
                            <a:fillRect/>
                          </a:stretch>
                        </pic:blipFill>
                        <pic:spPr>
                          <a:xfrm>
                            <a:off x="0" y="0"/>
                            <a:ext cx="0" cy="1179195"/>
                          </a:xfrm>
                          <a:prstGeom prst="rect">
                            <a:avLst/>
                          </a:prstGeom>
                          <a:noFill/>
                          <a:ln>
                            <a:noFill/>
                          </a:ln>
                        </pic:spPr>
                      </pic:pic>
                    </a:graphicData>
                  </a:graphic>
                </wp:anchor>
              </w:drawing>
            </w:r>
            <w: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179195"/>
                  <wp:effectExtent l="0" t="0" r="0" b="0"/>
                  <wp:wrapNone/>
                  <wp:docPr id="66" name="Picture_2_SpCnt_2"/>
                  <wp:cNvGraphicFramePr/>
                  <a:graphic xmlns:a="http://schemas.openxmlformats.org/drawingml/2006/main">
                    <a:graphicData uri="http://schemas.openxmlformats.org/drawingml/2006/picture">
                      <pic:pic xmlns:pic="http://schemas.openxmlformats.org/drawingml/2006/picture">
                        <pic:nvPicPr>
                          <pic:cNvPr id="66" name="Picture_2_SpCnt_2"/>
                          <pic:cNvPicPr/>
                        </pic:nvPicPr>
                        <pic:blipFill>
                          <a:blip r:embed="rId60"/>
                          <a:stretch>
                            <a:fillRect/>
                          </a:stretch>
                        </pic:blipFill>
                        <pic:spPr>
                          <a:xfrm>
                            <a:off x="0" y="0"/>
                            <a:ext cx="0" cy="1179195"/>
                          </a:xfrm>
                          <a:prstGeom prst="rect">
                            <a:avLst/>
                          </a:prstGeom>
                          <a:noFill/>
                          <a:ln>
                            <a:noFill/>
                          </a:ln>
                        </pic:spPr>
                      </pic:pic>
                    </a:graphicData>
                  </a:graphic>
                </wp:anchor>
              </w:drawing>
            </w:r>
          </w:p>
          <w:p>
            <w:pPr>
              <w:pStyle w:val="1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图片（</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以下</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图片仅供参考，不做为验收依据</w:t>
            </w:r>
            <w:r>
              <w:rPr>
                <w:rFonts w:hint="eastAsia"/>
                <w:color w:val="000000" w:themeColor="text1"/>
                <w:highlight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6"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边台</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1600（±20）×600（±20）×780（±20）mm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台面：*采用12mm双面膜实芯理化板，1.2米长台面前后端热压一体成型。</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桌腿：采用工字型压铸铝一次成型，材料表面经高压静电喷涂环氧树脂防护层。</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立柱：采用50×100mm，壁厚1.5mm。</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储物柜：规格高640*宽1110*深500mm       </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材质：储物柜主材为ABS＋尼龙全新工程塑料制成。</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br w:type="textWrapping"/>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wp:posOffset>
                  </wp:positionH>
                  <wp:positionV relativeFrom="paragraph">
                    <wp:posOffset>247650</wp:posOffset>
                  </wp:positionV>
                  <wp:extent cx="1791970" cy="648335"/>
                  <wp:effectExtent l="0" t="0" r="6350" b="6985"/>
                  <wp:wrapNone/>
                  <wp:docPr id="65"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61"/>
                          <a:stretch>
                            <a:fillRect/>
                          </a:stretch>
                        </pic:blipFill>
                        <pic:spPr>
                          <a:xfrm>
                            <a:off x="0" y="0"/>
                            <a:ext cx="1791970" cy="6483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仪器柜</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Style w:val="91"/>
                <w:color w:val="000000" w:themeColor="text1"/>
                <w:highlight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1000（±20）*500（±20）*1970（±20） </w:t>
            </w:r>
          </w:p>
          <w:p>
            <w:pPr>
              <w:keepNext w:val="0"/>
              <w:keepLines w:val="0"/>
              <w:widowControl/>
              <w:suppressLineNumbers w:val="0"/>
              <w:jc w:val="left"/>
              <w:textAlignment w:val="center"/>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1、PP材质</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2. 柜体：侧板、顶底板采用改性PP材料增加强度，注塑模一次性成型，表面沙面和光面相结合处理,保证柜体之坚固及密封性，耐腐蚀性强。</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3. 下储物柜门：内框采用改性PP材质注塑模一次成型, 外嵌4.6mm厚钢化烤漆玻璃</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4. 上柜视窗们：内框采用改性PP材质注塑模一次成型, 外嵌4.6mm厚钢化烤漆玻璃，中间烤漆镂空制作。</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 xml:space="preserve">5. 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 </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6. 门把手：与柜门平行，开启方便。</w:t>
            </w:r>
            <w:r>
              <w:rPr>
                <w:rStyle w:val="91"/>
                <w:color w:val="000000" w:themeColor="text1"/>
                <w:highlight w:val="none"/>
                <w:lang w:val="en-US" w:eastAsia="zh-CN" w:bidi="ar"/>
                <w14:textFill>
                  <w14:solidFill>
                    <w14:schemeClr w14:val="tx1"/>
                  </w14:solidFill>
                </w14:textFill>
              </w:rPr>
              <w:br w:type="textWrapping"/>
            </w:r>
            <w:r>
              <w:rPr>
                <w:rStyle w:val="91"/>
                <w:color w:val="000000" w:themeColor="text1"/>
                <w:highlight w:val="none"/>
                <w:lang w:val="en-US" w:eastAsia="zh-CN" w:bidi="ar"/>
                <w14:textFill>
                  <w14:solidFill>
                    <w14:schemeClr w14:val="tx1"/>
                  </w14:solidFill>
                </w14:textFill>
              </w:rPr>
              <w:t>7. 门铰链：PP材料制成，耐腐蚀性好。</w:t>
            </w:r>
            <w:r>
              <w:rPr>
                <w:rStyle w:val="91"/>
                <w:color w:val="000000" w:themeColor="text1"/>
                <w:highlight w:val="none"/>
                <w:lang w:val="en-US" w:eastAsia="zh-CN" w:bidi="ar"/>
                <w14:textFill>
                  <w14:solidFill>
                    <w14:schemeClr w14:val="tx1"/>
                  </w14:solidFill>
                </w14:textFill>
              </w:rPr>
              <w:br w:type="textWrapping"/>
            </w:r>
            <w:r>
              <w:rPr>
                <w:rStyle w:val="91"/>
                <w:rFonts w:hint="eastAsia"/>
                <w:color w:val="000000" w:themeColor="text1"/>
                <w:highlight w:val="none"/>
                <w:lang w:val="en-US" w:eastAsia="zh-CN" w:bidi="ar"/>
                <w14:textFill>
                  <w14:solidFill>
                    <w14:schemeClr w14:val="tx1"/>
                  </w14:solidFill>
                </w14:textFill>
              </w:rPr>
              <w:t>8</w:t>
            </w:r>
            <w:r>
              <w:rPr>
                <w:rStyle w:val="91"/>
                <w:color w:val="000000" w:themeColor="text1"/>
                <w:highlight w:val="none"/>
                <w:lang w:val="en-US" w:eastAsia="zh-CN" w:bidi="ar"/>
                <w14:textFill>
                  <w14:solidFill>
                    <w14:schemeClr w14:val="tx1"/>
                  </w14:solidFill>
                </w14:textFill>
              </w:rPr>
              <w:t>. 备注 ：可以用于各种腐蚀性化学品的储存，如硫酸、盐酸、硝酸、乙酸、硫磺酸等。</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179195"/>
                  <wp:effectExtent l="0" t="0" r="0" b="0"/>
                  <wp:wrapNone/>
                  <wp:docPr id="63" name="Picture_2_SpCnt_3"/>
                  <wp:cNvGraphicFramePr/>
                  <a:graphic xmlns:a="http://schemas.openxmlformats.org/drawingml/2006/main">
                    <a:graphicData uri="http://schemas.openxmlformats.org/drawingml/2006/picture">
                      <pic:pic xmlns:pic="http://schemas.openxmlformats.org/drawingml/2006/picture">
                        <pic:nvPicPr>
                          <pic:cNvPr id="63" name="Picture_2_SpCnt_3"/>
                          <pic:cNvPicPr/>
                        </pic:nvPicPr>
                        <pic:blipFill>
                          <a:blip r:embed="rId62"/>
                          <a:stretch>
                            <a:fillRect/>
                          </a:stretch>
                        </pic:blipFill>
                        <pic:spPr>
                          <a:xfrm>
                            <a:off x="0" y="0"/>
                            <a:ext cx="0" cy="1179195"/>
                          </a:xfrm>
                          <a:prstGeom prst="rect">
                            <a:avLst/>
                          </a:prstGeom>
                          <a:noFill/>
                          <a:ln>
                            <a:noFill/>
                          </a:ln>
                        </pic:spPr>
                      </pic:pic>
                    </a:graphicData>
                  </a:graphic>
                </wp:anchor>
              </w:drawing>
            </w:r>
            <w: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257175</wp:posOffset>
                  </wp:positionH>
                  <wp:positionV relativeFrom="paragraph">
                    <wp:posOffset>41275</wp:posOffset>
                  </wp:positionV>
                  <wp:extent cx="939800" cy="1795780"/>
                  <wp:effectExtent l="0" t="0" r="0" b="0"/>
                  <wp:wrapNone/>
                  <wp:docPr id="64" name="图片_2"/>
                  <wp:cNvGraphicFramePr/>
                  <a:graphic xmlns:a="http://schemas.openxmlformats.org/drawingml/2006/main">
                    <a:graphicData uri="http://schemas.openxmlformats.org/drawingml/2006/picture">
                      <pic:pic xmlns:pic="http://schemas.openxmlformats.org/drawingml/2006/picture">
                        <pic:nvPicPr>
                          <pic:cNvPr id="64" name="图片_2"/>
                          <pic:cNvPicPr/>
                        </pic:nvPicPr>
                        <pic:blipFill>
                          <a:blip r:embed="rId43"/>
                          <a:stretch>
                            <a:fillRect/>
                          </a:stretch>
                        </pic:blipFill>
                        <pic:spPr>
                          <a:xfrm>
                            <a:off x="0" y="0"/>
                            <a:ext cx="939800" cy="17957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2" w:hRule="atLeast"/>
        </w:trPr>
        <w:tc>
          <w:tcPr>
            <w:tcW w:w="113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w:t>
            </w:r>
          </w:p>
        </w:tc>
        <w:tc>
          <w:tcPr>
            <w:tcW w:w="113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药品柜</w:t>
            </w:r>
          </w:p>
        </w:tc>
        <w:tc>
          <w:tcPr>
            <w:tcW w:w="614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1000（±20）*500（±20）*1970（±20）   </w:t>
            </w:r>
          </w:p>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1、PP材质</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 柜体：侧板、顶底板采用改性PP材料增加强度，注塑模一次性成型。3. 下储物柜门：内框采用改性PP材质注塑模一次成型, 外嵌4.6mm厚钢化烤漆玻璃。</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 上柜视窗们：内框采用改性PP材质注塑模一次成型, 外嵌4.6mm厚钢化烤漆玻璃，中间烤漆镂空制作。</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 层板：上部配置阶梯层板，下部配置一块活动层板，层板全部采用改性PP材质注塑模一次成型，表面沙面和光面相结合处理，承重力强。整体设计为活动式，可随意抽取放在合适的隔层，自由组合各层空间。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 门把手：与柜门平行，开启方便。</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 门铰链：PP材料制成，耐腐蚀性好。</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 备注 ：可以用于各种腐蚀性化学品的储存，如硫酸、盐酸、硝酸、乙酸、硫磺酸等。</w:t>
            </w:r>
          </w:p>
        </w:tc>
        <w:tc>
          <w:tcPr>
            <w:tcW w:w="6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378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171450</wp:posOffset>
                  </wp:positionV>
                  <wp:extent cx="1011555" cy="1913890"/>
                  <wp:effectExtent l="0" t="0" r="0" b="0"/>
                  <wp:wrapNone/>
                  <wp:docPr id="67" name="图片_4"/>
                  <wp:cNvGraphicFramePr/>
                  <a:graphic xmlns:a="http://schemas.openxmlformats.org/drawingml/2006/main">
                    <a:graphicData uri="http://schemas.openxmlformats.org/drawingml/2006/picture">
                      <pic:pic xmlns:pic="http://schemas.openxmlformats.org/drawingml/2006/picture">
                        <pic:nvPicPr>
                          <pic:cNvPr id="67" name="图片_4"/>
                          <pic:cNvPicPr/>
                        </pic:nvPicPr>
                        <pic:blipFill>
                          <a:blip r:embed="rId63"/>
                          <a:stretch>
                            <a:fillRect/>
                          </a:stretch>
                        </pic:blipFill>
                        <pic:spPr>
                          <a:xfrm>
                            <a:off x="0" y="0"/>
                            <a:ext cx="1011555" cy="19138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p>
        </w:tc>
        <w:tc>
          <w:tcPr>
            <w:tcW w:w="90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合计</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p>
        </w:tc>
      </w:tr>
    </w:tbl>
    <w:p>
      <w:pPr>
        <w:rPr>
          <w:rFonts w:hint="eastAsia"/>
          <w:color w:val="000000" w:themeColor="text1"/>
          <w:highlight w:val="none"/>
          <w:lang w:val="en-US" w:eastAsia="zh-CN"/>
          <w14:textFill>
            <w14:solidFill>
              <w14:schemeClr w14:val="tx1"/>
            </w14:solidFill>
          </w14:textFill>
        </w:rPr>
      </w:pPr>
    </w:p>
    <w:p>
      <w:pPr>
        <w:pStyle w:val="11"/>
        <w:ind w:firstLine="562" w:firstLineChars="200"/>
        <w:rPr>
          <w:rFonts w:hint="eastAsia" w:ascii="宋体" w:hAnsi="宋体" w:cs="宋体"/>
          <w:b/>
          <w:bCs/>
          <w:color w:val="000000" w:themeColor="text1"/>
          <w:sz w:val="28"/>
          <w:szCs w:val="28"/>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lang w:val="en-US" w:eastAsia="zh-CN"/>
          <w14:textFill>
            <w14:solidFill>
              <w14:schemeClr w14:val="tx1"/>
            </w14:solidFill>
          </w14:textFill>
        </w:rPr>
        <w:t>备注：1、</w:t>
      </w:r>
      <w:r>
        <w:rPr>
          <w:rFonts w:hint="eastAsia" w:ascii="宋体" w:hAnsi="宋体" w:cs="宋体"/>
          <w:b/>
          <w:bCs/>
          <w:color w:val="000000" w:themeColor="text1"/>
          <w:sz w:val="28"/>
          <w:szCs w:val="28"/>
          <w:highlight w:val="none"/>
          <w:lang w:val="en-US" w:eastAsia="zh-CN"/>
          <w14:textFill>
            <w14:solidFill>
              <w14:schemeClr w14:val="tx1"/>
            </w14:solidFill>
          </w14:textFill>
        </w:rPr>
        <w:t>“★”项（4项）</w:t>
      </w:r>
      <w:r>
        <w:rPr>
          <w:rFonts w:hint="eastAsia" w:ascii="宋体" w:hAnsi="宋体" w:cs="宋体"/>
          <w:b/>
          <w:bCs/>
          <w:color w:val="000000" w:themeColor="text1"/>
          <w:sz w:val="28"/>
          <w:szCs w:val="28"/>
          <w:highlight w:val="none"/>
          <w:lang w:val="en-US" w:eastAsia="zh-CN"/>
          <w14:textFill>
            <w14:solidFill>
              <w14:schemeClr w14:val="tx1"/>
            </w14:solidFill>
          </w14:textFill>
        </w:rPr>
        <w:t>为关键参数项，每项须提供与项目技术要求相应的证明材料，产品检测报告、产品合格证、鉴定证书、制造商产品彩页、制造商官网截图、制造商技术白皮书、制造商产品说明书或相应实物照片等。2、无标识则表示属</w:t>
      </w:r>
      <w:r>
        <w:rPr>
          <w:rFonts w:hint="eastAsia" w:ascii="宋体" w:hAnsi="宋体" w:cs="宋体"/>
          <w:b/>
          <w:bCs/>
          <w:color w:val="000000" w:themeColor="text1"/>
          <w:sz w:val="28"/>
          <w:szCs w:val="28"/>
          <w:highlight w:val="none"/>
          <w:lang w:val="en-US" w:eastAsia="zh-CN"/>
          <w14:textFill>
            <w14:solidFill>
              <w14:schemeClr w14:val="tx1"/>
            </w14:solidFill>
          </w14:textFill>
        </w:rPr>
        <w:t>一般指标项（86项）</w:t>
      </w:r>
      <w:r>
        <w:rPr>
          <w:rFonts w:hint="eastAsia" w:ascii="宋体" w:hAnsi="宋体" w:cs="宋体"/>
          <w:b/>
          <w:bCs/>
          <w:color w:val="000000" w:themeColor="text1"/>
          <w:sz w:val="28"/>
          <w:szCs w:val="28"/>
          <w:highlight w:val="none"/>
          <w:lang w:val="en-US" w:eastAsia="zh-CN"/>
          <w14:textFill>
            <w14:solidFill>
              <w14:schemeClr w14:val="tx1"/>
            </w14:solidFill>
          </w14:textFill>
        </w:rPr>
        <w:t>，每项须提供与项目技术要求相应的证明材料，产品检测报告、产品合格证、鉴定证书、制造商产品彩页、制造商官网截图、制造商技术白皮书、制造商产品说明书或相应实物照片等。</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0"/>
        <w:rPr>
          <w:rFonts w:hint="eastAsia" w:ascii="宋体" w:hAnsi="宋体" w:eastAsia="宋体" w:cs="宋体"/>
          <w:b/>
          <w:bCs/>
          <w:color w:val="000000" w:themeColor="text1"/>
          <w:sz w:val="24"/>
          <w:szCs w:val="24"/>
          <w:highlight w:val="none"/>
          <w14:textFill>
            <w14:solidFill>
              <w14:schemeClr w14:val="tx1"/>
            </w14:solidFill>
          </w14:textFill>
        </w:rPr>
        <w:sectPr>
          <w:pgSz w:w="16838" w:h="11906" w:orient="landscape"/>
          <w:pgMar w:top="1746" w:right="1440" w:bottom="1800" w:left="144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第五章  评标办法</w:t>
      </w:r>
      <w:bookmarkEnd w:id="148"/>
      <w:bookmarkEnd w:id="149"/>
      <w:bookmarkStart w:id="150" w:name="_Hlt101846155"/>
      <w:bookmarkEnd w:id="150"/>
      <w:bookmarkStart w:id="151" w:name="_Toc183582280"/>
      <w:bookmarkStart w:id="152" w:name="_Toc183682415"/>
      <w:bookmarkStart w:id="153" w:name="_Toc208849007"/>
      <w:bookmarkStart w:id="154" w:name="_Toc217446097"/>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总则</w:t>
      </w:r>
      <w:bookmarkEnd w:id="151"/>
      <w:bookmarkEnd w:id="152"/>
      <w:bookmarkEnd w:id="153"/>
      <w:bookmarkEnd w:id="154"/>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 根据《中华人民共和国政府采购法》、《中华人民共和国政府采购法实施条例》和《政府采购货物和服务招标投标管理办法》（财政部第87号令）等法律法规、规章和相关规定，结合招标项目特点制定本评标办法。</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1.2 </w:t>
      </w:r>
      <w:r>
        <w:rPr>
          <w:rFonts w:hint="eastAsia" w:ascii="宋体" w:hAnsi="宋体" w:eastAsia="宋体" w:cs="宋体"/>
          <w:bCs/>
          <w:color w:val="000000" w:themeColor="text1"/>
          <w:sz w:val="24"/>
          <w:szCs w:val="24"/>
          <w:highlight w:val="none"/>
          <w14:textFill>
            <w14:solidFill>
              <w14:schemeClr w14:val="tx1"/>
            </w14:solidFill>
          </w14:textFill>
        </w:rPr>
        <w:t>评标工作由采购人负责组织，具体评标工作由采购人依法组建的评标委员会负责。评标委员会由采购人代表和有关技术、经济等方面的专家组成。</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 评标工作应遵循公平、公正、科学及择优的原则。</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 评标委员会按照</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规定的评标方法和标准进行评标，并独立履行下列职责：</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（1）审查投标文件是否符合</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要求，并作出评价；</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（2）要求投标投标人对投标文件有关事项作出解释或者澄清；</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（3）推荐中标候选投标人名单，或者受采购人委托按照事先确定的办法直接确定中标投标人；</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（4）向采购人或者有关部门报告非法干预评标工作的行为。</w:t>
      </w:r>
      <w:bookmarkStart w:id="155" w:name="_Toc217446098"/>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 评标过程严格保密。投标人对评标委员会的评标过程或合同授予决定施加影响的任何行为都可能导致其投标被拒绝。</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1.6评标委员会决定投标文件的响应性应依据投标文件本身的内容，而不寻求外部的证据。</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1.7评标委员会发现</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表述不明确或需要说明的事项，可提请采购人书面解释说明。发现</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违反法律、法规、规章和相关规定的，可以拒绝评标，并向采购人书面说明情况。</w:t>
      </w:r>
    </w:p>
    <w:p>
      <w:pPr>
        <w:pageBreakBefore w:val="0"/>
        <w:kinsoku/>
        <w:wordWrap/>
        <w:overflowPunct/>
        <w:topLinePunct w:val="0"/>
        <w:autoSpaceDE/>
        <w:autoSpaceDN/>
        <w:bidi w:val="0"/>
        <w:adjustRightInd/>
        <w:spacing w:line="380" w:lineRule="exact"/>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评标方法</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本项目评标方法为：综合评分法。</w:t>
      </w:r>
    </w:p>
    <w:p>
      <w:pPr>
        <w:pageBreakBefore w:val="0"/>
        <w:kinsoku/>
        <w:wordWrap/>
        <w:overflowPunct/>
        <w:topLinePunct w:val="0"/>
        <w:autoSpaceDE/>
        <w:autoSpaceDN/>
        <w:bidi w:val="0"/>
        <w:adjustRightInd/>
        <w:spacing w:line="38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评标程序</w:t>
      </w:r>
      <w:bookmarkEnd w:id="155"/>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156" w:name="_Toc217446099"/>
      <w:r>
        <w:rPr>
          <w:rFonts w:hint="eastAsia" w:ascii="宋体" w:hAnsi="宋体" w:eastAsia="宋体" w:cs="宋体"/>
          <w:color w:val="000000" w:themeColor="text1"/>
          <w:sz w:val="24"/>
          <w:szCs w:val="24"/>
          <w:highlight w:val="none"/>
          <w14:textFill>
            <w14:solidFill>
              <w14:schemeClr w14:val="tx1"/>
            </w14:solidFill>
          </w14:textFill>
        </w:rPr>
        <w:t>3.1资格审查</w:t>
      </w:r>
    </w:p>
    <w:p>
      <w:pPr>
        <w:keepNext/>
        <w:keepLines/>
        <w:pageBreakBefore w:val="0"/>
        <w:kinsoku/>
        <w:wordWrap/>
        <w:overflowPunct/>
        <w:topLinePunct w:val="0"/>
        <w:autoSpaceDE/>
        <w:autoSpaceDN/>
        <w:bidi w:val="0"/>
        <w:adjustRightInd/>
        <w:spacing w:line="380" w:lineRule="exact"/>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br w:type="page"/>
      </w:r>
      <w:r>
        <w:rPr>
          <w:rFonts w:hint="eastAsia" w:ascii="宋体" w:hAnsi="宋体" w:eastAsia="宋体" w:cs="宋体"/>
          <w:b/>
          <w:bCs w:val="0"/>
          <w:color w:val="000000" w:themeColor="text1"/>
          <w:sz w:val="24"/>
          <w:szCs w:val="24"/>
          <w:highlight w:val="none"/>
          <w14:textFill>
            <w14:solidFill>
              <w14:schemeClr w14:val="tx1"/>
            </w14:solidFill>
          </w14:textFill>
        </w:rPr>
        <w:t>资格审查表</w:t>
      </w:r>
    </w:p>
    <w:tbl>
      <w:tblPr>
        <w:tblStyle w:val="28"/>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2"/>
        <w:gridCol w:w="6516"/>
        <w:gridCol w:w="622"/>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319" w:type="pct"/>
            <w:vMerge w:val="restar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3904" w:type="pct"/>
            <w:vMerge w:val="restar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审   查   标   准</w:t>
            </w:r>
          </w:p>
        </w:tc>
        <w:tc>
          <w:tcPr>
            <w:tcW w:w="775" w:type="pct"/>
            <w:gridSpan w:val="2"/>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19" w:type="pct"/>
            <w:vMerge w:val="continue"/>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3904" w:type="pct"/>
            <w:vMerge w:val="continue"/>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通过</w:t>
            </w: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319"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3904" w:type="pct"/>
            <w:vAlign w:val="center"/>
          </w:tcPr>
          <w:p>
            <w:pPr>
              <w:pStyle w:val="45"/>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具有独立承担民事责任的能力；</w:t>
            </w:r>
          </w:p>
          <w:p>
            <w:pPr>
              <w:pStyle w:val="45"/>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【法人、其他组织投标须提供营业执照等证明文件，自然人投标须提供自然人的身份证明。】</w:t>
            </w: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9"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3904" w:type="pct"/>
            <w:vAlign w:val="center"/>
          </w:tcPr>
          <w:p>
            <w:pPr>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具有良好的商业信誉和健全的财务会计制度；</w:t>
            </w:r>
          </w:p>
          <w:p>
            <w:pPr>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【①以开标截止时间点投标单位未列入“信用中国”&lt;www.creditchina.gov.cn&gt;网站的“失信被执行人”和“重大税收违法失信主体”（</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为自然人时无需提供）及“中国政府采购网”&lt;www.ccgp.gov.cn&gt;网站的“政府采购严重违法失信行为记录名单”，开标截止时间</w:t>
            </w:r>
            <w:r>
              <w:rPr>
                <w:rFonts w:hint="eastAsia" w:ascii="宋体" w:hAnsi="宋体" w:eastAsia="宋体" w:cs="宋体"/>
                <w:color w:val="000000" w:themeColor="text1"/>
                <w:sz w:val="24"/>
                <w:szCs w:val="24"/>
                <w:highlight w:val="none"/>
                <w:lang w:val="en-US" w:eastAsia="zh-CN"/>
                <w14:textFill>
                  <w14:solidFill>
                    <w14:schemeClr w14:val="tx1"/>
                  </w14:solidFill>
                </w14:textFill>
              </w:rPr>
              <w:t>点</w:t>
            </w:r>
            <w:r>
              <w:rPr>
                <w:rFonts w:hint="eastAsia" w:ascii="宋体" w:hAnsi="宋体" w:eastAsia="宋体" w:cs="宋体"/>
                <w:color w:val="000000" w:themeColor="text1"/>
                <w:sz w:val="24"/>
                <w:szCs w:val="24"/>
                <w:highlight w:val="none"/>
                <w14:textFill>
                  <w14:solidFill>
                    <w14:schemeClr w14:val="tx1"/>
                  </w14:solidFill>
                </w14:textFill>
              </w:rPr>
              <w:t>，由招标代理公司统一登陆网站查询</w:t>
            </w:r>
            <w:r>
              <w:rPr>
                <w:rFonts w:hint="eastAsia" w:ascii="宋体" w:hAnsi="宋体" w:eastAsia="宋体" w:cs="宋体"/>
                <w:color w:val="000000" w:themeColor="text1"/>
                <w:sz w:val="24"/>
                <w:szCs w:val="24"/>
                <w:highlight w:val="none"/>
                <w:lang w:eastAsia="zh-CN"/>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投标文件的投标单位信誉情况，并以保存的网页查询截图为准；②银行出具的近3个月内任意1个月资信证明（</w:t>
            </w:r>
            <w:r>
              <w:rPr>
                <w:rFonts w:hint="eastAsia" w:ascii="宋体" w:hAnsi="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为自然人时无需提供）或近1年（2022年度）经审计的财务报告（新成立企业或自然人无需提供）。新成立企业是指：营业执照申领时间至今未满一年的企业。新成立企业须提供近3个月内任意1个月银行出具的资信证明。】</w:t>
            </w: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9"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3904" w:type="pct"/>
            <w:vAlign w:val="center"/>
          </w:tcPr>
          <w:p>
            <w:pPr>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具有履行合同所必需的设备和专业技术能力；</w:t>
            </w:r>
          </w:p>
          <w:p>
            <w:pPr>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【须提供：①相关设备或设施的购置发票或单据（任一）或提供承诺函；</w:t>
            </w:r>
            <w:r>
              <w:rPr>
                <w:rFonts w:hint="eastAsia" w:ascii="宋体" w:hAnsi="宋体" w:cs="宋体"/>
                <w:color w:val="000000" w:themeColor="text1"/>
                <w:sz w:val="24"/>
                <w:highlight w:val="none"/>
                <w14:textFill>
                  <w14:solidFill>
                    <w14:schemeClr w14:val="tx1"/>
                  </w14:solidFill>
                </w14:textFill>
              </w:rPr>
              <w:t>②专业人员用工合同（任一人）或技术人员的职称证书或职业（执业）资格证或等级证书等相关证书（任一人）</w:t>
            </w:r>
            <w:r>
              <w:rPr>
                <w:rFonts w:hint="eastAsia" w:ascii="宋体" w:hAnsi="宋体" w:cs="宋体"/>
                <w:color w:val="000000" w:themeColor="text1"/>
                <w:sz w:val="24"/>
                <w:highlight w:val="none"/>
                <w:lang w:val="en-US" w:eastAsia="zh-CN"/>
                <w14:textFill>
                  <w14:solidFill>
                    <w14:schemeClr w14:val="tx1"/>
                  </w14:solidFill>
                </w14:textFill>
              </w:rPr>
              <w:t>或提供承诺函</w:t>
            </w:r>
            <w:r>
              <w:rPr>
                <w:rFonts w:hint="eastAsia" w:ascii="宋体" w:hAnsi="宋体" w:cs="宋体"/>
                <w:color w:val="000000" w:themeColor="text1"/>
                <w:sz w:val="24"/>
                <w:highlight w:val="none"/>
                <w14:textFill>
                  <w14:solidFill>
                    <w14:schemeClr w14:val="tx1"/>
                  </w14:solidFill>
                </w14:textFill>
              </w:rPr>
              <w:t>等的证明材料</w:t>
            </w:r>
            <w:r>
              <w:rPr>
                <w:rFonts w:hint="eastAsia" w:ascii="宋体" w:hAnsi="宋体" w:eastAsia="宋体" w:cs="宋体"/>
                <w:color w:val="000000" w:themeColor="text1"/>
                <w:sz w:val="24"/>
                <w:szCs w:val="24"/>
                <w:highlight w:val="none"/>
                <w14:textFill>
                  <w14:solidFill>
                    <w14:schemeClr w14:val="tx1"/>
                  </w14:solidFill>
                </w14:textFill>
              </w:rPr>
              <w:t>。】</w:t>
            </w: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19"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3904" w:type="pct"/>
            <w:vAlign w:val="center"/>
          </w:tcPr>
          <w:p>
            <w:pPr>
              <w:pStyle w:val="11"/>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有依法缴纳税收和社会保障资金的良好记录；</w:t>
            </w:r>
          </w:p>
          <w:p>
            <w:pPr>
              <w:pStyle w:val="11"/>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【须提供：①近12个月内任意1个月已依法缴纳税收的凭据；②近12个月内任意1个月已依法缴纳社会保险的凭据（依法免税或不需要缴纳</w:t>
            </w:r>
            <w:r>
              <w:rPr>
                <w:rFonts w:hint="eastAsia" w:ascii="宋体" w:hAnsi="宋体" w:cs="宋体"/>
                <w:color w:val="000000" w:themeColor="text1"/>
                <w:sz w:val="24"/>
                <w:szCs w:val="24"/>
                <w:highlight w:val="none"/>
                <w:lang w:val="en-US" w:eastAsia="zh-CN"/>
                <w14:textFill>
                  <w14:solidFill>
                    <w14:schemeClr w14:val="tx1"/>
                  </w14:solidFill>
                </w14:textFill>
              </w:rPr>
              <w:t>社会保险</w:t>
            </w:r>
            <w:r>
              <w:rPr>
                <w:rFonts w:hint="eastAsia" w:ascii="宋体" w:hAnsi="宋体" w:eastAsia="宋体" w:cs="宋体"/>
                <w:color w:val="000000" w:themeColor="text1"/>
                <w:sz w:val="24"/>
                <w:szCs w:val="24"/>
                <w:highlight w:val="none"/>
                <w14:textFill>
                  <w14:solidFill>
                    <w14:schemeClr w14:val="tx1"/>
                  </w14:solidFill>
                </w14:textFill>
              </w:rPr>
              <w:t>的投标人，应提供相应证明文件，新成立企业或自然人无需提供）】。</w:t>
            </w: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9"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3904" w:type="pct"/>
            <w:vAlign w:val="center"/>
          </w:tcPr>
          <w:p>
            <w:pPr>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参加本次政府采购活动前三年内，在经营活动中没有重大违法记录；</w:t>
            </w:r>
          </w:p>
          <w:p>
            <w:pPr>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【须提供书面声明（投标人自行承诺并承担后果，声明不实的，按《政府采购法》及相关法律法规中提供虚假材料的有关规定处理。】 </w:t>
            </w: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319"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tc>
        <w:tc>
          <w:tcPr>
            <w:tcW w:w="3904" w:type="pct"/>
            <w:vAlign w:val="center"/>
          </w:tcPr>
          <w:p>
            <w:pPr>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单位负责人为同一人或者存在直接控股、管理关系的不同投标人，不得参加同一合同项下的政府采购活动。</w:t>
            </w:r>
          </w:p>
          <w:p>
            <w:pPr>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【须提供书面声明（投标人自行承诺并承担后果，声明函不实的，按《政府采购法》及相关法律法规中提供虚假材料的有关规定处理。】 </w:t>
            </w: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jc w:val="center"/>
        </w:trPr>
        <w:tc>
          <w:tcPr>
            <w:tcW w:w="319"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w:t>
            </w:r>
          </w:p>
        </w:tc>
        <w:tc>
          <w:tcPr>
            <w:tcW w:w="3904" w:type="pct"/>
            <w:vAlign w:val="center"/>
          </w:tcPr>
          <w:p>
            <w:pPr>
              <w:pageBreakBefore w:val="0"/>
              <w:widowControl/>
              <w:tabs>
                <w:tab w:val="left" w:pos="717"/>
              </w:tabs>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项目为专门面向中小企业（含中型、小型、微型）采购项目，满足条件的企业需在投标文件中提供《中小企业声明函》或《残疾人福利性单位声明函》或省级以上监狱管理局、戒毒管理局（含新疆生产建设兵团）出具的属于监狱企业的证明文件；</w:t>
            </w: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19"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8</w:t>
            </w:r>
          </w:p>
        </w:tc>
        <w:tc>
          <w:tcPr>
            <w:tcW w:w="3904" w:type="pct"/>
            <w:vAlign w:val="center"/>
          </w:tcPr>
          <w:p>
            <w:pPr>
              <w:pageBreakBefore w:val="0"/>
              <w:widowControl/>
              <w:kinsoku/>
              <w:wordWrap/>
              <w:overflowPunct/>
              <w:topLinePunct w:val="0"/>
              <w:autoSpaceDE/>
              <w:autoSpaceDN/>
              <w:bidi w:val="0"/>
              <w:adjustRightInd/>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本项目不接受联合体投标。</w:t>
            </w: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24" w:type="pct"/>
            <w:gridSpan w:val="2"/>
            <w:vAlign w:val="center"/>
          </w:tcPr>
          <w:p>
            <w:pPr>
              <w:pageBreakBefore w:val="0"/>
              <w:widowControl/>
              <w:kinsoku/>
              <w:wordWrap/>
              <w:overflowPunct/>
              <w:topLinePunct w:val="0"/>
              <w:autoSpaceDE/>
              <w:autoSpaceDN/>
              <w:bidi w:val="0"/>
              <w:adjustRightInd/>
              <w:spacing w:line="38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审查结果（通过/不通过）</w:t>
            </w:r>
          </w:p>
        </w:tc>
        <w:tc>
          <w:tcPr>
            <w:tcW w:w="373"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01"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5000" w:type="pct"/>
            <w:gridSpan w:val="4"/>
            <w:vAlign w:val="center"/>
          </w:tcPr>
          <w:p>
            <w:pPr>
              <w:pStyle w:val="45"/>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备注：如果</w:t>
            </w:r>
            <w:r>
              <w:rPr>
                <w:rFonts w:hint="eastAsia" w:ascii="宋体" w:hAnsi="宋体" w:eastAsia="宋体" w:cs="宋体"/>
                <w:color w:val="000000" w:themeColor="text1"/>
                <w:sz w:val="24"/>
                <w:szCs w:val="24"/>
                <w:highlight w:val="none"/>
                <w:lang w:eastAsia="zh-CN"/>
                <w14:textFill>
                  <w14:solidFill>
                    <w14:schemeClr w14:val="tx1"/>
                  </w14:solidFill>
                </w14:textFill>
              </w:rPr>
              <w:t>投标文件</w:t>
            </w:r>
            <w:r>
              <w:rPr>
                <w:rFonts w:hint="eastAsia" w:ascii="宋体" w:hAnsi="宋体" w:eastAsia="宋体" w:cs="宋体"/>
                <w:color w:val="000000" w:themeColor="text1"/>
                <w:sz w:val="24"/>
                <w:szCs w:val="24"/>
                <w:highlight w:val="none"/>
                <w14:textFill>
                  <w14:solidFill>
                    <w14:schemeClr w14:val="tx1"/>
                  </w14:solidFill>
                </w14:textFill>
              </w:rPr>
              <w:t>中有一项未通过上述审查标准，</w:t>
            </w:r>
            <w:r>
              <w:rPr>
                <w:rFonts w:hint="eastAsia" w:ascii="宋体" w:hAnsi="宋体" w:eastAsia="宋体" w:cs="宋体"/>
                <w:color w:val="000000" w:themeColor="text1"/>
                <w:sz w:val="24"/>
                <w:szCs w:val="24"/>
                <w:highlight w:val="none"/>
                <w:lang w:val="en-US" w:eastAsia="zh-CN"/>
                <w14:textFill>
                  <w14:solidFill>
                    <w14:schemeClr w14:val="tx1"/>
                  </w14:solidFill>
                </w14:textFill>
              </w:rPr>
              <w:t>评标委员会</w:t>
            </w:r>
            <w:r>
              <w:rPr>
                <w:rFonts w:hint="eastAsia" w:ascii="宋体" w:hAnsi="宋体" w:eastAsia="宋体" w:cs="宋体"/>
                <w:color w:val="000000" w:themeColor="text1"/>
                <w:sz w:val="24"/>
                <w:szCs w:val="24"/>
                <w:highlight w:val="none"/>
                <w14:textFill>
                  <w14:solidFill>
                    <w14:schemeClr w14:val="tx1"/>
                  </w14:solidFill>
                </w14:textFill>
              </w:rPr>
              <w:t>将认定整个</w:t>
            </w:r>
            <w:r>
              <w:rPr>
                <w:rFonts w:hint="eastAsia" w:ascii="宋体" w:hAnsi="宋体" w:eastAsia="宋体" w:cs="宋体"/>
                <w:color w:val="000000" w:themeColor="text1"/>
                <w:sz w:val="24"/>
                <w:szCs w:val="24"/>
                <w:highlight w:val="none"/>
                <w:lang w:eastAsia="zh-CN"/>
                <w14:textFill>
                  <w14:solidFill>
                    <w14:schemeClr w14:val="tx1"/>
                  </w14:solidFill>
                </w14:textFill>
              </w:rPr>
              <w:t>投标文件</w:t>
            </w:r>
            <w:r>
              <w:rPr>
                <w:rFonts w:hint="eastAsia" w:ascii="宋体" w:hAnsi="宋体" w:eastAsia="宋体" w:cs="宋体"/>
                <w:color w:val="000000" w:themeColor="text1"/>
                <w:sz w:val="24"/>
                <w:szCs w:val="24"/>
                <w:highlight w:val="none"/>
                <w14:textFill>
                  <w14:solidFill>
                    <w14:schemeClr w14:val="tx1"/>
                  </w14:solidFill>
                </w14:textFill>
              </w:rPr>
              <w:t>不响应</w:t>
            </w:r>
            <w:r>
              <w:rPr>
                <w:rFonts w:hint="eastAsia" w:ascii="宋体" w:hAnsi="宋体" w:eastAsia="宋体" w:cs="宋体"/>
                <w:color w:val="000000" w:themeColor="text1"/>
                <w:sz w:val="24"/>
                <w:szCs w:val="24"/>
                <w:highlight w:val="none"/>
                <w:lang w:val="en-US" w:eastAsia="zh-CN"/>
                <w14:textFill>
                  <w14:solidFill>
                    <w14:schemeClr w14:val="tx1"/>
                  </w14:solidFill>
                </w14:textFill>
              </w:rPr>
              <w:t>招标</w:t>
            </w:r>
            <w:r>
              <w:rPr>
                <w:rFonts w:hint="eastAsia" w:ascii="宋体" w:hAnsi="宋体" w:eastAsia="宋体" w:cs="宋体"/>
                <w:color w:val="000000" w:themeColor="text1"/>
                <w:sz w:val="24"/>
                <w:szCs w:val="24"/>
                <w:highlight w:val="none"/>
                <w14:textFill>
                  <w14:solidFill>
                    <w14:schemeClr w14:val="tx1"/>
                  </w14:solidFill>
                </w14:textFill>
              </w:rPr>
              <w:t>件而予以无效处理，并且不允许</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通过修改或撤销其不符合要求的差异或保留，使之成为具有响应性的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w:t>
            </w:r>
            <w:r>
              <w:rPr>
                <w:rFonts w:hint="eastAsia" w:ascii="宋体" w:hAnsi="宋体" w:eastAsia="宋体" w:cs="宋体"/>
                <w:color w:val="000000" w:themeColor="text1"/>
                <w:sz w:val="24"/>
                <w:szCs w:val="24"/>
                <w:highlight w:val="none"/>
                <w14:textFill>
                  <w14:solidFill>
                    <w14:schemeClr w14:val="tx1"/>
                  </w14:solidFill>
                </w14:textFill>
              </w:rPr>
              <w:t>。</w:t>
            </w:r>
          </w:p>
        </w:tc>
      </w:tr>
    </w:tbl>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strike/>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3.2符合性审查。依据</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的规定，从投标文件的有效性、完整性和对</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的响应程度进行审查，以确定是否对</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的实质性要求作出响应。</w:t>
      </w:r>
    </w:p>
    <w:p>
      <w:pPr>
        <w:pStyle w:val="27"/>
        <w:pageBreakBefore w:val="0"/>
        <w:kinsoku/>
        <w:wordWrap/>
        <w:overflowPunct/>
        <w:topLinePunct w:val="0"/>
        <w:autoSpaceDE/>
        <w:autoSpaceDN/>
        <w:bidi w:val="0"/>
        <w:adjustRightInd/>
        <w:spacing w:line="38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符合性审查表</w:t>
      </w:r>
    </w:p>
    <w:tbl>
      <w:tblPr>
        <w:tblStyle w:val="28"/>
        <w:tblW w:w="5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5"/>
        <w:gridCol w:w="6109"/>
        <w:gridCol w:w="783"/>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368" w:type="pct"/>
            <w:vMerge w:val="restar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3652" w:type="pct"/>
            <w:vMerge w:val="restar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审   查   标   准</w:t>
            </w:r>
          </w:p>
        </w:tc>
        <w:tc>
          <w:tcPr>
            <w:tcW w:w="978" w:type="pct"/>
            <w:gridSpan w:val="2"/>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68" w:type="pct"/>
            <w:vMerge w:val="continue"/>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3652" w:type="pct"/>
            <w:vMerge w:val="continue"/>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4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通过</w:t>
            </w:r>
          </w:p>
        </w:tc>
        <w:tc>
          <w:tcPr>
            <w:tcW w:w="510"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3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3652" w:type="pct"/>
            <w:vAlign w:val="center"/>
          </w:tcPr>
          <w:p>
            <w:pPr>
              <w:pStyle w:val="45"/>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投标文件的标识符合</w:t>
            </w:r>
            <w:r>
              <w:rPr>
                <w:rFonts w:hint="eastAsia" w:ascii="宋体" w:hAnsi="宋体" w:cs="宋体"/>
                <w:color w:val="000000" w:themeColor="text1"/>
                <w:highlight w:val="none"/>
                <w:lang w:eastAsia="zh-CN"/>
                <w14:textFill>
                  <w14:solidFill>
                    <w14:schemeClr w14:val="tx1"/>
                  </w14:solidFill>
                </w14:textFill>
              </w:rPr>
              <w:t>招标文件</w:t>
            </w:r>
            <w:r>
              <w:rPr>
                <w:rFonts w:hint="eastAsia" w:ascii="宋体" w:hAnsi="宋体" w:cs="宋体"/>
                <w:color w:val="000000" w:themeColor="text1"/>
                <w:highlight w:val="none"/>
                <w14:textFill>
                  <w14:solidFill>
                    <w14:schemeClr w14:val="tx1"/>
                  </w14:solidFill>
                </w14:textFill>
              </w:rPr>
              <w:t>要求；</w:t>
            </w:r>
          </w:p>
        </w:tc>
        <w:tc>
          <w:tcPr>
            <w:tcW w:w="4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510"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3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3652" w:type="pct"/>
            <w:vAlign w:val="center"/>
          </w:tcPr>
          <w:p>
            <w:pPr>
              <w:pStyle w:val="45"/>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按照</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规定和要求</w:t>
            </w:r>
            <w:r>
              <w:rPr>
                <w:rFonts w:hint="eastAsia" w:ascii="宋体" w:hAnsi="宋体" w:cs="宋体"/>
                <w:color w:val="000000" w:themeColor="text1"/>
                <w:sz w:val="24"/>
                <w:szCs w:val="24"/>
                <w:highlight w:val="none"/>
                <w:lang w:val="en-US" w:eastAsia="zh-CN"/>
                <w14:textFill>
                  <w14:solidFill>
                    <w14:schemeClr w14:val="tx1"/>
                  </w14:solidFill>
                </w14:textFill>
              </w:rPr>
              <w:t>加密</w:t>
            </w:r>
            <w:r>
              <w:rPr>
                <w:rFonts w:hint="eastAsia" w:ascii="宋体" w:hAnsi="宋体" w:eastAsia="宋体" w:cs="宋体"/>
                <w:color w:val="000000" w:themeColor="text1"/>
                <w:sz w:val="24"/>
                <w:szCs w:val="24"/>
                <w:highlight w:val="none"/>
                <w14:textFill>
                  <w14:solidFill>
                    <w14:schemeClr w14:val="tx1"/>
                  </w14:solidFill>
                </w14:textFill>
              </w:rPr>
              <w:t>、签字、盖章；</w:t>
            </w:r>
          </w:p>
        </w:tc>
        <w:tc>
          <w:tcPr>
            <w:tcW w:w="4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510"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3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3652" w:type="pct"/>
            <w:vAlign w:val="center"/>
          </w:tcPr>
          <w:p>
            <w:pPr>
              <w:pStyle w:val="45"/>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按照</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规定缴纳投标保证金；</w:t>
            </w:r>
          </w:p>
        </w:tc>
        <w:tc>
          <w:tcPr>
            <w:tcW w:w="4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510"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3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3652" w:type="pct"/>
            <w:vAlign w:val="center"/>
          </w:tcPr>
          <w:p>
            <w:pPr>
              <w:pStyle w:val="45"/>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投标报价不得高于设定的最高限价；</w:t>
            </w:r>
          </w:p>
        </w:tc>
        <w:tc>
          <w:tcPr>
            <w:tcW w:w="4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510"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3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3652" w:type="pct"/>
            <w:vAlign w:val="center"/>
          </w:tcPr>
          <w:p>
            <w:pPr>
              <w:pStyle w:val="45"/>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供货期、质保期</w:t>
            </w:r>
            <w:r>
              <w:rPr>
                <w:rFonts w:hint="eastAsia" w:ascii="宋体" w:hAnsi="宋体" w:eastAsia="宋体" w:cs="宋体"/>
                <w:color w:val="000000" w:themeColor="text1"/>
                <w:sz w:val="24"/>
                <w:szCs w:val="24"/>
                <w:highlight w:val="none"/>
                <w14:textFill>
                  <w14:solidFill>
                    <w14:schemeClr w14:val="tx1"/>
                  </w14:solidFill>
                </w14:textFill>
              </w:rPr>
              <w:t>符合</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规定期限；</w:t>
            </w:r>
          </w:p>
        </w:tc>
        <w:tc>
          <w:tcPr>
            <w:tcW w:w="4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510"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9" w:hRule="exact"/>
          <w:jc w:val="center"/>
        </w:trPr>
        <w:tc>
          <w:tcPr>
            <w:tcW w:w="3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tc>
        <w:tc>
          <w:tcPr>
            <w:tcW w:w="3652" w:type="pct"/>
            <w:vAlign w:val="center"/>
          </w:tcPr>
          <w:p>
            <w:pPr>
              <w:pStyle w:val="45"/>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按照</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规定的格式要求编制投标文件，实质性响应</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内容；</w:t>
            </w:r>
          </w:p>
        </w:tc>
        <w:tc>
          <w:tcPr>
            <w:tcW w:w="4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510"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exact"/>
          <w:jc w:val="center"/>
        </w:trPr>
        <w:tc>
          <w:tcPr>
            <w:tcW w:w="3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w:t>
            </w:r>
          </w:p>
        </w:tc>
        <w:tc>
          <w:tcPr>
            <w:tcW w:w="3652" w:type="pct"/>
            <w:vAlign w:val="center"/>
          </w:tcPr>
          <w:p>
            <w:pPr>
              <w:pStyle w:val="45"/>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投标文件不得附有采购人不能接受的条件</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4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510"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exact"/>
          <w:jc w:val="center"/>
        </w:trPr>
        <w:tc>
          <w:tcPr>
            <w:tcW w:w="4021" w:type="pct"/>
            <w:gridSpan w:val="2"/>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审查结果（通过/不通过）</w:t>
            </w:r>
          </w:p>
        </w:tc>
        <w:tc>
          <w:tcPr>
            <w:tcW w:w="468"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510" w:type="pct"/>
            <w:vAlign w:val="center"/>
          </w:tcPr>
          <w:p>
            <w:pPr>
              <w:pStyle w:val="45"/>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8" w:hRule="exact"/>
          <w:jc w:val="center"/>
        </w:trPr>
        <w:tc>
          <w:tcPr>
            <w:tcW w:w="5000" w:type="pct"/>
            <w:gridSpan w:val="4"/>
            <w:vAlign w:val="center"/>
          </w:tcPr>
          <w:p>
            <w:pPr>
              <w:pStyle w:val="45"/>
              <w:pageBreakBefore w:val="0"/>
              <w:kinsoku/>
              <w:wordWrap/>
              <w:overflowPunct/>
              <w:topLinePunct w:val="0"/>
              <w:autoSpaceDE/>
              <w:autoSpaceDN/>
              <w:bidi w:val="0"/>
              <w:adjustRightInd/>
              <w:spacing w:line="38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备注：如果投标文件中有一项未通过上述审查标准，评标委员会将认定整个投标文件不响应</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而予以无效处理，并且不允许投标人通过修改或撤销其不符合要求的差异或保留，使之成为具有响应性的投标。</w:t>
            </w:r>
          </w:p>
        </w:tc>
      </w:tr>
    </w:tbl>
    <w:p>
      <w:pPr>
        <w:pStyle w:val="12"/>
        <w:pageBreakBefore w:val="0"/>
        <w:tabs>
          <w:tab w:val="left" w:pos="600"/>
        </w:tabs>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3.2.1在投标文件符合性审查过程中，如果出现评标委员会成员意见不一致的情况，按照少数服从多数的原则确定，但不得违背政府采购基本原则和</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规定。</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澄清有关问题。对投标文件中含义不明确、同类问题表述不一致或者有明显文字和计算错误的内容，评标委员会可以书面形式（应当由评标委员会签字）要求投标人作出必要的澄清、说明或者补正。投标人的澄清、说明或者补正应当采用书面形式，由其授权人或者被授权人签字，并不得超出投标文件的范围或者改变投标文件的实质性内容。</w:t>
      </w:r>
      <w:bookmarkStart w:id="157" w:name="_Toc183582287"/>
      <w:bookmarkStart w:id="158" w:name="_Toc183682422"/>
      <w:bookmarkStart w:id="159" w:name="_Toc217446104"/>
    </w:p>
    <w:bookmarkEnd w:id="157"/>
    <w:bookmarkEnd w:id="158"/>
    <w:bookmarkEnd w:id="159"/>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3.4比较与评价。按</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中规定的评标方法和标准，对符合性审查合格的投标文件进行综合比较与评价。</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3.5推荐中标候选人名单。中标候选人数量应当根据</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确定，但必须按顺序排列中标候选人。</w:t>
      </w:r>
    </w:p>
    <w:p>
      <w:pPr>
        <w:pStyle w:val="39"/>
        <w:pageBreakBefore w:val="0"/>
        <w:kinsoku/>
        <w:wordWrap/>
        <w:overflowPunct/>
        <w:topLinePunct w:val="0"/>
        <w:autoSpaceDE/>
        <w:autoSpaceDN/>
        <w:bidi w:val="0"/>
        <w:adjustRightInd/>
        <w:spacing w:line="380" w:lineRule="exac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3.5.1评标委员会根据综合评分情况，按照评标得分由高到低顺序推荐3名中标候选人，并编写评标报告。得分相同的，按投标报价由低到高顺序排列。得分且投标报价相同的</w:t>
      </w:r>
      <w:r>
        <w:rPr>
          <w:rFonts w:hint="eastAsia" w:ascii="宋体" w:hAnsi="宋体" w:eastAsia="宋体" w:cs="宋体"/>
          <w:color w:val="000000" w:themeColor="text1"/>
          <w:sz w:val="24"/>
          <w:szCs w:val="24"/>
          <w:highlight w:val="none"/>
          <w:shd w:val="clear" w:color="auto" w:fill="FAFAFA"/>
          <w14:textFill>
            <w14:solidFill>
              <w14:schemeClr w14:val="tx1"/>
            </w14:solidFill>
          </w14:textFill>
        </w:rPr>
        <w:t>，按照技术指标优劣顺序推荐</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3.6编写评标报告。评标报告是评标委员会根据评标委员成员签字的原始评标记录和评标结果编写的报告，其主要内容包括：</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（1）项目概况、开标日期和地点；</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（2）参与竞争的的投标人名单和评标委员会成员名单；</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（3）评审因素和评分标准；</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（4）开标记录和评标情况及说明，包括投标无效投标人名单及原因；</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（5）评标结果和中标候选人排序。</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160" w:name="_Toc217446103"/>
      <w:r>
        <w:rPr>
          <w:rFonts w:hint="eastAsia" w:ascii="宋体" w:hAnsi="宋体" w:eastAsia="宋体" w:cs="宋体"/>
          <w:color w:val="000000" w:themeColor="text1"/>
          <w:sz w:val="24"/>
          <w:szCs w:val="24"/>
          <w:highlight w:val="none"/>
          <w14:textFill>
            <w14:solidFill>
              <w14:schemeClr w14:val="tx1"/>
            </w14:solidFill>
          </w14:textFill>
        </w:rPr>
        <w:t>4. 评标细则及标准</w:t>
      </w:r>
      <w:bookmarkEnd w:id="160"/>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 评标委员会只对通过符合性审查的投标文件，根据</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的要求采用相同的评标程序、评分办法及标准进行评价和比较。</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 本次综合评分的因素是：商务、价格、技术服务、业绩、对</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的响应程度以及投标文件规范性等。</w:t>
      </w:r>
    </w:p>
    <w:p>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 除价格因素外，评标委员会成员应依据投标文件规定的评审因素和评分标准进行比较打分。</w:t>
      </w:r>
    </w:p>
    <w:p>
      <w:pPr>
        <w:pStyle w:val="12"/>
        <w:pageBreakBefore w:val="0"/>
        <w:tabs>
          <w:tab w:val="left" w:pos="600"/>
        </w:tabs>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4.4评标细则及标准的制定以科学合理、降低评标委员会自由裁量权为原则。</w:t>
      </w:r>
    </w:p>
    <w:p>
      <w:pPr>
        <w:pStyle w:val="12"/>
        <w:pageBreakBefore w:val="0"/>
        <w:tabs>
          <w:tab w:val="left" w:pos="600"/>
        </w:tabs>
        <w:kinsoku/>
        <w:wordWrap/>
        <w:overflowPunct/>
        <w:topLinePunct w:val="0"/>
        <w:autoSpaceDE/>
        <w:autoSpaceDN/>
        <w:bidi w:val="0"/>
        <w:adjustRightInd/>
        <w:spacing w:line="3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4.5评标委员会将按照下述评分标准对通过符合性审查的投标文件进行详细评标，投标人评标得分等于所有评委评分的算术平均值，结果保留两位小数。</w:t>
      </w:r>
    </w:p>
    <w:p>
      <w:pPr>
        <w:pStyle w:val="12"/>
        <w:tabs>
          <w:tab w:val="left" w:pos="600"/>
        </w:tabs>
        <w:spacing w:line="360" w:lineRule="auto"/>
        <w:ind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评审因素权重表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1974"/>
        <w:gridCol w:w="2241"/>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序号</w:t>
            </w:r>
          </w:p>
        </w:tc>
        <w:tc>
          <w:tcPr>
            <w:tcW w:w="115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1</w:t>
            </w:r>
          </w:p>
        </w:tc>
        <w:tc>
          <w:tcPr>
            <w:tcW w:w="131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2</w:t>
            </w:r>
          </w:p>
        </w:tc>
        <w:tc>
          <w:tcPr>
            <w:tcW w:w="15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评审因素</w:t>
            </w:r>
          </w:p>
        </w:tc>
        <w:tc>
          <w:tcPr>
            <w:tcW w:w="115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投标报价</w:t>
            </w:r>
          </w:p>
        </w:tc>
        <w:tc>
          <w:tcPr>
            <w:tcW w:w="131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技术、商务部分</w:t>
            </w:r>
          </w:p>
        </w:tc>
        <w:tc>
          <w:tcPr>
            <w:tcW w:w="15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权重</w:t>
            </w:r>
          </w:p>
        </w:tc>
        <w:tc>
          <w:tcPr>
            <w:tcW w:w="115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cs="宋体"/>
                <w:color w:val="000000" w:themeColor="text1"/>
                <w:spacing w:val="6"/>
                <w:kern w:val="0"/>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pacing w:val="6"/>
                <w:kern w:val="0"/>
                <w:sz w:val="24"/>
                <w:szCs w:val="24"/>
                <w:highlight w:val="none"/>
                <w14:textFill>
                  <w14:solidFill>
                    <w14:schemeClr w14:val="tx1"/>
                  </w14:solidFill>
                </w14:textFill>
              </w:rPr>
              <w:t>0%</w:t>
            </w:r>
          </w:p>
        </w:tc>
        <w:tc>
          <w:tcPr>
            <w:tcW w:w="131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cs="宋体"/>
                <w:color w:val="000000" w:themeColor="text1"/>
                <w:spacing w:val="6"/>
                <w:kern w:val="0"/>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pacing w:val="6"/>
                <w:kern w:val="0"/>
                <w:sz w:val="24"/>
                <w:szCs w:val="24"/>
                <w:highlight w:val="none"/>
                <w14:textFill>
                  <w14:solidFill>
                    <w14:schemeClr w14:val="tx1"/>
                  </w14:solidFill>
                </w14:textFill>
              </w:rPr>
              <w:t>0%</w:t>
            </w:r>
          </w:p>
        </w:tc>
        <w:tc>
          <w:tcPr>
            <w:tcW w:w="15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pacing w:val="6"/>
                <w:kern w:val="0"/>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100%</w:t>
            </w:r>
          </w:p>
        </w:tc>
      </w:tr>
    </w:tbl>
    <w:p>
      <w:pPr>
        <w:pStyle w:val="12"/>
        <w:tabs>
          <w:tab w:val="left" w:pos="600"/>
        </w:tabs>
        <w:spacing w:line="360" w:lineRule="auto"/>
        <w:ind w:firstLine="0"/>
        <w:jc w:val="center"/>
        <w:rPr>
          <w:rFonts w:hint="eastAsia" w:ascii="宋体" w:hAnsi="宋体" w:eastAsia="宋体" w:cs="宋体"/>
          <w:color w:val="000000" w:themeColor="text1"/>
          <w:spacing w:val="6"/>
          <w:kern w:val="0"/>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技术、商务部分评审标准（</w:t>
      </w:r>
      <w:r>
        <w:rPr>
          <w:rFonts w:hint="eastAsia" w:ascii="宋体" w:hAnsi="宋体" w:cs="宋体"/>
          <w:b/>
          <w:bCs/>
          <w:color w:val="000000" w:themeColor="text1"/>
          <w:sz w:val="24"/>
          <w:szCs w:val="24"/>
          <w:highlight w:val="none"/>
          <w:lang w:val="en-US" w:eastAsia="zh-CN"/>
          <w14:textFill>
            <w14:solidFill>
              <w14:schemeClr w14:val="tx1"/>
            </w14:solidFill>
          </w14:textFill>
        </w:rPr>
        <w:t>7</w:t>
      </w:r>
      <w:r>
        <w:rPr>
          <w:rFonts w:hint="eastAsia" w:ascii="宋体" w:hAnsi="宋体" w:eastAsia="宋体" w:cs="宋体"/>
          <w:b/>
          <w:bCs/>
          <w:color w:val="000000" w:themeColor="text1"/>
          <w:sz w:val="24"/>
          <w:szCs w:val="24"/>
          <w:highlight w:val="none"/>
          <w14:textFill>
            <w14:solidFill>
              <w14:schemeClr w14:val="tx1"/>
            </w14:solidFill>
          </w14:textFill>
        </w:rPr>
        <w:t>0分）</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7"/>
        <w:gridCol w:w="992"/>
        <w:gridCol w:w="63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1157" w:type="dxa"/>
            <w:tcBorders>
              <w:lef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评审因素</w:t>
            </w:r>
          </w:p>
        </w:tc>
        <w:tc>
          <w:tcPr>
            <w:tcW w:w="992"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 xml:space="preserve">分值 </w:t>
            </w:r>
          </w:p>
          <w:p>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w:t>
            </w:r>
            <w:r>
              <w:rPr>
                <w:rFonts w:hint="eastAsia" w:ascii="宋体" w:hAnsi="宋体" w:cs="宋体"/>
                <w:b w:val="0"/>
                <w:bCs/>
                <w:color w:val="000000" w:themeColor="text1"/>
                <w:sz w:val="24"/>
                <w:szCs w:val="24"/>
                <w:highlight w:val="none"/>
                <w:shd w:val="clear" w:color="auto" w:fill="auto"/>
                <w:lang w:val="en-US" w:eastAsia="zh-CN"/>
                <w14:textFill>
                  <w14:solidFill>
                    <w14:schemeClr w14:val="tx1"/>
                  </w14:solidFill>
                </w14:textFill>
              </w:rPr>
              <w:t>70</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分）</w:t>
            </w:r>
          </w:p>
        </w:tc>
        <w:tc>
          <w:tcPr>
            <w:tcW w:w="6334"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评审标准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6" w:hRule="atLeast"/>
          <w:jc w:val="center"/>
        </w:trPr>
        <w:tc>
          <w:tcPr>
            <w:tcW w:w="1157"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pPr>
            <w:r>
              <w:rPr>
                <w:rFonts w:hint="eastAsia" w:ascii="宋体" w:hAnsi="宋体" w:cs="宋体"/>
                <w:b w:val="0"/>
                <w:bCs/>
                <w:color w:val="000000" w:themeColor="text1"/>
                <w:sz w:val="24"/>
                <w:szCs w:val="24"/>
                <w:highlight w:val="none"/>
                <w:shd w:val="clear" w:color="auto" w:fill="auto"/>
                <w:lang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lang w:eastAsia="zh-CN"/>
                <w14:textFill>
                  <w14:solidFill>
                    <w14:schemeClr w14:val="tx1"/>
                  </w14:solidFill>
                </w14:textFill>
              </w:rPr>
              <w:t>业</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绩</w:t>
            </w:r>
          </w:p>
        </w:tc>
        <w:tc>
          <w:tcPr>
            <w:tcW w:w="992"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pPr>
            <w:r>
              <w:rPr>
                <w:rFonts w:hint="eastAsia" w:ascii="宋体" w:hAnsi="宋体" w:cs="宋体"/>
                <w:b w:val="0"/>
                <w:bCs/>
                <w:color w:val="000000" w:themeColor="text1"/>
                <w:sz w:val="24"/>
                <w:szCs w:val="24"/>
                <w:highlight w:val="none"/>
                <w:shd w:val="clear" w:color="auto" w:fill="auto"/>
                <w:lang w:val="en-US" w:eastAsia="zh-CN"/>
                <w14:textFill>
                  <w14:solidFill>
                    <w14:schemeClr w14:val="tx1"/>
                  </w14:solidFill>
                </w14:textFill>
              </w:rPr>
              <w:t>5</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分</w:t>
            </w:r>
          </w:p>
        </w:tc>
        <w:tc>
          <w:tcPr>
            <w:tcW w:w="6334"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textAlignment w:val="auto"/>
              <w:outlineLvl w:val="9"/>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根据</w:t>
            </w:r>
            <w:r>
              <w:rPr>
                <w:rFonts w:hint="eastAsia" w:ascii="宋体" w:hAnsi="宋体" w:cs="宋体"/>
                <w:b w:val="0"/>
                <w:bCs/>
                <w:color w:val="000000" w:themeColor="text1"/>
                <w:sz w:val="24"/>
                <w:szCs w:val="24"/>
                <w:highlight w:val="none"/>
                <w:shd w:val="clear" w:color="auto" w:fill="auto"/>
                <w:lang w:eastAsia="zh-CN"/>
                <w14:textFill>
                  <w14:solidFill>
                    <w14:schemeClr w14:val="tx1"/>
                  </w14:solidFill>
                </w14:textFill>
              </w:rPr>
              <w:t>投标人</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提供近三年（</w:t>
            </w:r>
            <w:r>
              <w:rPr>
                <w:rFonts w:hint="eastAsia" w:ascii="宋体" w:hAnsi="宋体" w:eastAsia="宋体" w:cs="宋体"/>
                <w:b w:val="0"/>
                <w:bCs/>
                <w:color w:val="000000" w:themeColor="text1"/>
                <w:sz w:val="24"/>
                <w:szCs w:val="24"/>
                <w:highlight w:val="none"/>
                <w:shd w:val="clear" w:color="auto" w:fill="auto"/>
                <w:lang w:eastAsia="zh-CN"/>
                <w14:textFill>
                  <w14:solidFill>
                    <w14:schemeClr w14:val="tx1"/>
                  </w14:solidFill>
                </w14:textFill>
              </w:rPr>
              <w:t>2020年0</w:t>
            </w:r>
            <w:r>
              <w:rPr>
                <w:rFonts w:hint="eastAsia" w:ascii="宋体" w:hAnsi="宋体" w:cs="宋体"/>
                <w:b w:val="0"/>
                <w:bCs/>
                <w:color w:val="000000" w:themeColor="text1"/>
                <w:sz w:val="24"/>
                <w:szCs w:val="24"/>
                <w:highlight w:val="none"/>
                <w:shd w:val="clear" w:color="auto" w:fill="auto"/>
                <w:lang w:val="en-US" w:eastAsia="zh-CN"/>
                <w14:textFill>
                  <w14:solidFill>
                    <w14:schemeClr w14:val="tx1"/>
                  </w14:solidFill>
                </w14:textFill>
              </w:rPr>
              <w:t>8</w:t>
            </w:r>
            <w:r>
              <w:rPr>
                <w:rFonts w:hint="eastAsia" w:ascii="宋体" w:hAnsi="宋体" w:eastAsia="宋体" w:cs="宋体"/>
                <w:b w:val="0"/>
                <w:bCs/>
                <w:color w:val="000000" w:themeColor="text1"/>
                <w:sz w:val="24"/>
                <w:szCs w:val="24"/>
                <w:highlight w:val="none"/>
                <w:shd w:val="clear" w:color="auto" w:fill="auto"/>
                <w:lang w:eastAsia="zh-CN"/>
                <w14:textFill>
                  <w14:solidFill>
                    <w14:schemeClr w14:val="tx1"/>
                  </w14:solidFill>
                </w14:textFill>
              </w:rPr>
              <w:t>月01日-投标文件上传截止时间前，</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业绩认定日期以</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合同签订日期</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为准）类似业绩进行评分，1项得</w:t>
            </w:r>
            <w:r>
              <w:rPr>
                <w:rFonts w:hint="eastAsia" w:ascii="宋体" w:hAnsi="宋体" w:cs="宋体"/>
                <w:b w:val="0"/>
                <w:bCs/>
                <w:color w:val="000000" w:themeColor="text1"/>
                <w:sz w:val="24"/>
                <w:szCs w:val="24"/>
                <w:highlight w:val="none"/>
                <w:shd w:val="clear" w:color="auto" w:fill="auto"/>
                <w:lang w:val="en-US" w:eastAsia="zh-CN"/>
                <w14:textFill>
                  <w14:solidFill>
                    <w14:schemeClr w14:val="tx1"/>
                  </w14:solidFill>
                </w14:textFill>
              </w:rPr>
              <w:t>2.5</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分，最高得</w:t>
            </w:r>
            <w:r>
              <w:rPr>
                <w:rFonts w:hint="eastAsia" w:ascii="宋体" w:hAnsi="宋体" w:cs="宋体"/>
                <w:b w:val="0"/>
                <w:bCs/>
                <w:color w:val="000000" w:themeColor="text1"/>
                <w:sz w:val="24"/>
                <w:szCs w:val="24"/>
                <w:highlight w:val="none"/>
                <w:shd w:val="clear" w:color="auto" w:fill="auto"/>
                <w:lang w:val="en-US" w:eastAsia="zh-CN"/>
                <w14:textFill>
                  <w14:solidFill>
                    <w14:schemeClr w14:val="tx1"/>
                  </w14:solidFill>
                </w14:textFill>
              </w:rPr>
              <w:t>5</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分。</w:t>
            </w:r>
          </w:p>
          <w:p>
            <w:pPr>
              <w:pStyle w:val="45"/>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textAlignment w:val="auto"/>
              <w:outlineLvl w:val="9"/>
              <w:rPr>
                <w:rFonts w:hint="eastAsia" w:ascii="宋体" w:hAnsi="宋体" w:eastAsia="宋体" w:cs="宋体"/>
                <w:b w:val="0"/>
                <w:bCs/>
                <w:color w:val="000000" w:themeColor="text1"/>
                <w:sz w:val="22"/>
                <w:szCs w:val="22"/>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4"/>
                <w:szCs w:val="24"/>
                <w:highlight w:val="none"/>
                <w:shd w:val="clear" w:color="auto" w:fill="auto"/>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须提供</w:t>
            </w:r>
            <w:r>
              <w:rPr>
                <w:rFonts w:hint="eastAsia" w:ascii="宋体" w:hAnsi="宋体" w:cs="宋体"/>
                <w:color w:val="000000" w:themeColor="text1"/>
                <w:sz w:val="24"/>
                <w:szCs w:val="24"/>
                <w:highlight w:val="none"/>
                <w:lang w:eastAsia="zh-CN"/>
                <w14:textFill>
                  <w14:solidFill>
                    <w14:schemeClr w14:val="tx1"/>
                  </w14:solidFill>
                </w14:textFill>
              </w:rPr>
              <w:t>中标通知书和</w:t>
            </w:r>
            <w:r>
              <w:rPr>
                <w:rFonts w:hint="eastAsia" w:ascii="宋体" w:hAnsi="宋体" w:cs="宋体"/>
                <w:color w:val="000000" w:themeColor="text1"/>
                <w:sz w:val="24"/>
                <w:szCs w:val="24"/>
                <w:highlight w:val="none"/>
                <w14:textFill>
                  <w14:solidFill>
                    <w14:schemeClr w14:val="tx1"/>
                  </w14:solidFill>
                </w14:textFill>
              </w:rPr>
              <w:t>合同（至少包括合同首页、标的页、签字盖章页、服务内容页）</w:t>
            </w:r>
            <w:r>
              <w:rPr>
                <w:rFonts w:hint="eastAsia" w:ascii="宋体" w:hAnsi="宋体" w:cs="宋体"/>
                <w:color w:val="000000" w:themeColor="text1"/>
                <w:sz w:val="24"/>
                <w:szCs w:val="24"/>
                <w:highlight w:val="none"/>
                <w:lang w:eastAsia="zh-CN"/>
                <w14:textFill>
                  <w14:solidFill>
                    <w14:schemeClr w14:val="tx1"/>
                  </w14:solidFill>
                </w14:textFill>
              </w:rPr>
              <w:t>复印件</w:t>
            </w:r>
            <w:r>
              <w:rPr>
                <w:rFonts w:hint="eastAsia" w:ascii="宋体" w:hAnsi="宋体" w:cs="宋体"/>
                <w:color w:val="000000" w:themeColor="text1"/>
                <w:sz w:val="24"/>
                <w:szCs w:val="24"/>
                <w:highlight w:val="none"/>
                <w14:textFill>
                  <w14:solidFill>
                    <w14:schemeClr w14:val="tx1"/>
                  </w14:solidFill>
                </w14:textFill>
              </w:rPr>
              <w:t>等证明材料</w:t>
            </w:r>
            <w:r>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57"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ascii="宋体" w:hAnsi="宋体" w:eastAsia="宋体" w:cs="宋体"/>
                <w:b w:val="0"/>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val="0"/>
                <w:bCs/>
                <w:color w:val="000000" w:themeColor="text1"/>
                <w:spacing w:val="-9"/>
                <w:sz w:val="24"/>
                <w:szCs w:val="24"/>
                <w:highlight w:val="none"/>
                <w14:textFill>
                  <w14:solidFill>
                    <w14:schemeClr w14:val="tx1"/>
                  </w14:solidFill>
                </w14:textFill>
              </w:rPr>
              <w:t>服务保障的符合程度</w:t>
            </w:r>
          </w:p>
        </w:tc>
        <w:tc>
          <w:tcPr>
            <w:tcW w:w="992"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pPr>
            <w:r>
              <w:rPr>
                <w:rFonts w:hint="eastAsia" w:ascii="宋体" w:hAnsi="宋体" w:cs="宋体"/>
                <w:b w:val="0"/>
                <w:bCs/>
                <w:color w:val="000000" w:themeColor="text1"/>
                <w:sz w:val="24"/>
                <w:szCs w:val="24"/>
                <w:highlight w:val="none"/>
                <w:shd w:val="clear" w:color="auto" w:fill="auto"/>
                <w:lang w:val="en-US" w:eastAsia="zh-CN"/>
                <w14:textFill>
                  <w14:solidFill>
                    <w14:schemeClr w14:val="tx1"/>
                  </w14:solidFill>
                </w14:textFill>
              </w:rPr>
              <w:t>27.5</w:t>
            </w:r>
            <w:r>
              <w:rPr>
                <w:rFonts w:hint="eastAsia" w:ascii="宋体" w:hAnsi="宋体" w:eastAsia="宋体" w:cs="宋体"/>
                <w:b w:val="0"/>
                <w:bCs/>
                <w:color w:val="000000" w:themeColor="text1"/>
                <w:sz w:val="24"/>
                <w:szCs w:val="24"/>
                <w:highlight w:val="none"/>
                <w:shd w:val="clear" w:color="auto" w:fill="auto"/>
                <w:lang w:val="en-US" w:eastAsia="zh-CN"/>
                <w14:textFill>
                  <w14:solidFill>
                    <w14:schemeClr w14:val="tx1"/>
                  </w14:solidFill>
                </w14:textFill>
              </w:rPr>
              <w:t>分</w:t>
            </w:r>
          </w:p>
        </w:tc>
        <w:tc>
          <w:tcPr>
            <w:tcW w:w="6334" w:type="dxa"/>
            <w:noWrap w:val="0"/>
            <w:vAlign w:val="center"/>
          </w:tcPr>
          <w:p>
            <w:pPr>
              <w:pStyle w:val="17"/>
              <w:keepNext w:val="0"/>
              <w:keepLines w:val="0"/>
              <w:pageBreakBefore w:val="0"/>
              <w:widowControl/>
              <w:shd w:val="clear" w:color="auto" w:fill="auto"/>
              <w:kinsoku/>
              <w:wordWrap/>
              <w:overflowPunct/>
              <w:topLinePunct w:val="0"/>
              <w:autoSpaceDE/>
              <w:autoSpaceDN/>
              <w:bidi w:val="0"/>
              <w:adjustRightInd/>
              <w:snapToGrid/>
              <w:spacing w:line="340" w:lineRule="exact"/>
              <w:jc w:val="both"/>
              <w:textAlignment w:val="auto"/>
              <w:outlineLvl w:val="9"/>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第四章</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招标项目采购需求</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中</w:t>
            </w:r>
            <w:r>
              <w:rPr>
                <w:rFonts w:hint="eastAsia" w:ascii="宋体" w:hAnsi="宋体" w:cs="宋体"/>
                <w:color w:val="000000" w:themeColor="text1"/>
                <w:sz w:val="24"/>
                <w:szCs w:val="24"/>
                <w:highlight w:val="none"/>
                <w14:textFill>
                  <w14:solidFill>
                    <w14:schemeClr w14:val="tx1"/>
                  </w14:solidFill>
                </w14:textFill>
              </w:rPr>
              <w:t>‘★’项（</w:t>
            </w:r>
            <w:r>
              <w:rPr>
                <w:rFonts w:hint="eastAsia" w:ascii="宋体" w:hAnsi="宋体" w:cs="宋体"/>
                <w:color w:val="000000" w:themeColor="text1"/>
                <w:sz w:val="24"/>
                <w:szCs w:val="24"/>
                <w:highlight w:val="none"/>
                <w:lang w:val="en-US" w:eastAsia="zh-CN"/>
                <w14:textFill>
                  <w14:solidFill>
                    <w14:schemeClr w14:val="tx1"/>
                  </w14:solidFill>
                </w14:textFill>
              </w:rPr>
              <w:t>共4</w:t>
            </w:r>
            <w:r>
              <w:rPr>
                <w:rFonts w:hint="eastAsia" w:ascii="宋体" w:hAnsi="宋体" w:cs="宋体"/>
                <w:color w:val="000000" w:themeColor="text1"/>
                <w:sz w:val="24"/>
                <w:szCs w:val="24"/>
                <w:highlight w:val="none"/>
                <w14:textFill>
                  <w14:solidFill>
                    <w14:schemeClr w14:val="tx1"/>
                  </w14:solidFill>
                </w14:textFill>
              </w:rPr>
              <w:t>项）为关键参数项</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每满足一项得</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cs="宋体"/>
                <w:color w:val="000000" w:themeColor="text1"/>
                <w:sz w:val="24"/>
                <w:szCs w:val="24"/>
                <w:highlight w:val="none"/>
                <w14:textFill>
                  <w14:solidFill>
                    <w14:schemeClr w14:val="tx1"/>
                  </w14:solidFill>
                </w14:textFill>
              </w:rPr>
              <w:t>分，最高得</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 xml:space="preserve">。 </w:t>
            </w:r>
          </w:p>
          <w:p>
            <w:pPr>
              <w:pStyle w:val="17"/>
              <w:keepNext w:val="0"/>
              <w:keepLines w:val="0"/>
              <w:pageBreakBefore w:val="0"/>
              <w:widowControl/>
              <w:shd w:val="clear" w:color="auto" w:fill="auto"/>
              <w:kinsoku/>
              <w:wordWrap/>
              <w:overflowPunct/>
              <w:topLinePunct w:val="0"/>
              <w:autoSpaceDE/>
              <w:autoSpaceDN/>
              <w:bidi w:val="0"/>
              <w:adjustRightInd/>
              <w:snapToGrid/>
              <w:spacing w:line="340" w:lineRule="exact"/>
              <w:jc w:val="both"/>
              <w:textAlignment w:val="auto"/>
              <w:outlineLvl w:val="9"/>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投标人需按第四章</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招标项目采购需求</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中的</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规定</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，提供证明</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材料</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复印件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。如</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产品检测报告、产品合格证、鉴定证书、制造商产品彩页、制造商官网截图、制造商技术白皮书、制造商产品说明书或相应实物照片等</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，未提供、不清楚、不准确不得分。)</w:t>
            </w:r>
          </w:p>
          <w:p>
            <w:pPr>
              <w:pStyle w:val="17"/>
              <w:keepNext w:val="0"/>
              <w:keepLines w:val="0"/>
              <w:pageBreakBefore w:val="0"/>
              <w:widowControl/>
              <w:shd w:val="clear" w:color="auto" w:fill="auto"/>
              <w:kinsoku/>
              <w:wordWrap/>
              <w:overflowPunct/>
              <w:topLinePunct w:val="0"/>
              <w:autoSpaceDE/>
              <w:autoSpaceDN/>
              <w:bidi w:val="0"/>
              <w:adjustRightInd/>
              <w:snapToGrid/>
              <w:spacing w:line="340" w:lineRule="exact"/>
              <w:jc w:val="both"/>
              <w:textAlignment w:val="auto"/>
              <w:outlineLvl w:val="9"/>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第四章</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招标项目采购需求</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中</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无标识则表示属一般指标项（共86项），</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一般指标项技术参数负偏离的，每</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项</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扣</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0.25</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分；</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满分21.5分，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 xml:space="preserve">扣完为止。 </w:t>
            </w:r>
          </w:p>
          <w:p>
            <w:pPr>
              <w:pStyle w:val="17"/>
              <w:keepNext w:val="0"/>
              <w:keepLines w:val="0"/>
              <w:pageBreakBefore w:val="0"/>
              <w:widowControl/>
              <w:shd w:val="clear" w:color="auto" w:fill="auto"/>
              <w:kinsoku/>
              <w:wordWrap/>
              <w:overflowPunct/>
              <w:topLinePunct w:val="0"/>
              <w:autoSpaceDE/>
              <w:autoSpaceDN/>
              <w:bidi w:val="0"/>
              <w:adjustRightInd/>
              <w:snapToGrid/>
              <w:spacing w:line="340" w:lineRule="exact"/>
              <w:jc w:val="both"/>
              <w:textAlignment w:val="auto"/>
              <w:outlineLvl w:val="9"/>
              <w:rPr>
                <w:rFonts w:hint="default" w:ascii="宋体" w:hAnsi="宋体" w:eastAsia="宋体" w:cs="宋体"/>
                <w:b w:val="0"/>
                <w:bCs/>
                <w:color w:val="000000" w:themeColor="text1"/>
                <w:sz w:val="22"/>
                <w:szCs w:val="22"/>
                <w:highlight w:val="none"/>
                <w:lang w:val="en-US" w:eastAsia="zh-CN"/>
                <w14:textFill>
                  <w14:solidFill>
                    <w14:schemeClr w14:val="tx1"/>
                  </w14:solidFill>
                </w14:textFill>
              </w:rPr>
            </w:pP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投标人需按第四章</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招标项目采购需求</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中的</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规定</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，提供证明</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材料</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复印件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。如</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产品检测报告、产品合格证、鉴定证书、制造商产品彩页、制造商官网截图、制造商技术白皮书、制造商产品说明书或相应实物照片等</w:t>
            </w:r>
            <w:r>
              <w:rPr>
                <w:rFonts w:hint="eastAsia" w:ascii="宋体" w:hAnsi="宋体" w:cs="宋体"/>
                <w:b w:val="0"/>
                <w:bCs/>
                <w:color w:val="000000" w:themeColor="text1"/>
                <w:kern w:val="2"/>
                <w:sz w:val="24"/>
                <w:szCs w:val="24"/>
                <w:highlight w:val="none"/>
                <w:lang w:val="en-US" w:eastAsia="zh-CN" w:bidi="ar-SA"/>
                <w14:textFill>
                  <w14:solidFill>
                    <w14:schemeClr w14:val="tx1"/>
                  </w14:solidFill>
                </w14:textFill>
              </w:rPr>
              <w:t>，未提供、不清楚、不准确不得分。)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57" w:type="dxa"/>
            <w:noWrap w:val="0"/>
            <w:vAlign w:val="center"/>
          </w:tcPr>
          <w:p>
            <w:pPr>
              <w:autoSpaceDE w:val="0"/>
              <w:autoSpaceDN w:val="0"/>
              <w:adjustRightInd w:val="0"/>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6"/>
                <w:kern w:val="0"/>
                <w:sz w:val="24"/>
                <w:szCs w:val="24"/>
                <w:highlight w:val="none"/>
                <w14:textFill>
                  <w14:solidFill>
                    <w14:schemeClr w14:val="tx1"/>
                  </w14:solidFill>
                </w14:textFill>
              </w:rPr>
              <w:t>配送</w:t>
            </w:r>
            <w:r>
              <w:rPr>
                <w:rFonts w:hint="eastAsia" w:ascii="宋体" w:hAnsi="宋体" w:cs="宋体"/>
                <w:color w:val="000000" w:themeColor="text1"/>
                <w:spacing w:val="6"/>
                <w:kern w:val="0"/>
                <w:sz w:val="24"/>
                <w:szCs w:val="24"/>
                <w:highlight w:val="none"/>
                <w:lang w:val="en-US" w:eastAsia="zh-CN"/>
                <w14:textFill>
                  <w14:solidFill>
                    <w14:schemeClr w14:val="tx1"/>
                  </w14:solidFill>
                </w14:textFill>
              </w:rPr>
              <w:t>及安</w:t>
            </w:r>
            <w:r>
              <w:rPr>
                <w:rFonts w:hint="eastAsia" w:ascii="宋体" w:hAnsi="宋体" w:eastAsia="宋体" w:cs="宋体"/>
                <w:color w:val="000000" w:themeColor="text1"/>
                <w:spacing w:val="6"/>
                <w:kern w:val="0"/>
                <w:sz w:val="24"/>
                <w:szCs w:val="24"/>
                <w:highlight w:val="none"/>
                <w14:textFill>
                  <w14:solidFill>
                    <w14:schemeClr w14:val="tx1"/>
                  </w14:solidFill>
                </w14:textFill>
              </w:rPr>
              <w:t>装方案</w:t>
            </w:r>
          </w:p>
        </w:tc>
        <w:tc>
          <w:tcPr>
            <w:tcW w:w="992" w:type="dxa"/>
            <w:noWrap w:val="0"/>
            <w:vAlign w:val="center"/>
          </w:tcPr>
          <w:p>
            <w:pPr>
              <w:autoSpaceDE w:val="0"/>
              <w:autoSpaceDN w:val="0"/>
              <w:adjustRightInd w:val="0"/>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pacing w:val="6"/>
                <w:kern w:val="0"/>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pacing w:val="6"/>
                <w:kern w:val="0"/>
                <w:sz w:val="24"/>
                <w:szCs w:val="24"/>
                <w:highlight w:val="none"/>
                <w14:textFill>
                  <w14:solidFill>
                    <w14:schemeClr w14:val="tx1"/>
                  </w14:solidFill>
                </w14:textFill>
              </w:rPr>
              <w:t>分</w:t>
            </w:r>
          </w:p>
        </w:tc>
        <w:tc>
          <w:tcPr>
            <w:tcW w:w="6334" w:type="dxa"/>
            <w:noWrap w:val="0"/>
            <w:vAlign w:val="center"/>
          </w:tcPr>
          <w:p>
            <w:pPr>
              <w:pStyle w:val="17"/>
              <w:keepNext w:val="0"/>
              <w:keepLines w:val="0"/>
              <w:pageBreakBefore w:val="0"/>
              <w:widowControl/>
              <w:shd w:val="clear" w:color="auto" w:fill="auto"/>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t>根据投标人结合本项目实际情况提供的配送及安装方案进行评分：</w:t>
            </w:r>
          </w:p>
          <w:p>
            <w:pPr>
              <w:pStyle w:val="17"/>
              <w:keepNext w:val="0"/>
              <w:keepLines w:val="0"/>
              <w:pageBreakBefore w:val="0"/>
              <w:widowControl/>
              <w:shd w:val="clear" w:color="auto" w:fill="auto"/>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t>配送安装方案全面、细节合理性强得</w:t>
            </w:r>
            <w:r>
              <w:rPr>
                <w:rFonts w:hint="eastAsia" w:ascii="宋体" w:hAnsi="宋体" w:cs="宋体"/>
                <w:color w:val="000000" w:themeColor="text1"/>
                <w:sz w:val="22"/>
                <w:szCs w:val="22"/>
                <w:highlight w:val="none"/>
                <w:shd w:val="clear" w:color="auto" w:fill="auto"/>
                <w:lang w:val="en-US" w:eastAsia="zh-CN"/>
                <w14:textFill>
                  <w14:solidFill>
                    <w14:schemeClr w14:val="tx1"/>
                  </w14:solidFill>
                </w14:textFill>
              </w:rPr>
              <w:t>4</w:t>
            </w:r>
            <w:r>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t>分；</w:t>
            </w:r>
          </w:p>
          <w:p>
            <w:pPr>
              <w:pStyle w:val="17"/>
              <w:keepNext w:val="0"/>
              <w:keepLines w:val="0"/>
              <w:pageBreakBefore w:val="0"/>
              <w:widowControl/>
              <w:shd w:val="clear" w:color="auto" w:fill="auto"/>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t>配送安装方案一般、细节较合理性较强得</w:t>
            </w:r>
            <w:r>
              <w:rPr>
                <w:rFonts w:hint="eastAsia" w:ascii="宋体" w:hAnsi="宋体" w:cs="宋体"/>
                <w:color w:val="000000" w:themeColor="text1"/>
                <w:sz w:val="22"/>
                <w:szCs w:val="22"/>
                <w:highlight w:val="none"/>
                <w:shd w:val="clear" w:color="auto" w:fill="auto"/>
                <w:lang w:val="en-US" w:eastAsia="zh-CN"/>
                <w14:textFill>
                  <w14:solidFill>
                    <w14:schemeClr w14:val="tx1"/>
                  </w14:solidFill>
                </w14:textFill>
              </w:rPr>
              <w:t>2</w:t>
            </w:r>
            <w:r>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t>分；</w:t>
            </w:r>
          </w:p>
          <w:p>
            <w:pPr>
              <w:pStyle w:val="17"/>
              <w:keepNext w:val="0"/>
              <w:keepLines w:val="0"/>
              <w:pageBreakBefore w:val="0"/>
              <w:widowControl/>
              <w:shd w:val="clear" w:color="auto" w:fill="auto"/>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t>配送安装方案差、细节较合理性差得1分；</w:t>
            </w:r>
          </w:p>
          <w:p>
            <w:pPr>
              <w:pStyle w:val="17"/>
              <w:keepNext w:val="0"/>
              <w:keepLines w:val="0"/>
              <w:pageBreakBefore w:val="0"/>
              <w:widowControl/>
              <w:shd w:val="clear" w:color="auto" w:fill="auto"/>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宋体" w:hAnsi="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t>投标文件中未作针对性描述的</w:t>
            </w:r>
            <w:r>
              <w:rPr>
                <w:rFonts w:hint="eastAsia" w:ascii="宋体" w:hAnsi="宋体" w:eastAsia="宋体" w:cs="宋体"/>
                <w:color w:val="000000" w:themeColor="text1"/>
                <w:sz w:val="22"/>
                <w:szCs w:val="22"/>
                <w:highlight w:val="none"/>
                <w:shd w:val="clear" w:color="auto" w:fill="auto"/>
                <w:lang w:val="zh-CN" w:eastAsia="zh-CN"/>
                <w14:textFill>
                  <w14:solidFill>
                    <w14:schemeClr w14:val="tx1"/>
                  </w14:solidFill>
                </w14:textFill>
              </w:rPr>
              <w:t>得0分</w:t>
            </w:r>
            <w:r>
              <w:rPr>
                <w:rFonts w:hint="eastAsia" w:ascii="宋体" w:hAnsi="宋体" w:eastAsia="宋体" w:cs="宋体"/>
                <w:color w:val="000000" w:themeColor="text1"/>
                <w:sz w:val="22"/>
                <w:szCs w:val="22"/>
                <w:highlight w:val="none"/>
                <w:shd w:val="clear" w:color="auto" w:fill="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57" w:type="dxa"/>
            <w:noWrap w:val="0"/>
            <w:vAlign w:val="center"/>
          </w:tcPr>
          <w:p>
            <w:pPr>
              <w:tabs>
                <w:tab w:val="left" w:pos="749"/>
                <w:tab w:val="left" w:pos="3346"/>
                <w:tab w:val="left" w:pos="3873"/>
                <w:tab w:val="left" w:pos="9611"/>
              </w:tabs>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进度计划及保障措施</w:t>
            </w:r>
          </w:p>
        </w:tc>
        <w:tc>
          <w:tcPr>
            <w:tcW w:w="992" w:type="dxa"/>
            <w:noWrap w:val="0"/>
            <w:vAlign w:val="center"/>
          </w:tcPr>
          <w:p>
            <w:pPr>
              <w:autoSpaceDE w:val="0"/>
              <w:autoSpaceDN w:val="0"/>
              <w:adjustRightInd w:val="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lang w:val="zh-CN"/>
                <w14:textFill>
                  <w14:solidFill>
                    <w14:schemeClr w14:val="tx1"/>
                  </w14:solidFill>
                </w14:textFill>
              </w:rPr>
              <w:t>分</w:t>
            </w:r>
          </w:p>
        </w:tc>
        <w:tc>
          <w:tcPr>
            <w:tcW w:w="6334" w:type="dxa"/>
            <w:noWrap w:val="0"/>
            <w:vAlign w:val="center"/>
          </w:tcPr>
          <w:p>
            <w:pPr>
              <w:autoSpaceDE w:val="0"/>
              <w:autoSpaceDN w:val="0"/>
              <w:adjustRightInd w:val="0"/>
              <w:jc w:val="left"/>
              <w:rPr>
                <w:rFonts w:hint="eastAsia" w:ascii="宋体" w:hAnsi="宋体" w:cs="宋体"/>
                <w:color w:val="000000" w:themeColor="text1"/>
                <w:sz w:val="22"/>
                <w:szCs w:val="22"/>
                <w:highlight w:val="none"/>
                <w:lang w:val="zh-CN"/>
                <w14:textFill>
                  <w14:solidFill>
                    <w14:schemeClr w14:val="tx1"/>
                  </w14:solidFill>
                </w14:textFill>
              </w:rPr>
            </w:pPr>
            <w:r>
              <w:rPr>
                <w:rFonts w:hint="eastAsia" w:ascii="宋体" w:hAnsi="宋体" w:cs="宋体"/>
                <w:color w:val="000000" w:themeColor="text1"/>
                <w:sz w:val="22"/>
                <w:szCs w:val="22"/>
                <w:highlight w:val="none"/>
                <w:lang w:val="zh-CN"/>
                <w14:textFill>
                  <w14:solidFill>
                    <w14:schemeClr w14:val="tx1"/>
                  </w14:solidFill>
                </w14:textFill>
              </w:rPr>
              <w:t>根据</w:t>
            </w:r>
            <w:r>
              <w:rPr>
                <w:rFonts w:hint="eastAsia" w:ascii="宋体" w:hAnsi="宋体" w:cs="宋体"/>
                <w:color w:val="000000" w:themeColor="text1"/>
                <w:sz w:val="22"/>
                <w:szCs w:val="22"/>
                <w:highlight w:val="none"/>
                <w:lang w:val="en-US" w:eastAsia="zh-CN"/>
                <w14:textFill>
                  <w14:solidFill>
                    <w14:schemeClr w14:val="tx1"/>
                  </w14:solidFill>
                </w14:textFill>
              </w:rPr>
              <w:t>投标人</w:t>
            </w:r>
            <w:r>
              <w:rPr>
                <w:rFonts w:hint="eastAsia" w:ascii="宋体" w:hAnsi="宋体" w:cs="宋体"/>
                <w:color w:val="000000" w:themeColor="text1"/>
                <w:sz w:val="22"/>
                <w:szCs w:val="22"/>
                <w:highlight w:val="none"/>
                <w:lang w:val="zh-CN"/>
                <w14:textFill>
                  <w14:solidFill>
                    <w14:schemeClr w14:val="tx1"/>
                  </w14:solidFill>
                </w14:textFill>
              </w:rPr>
              <w:t>提供的</w:t>
            </w:r>
            <w:r>
              <w:rPr>
                <w:rFonts w:hint="eastAsia" w:ascii="宋体" w:hAnsi="宋体" w:cs="宋体"/>
                <w:color w:val="000000" w:themeColor="text1"/>
                <w:sz w:val="22"/>
                <w:szCs w:val="22"/>
                <w:highlight w:val="none"/>
                <w14:textFill>
                  <w14:solidFill>
                    <w14:schemeClr w14:val="tx1"/>
                  </w14:solidFill>
                </w14:textFill>
              </w:rPr>
              <w:t>进度计划及保障措施</w:t>
            </w:r>
            <w:r>
              <w:rPr>
                <w:rFonts w:hint="eastAsia" w:ascii="宋体" w:hAnsi="宋体" w:cs="宋体"/>
                <w:color w:val="000000" w:themeColor="text1"/>
                <w:sz w:val="22"/>
                <w:szCs w:val="22"/>
                <w:highlight w:val="none"/>
                <w:lang w:val="zh-CN"/>
                <w14:textFill>
                  <w14:solidFill>
                    <w14:schemeClr w14:val="tx1"/>
                  </w14:solidFill>
                </w14:textFill>
              </w:rPr>
              <w:t>进行评分：</w:t>
            </w:r>
          </w:p>
          <w:p>
            <w:pPr>
              <w:autoSpaceDE w:val="0"/>
              <w:autoSpaceDN w:val="0"/>
              <w:adjustRightInd w:val="0"/>
              <w:jc w:val="left"/>
              <w:rPr>
                <w:rFonts w:hint="eastAsia" w:ascii="宋体" w:hAnsi="宋体" w:cs="宋体"/>
                <w:color w:val="000000" w:themeColor="text1"/>
                <w:sz w:val="22"/>
                <w:szCs w:val="22"/>
                <w:highlight w:val="none"/>
                <w:lang w:val="zh-CN"/>
                <w14:textFill>
                  <w14:solidFill>
                    <w14:schemeClr w14:val="tx1"/>
                  </w14:solidFill>
                </w14:textFill>
              </w:rPr>
            </w:pPr>
            <w:r>
              <w:rPr>
                <w:rFonts w:hint="eastAsia" w:ascii="宋体" w:hAnsi="宋体" w:cs="宋体"/>
                <w:color w:val="000000" w:themeColor="text1"/>
                <w:sz w:val="22"/>
                <w:szCs w:val="22"/>
                <w:highlight w:val="none"/>
                <w:lang w:val="zh-CN"/>
                <w14:textFill>
                  <w14:solidFill>
                    <w14:schemeClr w14:val="tx1"/>
                  </w14:solidFill>
                </w14:textFill>
              </w:rPr>
              <w:t>实施进度计划合理、保障措施内容具体详细切实可行得</w:t>
            </w:r>
            <w:r>
              <w:rPr>
                <w:rFonts w:hint="eastAsia" w:ascii="宋体" w:hAnsi="宋体" w:cs="宋体"/>
                <w:color w:val="000000" w:themeColor="text1"/>
                <w:sz w:val="22"/>
                <w:szCs w:val="22"/>
                <w:highlight w:val="none"/>
                <w:lang w:val="en-US" w:eastAsia="zh-CN"/>
                <w14:textFill>
                  <w14:solidFill>
                    <w14:schemeClr w14:val="tx1"/>
                  </w14:solidFill>
                </w14:textFill>
              </w:rPr>
              <w:t>4</w:t>
            </w:r>
            <w:r>
              <w:rPr>
                <w:rFonts w:hint="eastAsia" w:ascii="宋体" w:hAnsi="宋体" w:cs="宋体"/>
                <w:color w:val="000000" w:themeColor="text1"/>
                <w:sz w:val="22"/>
                <w:szCs w:val="22"/>
                <w:highlight w:val="none"/>
                <w:lang w:val="zh-CN"/>
                <w14:textFill>
                  <w14:solidFill>
                    <w14:schemeClr w14:val="tx1"/>
                  </w14:solidFill>
                </w14:textFill>
              </w:rPr>
              <w:t xml:space="preserve">分； </w:t>
            </w:r>
          </w:p>
          <w:p>
            <w:pPr>
              <w:autoSpaceDE w:val="0"/>
              <w:autoSpaceDN w:val="0"/>
              <w:adjustRightInd w:val="0"/>
              <w:jc w:val="left"/>
              <w:rPr>
                <w:rFonts w:hint="eastAsia" w:ascii="宋体" w:hAnsi="宋体" w:cs="宋体"/>
                <w:color w:val="000000" w:themeColor="text1"/>
                <w:sz w:val="22"/>
                <w:szCs w:val="22"/>
                <w:highlight w:val="none"/>
                <w:lang w:val="zh-CN"/>
                <w14:textFill>
                  <w14:solidFill>
                    <w14:schemeClr w14:val="tx1"/>
                  </w14:solidFill>
                </w14:textFill>
              </w:rPr>
            </w:pPr>
            <w:r>
              <w:rPr>
                <w:rFonts w:hint="eastAsia" w:ascii="宋体" w:hAnsi="宋体" w:cs="宋体"/>
                <w:color w:val="000000" w:themeColor="text1"/>
                <w:sz w:val="22"/>
                <w:szCs w:val="22"/>
                <w:highlight w:val="none"/>
                <w:lang w:val="zh-CN"/>
                <w14:textFill>
                  <w14:solidFill>
                    <w14:schemeClr w14:val="tx1"/>
                  </w14:solidFill>
                </w14:textFill>
              </w:rPr>
              <w:t>实施进度计划合理、保障措施内容切实可行得</w:t>
            </w:r>
            <w:r>
              <w:rPr>
                <w:rFonts w:hint="eastAsia" w:ascii="宋体" w:hAnsi="宋体" w:cs="宋体"/>
                <w:color w:val="000000" w:themeColor="text1"/>
                <w:sz w:val="22"/>
                <w:szCs w:val="22"/>
                <w:highlight w:val="none"/>
                <w:lang w:val="en-US" w:eastAsia="zh-CN"/>
                <w14:textFill>
                  <w14:solidFill>
                    <w14:schemeClr w14:val="tx1"/>
                  </w14:solidFill>
                </w14:textFill>
              </w:rPr>
              <w:t>2</w:t>
            </w:r>
            <w:r>
              <w:rPr>
                <w:rFonts w:hint="eastAsia" w:ascii="宋体" w:hAnsi="宋体" w:cs="宋体"/>
                <w:color w:val="000000" w:themeColor="text1"/>
                <w:sz w:val="22"/>
                <w:szCs w:val="22"/>
                <w:highlight w:val="none"/>
                <w:lang w:val="zh-CN"/>
                <w14:textFill>
                  <w14:solidFill>
                    <w14:schemeClr w14:val="tx1"/>
                  </w14:solidFill>
                </w14:textFill>
              </w:rPr>
              <w:t xml:space="preserve">分； </w:t>
            </w:r>
          </w:p>
          <w:p>
            <w:pPr>
              <w:autoSpaceDE w:val="0"/>
              <w:autoSpaceDN w:val="0"/>
              <w:adjustRightInd w:val="0"/>
              <w:jc w:val="left"/>
              <w:rPr>
                <w:rFonts w:hint="eastAsia" w:ascii="宋体" w:hAnsi="宋体" w:cs="宋体"/>
                <w:color w:val="000000" w:themeColor="text1"/>
                <w:sz w:val="22"/>
                <w:szCs w:val="22"/>
                <w:highlight w:val="none"/>
                <w:lang w:val="zh-CN"/>
                <w14:textFill>
                  <w14:solidFill>
                    <w14:schemeClr w14:val="tx1"/>
                  </w14:solidFill>
                </w14:textFill>
              </w:rPr>
            </w:pPr>
            <w:r>
              <w:rPr>
                <w:rFonts w:hint="eastAsia" w:ascii="宋体" w:hAnsi="宋体" w:cs="宋体"/>
                <w:color w:val="000000" w:themeColor="text1"/>
                <w:sz w:val="22"/>
                <w:szCs w:val="22"/>
                <w:highlight w:val="none"/>
                <w:lang w:val="zh-CN"/>
                <w14:textFill>
                  <w14:solidFill>
                    <w14:schemeClr w14:val="tx1"/>
                  </w14:solidFill>
                </w14:textFill>
              </w:rPr>
              <w:t>实施进度计划一般、保障措施内容基本可行得1分。</w:t>
            </w:r>
          </w:p>
          <w:p>
            <w:pPr>
              <w:autoSpaceDE w:val="0"/>
              <w:autoSpaceDN w:val="0"/>
              <w:adjustRightInd w:val="0"/>
              <w:jc w:val="left"/>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cs="宋体"/>
                <w:color w:val="000000" w:themeColor="text1"/>
                <w:sz w:val="22"/>
                <w:szCs w:val="22"/>
                <w:highlight w:val="none"/>
                <w:lang w:val="en-US" w:eastAsia="zh-CN"/>
                <w14:textFill>
                  <w14:solidFill>
                    <w14:schemeClr w14:val="tx1"/>
                  </w14:solidFill>
                </w14:textFill>
              </w:rPr>
              <w:t>投标文件</w:t>
            </w:r>
            <w:r>
              <w:rPr>
                <w:rFonts w:hint="eastAsia" w:ascii="宋体" w:hAnsi="宋体" w:cs="宋体"/>
                <w:color w:val="000000" w:themeColor="text1"/>
                <w:sz w:val="22"/>
                <w:szCs w:val="22"/>
                <w:highlight w:val="none"/>
                <w:lang w:val="zh-CN"/>
                <w14:textFill>
                  <w14:solidFill>
                    <w14:schemeClr w14:val="tx1"/>
                  </w14:solidFill>
                </w14:textFill>
              </w:rPr>
              <w:t>中未作针对性描述的得0分。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57" w:type="dxa"/>
            <w:noWrap w:val="0"/>
            <w:vAlign w:val="center"/>
          </w:tcPr>
          <w:p>
            <w:pPr>
              <w:jc w:val="cente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故障检修方案</w:t>
            </w:r>
          </w:p>
        </w:tc>
        <w:tc>
          <w:tcPr>
            <w:tcW w:w="992" w:type="dxa"/>
            <w:noWrap w:val="0"/>
            <w:vAlign w:val="center"/>
          </w:tcPr>
          <w:p>
            <w:pPr>
              <w:jc w:val="cente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分</w:t>
            </w:r>
          </w:p>
        </w:tc>
        <w:tc>
          <w:tcPr>
            <w:tcW w:w="6334" w:type="dxa"/>
            <w:noWrap w:val="0"/>
            <w:vAlign w:val="center"/>
          </w:tcPr>
          <w:p>
            <w:pPr>
              <w:widowControl/>
              <w:ind w:left="-109" w:leftChars="-52" w:right="-105" w:rightChars="-50"/>
              <w:jc w:val="left"/>
              <w:rPr>
                <w:rFonts w:hint="eastAsia"/>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根据投标人提供的</w:t>
            </w:r>
            <w:r>
              <w:rPr>
                <w:rFonts w:hint="eastAsia" w:ascii="宋体" w:hAnsi="宋体" w:cs="宋体"/>
                <w:color w:val="000000" w:themeColor="text1"/>
                <w:kern w:val="0"/>
                <w:sz w:val="22"/>
                <w:szCs w:val="22"/>
                <w:highlight w:val="none"/>
                <w14:textFill>
                  <w14:solidFill>
                    <w14:schemeClr w14:val="tx1"/>
                  </w14:solidFill>
                </w14:textFill>
              </w:rPr>
              <w:t>故障检修方案</w:t>
            </w:r>
            <w:r>
              <w:rPr>
                <w:rFonts w:hint="eastAsia"/>
                <w:color w:val="000000" w:themeColor="text1"/>
                <w:sz w:val="22"/>
                <w:szCs w:val="22"/>
                <w:highlight w:val="none"/>
                <w14:textFill>
                  <w14:solidFill>
                    <w14:schemeClr w14:val="tx1"/>
                  </w14:solidFill>
                </w14:textFill>
              </w:rPr>
              <w:t>进行综合评分：</w:t>
            </w:r>
          </w:p>
          <w:p>
            <w:pPr>
              <w:widowControl/>
              <w:ind w:left="-109" w:leftChars="-52" w:right="-105" w:rightChars="-50"/>
              <w:jc w:val="left"/>
              <w:rPr>
                <w:rFonts w:hint="eastAsia"/>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方案全面、切实可行、科学先进且符合实际操作得</w:t>
            </w:r>
            <w:r>
              <w:rPr>
                <w:rFonts w:hint="eastAsia"/>
                <w:color w:val="000000" w:themeColor="text1"/>
                <w:sz w:val="22"/>
                <w:szCs w:val="22"/>
                <w:highlight w:val="none"/>
                <w:lang w:val="en-US" w:eastAsia="zh-CN"/>
                <w14:textFill>
                  <w14:solidFill>
                    <w14:schemeClr w14:val="tx1"/>
                  </w14:solidFill>
                </w14:textFill>
              </w:rPr>
              <w:t>4</w:t>
            </w:r>
            <w:r>
              <w:rPr>
                <w:rFonts w:hint="eastAsia"/>
                <w:color w:val="000000" w:themeColor="text1"/>
                <w:sz w:val="22"/>
                <w:szCs w:val="22"/>
                <w:highlight w:val="none"/>
                <w14:textFill>
                  <w14:solidFill>
                    <w14:schemeClr w14:val="tx1"/>
                  </w14:solidFill>
                </w14:textFill>
              </w:rPr>
              <w:t>分；</w:t>
            </w:r>
          </w:p>
          <w:p>
            <w:pPr>
              <w:widowControl/>
              <w:ind w:left="-109" w:leftChars="-52" w:right="-105" w:rightChars="-50"/>
              <w:jc w:val="left"/>
              <w:rPr>
                <w:rFonts w:hint="eastAsia"/>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方案基本全面、切实可行，科学先进且基本符合实际操作得2分；</w:t>
            </w:r>
          </w:p>
          <w:p>
            <w:pPr>
              <w:widowControl/>
              <w:ind w:left="-109" w:leftChars="-52" w:right="-105" w:rightChars="-50"/>
              <w:jc w:val="left"/>
              <w:rPr>
                <w:rFonts w:hint="eastAsia"/>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方案不够全面、基本可行，不够科学先进且不符合实际操作得1分。</w:t>
            </w:r>
          </w:p>
          <w:p>
            <w:pPr>
              <w:jc w:val="left"/>
              <w:rPr>
                <w:rFonts w:hint="default"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投标文件中未作针对性描述的</w:t>
            </w:r>
            <w:r>
              <w:rPr>
                <w:rFonts w:hint="eastAsia" w:ascii="宋体" w:hAnsi="宋体" w:cs="宋体"/>
                <w:color w:val="000000" w:themeColor="text1"/>
                <w:sz w:val="22"/>
                <w:szCs w:val="22"/>
                <w:highlight w:val="none"/>
                <w:lang w:val="zh-CN"/>
                <w14:textFill>
                  <w14:solidFill>
                    <w14:schemeClr w14:val="tx1"/>
                  </w14:solidFill>
                </w14:textFill>
              </w:rPr>
              <w:t>得0分</w:t>
            </w:r>
            <w:r>
              <w:rPr>
                <w:rFonts w:hint="eastAsia" w:ascii="宋体" w:hAnsi="宋体" w:cs="宋体"/>
                <w:color w:val="000000" w:themeColor="text1"/>
                <w:sz w:val="22"/>
                <w:szCs w:val="22"/>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57" w:type="dxa"/>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售后服务方案</w:t>
            </w:r>
          </w:p>
        </w:tc>
        <w:tc>
          <w:tcPr>
            <w:tcW w:w="992" w:type="dxa"/>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eastAsia="宋体" w:cs="宋体"/>
                <w:color w:val="000000" w:themeColor="text1"/>
                <w:sz w:val="24"/>
                <w:highlight w:val="none"/>
                <w:lang w:val="en-US" w:eastAsia="zh-CN"/>
                <w14:textFill>
                  <w14:solidFill>
                    <w14:schemeClr w14:val="tx1"/>
                  </w14:solidFill>
                </w14:textFill>
              </w:rPr>
              <w:t>分</w:t>
            </w:r>
          </w:p>
        </w:tc>
        <w:tc>
          <w:tcPr>
            <w:tcW w:w="6334" w:type="dxa"/>
            <w:noWrap w:val="0"/>
            <w:vAlign w:val="center"/>
          </w:tcPr>
          <w:p>
            <w:pPr>
              <w:numPr>
                <w:ilvl w:val="0"/>
                <w:numId w:val="0"/>
              </w:numPr>
              <w:jc w:val="left"/>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lang w:eastAsia="zh-CN"/>
                <w14:textFill>
                  <w14:solidFill>
                    <w14:schemeClr w14:val="tx1"/>
                  </w14:solidFill>
                </w14:textFill>
              </w:rPr>
              <w:t>售后服务方案包括：①</w:t>
            </w:r>
            <w:r>
              <w:rPr>
                <w:rFonts w:hint="eastAsia" w:ascii="宋体" w:hAnsi="宋体"/>
                <w:color w:val="000000" w:themeColor="text1"/>
                <w:szCs w:val="21"/>
                <w:highlight w:val="none"/>
                <w14:textFill>
                  <w14:solidFill>
                    <w14:schemeClr w14:val="tx1"/>
                  </w14:solidFill>
                </w14:textFill>
              </w:rPr>
              <w:t>售后服务体系</w:t>
            </w:r>
            <w:r>
              <w:rPr>
                <w:rFonts w:hint="eastAsia" w:ascii="宋体" w:hAnsi="宋体"/>
                <w:color w:val="000000" w:themeColor="text1"/>
                <w:szCs w:val="21"/>
                <w:highlight w:val="none"/>
                <w:lang w:eastAsia="zh-CN"/>
                <w14:textFill>
                  <w14:solidFill>
                    <w14:schemeClr w14:val="tx1"/>
                  </w14:solidFill>
                </w14:textFill>
              </w:rPr>
              <w:t>；②</w:t>
            </w:r>
            <w:r>
              <w:rPr>
                <w:rFonts w:hint="eastAsia" w:ascii="宋体" w:hAnsi="宋体"/>
                <w:color w:val="000000" w:themeColor="text1"/>
                <w:szCs w:val="21"/>
                <w:highlight w:val="none"/>
                <w14:textFill>
                  <w14:solidFill>
                    <w14:schemeClr w14:val="tx1"/>
                  </w14:solidFill>
                </w14:textFill>
              </w:rPr>
              <w:t>售后服务响应时间</w:t>
            </w:r>
            <w:r>
              <w:rPr>
                <w:rFonts w:hint="eastAsia" w:ascii="宋体" w:hAnsi="宋体"/>
                <w:color w:val="000000" w:themeColor="text1"/>
                <w:szCs w:val="21"/>
                <w:highlight w:val="none"/>
                <w:lang w:eastAsia="zh-CN"/>
                <w14:textFill>
                  <w14:solidFill>
                    <w14:schemeClr w14:val="tx1"/>
                  </w14:solidFill>
                </w14:textFill>
              </w:rPr>
              <w:t>；③</w:t>
            </w:r>
            <w:r>
              <w:rPr>
                <w:rFonts w:hint="eastAsia" w:ascii="宋体" w:hAnsi="宋体"/>
                <w:color w:val="000000" w:themeColor="text1"/>
                <w:szCs w:val="21"/>
                <w:highlight w:val="none"/>
                <w14:textFill>
                  <w14:solidFill>
                    <w14:schemeClr w14:val="tx1"/>
                  </w14:solidFill>
                </w14:textFill>
              </w:rPr>
              <w:t>售后服务计划</w:t>
            </w:r>
            <w:r>
              <w:rPr>
                <w:rFonts w:hint="eastAsia" w:ascii="宋体" w:hAnsi="宋体"/>
                <w:color w:val="000000" w:themeColor="text1"/>
                <w:szCs w:val="21"/>
                <w:highlight w:val="none"/>
                <w:lang w:eastAsia="zh-CN"/>
                <w14:textFill>
                  <w14:solidFill>
                    <w14:schemeClr w14:val="tx1"/>
                  </w14:solidFill>
                </w14:textFill>
              </w:rPr>
              <w:t>；④</w:t>
            </w:r>
            <w:r>
              <w:rPr>
                <w:rFonts w:hint="eastAsia" w:ascii="宋体" w:hAnsi="宋体"/>
                <w:color w:val="000000" w:themeColor="text1"/>
                <w:szCs w:val="21"/>
                <w:highlight w:val="none"/>
                <w14:textFill>
                  <w14:solidFill>
                    <w14:schemeClr w14:val="tx1"/>
                  </w14:solidFill>
                </w14:textFill>
              </w:rPr>
              <w:t>售后服务流程</w:t>
            </w:r>
            <w:r>
              <w:rPr>
                <w:rFonts w:hint="eastAsia" w:ascii="宋体" w:hAnsi="宋体" w:eastAsia="宋体" w:cs="宋体"/>
                <w:color w:val="000000" w:themeColor="text1"/>
                <w:sz w:val="22"/>
                <w:szCs w:val="22"/>
                <w:highlight w:val="none"/>
                <w14:textFill>
                  <w14:solidFill>
                    <w14:schemeClr w14:val="tx1"/>
                  </w14:solidFill>
                </w14:textFill>
              </w:rPr>
              <w:t>。（提供一项得</w:t>
            </w:r>
            <w:r>
              <w:rPr>
                <w:rFonts w:hint="eastAsia" w:ascii="宋体" w:hAnsi="宋体" w:cs="宋体"/>
                <w:color w:val="000000" w:themeColor="text1"/>
                <w:sz w:val="22"/>
                <w:szCs w:val="22"/>
                <w:highlight w:val="none"/>
                <w:lang w:val="en-US" w:eastAsia="zh-CN"/>
                <w14:textFill>
                  <w14:solidFill>
                    <w14:schemeClr w14:val="tx1"/>
                  </w14:solidFill>
                </w14:textFill>
              </w:rPr>
              <w:t>1.5</w:t>
            </w:r>
            <w:r>
              <w:rPr>
                <w:rFonts w:hint="eastAsia" w:ascii="宋体" w:hAnsi="宋体" w:eastAsia="宋体" w:cs="宋体"/>
                <w:color w:val="000000" w:themeColor="text1"/>
                <w:sz w:val="22"/>
                <w:szCs w:val="22"/>
                <w:highlight w:val="none"/>
                <w14:textFill>
                  <w14:solidFill>
                    <w14:schemeClr w14:val="tx1"/>
                  </w14:solidFill>
                </w14:textFill>
              </w:rPr>
              <w:t>分，未提供不得分，满分</w:t>
            </w:r>
            <w:r>
              <w:rPr>
                <w:rFonts w:hint="eastAsia" w:ascii="宋体" w:hAnsi="宋体" w:cs="宋体"/>
                <w:color w:val="000000" w:themeColor="text1"/>
                <w:sz w:val="22"/>
                <w:szCs w:val="22"/>
                <w:highlight w:val="none"/>
                <w:lang w:val="en-US" w:eastAsia="zh-CN"/>
                <w14:textFill>
                  <w14:solidFill>
                    <w14:schemeClr w14:val="tx1"/>
                  </w14:solidFill>
                </w14:textFill>
              </w:rPr>
              <w:t>6</w:t>
            </w:r>
            <w:r>
              <w:rPr>
                <w:rFonts w:hint="eastAsia" w:ascii="宋体" w:hAnsi="宋体" w:eastAsia="宋体" w:cs="宋体"/>
                <w:color w:val="000000" w:themeColor="text1"/>
                <w:sz w:val="22"/>
                <w:szCs w:val="22"/>
                <w:highlight w:val="none"/>
                <w14:textFill>
                  <w14:solidFill>
                    <w14:schemeClr w14:val="tx1"/>
                  </w14:solidFill>
                </w14:textFill>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57" w:type="dxa"/>
            <w:noWrap w:val="0"/>
            <w:vAlign w:val="center"/>
          </w:tcPr>
          <w:p>
            <w:pPr>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备品备件供应方案</w:t>
            </w:r>
          </w:p>
        </w:tc>
        <w:tc>
          <w:tcPr>
            <w:tcW w:w="992" w:type="dxa"/>
            <w:noWrap w:val="0"/>
            <w:vAlign w:val="center"/>
          </w:tcPr>
          <w:p>
            <w:pPr>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eastAsia="宋体" w:cs="宋体"/>
                <w:color w:val="000000" w:themeColor="text1"/>
                <w:sz w:val="24"/>
                <w:highlight w:val="none"/>
                <w14:textFill>
                  <w14:solidFill>
                    <w14:schemeClr w14:val="tx1"/>
                  </w14:solidFill>
                </w14:textFill>
              </w:rPr>
              <w:t>分</w:t>
            </w:r>
          </w:p>
        </w:tc>
        <w:tc>
          <w:tcPr>
            <w:tcW w:w="6334" w:type="dxa"/>
            <w:noWrap w:val="0"/>
            <w:vAlign w:val="center"/>
          </w:tcPr>
          <w:p>
            <w:pPr>
              <w:jc w:val="left"/>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cs="宋体"/>
                <w:color w:val="000000" w:themeColor="text1"/>
                <w:spacing w:val="6"/>
                <w:kern w:val="0"/>
                <w:sz w:val="24"/>
                <w:highlight w:val="none"/>
                <w14:textFill>
                  <w14:solidFill>
                    <w14:schemeClr w14:val="tx1"/>
                  </w14:solidFill>
                </w14:textFill>
              </w:rPr>
              <w:t>零配件保障</w:t>
            </w:r>
            <w:r>
              <w:rPr>
                <w:rFonts w:hint="eastAsia" w:ascii="宋体" w:hAnsi="宋体" w:cs="宋体"/>
                <w:color w:val="000000" w:themeColor="text1"/>
                <w:spacing w:val="6"/>
                <w:kern w:val="0"/>
                <w:sz w:val="24"/>
                <w:highlight w:val="none"/>
                <w:lang w:eastAsia="zh-CN"/>
                <w14:textFill>
                  <w14:solidFill>
                    <w14:schemeClr w14:val="tx1"/>
                  </w14:solidFill>
                </w14:textFill>
              </w:rPr>
              <w:t>包括：①</w:t>
            </w:r>
            <w:r>
              <w:rPr>
                <w:rFonts w:hint="eastAsia" w:ascii="宋体" w:hAnsi="宋体" w:cs="宋体"/>
                <w:color w:val="000000" w:themeColor="text1"/>
                <w:sz w:val="24"/>
                <w:highlight w:val="none"/>
                <w14:textFill>
                  <w14:solidFill>
                    <w14:schemeClr w14:val="tx1"/>
                  </w14:solidFill>
                </w14:textFill>
              </w:rPr>
              <w:t>需要更换设备的零配件情况</w:t>
            </w:r>
            <w:r>
              <w:rPr>
                <w:rFonts w:hint="eastAsia" w:ascii="宋体" w:hAnsi="宋体" w:cs="宋体"/>
                <w:color w:val="000000" w:themeColor="text1"/>
                <w:sz w:val="24"/>
                <w:highlight w:val="none"/>
                <w:lang w:eastAsia="zh-CN"/>
                <w14:textFill>
                  <w14:solidFill>
                    <w14:schemeClr w14:val="tx1"/>
                  </w14:solidFill>
                </w14:textFill>
              </w:rPr>
              <w:t>；②</w:t>
            </w:r>
            <w:r>
              <w:rPr>
                <w:rFonts w:hint="eastAsia" w:ascii="宋体" w:hAnsi="宋体" w:cs="宋体"/>
                <w:color w:val="000000" w:themeColor="text1"/>
                <w:sz w:val="24"/>
                <w:highlight w:val="none"/>
                <w14:textFill>
                  <w14:solidFill>
                    <w14:schemeClr w14:val="tx1"/>
                  </w14:solidFill>
                </w14:textFill>
              </w:rPr>
              <w:t>备件情况</w:t>
            </w:r>
            <w:r>
              <w:rPr>
                <w:rFonts w:hint="eastAsia" w:ascii="宋体" w:hAnsi="宋体" w:cs="宋体"/>
                <w:color w:val="000000" w:themeColor="text1"/>
                <w:sz w:val="24"/>
                <w:highlight w:val="none"/>
                <w:lang w:eastAsia="zh-CN"/>
                <w14:textFill>
                  <w14:solidFill>
                    <w14:schemeClr w14:val="tx1"/>
                  </w14:solidFill>
                </w14:textFill>
              </w:rPr>
              <w:t>；③</w:t>
            </w:r>
            <w:r>
              <w:rPr>
                <w:rFonts w:hint="eastAsia" w:ascii="宋体" w:hAnsi="宋体" w:cs="宋体"/>
                <w:color w:val="000000" w:themeColor="text1"/>
                <w:sz w:val="24"/>
                <w:highlight w:val="none"/>
                <w14:textFill>
                  <w14:solidFill>
                    <w14:schemeClr w14:val="tx1"/>
                  </w14:solidFill>
                </w14:textFill>
              </w:rPr>
              <w:t>生产年限（如提供的备品备件生产时间早于设备生产时间，视为无效零配件）</w:t>
            </w:r>
            <w:r>
              <w:rPr>
                <w:rFonts w:hint="eastAsia" w:ascii="宋体" w:hAnsi="宋体" w:cs="宋体"/>
                <w:color w:val="000000" w:themeColor="text1"/>
                <w:sz w:val="24"/>
                <w:highlight w:val="none"/>
                <w:lang w:eastAsia="zh-CN"/>
                <w14:textFill>
                  <w14:solidFill>
                    <w14:schemeClr w14:val="tx1"/>
                  </w14:solidFill>
                </w14:textFill>
              </w:rPr>
              <w:t>；④零配件质量承诺。</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（提供一项得1.5分，未提供不得分，</w:t>
            </w:r>
            <w:r>
              <w:rPr>
                <w:rFonts w:hint="eastAsia" w:ascii="宋体" w:hAnsi="宋体" w:eastAsia="宋体" w:cs="宋体"/>
                <w:color w:val="000000" w:themeColor="text1"/>
                <w:sz w:val="24"/>
                <w:szCs w:val="24"/>
                <w:highlight w:val="none"/>
                <w:lang w:eastAsia="zh-CN"/>
                <w14:textFill>
                  <w14:solidFill>
                    <w14:schemeClr w14:val="tx1"/>
                  </w14:solidFill>
                </w14:textFill>
              </w:rPr>
              <w:t>满分</w:t>
            </w:r>
            <w:r>
              <w:rPr>
                <w:rFonts w:hint="eastAsia" w:ascii="宋体" w:hAnsi="宋体" w:eastAsia="宋体" w:cs="宋体"/>
                <w:color w:val="000000" w:themeColor="text1"/>
                <w:sz w:val="24"/>
                <w:szCs w:val="24"/>
                <w:highlight w:val="none"/>
                <w:lang w:val="en-US" w:eastAsia="zh-CN"/>
                <w14:textFill>
                  <w14:solidFill>
                    <w14:schemeClr w14:val="tx1"/>
                  </w14:solidFill>
                </w14:textFill>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57"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eastAsia="en-US"/>
                <w14:textFill>
                  <w14:solidFill>
                    <w14:schemeClr w14:val="tx1"/>
                  </w14:solidFill>
                </w14:textFill>
              </w:rPr>
              <w:t>培训方案</w:t>
            </w:r>
          </w:p>
        </w:tc>
        <w:tc>
          <w:tcPr>
            <w:tcW w:w="992"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334" w:type="dxa"/>
            <w:noWrap w:val="0"/>
            <w:vAlign w:val="center"/>
          </w:tcPr>
          <w:p>
            <w:pPr>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培训方案包括：①培训方式；②培训目标；③培训人员；④培训内容。（提供一项得1.5分，未提供不得分，满分6分）。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57" w:type="dxa"/>
            <w:noWrap w:val="0"/>
            <w:vAlign w:val="center"/>
          </w:tcPr>
          <w:p>
            <w:pP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应急服务响应与处理方案</w:t>
            </w:r>
          </w:p>
        </w:tc>
        <w:tc>
          <w:tcPr>
            <w:tcW w:w="992" w:type="dxa"/>
            <w:noWrap w:val="0"/>
            <w:vAlign w:val="center"/>
          </w:tcPr>
          <w:p>
            <w:pPr>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4.5分</w:t>
            </w:r>
          </w:p>
        </w:tc>
        <w:tc>
          <w:tcPr>
            <w:tcW w:w="6334" w:type="dxa"/>
            <w:noWrap w:val="0"/>
            <w:vAlign w:val="center"/>
          </w:tcPr>
          <w:p>
            <w:pPr>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应急服务响应与处理方案包括：①保证供货应急预案；②产品质量问题处理预案；③运输应急预案。（提供一项得</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分，未提供不得分，满分</w:t>
            </w:r>
            <w:r>
              <w:rPr>
                <w:rFonts w:hint="eastAsia" w:ascii="宋体" w:hAnsi="宋体" w:cs="宋体"/>
                <w:color w:val="000000" w:themeColor="text1"/>
                <w:sz w:val="24"/>
                <w:szCs w:val="24"/>
                <w:highlight w:val="none"/>
                <w:lang w:val="en-US" w:eastAsia="zh-CN"/>
                <w14:textFill>
                  <w14:solidFill>
                    <w14:schemeClr w14:val="tx1"/>
                  </w14:solidFill>
                </w14:textFill>
              </w:rPr>
              <w:t>4.5</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57" w:type="dxa"/>
            <w:noWrap w:val="0"/>
            <w:vAlign w:val="center"/>
          </w:tcPr>
          <w:p>
            <w:pPr>
              <w:jc w:val="center"/>
              <w:rPr>
                <w:rFonts w:hint="eastAsia" w:ascii="宋体" w:hAnsi="宋体" w:eastAsia="宋体" w:cs="宋体"/>
                <w:color w:val="000000" w:themeColor="text1"/>
                <w:sz w:val="24"/>
                <w:szCs w:val="24"/>
                <w:highlight w:val="none"/>
                <w:lang w:val="zh-CN" w:eastAsia="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安全文明施工措施</w:t>
            </w:r>
          </w:p>
        </w:tc>
        <w:tc>
          <w:tcPr>
            <w:tcW w:w="992"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6334" w:type="dxa"/>
            <w:noWrap w:val="0"/>
            <w:vAlign w:val="center"/>
          </w:tcPr>
          <w:p>
            <w:pPr>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投标人在供货</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安装期间安全文明施工措施包括：</w:t>
            </w:r>
            <w:r>
              <w:rPr>
                <w:rFonts w:hint="eastAsia" w:ascii="宋体" w:hAnsi="宋体" w:cs="宋体"/>
                <w:color w:val="000000" w:themeColor="text1"/>
                <w:sz w:val="24"/>
                <w:szCs w:val="24"/>
                <w:highlight w:val="none"/>
                <w:lang w:val="en-US" w:eastAsia="zh-CN"/>
                <w14:textFill>
                  <w14:solidFill>
                    <w14:schemeClr w14:val="tx1"/>
                  </w14:solidFill>
                </w14:textFill>
              </w:rPr>
              <w:t>①</w:t>
            </w:r>
            <w:r>
              <w:rPr>
                <w:rFonts w:hint="eastAsia" w:ascii="宋体" w:hAnsi="宋体" w:eastAsia="宋体" w:cs="宋体"/>
                <w:color w:val="000000" w:themeColor="text1"/>
                <w:sz w:val="24"/>
                <w:szCs w:val="24"/>
                <w:highlight w:val="none"/>
                <w:lang w:val="en-US" w:eastAsia="zh-CN"/>
                <w14:textFill>
                  <w14:solidFill>
                    <w14:schemeClr w14:val="tx1"/>
                  </w14:solidFill>
                </w14:textFill>
              </w:rPr>
              <w:t>文明施工</w:t>
            </w:r>
            <w:r>
              <w:rPr>
                <w:rFonts w:hint="eastAsia" w:ascii="宋体" w:hAnsi="宋体" w:cs="宋体"/>
                <w:color w:val="000000" w:themeColor="text1"/>
                <w:sz w:val="24"/>
                <w:szCs w:val="24"/>
                <w:highlight w:val="none"/>
                <w:lang w:val="en-US" w:eastAsia="zh-CN"/>
                <w14:textFill>
                  <w14:solidFill>
                    <w14:schemeClr w14:val="tx1"/>
                  </w14:solidFill>
                </w14:textFill>
              </w:rPr>
              <w:t>措施；②</w:t>
            </w:r>
            <w:r>
              <w:rPr>
                <w:rFonts w:hint="eastAsia" w:ascii="宋体" w:hAnsi="宋体" w:eastAsia="宋体" w:cs="宋体"/>
                <w:color w:val="000000" w:themeColor="text1"/>
                <w:sz w:val="24"/>
                <w:szCs w:val="24"/>
                <w:highlight w:val="none"/>
                <w:lang w:val="en-US" w:eastAsia="zh-CN"/>
                <w14:textFill>
                  <w14:solidFill>
                    <w14:schemeClr w14:val="tx1"/>
                  </w14:solidFill>
                </w14:textFill>
              </w:rPr>
              <w:t>防止噪音打扰</w:t>
            </w:r>
            <w:r>
              <w:rPr>
                <w:rFonts w:hint="eastAsia" w:ascii="宋体" w:hAnsi="宋体" w:cs="宋体"/>
                <w:color w:val="000000" w:themeColor="text1"/>
                <w:sz w:val="24"/>
                <w:szCs w:val="24"/>
                <w:highlight w:val="none"/>
                <w:lang w:val="en-US" w:eastAsia="zh-CN"/>
                <w14:textFill>
                  <w14:solidFill>
                    <w14:schemeClr w14:val="tx1"/>
                  </w14:solidFill>
                </w14:textFill>
              </w:rPr>
              <w:t>措施；③</w:t>
            </w:r>
            <w:r>
              <w:rPr>
                <w:rFonts w:hint="eastAsia" w:ascii="宋体" w:hAnsi="宋体" w:eastAsia="宋体" w:cs="宋体"/>
                <w:color w:val="000000" w:themeColor="text1"/>
                <w:sz w:val="24"/>
                <w:szCs w:val="24"/>
                <w:highlight w:val="none"/>
                <w:lang w:val="en-US" w:eastAsia="zh-CN"/>
                <w14:textFill>
                  <w14:solidFill>
                    <w14:schemeClr w14:val="tx1"/>
                  </w14:solidFill>
                </w14:textFill>
              </w:rPr>
              <w:t>维护校园环境的措施</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（提供一项得1分，未提供不得分，</w:t>
            </w:r>
            <w:r>
              <w:rPr>
                <w:rFonts w:hint="eastAsia" w:ascii="宋体" w:hAnsi="宋体" w:eastAsia="宋体" w:cs="宋体"/>
                <w:color w:val="000000" w:themeColor="text1"/>
                <w:sz w:val="24"/>
                <w:szCs w:val="24"/>
                <w:highlight w:val="none"/>
                <w:lang w:eastAsia="zh-CN"/>
                <w14:textFill>
                  <w14:solidFill>
                    <w14:schemeClr w14:val="tx1"/>
                  </w14:solidFill>
                </w14:textFill>
              </w:rPr>
              <w:t>满分</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r>
              <w:rPr>
                <w:rFonts w:hint="eastAsia" w:ascii="宋体" w:hAnsi="宋体" w:cs="宋体"/>
                <w:color w:val="000000" w:themeColor="text1"/>
                <w:sz w:val="24"/>
                <w:szCs w:val="24"/>
                <w:highlight w:val="none"/>
                <w:lang w:val="en-US" w:eastAsia="zh-CN"/>
                <w14:textFill>
                  <w14:solidFill>
                    <w14:schemeClr w14:val="tx1"/>
                  </w14:solidFill>
                </w14:textFill>
              </w:rPr>
              <w:t>。</w:t>
            </w:r>
          </w:p>
        </w:tc>
      </w:tr>
    </w:tbl>
    <w:p>
      <w:pPr>
        <w:jc w:val="center"/>
        <w:rPr>
          <w:rFonts w:hint="eastAsia" w:ascii="宋体" w:hAnsi="宋体" w:eastAsia="宋体" w:cs="宋体"/>
          <w:b/>
          <w:bCs/>
          <w:color w:val="000000" w:themeColor="text1"/>
          <w:sz w:val="24"/>
          <w:szCs w:val="24"/>
          <w:highlight w:val="none"/>
          <w14:textFill>
            <w14:solidFill>
              <w14:schemeClr w14:val="tx1"/>
            </w14:solidFill>
          </w14:textFill>
        </w:rPr>
      </w:pPr>
    </w:p>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报价部分评</w:t>
      </w:r>
      <w:r>
        <w:rPr>
          <w:rFonts w:hint="eastAsia" w:ascii="宋体" w:hAnsi="宋体" w:eastAsia="宋体" w:cs="宋体"/>
          <w:b/>
          <w:bCs/>
          <w:color w:val="000000" w:themeColor="text1"/>
          <w:sz w:val="24"/>
          <w:szCs w:val="24"/>
          <w:highlight w:val="none"/>
          <w:lang w:val="zh-CN"/>
          <w14:textFill>
            <w14:solidFill>
              <w14:schemeClr w14:val="tx1"/>
            </w14:solidFill>
          </w14:textFill>
        </w:rPr>
        <w:t>审</w:t>
      </w:r>
      <w:r>
        <w:rPr>
          <w:rFonts w:hint="eastAsia" w:ascii="宋体" w:hAnsi="宋体" w:eastAsia="宋体" w:cs="宋体"/>
          <w:b/>
          <w:bCs/>
          <w:color w:val="000000" w:themeColor="text1"/>
          <w:sz w:val="24"/>
          <w:szCs w:val="24"/>
          <w:highlight w:val="none"/>
          <w14:textFill>
            <w14:solidFill>
              <w14:schemeClr w14:val="tx1"/>
            </w14:solidFill>
          </w14:textFill>
        </w:rPr>
        <w:t>标准（</w:t>
      </w:r>
      <w:r>
        <w:rPr>
          <w:rFonts w:hint="eastAsia" w:ascii="宋体" w:hAnsi="宋体" w:cs="宋体"/>
          <w:b/>
          <w:bCs/>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b/>
          <w:bCs/>
          <w:color w:val="000000" w:themeColor="text1"/>
          <w:sz w:val="24"/>
          <w:szCs w:val="24"/>
          <w:highlight w:val="none"/>
          <w14:textFill>
            <w14:solidFill>
              <w14:schemeClr w14:val="tx1"/>
            </w14:solidFill>
          </w14:textFill>
        </w:rPr>
        <w:t>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103"/>
        <w:gridCol w:w="6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121" w:type="dxa"/>
            <w:noWrap w:val="0"/>
            <w:vAlign w:val="center"/>
          </w:tcPr>
          <w:p>
            <w:pPr>
              <w:autoSpaceDE w:val="0"/>
              <w:autoSpaceDN w:val="0"/>
              <w:adjustRightInd w:val="0"/>
              <w:jc w:val="center"/>
              <w:rPr>
                <w:rFonts w:hint="eastAsia" w:ascii="宋体" w:hAnsi="宋体" w:eastAsia="宋体" w:cs="宋体"/>
                <w:b/>
                <w:bCs/>
                <w:color w:val="000000" w:themeColor="text1"/>
                <w:sz w:val="22"/>
                <w:szCs w:val="22"/>
                <w:highlight w:val="none"/>
                <w:lang w:val="zh-CN"/>
                <w14:textFill>
                  <w14:solidFill>
                    <w14:schemeClr w14:val="tx1"/>
                  </w14:solidFill>
                </w14:textFill>
              </w:rPr>
            </w:pPr>
            <w:r>
              <w:rPr>
                <w:rFonts w:hint="eastAsia" w:ascii="宋体" w:hAnsi="宋体" w:eastAsia="宋体" w:cs="宋体"/>
                <w:b/>
                <w:bCs/>
                <w:color w:val="000000" w:themeColor="text1"/>
                <w:sz w:val="22"/>
                <w:szCs w:val="22"/>
                <w:highlight w:val="none"/>
                <w:lang w:val="zh-CN"/>
                <w14:textFill>
                  <w14:solidFill>
                    <w14:schemeClr w14:val="tx1"/>
                  </w14:solidFill>
                </w14:textFill>
              </w:rPr>
              <w:t>序号</w:t>
            </w:r>
          </w:p>
        </w:tc>
        <w:tc>
          <w:tcPr>
            <w:tcW w:w="1103" w:type="dxa"/>
            <w:noWrap w:val="0"/>
            <w:vAlign w:val="center"/>
          </w:tcPr>
          <w:p>
            <w:pPr>
              <w:autoSpaceDE w:val="0"/>
              <w:autoSpaceDN w:val="0"/>
              <w:adjustRightInd w:val="0"/>
              <w:jc w:val="center"/>
              <w:rPr>
                <w:rFonts w:hint="eastAsia" w:ascii="宋体" w:hAnsi="宋体" w:eastAsia="宋体" w:cs="宋体"/>
                <w:b/>
                <w:bCs/>
                <w:color w:val="000000" w:themeColor="text1"/>
                <w:sz w:val="22"/>
                <w:szCs w:val="22"/>
                <w:highlight w:val="none"/>
                <w:lang w:val="zh-CN"/>
                <w14:textFill>
                  <w14:solidFill>
                    <w14:schemeClr w14:val="tx1"/>
                  </w14:solidFill>
                </w14:textFill>
              </w:rPr>
            </w:pPr>
            <w:r>
              <w:rPr>
                <w:rFonts w:hint="eastAsia" w:ascii="宋体" w:hAnsi="宋体" w:eastAsia="宋体" w:cs="宋体"/>
                <w:b/>
                <w:bCs/>
                <w:color w:val="000000" w:themeColor="text1"/>
                <w:sz w:val="22"/>
                <w:szCs w:val="22"/>
                <w:highlight w:val="none"/>
                <w:lang w:val="zh-CN"/>
                <w14:textFill>
                  <w14:solidFill>
                    <w14:schemeClr w14:val="tx1"/>
                  </w14:solidFill>
                </w14:textFill>
              </w:rPr>
              <w:t>评审项目</w:t>
            </w:r>
          </w:p>
        </w:tc>
        <w:tc>
          <w:tcPr>
            <w:tcW w:w="6298" w:type="dxa"/>
            <w:noWrap w:val="0"/>
            <w:vAlign w:val="center"/>
          </w:tcPr>
          <w:p>
            <w:pPr>
              <w:autoSpaceDE w:val="0"/>
              <w:autoSpaceDN w:val="0"/>
              <w:adjustRightInd w:val="0"/>
              <w:jc w:val="center"/>
              <w:rPr>
                <w:rFonts w:hint="eastAsia" w:ascii="宋体" w:hAnsi="宋体" w:eastAsia="宋体" w:cs="宋体"/>
                <w:b/>
                <w:bCs/>
                <w:color w:val="000000" w:themeColor="text1"/>
                <w:sz w:val="22"/>
                <w:szCs w:val="22"/>
                <w:highlight w:val="none"/>
                <w:lang w:val="zh-CN"/>
                <w14:textFill>
                  <w14:solidFill>
                    <w14:schemeClr w14:val="tx1"/>
                  </w14:solidFill>
                </w14:textFill>
              </w:rPr>
            </w:pPr>
            <w:r>
              <w:rPr>
                <w:rFonts w:hint="eastAsia" w:ascii="宋体" w:hAnsi="宋体" w:eastAsia="宋体" w:cs="宋体"/>
                <w:b/>
                <w:bCs/>
                <w:color w:val="000000" w:themeColor="text1"/>
                <w:sz w:val="22"/>
                <w:szCs w:val="22"/>
                <w:highlight w:val="none"/>
                <w:lang w:val="zh-CN"/>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121" w:type="dxa"/>
            <w:vMerge w:val="restart"/>
            <w:noWrap w:val="0"/>
            <w:vAlign w:val="center"/>
          </w:tcPr>
          <w:p>
            <w:pPr>
              <w:autoSpaceDE w:val="0"/>
              <w:autoSpaceDN w:val="0"/>
              <w:adjustRightInd w:val="0"/>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1</w:t>
            </w:r>
          </w:p>
        </w:tc>
        <w:tc>
          <w:tcPr>
            <w:tcW w:w="1103" w:type="dxa"/>
            <w:vMerge w:val="restart"/>
            <w:noWrap w:val="0"/>
            <w:vAlign w:val="center"/>
          </w:tcPr>
          <w:p>
            <w:pPr>
              <w:autoSpaceDE w:val="0"/>
              <w:autoSpaceDN w:val="0"/>
              <w:adjustRightInd w:val="0"/>
              <w:jc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lang w:val="zh-CN"/>
                <w14:textFill>
                  <w14:solidFill>
                    <w14:schemeClr w14:val="tx1"/>
                  </w14:solidFill>
                </w14:textFill>
              </w:rPr>
              <w:t>投标报价</w:t>
            </w:r>
          </w:p>
        </w:tc>
        <w:tc>
          <w:tcPr>
            <w:tcW w:w="6298" w:type="dxa"/>
            <w:noWrap w:val="0"/>
            <w:vAlign w:val="center"/>
          </w:tcPr>
          <w:p>
            <w:pPr>
              <w:widowControl/>
              <w:snapToGrid w:val="0"/>
              <w:spacing w:line="360" w:lineRule="exact"/>
              <w:jc w:val="left"/>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价格分采用</w:t>
            </w:r>
            <w:r>
              <w:rPr>
                <w:rFonts w:hint="eastAsia"/>
                <w:color w:val="000000" w:themeColor="text1"/>
                <w:sz w:val="22"/>
                <w:szCs w:val="22"/>
                <w:highlight w:val="none"/>
                <w:lang w:eastAsia="zh-CN"/>
                <w14:textFill>
                  <w14:solidFill>
                    <w14:schemeClr w14:val="tx1"/>
                  </w14:solidFill>
                </w14:textFill>
              </w:rPr>
              <w:t>低价</w:t>
            </w:r>
            <w:r>
              <w:rPr>
                <w:color w:val="000000" w:themeColor="text1"/>
                <w:sz w:val="22"/>
                <w:szCs w:val="22"/>
                <w:highlight w:val="none"/>
                <w14:textFill>
                  <w14:solidFill>
                    <w14:schemeClr w14:val="tx1"/>
                  </w14:solidFill>
                </w14:textFill>
              </w:rPr>
              <w:t>优先法计算，即满足</w:t>
            </w:r>
            <w:r>
              <w:rPr>
                <w:rFonts w:hint="eastAsia"/>
                <w:color w:val="000000" w:themeColor="text1"/>
                <w:sz w:val="22"/>
                <w:szCs w:val="22"/>
                <w:highlight w:val="none"/>
                <w:lang w:eastAsia="zh-CN"/>
                <w14:textFill>
                  <w14:solidFill>
                    <w14:schemeClr w14:val="tx1"/>
                  </w14:solidFill>
                </w14:textFill>
              </w:rPr>
              <w:t>招标文件</w:t>
            </w:r>
            <w:r>
              <w:rPr>
                <w:color w:val="000000" w:themeColor="text1"/>
                <w:sz w:val="22"/>
                <w:szCs w:val="22"/>
                <w:highlight w:val="none"/>
                <w14:textFill>
                  <w14:solidFill>
                    <w14:schemeClr w14:val="tx1"/>
                  </w14:solidFill>
                </w14:textFill>
              </w:rPr>
              <w:t>要求且投标价格最</w:t>
            </w:r>
            <w:r>
              <w:rPr>
                <w:rFonts w:hint="eastAsia"/>
                <w:color w:val="000000" w:themeColor="text1"/>
                <w:sz w:val="22"/>
                <w:szCs w:val="22"/>
                <w:highlight w:val="none"/>
                <w:lang w:eastAsia="zh-CN"/>
                <w14:textFill>
                  <w14:solidFill>
                    <w14:schemeClr w14:val="tx1"/>
                  </w14:solidFill>
                </w14:textFill>
              </w:rPr>
              <w:t>低</w:t>
            </w:r>
            <w:r>
              <w:rPr>
                <w:color w:val="000000" w:themeColor="text1"/>
                <w:sz w:val="22"/>
                <w:szCs w:val="22"/>
                <w:highlight w:val="none"/>
                <w14:textFill>
                  <w14:solidFill>
                    <w14:schemeClr w14:val="tx1"/>
                  </w14:solidFill>
                </w14:textFill>
              </w:rPr>
              <w:t>的投标报价为评标基准价，其价格分为满分。</w:t>
            </w:r>
          </w:p>
          <w:p>
            <w:pPr>
              <w:widowControl/>
              <w:snapToGrid w:val="0"/>
              <w:spacing w:line="360" w:lineRule="exact"/>
              <w:jc w:val="left"/>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其他投标人的价格分统一按照下列公式计算：</w:t>
            </w:r>
          </w:p>
          <w:p>
            <w:pPr>
              <w:widowControl/>
              <w:snapToGrid w:val="0"/>
              <w:spacing w:line="360" w:lineRule="exact"/>
              <w:jc w:val="left"/>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投标报价得分=（评标基准价/投标报价）×价格权值×100</w:t>
            </w:r>
          </w:p>
          <w:p>
            <w:pPr>
              <w:widowControl/>
              <w:snapToGrid w:val="0"/>
              <w:spacing w:line="360" w:lineRule="exact"/>
              <w:jc w:val="left"/>
              <w:rPr>
                <w:rFonts w:hint="default"/>
                <w:color w:val="000000" w:themeColor="text1"/>
                <w:highlight w:val="none"/>
                <w:lang w:val="en-US" w:eastAsia="zh-CN"/>
                <w14:textFill>
                  <w14:solidFill>
                    <w14:schemeClr w14:val="tx1"/>
                  </w14:solidFill>
                </w14:textFill>
              </w:rPr>
            </w:pPr>
            <w:r>
              <w:rPr>
                <w:color w:val="000000" w:themeColor="text1"/>
                <w:sz w:val="22"/>
                <w:szCs w:val="22"/>
                <w:highlight w:val="none"/>
                <w14:textFill>
                  <w14:solidFill>
                    <w14:schemeClr w14:val="tx1"/>
                  </w14:solidFill>
                </w14:textFill>
              </w:rPr>
              <w:t>本项目的价格权重为</w:t>
            </w:r>
            <w:r>
              <w:rPr>
                <w:rFonts w:hint="eastAsia"/>
                <w:color w:val="000000" w:themeColor="text1"/>
                <w:sz w:val="22"/>
                <w:szCs w:val="22"/>
                <w:highlight w:val="none"/>
                <w:lang w:val="en-US" w:eastAsia="zh-CN"/>
                <w14:textFill>
                  <w14:solidFill>
                    <w14:schemeClr w14:val="tx1"/>
                  </w14:solidFill>
                </w14:textFill>
              </w:rPr>
              <w:t>30</w:t>
            </w:r>
            <w:r>
              <w:rPr>
                <w:color w:val="000000" w:themeColor="text1"/>
                <w:sz w:val="22"/>
                <w:szCs w:val="22"/>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121" w:type="dxa"/>
            <w:vMerge w:val="continue"/>
            <w:noWrap w:val="0"/>
            <w:vAlign w:val="center"/>
          </w:tcPr>
          <w:p>
            <w:pPr>
              <w:autoSpaceDE w:val="0"/>
              <w:autoSpaceDN w:val="0"/>
              <w:adjustRightInd w:val="0"/>
              <w:jc w:val="center"/>
              <w:rPr>
                <w:rFonts w:hint="eastAsia" w:ascii="宋体" w:hAnsi="宋体" w:eastAsia="宋体" w:cs="宋体"/>
                <w:bCs/>
                <w:color w:val="000000" w:themeColor="text1"/>
                <w:sz w:val="22"/>
                <w:szCs w:val="22"/>
                <w:highlight w:val="none"/>
                <w:lang w:val="zh-CN"/>
                <w14:textFill>
                  <w14:solidFill>
                    <w14:schemeClr w14:val="tx1"/>
                  </w14:solidFill>
                </w14:textFill>
              </w:rPr>
            </w:pPr>
          </w:p>
        </w:tc>
        <w:tc>
          <w:tcPr>
            <w:tcW w:w="1103" w:type="dxa"/>
            <w:vMerge w:val="continue"/>
            <w:noWrap w:val="0"/>
            <w:vAlign w:val="center"/>
          </w:tcPr>
          <w:p>
            <w:pPr>
              <w:autoSpaceDE w:val="0"/>
              <w:autoSpaceDN w:val="0"/>
              <w:adjustRightInd w:val="0"/>
              <w:jc w:val="center"/>
              <w:rPr>
                <w:rFonts w:hint="eastAsia" w:ascii="宋体" w:hAnsi="宋体" w:eastAsia="宋体" w:cs="宋体"/>
                <w:color w:val="000000" w:themeColor="text1"/>
                <w:sz w:val="22"/>
                <w:szCs w:val="22"/>
                <w:highlight w:val="none"/>
                <w:lang w:val="zh-CN"/>
                <w14:textFill>
                  <w14:solidFill>
                    <w14:schemeClr w14:val="tx1"/>
                  </w14:solidFill>
                </w14:textFill>
              </w:rPr>
            </w:pPr>
          </w:p>
        </w:tc>
        <w:tc>
          <w:tcPr>
            <w:tcW w:w="6298" w:type="dxa"/>
            <w:noWrap w:val="0"/>
            <w:vAlign w:val="center"/>
          </w:tcPr>
          <w:p>
            <w:pPr>
              <w:autoSpaceDE w:val="0"/>
              <w:autoSpaceDN w:val="0"/>
              <w:adjustRightInd w:val="0"/>
              <w:rPr>
                <w:rFonts w:hint="eastAsia" w:ascii="宋体" w:hAnsi="宋体" w:eastAsia="宋体" w:cs="宋体"/>
                <w:color w:val="000000" w:themeColor="text1"/>
                <w:sz w:val="22"/>
                <w:szCs w:val="22"/>
                <w:highlight w:val="none"/>
                <w:lang w:val="zh-CN"/>
                <w14:textFill>
                  <w14:solidFill>
                    <w14:schemeClr w14:val="tx1"/>
                  </w14:solidFill>
                </w14:textFill>
              </w:rPr>
            </w:pPr>
            <w:r>
              <w:rPr>
                <w:color w:val="000000" w:themeColor="text1"/>
                <w:kern w:val="0"/>
                <w:sz w:val="22"/>
                <w:szCs w:val="22"/>
                <w:highlight w:val="none"/>
                <w14:textFill>
                  <w14:solidFill>
                    <w14:schemeClr w14:val="tx1"/>
                  </w14:solidFill>
                </w14:textFill>
              </w:rPr>
              <w:t>注：1</w:t>
            </w:r>
            <w:r>
              <w:rPr>
                <w:rFonts w:hint="eastAsia"/>
                <w:color w:val="000000" w:themeColor="text1"/>
                <w:kern w:val="0"/>
                <w:sz w:val="22"/>
                <w:szCs w:val="22"/>
                <w:highlight w:val="none"/>
                <w:lang w:eastAsia="zh-CN"/>
                <w14:textFill>
                  <w14:solidFill>
                    <w14:schemeClr w14:val="tx1"/>
                  </w14:solidFill>
                </w14:textFill>
              </w:rPr>
              <w:t>、</w:t>
            </w:r>
            <w:r>
              <w:rPr>
                <w:color w:val="000000" w:themeColor="text1"/>
                <w:kern w:val="0"/>
                <w:sz w:val="22"/>
                <w:szCs w:val="22"/>
                <w:highlight w:val="none"/>
                <w14:textFill>
                  <w14:solidFill>
                    <w14:schemeClr w14:val="tx1"/>
                  </w14:solidFill>
                </w14:textFill>
              </w:rPr>
              <w:t>在经济标评审阶段，经评审委员会认为无效的投标报价，经济部分得分按“0”计</w:t>
            </w:r>
            <w:r>
              <w:rPr>
                <w:rFonts w:hint="eastAsia"/>
                <w:color w:val="000000" w:themeColor="text1"/>
                <w:kern w:val="0"/>
                <w:sz w:val="22"/>
                <w:szCs w:val="22"/>
                <w:highlight w:val="none"/>
                <w:lang w:eastAsia="zh-CN"/>
                <w14:textFill>
                  <w14:solidFill>
                    <w14:schemeClr w14:val="tx1"/>
                  </w14:solidFill>
                </w14:textFill>
              </w:rPr>
              <w:t>。</w:t>
            </w:r>
          </w:p>
        </w:tc>
      </w:tr>
    </w:tbl>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161" w:name="_Toc217446060"/>
      <w:r>
        <w:rPr>
          <w:rFonts w:hint="eastAsia" w:ascii="宋体" w:hAnsi="宋体" w:eastAsia="宋体" w:cs="宋体"/>
          <w:color w:val="000000" w:themeColor="text1"/>
          <w:sz w:val="24"/>
          <w:szCs w:val="24"/>
          <w:highlight w:val="none"/>
          <w14:textFill>
            <w14:solidFill>
              <w14:schemeClr w14:val="tx1"/>
            </w14:solidFill>
          </w14:textFill>
        </w:rPr>
        <w:t>采购人、采购代理机构在发布招标公告、资格预审公告或者发出投标邀请书后，除因重大变故采购任务取消情况外，不得擅自终止招标活动。</w:t>
      </w:r>
    </w:p>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终止招标的，采购人或者采购代理机构应当及时在原公告发布媒体上发布终止公告，以书面形式通知已经获取</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、资格预审文件或者被邀请的潜在投标人，并将项目实施情况和采购任务取消原因报告本级财政部门。已经收取</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费用或者投标保证金的，采购人或者采购代理机构应当在终止采购活动后5个工作日内，退还所收取的</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费用和所收取的投标保证金及其在银行产生的孳息。</w:t>
      </w:r>
    </w:p>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 定标</w:t>
      </w:r>
      <w:bookmarkEnd w:id="161"/>
      <w:bookmarkStart w:id="162" w:name="_Toc217446061"/>
    </w:p>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 定标原则</w:t>
      </w:r>
      <w:bookmarkEnd w:id="162"/>
      <w:r>
        <w:rPr>
          <w:rFonts w:hint="eastAsia" w:ascii="宋体" w:hAnsi="宋体" w:eastAsia="宋体" w:cs="宋体"/>
          <w:color w:val="000000" w:themeColor="text1"/>
          <w:sz w:val="24"/>
          <w:szCs w:val="24"/>
          <w:highlight w:val="none"/>
          <w14:textFill>
            <w14:solidFill>
              <w14:schemeClr w14:val="tx1"/>
            </w14:solidFill>
          </w14:textFill>
        </w:rPr>
        <w:t>：本项目根据评标委员会推荐的中标候选人名单，按顺序确定中标人。</w:t>
      </w:r>
    </w:p>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163" w:name="_Toc217446062"/>
      <w:r>
        <w:rPr>
          <w:rFonts w:hint="eastAsia" w:ascii="宋体" w:hAnsi="宋体" w:eastAsia="宋体" w:cs="宋体"/>
          <w:color w:val="000000" w:themeColor="text1"/>
          <w:sz w:val="24"/>
          <w:szCs w:val="24"/>
          <w:highlight w:val="none"/>
          <w14:textFill>
            <w14:solidFill>
              <w14:schemeClr w14:val="tx1"/>
            </w14:solidFill>
          </w14:textFill>
        </w:rPr>
        <w:t>6.2. 定标程序</w:t>
      </w:r>
      <w:bookmarkEnd w:id="163"/>
    </w:p>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6.2.1 评标委员会将评标情况写出书面报告，推荐中标候选人，并按照综合得分高低标明排列顺序。本项目采用综合评分法，评标结果按评标后得分由高到低顺序排列。得分相同的，按投标报价由低到高顺序排列。得分且投标报价相同的按照技术指标优劣顺序推荐。</w:t>
      </w:r>
    </w:p>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6.2.2 采购代理机构在评标结束后两个工作日内将评标报告送至采购人。</w:t>
      </w:r>
    </w:p>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6.2.3 采购人应当自收到评标报告之日起5个工作日内在评标报告推荐的中标候选人中按顺序确定中标人。</w:t>
      </w:r>
    </w:p>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6.2.4 根据采购人确定的中标人，采购人在招标公告发布的媒体上发布中标公告，同时向中标人发出中标通知书。</w:t>
      </w:r>
    </w:p>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6.2.5 采购人不退回投标文件和其他投标资料。</w:t>
      </w:r>
    </w:p>
    <w:bookmarkEnd w:id="156"/>
    <w:p>
      <w:pPr>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bookmarkStart w:id="164" w:name="_Toc208849022"/>
      <w:bookmarkStart w:id="165" w:name="_Toc183582297"/>
      <w:bookmarkStart w:id="166" w:name="_Toc217446105"/>
      <w:bookmarkStart w:id="167" w:name="_Toc183682432"/>
      <w:r>
        <w:rPr>
          <w:rFonts w:hint="eastAsia" w:ascii="宋体" w:hAnsi="宋体" w:eastAsia="宋体" w:cs="宋体"/>
          <w:color w:val="000000" w:themeColor="text1"/>
          <w:sz w:val="24"/>
          <w:szCs w:val="24"/>
          <w:highlight w:val="none"/>
          <w14:textFill>
            <w14:solidFill>
              <w14:schemeClr w14:val="tx1"/>
            </w14:solidFill>
          </w14:textFill>
        </w:rPr>
        <w:t xml:space="preserve">7. </w:t>
      </w:r>
      <w:bookmarkEnd w:id="164"/>
      <w:bookmarkEnd w:id="165"/>
      <w:bookmarkEnd w:id="166"/>
      <w:bookmarkEnd w:id="167"/>
      <w:r>
        <w:rPr>
          <w:rFonts w:hint="eastAsia" w:ascii="宋体" w:hAnsi="宋体" w:eastAsia="宋体" w:cs="宋体"/>
          <w:color w:val="000000" w:themeColor="text1"/>
          <w:sz w:val="24"/>
          <w:szCs w:val="24"/>
          <w:highlight w:val="none"/>
          <w14:textFill>
            <w14:solidFill>
              <w14:schemeClr w14:val="tx1"/>
            </w14:solidFill>
          </w14:textFill>
        </w:rPr>
        <w:t>评标专家在政府采购活动中承担以下义务：</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 遵纪守法，客观、公正、廉洁地履行职责。</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 按照政府采购相关法律法规和</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的规定对投标人的资格条件和投标人提供的商务、价格、技术服务、业绩、对</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的响应程度以及投标文件规范性等方面进行评价，提供科学合理、公平公正的评标意见，参与起草评标报告，并予签字确认。</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 保守秘密。不得透露招标项目情况，不得泄漏投标人的投标文件及知悉的商业秘密，不得向投标人透露评标情况。</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7.4 发现投标人在政府采购活动中有不正当竞争或恶意串通等违规行为，及时向政府采购评标工作的组织者或财政部门报告并加以制止。</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发现采购人、采购代理机构及其工作人员在招标活动中有干预评标、发表倾向性和歧视性言论、受贿或者接受投标人的其他好处及其他违法违规行为，及时向财政部门报告。</w:t>
      </w:r>
    </w:p>
    <w:p>
      <w:pPr>
        <w:widowControl/>
        <w:autoSpaceDE w:val="0"/>
        <w:autoSpaceDN w:val="0"/>
        <w:spacing w:line="360" w:lineRule="auto"/>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7.5 配合采购人或者采购代理机构答复投标人质疑，配合投诉处理工作等事宜。</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7.6 法律、法规和规章规定的其他义务。</w:t>
      </w:r>
    </w:p>
    <w:p>
      <w:pPr>
        <w:widowControl/>
        <w:autoSpaceDE w:val="0"/>
        <w:autoSpaceDN w:val="0"/>
        <w:spacing w:line="460" w:lineRule="exact"/>
        <w:ind w:firstLine="482" w:firstLineChars="200"/>
        <w:textAlignment w:val="bottom"/>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评标专家在招标活动中应当遵守以下工作纪律：</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 应邀按时参加评标活动。遇特殊情况不能出席或途中遇阻不能按时参加评标的，应及时告知财政部门或者采购人或者采购代理机构，不得私自转托他人。</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 不得参加与自己有利害关系的招标项目的评标活动。对与自己有利害关系的评标项目，如受到邀请，应主动提出回避。财政部门、采购人或采购代理机构也可要求该评标专家回避。</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有利害关系主要是指三年内曾在参加该招标项目投标人中任职(包括一般工作)或担任顾问，配偶或直系亲属在参加该招标项目的投标人中任职或担任顾问，与参加该招标项目投标人发生过法律纠纷，以及其他可能影响公正评标的情况。</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 评标过程中关闭通讯设备，不得与外界联系。</w:t>
      </w:r>
    </w:p>
    <w:p>
      <w:pPr>
        <w:widowControl/>
        <w:autoSpaceDE w:val="0"/>
        <w:autoSpaceDN w:val="0"/>
        <w:spacing w:line="46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8.4 评标过程中，不得发表影响评标公正的倾向性、歧视性言论；不得以任何明示或暗示的方式要求参加该招标项目的投标人以澄清、说明或补正为借口，表达与其原投标文件原意不同的新意见；不得以</w:t>
      </w:r>
      <w:r>
        <w:rPr>
          <w:rFonts w:hint="eastAsia" w:ascii="宋体" w:hAnsi="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没有规定的方法和标准作为评标的依据；不得违反规定的评标格式评分和撰写评标意见；不得拒绝对自己的评标意见签字确认。</w:t>
      </w:r>
    </w:p>
    <w:p>
      <w:pPr>
        <w:pStyle w:val="3"/>
        <w:spacing w:before="0" w:after="340" w:line="460" w:lineRule="exact"/>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br w:type="page"/>
      </w:r>
      <w:bookmarkStart w:id="168" w:name="_Toc19827"/>
      <w:r>
        <w:rPr>
          <w:rFonts w:hint="eastAsia" w:ascii="宋体" w:hAnsi="宋体" w:cs="宋体"/>
          <w:color w:val="000000" w:themeColor="text1"/>
          <w:sz w:val="24"/>
          <w:szCs w:val="24"/>
          <w:highlight w:val="none"/>
          <w14:textFill>
            <w14:solidFill>
              <w14:schemeClr w14:val="tx1"/>
            </w14:solidFill>
          </w14:textFill>
        </w:rPr>
        <w:t xml:space="preserve">第六章  </w:t>
      </w:r>
      <w:bookmarkEnd w:id="168"/>
      <w:r>
        <w:rPr>
          <w:rFonts w:hint="eastAsia" w:ascii="宋体" w:hAnsi="宋体" w:cs="宋体"/>
          <w:color w:val="000000" w:themeColor="text1"/>
          <w:sz w:val="24"/>
          <w:szCs w:val="24"/>
          <w:highlight w:val="none"/>
          <w14:textFill>
            <w14:solidFill>
              <w14:schemeClr w14:val="tx1"/>
            </w14:solidFill>
          </w14:textFill>
        </w:rPr>
        <w:t>拟签订的合同文本</w:t>
      </w:r>
    </w:p>
    <w:p>
      <w:pPr>
        <w:pStyle w:val="46"/>
        <w:widowControl/>
        <w:spacing w:line="480" w:lineRule="atLeast"/>
        <w:ind w:firstLine="480" w:firstLineChars="200"/>
        <w:jc w:val="center"/>
        <w:rPr>
          <w:rStyle w:val="30"/>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（本合同仅供参考，具体以实际签订的为准）</w:t>
      </w:r>
    </w:p>
    <w:p>
      <w:pPr>
        <w:pStyle w:val="46"/>
        <w:widowControl/>
        <w:spacing w:line="480" w:lineRule="atLeast"/>
        <w:ind w:firstLine="480" w:firstLineChars="200"/>
        <w:jc w:val="both"/>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甲方(采购单位)： </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，电话：</w:t>
      </w:r>
      <w:r>
        <w:rPr>
          <w:rFonts w:hint="eastAsia" w:ascii="宋体" w:hAnsi="宋体" w:cs="宋体"/>
          <w:color w:val="000000" w:themeColor="text1"/>
          <w:highlight w:val="none"/>
          <w:u w:val="single"/>
          <w14:textFill>
            <w14:solidFill>
              <w14:schemeClr w14:val="tx1"/>
            </w14:solidFill>
          </w14:textFill>
        </w:rPr>
        <w:t xml:space="preserve">                </w:t>
      </w:r>
    </w:p>
    <w:p>
      <w:pPr>
        <w:pStyle w:val="46"/>
        <w:widowControl/>
        <w:spacing w:line="480" w:lineRule="atLeast"/>
        <w:ind w:firstLine="480" w:firstLineChars="200"/>
        <w:jc w:val="both"/>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乙方(供货单位)：</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 xml:space="preserve"> ，电话：</w:t>
      </w:r>
      <w:r>
        <w:rPr>
          <w:rFonts w:hint="eastAsia" w:ascii="宋体" w:hAnsi="宋体" w:cs="宋体"/>
          <w:color w:val="000000" w:themeColor="text1"/>
          <w:highlight w:val="none"/>
          <w:u w:val="single"/>
          <w14:textFill>
            <w14:solidFill>
              <w14:schemeClr w14:val="tx1"/>
            </w14:solidFill>
          </w14:textFill>
        </w:rPr>
        <w:t xml:space="preserve">                </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根据《中华人民共和国</w:t>
      </w:r>
      <w:r>
        <w:rPr>
          <w:rFonts w:hint="eastAsia"/>
          <w:color w:val="000000" w:themeColor="text1"/>
          <w:sz w:val="24"/>
          <w:szCs w:val="24"/>
          <w:highlight w:val="none"/>
          <w:lang w:val="en-US"/>
          <w14:textFill>
            <w14:solidFill>
              <w14:schemeClr w14:val="tx1"/>
            </w14:solidFill>
          </w14:textFill>
        </w:rPr>
        <w:t>民法典</w:t>
      </w:r>
      <w:r>
        <w:rPr>
          <w:rFonts w:hint="eastAsia"/>
          <w:color w:val="000000" w:themeColor="text1"/>
          <w:sz w:val="24"/>
          <w:szCs w:val="24"/>
          <w:highlight w:val="none"/>
          <w14:textFill>
            <w14:solidFill>
              <w14:schemeClr w14:val="tx1"/>
            </w14:solidFill>
          </w14:textFill>
        </w:rPr>
        <w:t>》、参照《中华人民共和国政府采购法》等法律法规的</w:t>
      </w:r>
      <w:r>
        <w:rPr>
          <w:rFonts w:hint="eastAsia"/>
          <w:color w:val="000000" w:themeColor="text1"/>
          <w:sz w:val="24"/>
          <w:szCs w:val="24"/>
          <w:highlight w:val="none"/>
          <w:lang w:val="en-US"/>
          <w14:textFill>
            <w14:solidFill>
              <w14:schemeClr w14:val="tx1"/>
            </w14:solidFill>
          </w14:textFill>
        </w:rPr>
        <w:t>相关</w:t>
      </w:r>
      <w:r>
        <w:rPr>
          <w:rFonts w:hint="eastAsia"/>
          <w:color w:val="000000" w:themeColor="text1"/>
          <w:sz w:val="24"/>
          <w:szCs w:val="24"/>
          <w:highlight w:val="none"/>
          <w14:textFill>
            <w14:solidFill>
              <w14:schemeClr w14:val="tx1"/>
            </w14:solidFill>
          </w14:textFill>
        </w:rPr>
        <w:t>规定，在</w:t>
      </w:r>
      <w:r>
        <w:rPr>
          <w:rFonts w:hint="eastAsia"/>
          <w:color w:val="000000" w:themeColor="text1"/>
          <w:sz w:val="24"/>
          <w:szCs w:val="24"/>
          <w:highlight w:val="none"/>
          <w:u w:val="singl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招标办</w:t>
      </w:r>
      <w:r>
        <w:rPr>
          <w:rFonts w:hint="eastAsia"/>
          <w:color w:val="000000" w:themeColor="text1"/>
          <w:sz w:val="24"/>
          <w:szCs w:val="24"/>
          <w:highlight w:val="none"/>
          <w:lang w:val="en-US"/>
          <w14:textFill>
            <w14:solidFill>
              <w14:schemeClr w14:val="tx1"/>
            </w14:solidFill>
          </w14:textFill>
        </w:rPr>
        <w:t>的</w:t>
      </w:r>
      <w:r>
        <w:rPr>
          <w:rFonts w:hint="eastAsia"/>
          <w:color w:val="000000" w:themeColor="text1"/>
          <w:sz w:val="24"/>
          <w:szCs w:val="24"/>
          <w:highlight w:val="none"/>
          <w14:textFill>
            <w14:solidFill>
              <w14:schemeClr w14:val="tx1"/>
            </w14:solidFill>
          </w14:textFill>
        </w:rPr>
        <w:t>监督管理下，甲方按照采购程序进行</w:t>
      </w:r>
      <w:r>
        <w:rPr>
          <w:rFonts w:hint="eastAsia"/>
          <w:color w:val="000000" w:themeColor="text1"/>
          <w:sz w:val="24"/>
          <w:szCs w:val="24"/>
          <w:highlight w:val="none"/>
          <w:lang w:val="en-US"/>
          <w14:textFill>
            <w14:solidFill>
              <w14:schemeClr w14:val="tx1"/>
            </w14:solidFill>
          </w14:textFill>
        </w:rPr>
        <w:t>招标</w:t>
      </w:r>
      <w:r>
        <w:rPr>
          <w:rFonts w:hint="eastAsia"/>
          <w:color w:val="000000" w:themeColor="text1"/>
          <w:sz w:val="24"/>
          <w:szCs w:val="24"/>
          <w:highlight w:val="none"/>
          <w14:textFill>
            <w14:solidFill>
              <w14:schemeClr w14:val="tx1"/>
            </w14:solidFill>
          </w14:textFill>
        </w:rPr>
        <w:t>，确定乙方为</w:t>
      </w:r>
      <w:r>
        <w:rPr>
          <w:rFonts w:hint="eastAsia"/>
          <w:color w:val="000000" w:themeColor="text1"/>
          <w:sz w:val="24"/>
          <w:szCs w:val="24"/>
          <w:highlight w:val="none"/>
          <w:lang w:val="en-US"/>
          <w14:textFill>
            <w14:solidFill>
              <w14:schemeClr w14:val="tx1"/>
            </w14:solidFill>
          </w14:textFill>
        </w:rPr>
        <w:t>中标人</w:t>
      </w:r>
      <w:r>
        <w:rPr>
          <w:rFonts w:hint="eastAsia"/>
          <w:color w:val="000000" w:themeColor="text1"/>
          <w:sz w:val="24"/>
          <w:szCs w:val="24"/>
          <w:highlight w:val="none"/>
          <w14:textFill>
            <w14:solidFill>
              <w14:schemeClr w14:val="tx1"/>
            </w14:solidFill>
          </w14:textFill>
        </w:rPr>
        <w:t>。</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甲乙双方根据</w:t>
      </w:r>
      <w:r>
        <w:rPr>
          <w:rFonts w:hint="eastAsia"/>
          <w:color w:val="000000" w:themeColor="text1"/>
          <w:sz w:val="24"/>
          <w:szCs w:val="24"/>
          <w:highlight w:val="none"/>
          <w:u w:val="singl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u w:val="singl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u w:val="singl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val="en-US"/>
          <w14:textFill>
            <w14:solidFill>
              <w14:schemeClr w14:val="tx1"/>
            </w14:solidFill>
          </w14:textFill>
        </w:rPr>
        <w:t xml:space="preserve"> </w:t>
      </w:r>
      <w:r>
        <w:rPr>
          <w:rFonts w:hint="eastAsia"/>
          <w:color w:val="000000" w:themeColor="text1"/>
          <w:sz w:val="24"/>
          <w:szCs w:val="24"/>
          <w:highlight w:val="none"/>
          <w:u w:val="single"/>
          <w:lang w:val="en-US"/>
          <w14:textFill>
            <w14:solidFill>
              <w14:schemeClr w14:val="tx1"/>
            </w14:solidFill>
          </w14:textFill>
        </w:rPr>
        <w:t xml:space="preserve"> （项目名称） （项目编号）      </w:t>
      </w:r>
      <w:r>
        <w:rPr>
          <w:rFonts w:hint="eastAsia"/>
          <w:color w:val="000000" w:themeColor="text1"/>
          <w:sz w:val="24"/>
          <w:szCs w:val="24"/>
          <w:highlight w:val="none"/>
          <w14:textFill>
            <w14:solidFill>
              <w14:schemeClr w14:val="tx1"/>
            </w14:solidFill>
          </w14:textFill>
        </w:rPr>
        <w:t>项目评审结果及相关</w:t>
      </w:r>
      <w:r>
        <w:rPr>
          <w:rFonts w:hint="eastAsia"/>
          <w:color w:val="000000" w:themeColor="text1"/>
          <w:sz w:val="24"/>
          <w:szCs w:val="24"/>
          <w:highlight w:val="none"/>
          <w:lang w:val="en-US"/>
          <w14:textFill>
            <w14:solidFill>
              <w14:schemeClr w14:val="tx1"/>
            </w14:solidFill>
          </w14:textFill>
        </w:rPr>
        <w:t>招标、投标</w:t>
      </w:r>
      <w:r>
        <w:rPr>
          <w:rFonts w:hint="eastAsia"/>
          <w:color w:val="000000" w:themeColor="text1"/>
          <w:sz w:val="24"/>
          <w:szCs w:val="24"/>
          <w:highlight w:val="none"/>
          <w14:textFill>
            <w14:solidFill>
              <w14:schemeClr w14:val="tx1"/>
            </w14:solidFill>
          </w14:textFill>
        </w:rPr>
        <w:t>文件，经</w:t>
      </w:r>
      <w:r>
        <w:rPr>
          <w:rFonts w:hint="eastAsia"/>
          <w:color w:val="000000" w:themeColor="text1"/>
          <w:sz w:val="24"/>
          <w:szCs w:val="24"/>
          <w:highlight w:val="none"/>
          <w:lang w:val="en-US"/>
          <w14:textFill>
            <w14:solidFill>
              <w14:schemeClr w14:val="tx1"/>
            </w14:solidFill>
          </w14:textFill>
        </w:rPr>
        <w:t>友好</w:t>
      </w:r>
      <w:r>
        <w:rPr>
          <w:rFonts w:hint="eastAsia"/>
          <w:color w:val="000000" w:themeColor="text1"/>
          <w:sz w:val="24"/>
          <w:szCs w:val="24"/>
          <w:highlight w:val="none"/>
          <w14:textFill>
            <w14:solidFill>
              <w14:schemeClr w14:val="tx1"/>
            </w14:solidFill>
          </w14:textFill>
        </w:rPr>
        <w:t>协商一致，</w:t>
      </w:r>
      <w:r>
        <w:rPr>
          <w:rFonts w:hint="eastAsia"/>
          <w:color w:val="000000" w:themeColor="text1"/>
          <w:sz w:val="24"/>
          <w:szCs w:val="24"/>
          <w:highlight w:val="none"/>
          <w:lang w:val="en-US"/>
          <w14:textFill>
            <w14:solidFill>
              <w14:schemeClr w14:val="tx1"/>
            </w14:solidFill>
          </w14:textFill>
        </w:rPr>
        <w:t>在平等、自愿的基础上，</w:t>
      </w:r>
      <w:r>
        <w:rPr>
          <w:rFonts w:hint="eastAsia"/>
          <w:color w:val="000000" w:themeColor="text1"/>
          <w:sz w:val="24"/>
          <w:szCs w:val="24"/>
          <w:highlight w:val="none"/>
          <w14:textFill>
            <w14:solidFill>
              <w14:schemeClr w14:val="tx1"/>
            </w14:solidFill>
          </w14:textFill>
        </w:rPr>
        <w:t>订立本合同，供双方共同遵守：</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第</w:t>
      </w:r>
      <w:r>
        <w:rPr>
          <w:rFonts w:hint="eastAsia"/>
          <w:color w:val="000000" w:themeColor="text1"/>
          <w:sz w:val="24"/>
          <w:szCs w:val="24"/>
          <w:highlight w:val="none"/>
          <w:lang w:val="en-US"/>
          <w14:textFill>
            <w14:solidFill>
              <w14:schemeClr w14:val="tx1"/>
            </w14:solidFill>
          </w14:textFill>
        </w:rPr>
        <w:t>一</w:t>
      </w:r>
      <w:r>
        <w:rPr>
          <w:rFonts w:hint="eastAsia"/>
          <w:color w:val="000000" w:themeColor="text1"/>
          <w:sz w:val="24"/>
          <w:szCs w:val="24"/>
          <w:highlight w:val="none"/>
          <w14:textFill>
            <w14:solidFill>
              <w14:schemeClr w14:val="tx1"/>
            </w14:solidFill>
          </w14:textFill>
        </w:rPr>
        <w:t>条</w:t>
      </w:r>
      <w:r>
        <w:rPr>
          <w:rFonts w:hint="eastAsia"/>
          <w:color w:val="000000" w:themeColor="text1"/>
          <w:sz w:val="24"/>
          <w:szCs w:val="24"/>
          <w:highlight w:val="non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组成本合同的有关文件：</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本采购服务项目</w:t>
      </w:r>
      <w:r>
        <w:rPr>
          <w:rFonts w:hint="eastAsia"/>
          <w:color w:val="000000" w:themeColor="text1"/>
          <w:sz w:val="24"/>
          <w:szCs w:val="24"/>
          <w:highlight w:val="none"/>
          <w:lang w:val="en-US" w:eastAsia="zh-CN"/>
          <w14:textFill>
            <w14:solidFill>
              <w14:schemeClr w14:val="tx1"/>
            </w14:solidFill>
          </w14:textFill>
        </w:rPr>
        <w:t>采购文件</w:t>
      </w:r>
      <w:r>
        <w:rPr>
          <w:rFonts w:hint="eastAsia"/>
          <w:color w:val="000000" w:themeColor="text1"/>
          <w:sz w:val="24"/>
          <w:szCs w:val="24"/>
          <w:highlight w:val="none"/>
          <w:lang w:val="en-US"/>
          <w14:textFill>
            <w14:solidFill>
              <w14:schemeClr w14:val="tx1"/>
            </w14:solidFill>
          </w14:textFill>
        </w:rPr>
        <w:t>及投标</w:t>
      </w:r>
      <w:r>
        <w:rPr>
          <w:rFonts w:hint="eastAsia"/>
          <w:color w:val="000000" w:themeColor="text1"/>
          <w:sz w:val="24"/>
          <w:szCs w:val="24"/>
          <w:highlight w:val="none"/>
          <w14:textFill>
            <w14:solidFill>
              <w14:schemeClr w14:val="tx1"/>
            </w14:solidFill>
          </w14:textFill>
        </w:rPr>
        <w:t>文件，属于本合同的相关文件，与本合同具有同等法律效力，</w:t>
      </w:r>
      <w:r>
        <w:rPr>
          <w:rFonts w:hint="eastAsia"/>
          <w:color w:val="000000" w:themeColor="text1"/>
          <w:sz w:val="24"/>
          <w:szCs w:val="24"/>
          <w:highlight w:val="none"/>
          <w:lang w:val="en-US"/>
          <w14:textFill>
            <w14:solidFill>
              <w14:schemeClr w14:val="tx1"/>
            </w14:solidFill>
          </w14:textFill>
        </w:rPr>
        <w:t>包括但不限于：1、</w:t>
      </w:r>
      <w:r>
        <w:rPr>
          <w:rFonts w:hint="eastAsia"/>
          <w:color w:val="000000" w:themeColor="text1"/>
          <w:sz w:val="24"/>
          <w:szCs w:val="24"/>
          <w:highlight w:val="none"/>
          <w:lang w:val="en-US" w:eastAsia="zh-CN"/>
          <w14:textFill>
            <w14:solidFill>
              <w14:schemeClr w14:val="tx1"/>
            </w14:solidFill>
          </w14:textFill>
        </w:rPr>
        <w:t>采购文件</w:t>
      </w:r>
      <w:r>
        <w:rPr>
          <w:rFonts w:hint="eastAsia"/>
          <w:color w:val="000000" w:themeColor="text1"/>
          <w:sz w:val="24"/>
          <w:szCs w:val="24"/>
          <w:highlight w:val="none"/>
          <w:lang w:val="en-US"/>
          <w14:textFill>
            <w14:solidFill>
              <w14:schemeClr w14:val="tx1"/>
            </w14:solidFill>
          </w14:textFill>
        </w:rPr>
        <w:t>；2、</w:t>
      </w:r>
      <w:r>
        <w:rPr>
          <w:rFonts w:hint="eastAsia"/>
          <w:color w:val="000000" w:themeColor="text1"/>
          <w:sz w:val="24"/>
          <w:szCs w:val="24"/>
          <w:highlight w:val="none"/>
          <w14:textFill>
            <w14:solidFill>
              <w14:schemeClr w14:val="tx1"/>
            </w14:solidFill>
          </w14:textFill>
        </w:rPr>
        <w:t>乙方提供的</w:t>
      </w:r>
      <w:r>
        <w:rPr>
          <w:rFonts w:hint="eastAsia"/>
          <w:color w:val="000000" w:themeColor="text1"/>
          <w:sz w:val="24"/>
          <w:szCs w:val="24"/>
          <w:highlight w:val="none"/>
          <w:lang w:val="en-US"/>
          <w14:textFill>
            <w14:solidFill>
              <w14:schemeClr w14:val="tx1"/>
            </w14:solidFill>
          </w14:textFill>
        </w:rPr>
        <w:t>投标</w:t>
      </w:r>
      <w:r>
        <w:rPr>
          <w:rFonts w:hint="eastAsia"/>
          <w:color w:val="000000" w:themeColor="text1"/>
          <w:sz w:val="24"/>
          <w:szCs w:val="24"/>
          <w:highlight w:val="none"/>
          <w14:textFill>
            <w14:solidFill>
              <w14:schemeClr w14:val="tx1"/>
            </w14:solidFill>
          </w14:textFill>
        </w:rPr>
        <w:t>文件和</w:t>
      </w:r>
      <w:r>
        <w:rPr>
          <w:rFonts w:hint="eastAsia"/>
          <w:color w:val="000000" w:themeColor="text1"/>
          <w:sz w:val="24"/>
          <w:szCs w:val="24"/>
          <w:highlight w:val="none"/>
          <w:lang w:val="en-US"/>
          <w14:textFill>
            <w14:solidFill>
              <w14:schemeClr w14:val="tx1"/>
            </w14:solidFill>
          </w14:textFill>
        </w:rPr>
        <w:t>投标函</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14:textFill>
            <w14:solidFill>
              <w14:schemeClr w14:val="tx1"/>
            </w14:solidFill>
          </w14:textFill>
        </w:rPr>
        <w:t>3、乙方提供的书面承诺；4、中标通知书，5、</w:t>
      </w:r>
      <w:r>
        <w:rPr>
          <w:rFonts w:hint="eastAsia"/>
          <w:color w:val="000000" w:themeColor="text1"/>
          <w:sz w:val="24"/>
          <w:szCs w:val="24"/>
          <w:highlight w:val="none"/>
          <w14:textFill>
            <w14:solidFill>
              <w14:schemeClr w14:val="tx1"/>
            </w14:solidFill>
          </w14:textFill>
        </w:rPr>
        <w:t>甲乙双方商定的其他文件。</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第</w:t>
      </w:r>
      <w:r>
        <w:rPr>
          <w:rFonts w:hint="eastAsia"/>
          <w:color w:val="000000" w:themeColor="text1"/>
          <w:sz w:val="24"/>
          <w:szCs w:val="24"/>
          <w:highlight w:val="none"/>
          <w:lang w:val="en-US"/>
          <w14:textFill>
            <w14:solidFill>
              <w14:schemeClr w14:val="tx1"/>
            </w14:solidFill>
          </w14:textFill>
        </w:rPr>
        <w:t>二</w:t>
      </w:r>
      <w:r>
        <w:rPr>
          <w:rFonts w:hint="eastAsia"/>
          <w:color w:val="000000" w:themeColor="text1"/>
          <w:sz w:val="24"/>
          <w:szCs w:val="24"/>
          <w:highlight w:val="none"/>
          <w14:textFill>
            <w14:solidFill>
              <w14:schemeClr w14:val="tx1"/>
            </w14:solidFill>
          </w14:textFill>
        </w:rPr>
        <w:t>条</w:t>
      </w:r>
      <w:r>
        <w:rPr>
          <w:rFonts w:hint="eastAsia"/>
          <w:color w:val="000000" w:themeColor="text1"/>
          <w:sz w:val="24"/>
          <w:szCs w:val="24"/>
          <w:highlight w:val="non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甲方采购的物品内容和成交价格：(金额单位：人民币元)</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1、</w:t>
      </w:r>
      <w:r>
        <w:rPr>
          <w:rFonts w:hint="eastAsia"/>
          <w:color w:val="000000" w:themeColor="text1"/>
          <w:sz w:val="24"/>
          <w:szCs w:val="24"/>
          <w:highlight w:val="none"/>
          <w14:textFill>
            <w14:solidFill>
              <w14:schemeClr w14:val="tx1"/>
            </w14:solidFill>
          </w14:textFill>
        </w:rPr>
        <w:t>物品名称规格型号质量标准数量成交价格(元)</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c>
          <w:tcPr>
            <w:tcW w:w="1704"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c>
          <w:tcPr>
            <w:tcW w:w="1704"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c>
          <w:tcPr>
            <w:tcW w:w="1705"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c>
          <w:tcPr>
            <w:tcW w:w="1705"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c>
          <w:tcPr>
            <w:tcW w:w="1704"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c>
          <w:tcPr>
            <w:tcW w:w="1704"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c>
          <w:tcPr>
            <w:tcW w:w="1705"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c>
          <w:tcPr>
            <w:tcW w:w="1705" w:type="dxa"/>
            <w:noWrap w:val="0"/>
            <w:vAlign w:val="top"/>
          </w:tcPr>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p>
        </w:tc>
      </w:tr>
    </w:tbl>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2、合同总金额：</w:t>
      </w:r>
      <w:r>
        <w:rPr>
          <w:rFonts w:hint="eastAsia"/>
          <w:color w:val="000000" w:themeColor="text1"/>
          <w:sz w:val="24"/>
          <w:szCs w:val="24"/>
          <w:highlight w:val="none"/>
          <w14:textFill>
            <w14:solidFill>
              <w14:schemeClr w14:val="tx1"/>
            </w14:solidFill>
          </w14:textFill>
        </w:rPr>
        <w:t>(大写)￥</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本合同价格已含税费、检验试验、包装、装车、运输、</w:t>
      </w:r>
      <w:r>
        <w:rPr>
          <w:rFonts w:hint="eastAsia"/>
          <w:color w:val="000000" w:themeColor="text1"/>
          <w:sz w:val="24"/>
          <w:szCs w:val="24"/>
          <w:highlight w:val="none"/>
          <w:lang w:val="en-US" w:eastAsia="zh-CN"/>
          <w14:textFill>
            <w14:solidFill>
              <w14:schemeClr w14:val="tx1"/>
            </w14:solidFill>
          </w14:textFill>
        </w:rPr>
        <w:t>安装、调试、</w:t>
      </w:r>
      <w:r>
        <w:rPr>
          <w:rFonts w:hint="eastAsia"/>
          <w:color w:val="000000" w:themeColor="text1"/>
          <w:sz w:val="24"/>
          <w:szCs w:val="24"/>
          <w:highlight w:val="none"/>
          <w14:textFill>
            <w14:solidFill>
              <w14:schemeClr w14:val="tx1"/>
            </w14:solidFill>
          </w14:textFill>
        </w:rPr>
        <w:t>保险以及考虑除不可抗力外的其他任何风险而增加的所有费用。</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3、</w:t>
      </w:r>
      <w:r>
        <w:rPr>
          <w:rFonts w:hint="eastAsia"/>
          <w:color w:val="000000" w:themeColor="text1"/>
          <w:sz w:val="24"/>
          <w:szCs w:val="24"/>
          <w:highlight w:val="none"/>
          <w14:textFill>
            <w14:solidFill>
              <w14:schemeClr w14:val="tx1"/>
            </w14:solidFill>
          </w14:textFill>
        </w:rPr>
        <w:t>免费配送物品：</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甲方不再另付任何费用。</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第</w:t>
      </w:r>
      <w:r>
        <w:rPr>
          <w:rFonts w:hint="eastAsia"/>
          <w:color w:val="000000" w:themeColor="text1"/>
          <w:sz w:val="24"/>
          <w:szCs w:val="24"/>
          <w:highlight w:val="none"/>
          <w:lang w:val="en-US"/>
          <w14:textFill>
            <w14:solidFill>
              <w14:schemeClr w14:val="tx1"/>
            </w14:solidFill>
          </w14:textFill>
        </w:rPr>
        <w:t>三</w:t>
      </w:r>
      <w:r>
        <w:rPr>
          <w:rFonts w:hint="eastAsia"/>
          <w:color w:val="000000" w:themeColor="text1"/>
          <w:sz w:val="24"/>
          <w:szCs w:val="24"/>
          <w:highlight w:val="none"/>
          <w14:textFill>
            <w14:solidFill>
              <w14:schemeClr w14:val="tx1"/>
            </w14:solidFill>
          </w14:textFill>
        </w:rPr>
        <w:t>条</w:t>
      </w:r>
      <w:r>
        <w:rPr>
          <w:rFonts w:hint="eastAsia"/>
          <w:color w:val="000000" w:themeColor="text1"/>
          <w:sz w:val="24"/>
          <w:szCs w:val="24"/>
          <w:highlight w:val="non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物品的质量技术标准、乙方售后服务及损害赔偿</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1、物品的质量技术标准按国家法律法规规定的标准、</w:t>
      </w:r>
      <w:r>
        <w:rPr>
          <w:rFonts w:hint="eastAsia"/>
          <w:color w:val="000000" w:themeColor="text1"/>
          <w:sz w:val="24"/>
          <w:szCs w:val="24"/>
          <w:highlight w:val="none"/>
          <w:lang w:eastAsia="zh-CN"/>
          <w14:textFill>
            <w14:solidFill>
              <w14:schemeClr w14:val="tx1"/>
            </w14:solidFill>
          </w14:textFill>
        </w:rPr>
        <w:t>采购文件</w:t>
      </w:r>
      <w:r>
        <w:rPr>
          <w:rFonts w:hint="eastAsia"/>
          <w:color w:val="000000" w:themeColor="text1"/>
          <w:sz w:val="24"/>
          <w:szCs w:val="24"/>
          <w:highlight w:val="none"/>
          <w14:textFill>
            <w14:solidFill>
              <w14:schemeClr w14:val="tx1"/>
            </w14:solidFill>
          </w14:textFill>
        </w:rPr>
        <w:t>和乙方投标文件所要求的技术标准执行。</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2、乙方应按生产厂家的保修规定和投标文件说明的服务承诺做好保修等免费服务。</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乙方售后服务响应时间：__________。否则，甲方可自行组织或委托第三方维修，费用由乙方承担，甲方可在货款和其他应付乙方的款项中扣除，乙方应付费用超过甲方未付货款的，乙方应当在甲方限期内付清全部费用，否则乙方应当按照合同总额的1%向甲方支付违约金。</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4、如因乙方物品质量原因，导致甲方损失，乙方应</w:t>
      </w:r>
      <w:r>
        <w:rPr>
          <w:rFonts w:hint="eastAsia"/>
          <w:color w:val="000000" w:themeColor="text1"/>
          <w:sz w:val="24"/>
          <w:szCs w:val="24"/>
          <w:highlight w:val="none"/>
          <w:lang w:eastAsia="zh-CN"/>
          <w14:textFill>
            <w14:solidFill>
              <w14:schemeClr w14:val="tx1"/>
            </w14:solidFill>
          </w14:textFill>
        </w:rPr>
        <w:t>承担全部赔偿责任</w:t>
      </w:r>
      <w:r>
        <w:rPr>
          <w:rFonts w:hint="eastAsia"/>
          <w:color w:val="000000" w:themeColor="text1"/>
          <w:sz w:val="24"/>
          <w:szCs w:val="24"/>
          <w:highlight w:val="none"/>
          <w14:textFill>
            <w14:solidFill>
              <w14:schemeClr w14:val="tx1"/>
            </w14:solidFill>
          </w14:textFill>
        </w:rPr>
        <w:t>。</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5、乙方应保证乙方在履行本合同义务时提供的货物或其任何一部分免受第三方侵犯其知识产权或合法权益的起诉，如因此引发争议或违法导致甲方受损的，乙方应赔偿甲方的一切损失。</w:t>
      </w:r>
    </w:p>
    <w:p>
      <w:pPr>
        <w:pStyle w:val="47"/>
        <w:tabs>
          <w:tab w:val="left" w:pos="8309"/>
        </w:tabs>
        <w:spacing w:line="480" w:lineRule="atLeast"/>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6、乙方及乙方人员在合同履行过程中造成自身、甲乙双方或第三方的一切人身、财产损害责任均由乙方承担并负责赔偿；如因此导致甲方被追偿或受损的，由乙方承担甲方遭受的全部损失。</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第</w:t>
      </w:r>
      <w:r>
        <w:rPr>
          <w:rFonts w:hint="eastAsia"/>
          <w:color w:val="000000" w:themeColor="text1"/>
          <w:sz w:val="24"/>
          <w:szCs w:val="24"/>
          <w:highlight w:val="none"/>
          <w:lang w:val="en-US"/>
          <w14:textFill>
            <w14:solidFill>
              <w14:schemeClr w14:val="tx1"/>
            </w14:solidFill>
          </w14:textFill>
        </w:rPr>
        <w:t>四</w:t>
      </w:r>
      <w:r>
        <w:rPr>
          <w:rFonts w:hint="eastAsia"/>
          <w:color w:val="000000" w:themeColor="text1"/>
          <w:sz w:val="24"/>
          <w:szCs w:val="24"/>
          <w:highlight w:val="none"/>
          <w14:textFill>
            <w14:solidFill>
              <w14:schemeClr w14:val="tx1"/>
            </w14:solidFill>
          </w14:textFill>
        </w:rPr>
        <w:t>条</w:t>
      </w:r>
      <w:r>
        <w:rPr>
          <w:rFonts w:hint="eastAsia"/>
          <w:color w:val="000000" w:themeColor="text1"/>
          <w:sz w:val="24"/>
          <w:szCs w:val="24"/>
          <w:highlight w:val="non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交付和验收</w:t>
      </w:r>
    </w:p>
    <w:p>
      <w:pPr>
        <w:pStyle w:val="47"/>
        <w:tabs>
          <w:tab w:val="left" w:pos="8309"/>
        </w:tabs>
        <w:spacing w:line="480" w:lineRule="atLeast"/>
        <w:ind w:firstLine="480" w:firstLineChars="200"/>
        <w:jc w:val="left"/>
        <w:rPr>
          <w:rFonts w:hint="default"/>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14:textFill>
            <w14:solidFill>
              <w14:schemeClr w14:val="tx1"/>
            </w14:solidFill>
          </w14:textFill>
        </w:rPr>
        <w:t>1、交付时间：</w:t>
      </w:r>
      <w:r>
        <w:rPr>
          <w:rFonts w:hint="eastAsia"/>
          <w:color w:val="000000" w:themeColor="text1"/>
          <w:sz w:val="24"/>
          <w:szCs w:val="24"/>
          <w:highlight w:val="none"/>
          <w:lang w:val="en-US" w:eastAsia="zh-CN"/>
          <w14:textFill>
            <w14:solidFill>
              <w14:schemeClr w14:val="tx1"/>
            </w14:solidFill>
          </w14:textFill>
        </w:rPr>
        <w:t>合同签订生效之日起45日历天</w:t>
      </w:r>
      <w:r>
        <w:rPr>
          <w:rFonts w:hint="eastAsia"/>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交付地点</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u w:val="single"/>
          <w:lang w:val="en-US" w:eastAsia="zh-CN"/>
          <w14:textFill>
            <w14:solidFill>
              <w14:schemeClr w14:val="tx1"/>
            </w14:solidFill>
          </w14:textFill>
        </w:rPr>
        <w:t>沙湾市</w:t>
      </w:r>
      <w:r>
        <w:rPr>
          <w:rFonts w:hint="eastAsia"/>
          <w:color w:val="000000" w:themeColor="text1"/>
          <w:sz w:val="24"/>
          <w:szCs w:val="24"/>
          <w:highlight w:val="none"/>
          <w:lang w:val="en-US" w:eastAsia="zh-CN"/>
          <w14:textFill>
            <w14:solidFill>
              <w14:schemeClr w14:val="tx1"/>
            </w14:solidFill>
          </w14:textFill>
        </w:rPr>
        <w:t>。</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2、乙方负责物品的运送、安装、调试等工作，</w:t>
      </w:r>
      <w:r>
        <w:rPr>
          <w:rFonts w:hint="eastAsia"/>
          <w:color w:val="000000" w:themeColor="text1"/>
          <w:sz w:val="24"/>
          <w:szCs w:val="24"/>
          <w:highlight w:val="none"/>
          <w:lang w:val="en-US"/>
          <w14:textFill>
            <w14:solidFill>
              <w14:schemeClr w14:val="tx1"/>
            </w14:solidFill>
          </w14:textFill>
        </w:rPr>
        <w:t>确保</w:t>
      </w:r>
      <w:r>
        <w:rPr>
          <w:rFonts w:hint="eastAsia"/>
          <w:color w:val="000000" w:themeColor="text1"/>
          <w:sz w:val="24"/>
          <w:szCs w:val="24"/>
          <w:highlight w:val="none"/>
          <w14:textFill>
            <w14:solidFill>
              <w14:schemeClr w14:val="tx1"/>
            </w14:solidFill>
          </w14:textFill>
        </w:rPr>
        <w:t>该物品可以正常使用为止;负责提供物品的使用说明等相关资料，并承担由此产生的全部费用。</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3、验收时间：甲方必须于乙方提出验收申请后</w:t>
      </w:r>
      <w:r>
        <w:rPr>
          <w:rFonts w:hint="eastAsia"/>
          <w:color w:val="000000" w:themeColor="text1"/>
          <w:sz w:val="24"/>
          <w:szCs w:val="24"/>
          <w:highlight w:val="none"/>
          <w:lang w:val="en-US"/>
          <w14:textFill>
            <w14:solidFill>
              <w14:schemeClr w14:val="tx1"/>
            </w14:solidFill>
          </w14:textFill>
        </w:rPr>
        <w:t>3</w:t>
      </w:r>
      <w:r>
        <w:rPr>
          <w:rFonts w:hint="eastAsia"/>
          <w:color w:val="000000" w:themeColor="text1"/>
          <w:sz w:val="24"/>
          <w:szCs w:val="24"/>
          <w:highlight w:val="none"/>
          <w14:textFill>
            <w14:solidFill>
              <w14:schemeClr w14:val="tx1"/>
            </w14:solidFill>
          </w14:textFill>
        </w:rPr>
        <w:t>个工作日内组织验收，甲方因正当理由或者不可抗力可以延期组织验收，但应通知乙方。甲方验收合格后应当出具</w:t>
      </w:r>
      <w:r>
        <w:rPr>
          <w:rFonts w:hint="eastAsia"/>
          <w:color w:val="000000" w:themeColor="text1"/>
          <w:sz w:val="24"/>
          <w:szCs w:val="24"/>
          <w:highlight w:val="none"/>
          <w:lang w:val="en-US"/>
          <w14:textFill>
            <w14:solidFill>
              <w14:schemeClr w14:val="tx1"/>
            </w14:solidFill>
          </w14:textFill>
        </w:rPr>
        <w:t>相关</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"http://www.xuexila.com/fwn/reportyanshou/" \t "_blank" </w:instrText>
      </w:r>
      <w:r>
        <w:rPr>
          <w:color w:val="000000" w:themeColor="text1"/>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验收</w:t>
      </w:r>
      <w:r>
        <w:rPr>
          <w:rFonts w:hint="eastAsia"/>
          <w:color w:val="000000" w:themeColor="text1"/>
          <w:sz w:val="24"/>
          <w:szCs w:val="24"/>
          <w:highlight w:val="none"/>
          <w14:textFill>
            <w14:solidFill>
              <w14:schemeClr w14:val="tx1"/>
            </w14:solidFill>
          </w14:textFill>
        </w:rPr>
        <w:fldChar w:fldCharType="end"/>
      </w:r>
      <w:r>
        <w:rPr>
          <w:rFonts w:hint="eastAsia"/>
          <w:color w:val="000000" w:themeColor="text1"/>
          <w:sz w:val="24"/>
          <w:szCs w:val="24"/>
          <w:highlight w:val="none"/>
          <w:lang w:val="en-US"/>
          <w14:textFill>
            <w14:solidFill>
              <w14:schemeClr w14:val="tx1"/>
            </w14:solidFill>
          </w14:textFill>
        </w:rPr>
        <w:t>手续</w:t>
      </w:r>
      <w:r>
        <w:rPr>
          <w:rFonts w:hint="eastAsia"/>
          <w:color w:val="000000" w:themeColor="text1"/>
          <w:sz w:val="24"/>
          <w:szCs w:val="24"/>
          <w:highlight w:val="none"/>
          <w14:textFill>
            <w14:solidFill>
              <w14:schemeClr w14:val="tx1"/>
            </w14:solidFill>
          </w14:textFill>
        </w:rPr>
        <w:t>。</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4、验收标准：</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1)单证齐全：应有产品合格证(或质量证明)、使用说明、保修证明、发票和</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"http://www.xuexila.com/meng/xiaqita/" \t "_blank" </w:instrText>
      </w:r>
      <w:r>
        <w:rPr>
          <w:color w:val="000000" w:themeColor="text1"/>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其它</w:t>
      </w:r>
      <w:r>
        <w:rPr>
          <w:rFonts w:hint="eastAsia"/>
          <w:color w:val="000000" w:themeColor="text1"/>
          <w:sz w:val="24"/>
          <w:szCs w:val="24"/>
          <w:highlight w:val="none"/>
          <w14:textFill>
            <w14:solidFill>
              <w14:schemeClr w14:val="tx1"/>
            </w14:solidFill>
          </w14:textFill>
        </w:rPr>
        <w:fldChar w:fldCharType="end"/>
      </w:r>
      <w:r>
        <w:rPr>
          <w:rFonts w:hint="eastAsia"/>
          <w:color w:val="000000" w:themeColor="text1"/>
          <w:sz w:val="24"/>
          <w:szCs w:val="24"/>
          <w:highlight w:val="none"/>
          <w14:textFill>
            <w14:solidFill>
              <w14:schemeClr w14:val="tx1"/>
            </w14:solidFill>
          </w14:textFill>
        </w:rPr>
        <w:t>应具有的单证;</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2)质量符合国家法律法规规定的标准、</w:t>
      </w:r>
      <w:r>
        <w:rPr>
          <w:rFonts w:hint="eastAsia"/>
          <w:color w:val="000000" w:themeColor="text1"/>
          <w:sz w:val="24"/>
          <w:szCs w:val="24"/>
          <w:highlight w:val="none"/>
          <w:lang w:eastAsia="zh-CN"/>
          <w14:textFill>
            <w14:solidFill>
              <w14:schemeClr w14:val="tx1"/>
            </w14:solidFill>
          </w14:textFill>
        </w:rPr>
        <w:t>采购文件</w:t>
      </w:r>
      <w:r>
        <w:rPr>
          <w:rFonts w:hint="eastAsia"/>
          <w:color w:val="000000" w:themeColor="text1"/>
          <w:sz w:val="24"/>
          <w:szCs w:val="24"/>
          <w:highlight w:val="none"/>
          <w14:textFill>
            <w14:solidFill>
              <w14:schemeClr w14:val="tx1"/>
            </w14:solidFill>
          </w14:textFill>
        </w:rPr>
        <w:t>和投标文件的要求（以较高者为准）。</w:t>
      </w:r>
    </w:p>
    <w:p>
      <w:pPr>
        <w:pStyle w:val="47"/>
        <w:tabs>
          <w:tab w:val="left" w:pos="8309"/>
        </w:tabs>
        <w:spacing w:line="480" w:lineRule="atLeast"/>
        <w:jc w:val="left"/>
        <w:rPr>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5、质保期：质保三年</w:t>
      </w:r>
      <w:r>
        <w:rPr>
          <w:rFonts w:hint="eastAsia"/>
          <w:color w:val="000000" w:themeColor="text1"/>
          <w:sz w:val="24"/>
          <w:szCs w:val="24"/>
          <w:highlight w:val="none"/>
          <w:lang w:val="en-US" w:eastAsia="zh-CN"/>
          <w14:textFill>
            <w14:solidFill>
              <w14:schemeClr w14:val="tx1"/>
            </w14:solidFill>
          </w14:textFill>
        </w:rPr>
        <w:t>。</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第五条 付款方式　　</w:t>
      </w:r>
    </w:p>
    <w:p>
      <w:pPr>
        <w:pStyle w:val="47"/>
        <w:tabs>
          <w:tab w:val="left" w:pos="8309"/>
        </w:tabs>
        <w:spacing w:line="480" w:lineRule="atLeast"/>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1、本合同项下所有款均以人民币支付；</w:t>
      </w:r>
    </w:p>
    <w:p>
      <w:pPr>
        <w:pStyle w:val="47"/>
        <w:tabs>
          <w:tab w:val="left" w:pos="8309"/>
        </w:tabs>
        <w:spacing w:line="480" w:lineRule="atLeast"/>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合同签订后，预付合同价款的30%，按安装进度支付进度款，验收合格后付至合同价款的97%，合同价款的3%作为的质量保证金，质保期满后无质量问题一次性无息付清。</w:t>
      </w:r>
    </w:p>
    <w:p>
      <w:pPr>
        <w:pStyle w:val="47"/>
        <w:tabs>
          <w:tab w:val="left" w:pos="8309"/>
        </w:tabs>
        <w:spacing w:line="480" w:lineRule="atLeast"/>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3、乙方应当在甲方付款前开具并交付足额、符合甲方要求的增值税发票，否则甲方有权拒绝付款。</w:t>
      </w:r>
    </w:p>
    <w:p>
      <w:pPr>
        <w:pStyle w:val="46"/>
        <w:widowControl/>
        <w:spacing w:line="480" w:lineRule="atLeast"/>
        <w:ind w:firstLine="480" w:firstLineChars="200"/>
        <w:jc w:val="both"/>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第六条 乙方违约责任：</w:t>
      </w:r>
    </w:p>
    <w:p>
      <w:pPr>
        <w:pStyle w:val="47"/>
        <w:tabs>
          <w:tab w:val="left" w:pos="8309"/>
        </w:tabs>
        <w:spacing w:line="480" w:lineRule="atLeast"/>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1、乙方不能交货的，甲方不向乙方付款。乙方应向甲方偿付相当于不能交货部分货款的10%的违约金并且赔偿甲方一切损失;</w:t>
      </w:r>
    </w:p>
    <w:p>
      <w:pPr>
        <w:pStyle w:val="47"/>
        <w:tabs>
          <w:tab w:val="left" w:pos="8309"/>
        </w:tabs>
        <w:spacing w:line="480" w:lineRule="atLeast"/>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2、乙方所交物品品种、数量、规格、质量不符合国家法律法规和合同规定的，由乙方负责在甲方限期内包修、包换或退货，并承担由此而支付的实际费用;</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3、乙方逾期交货的，按逾期交货部分货款计算，向甲方偿付每日千分之五的违约金，并承担甲方因此所受的损失费用。</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4、乙方不按照本合同约定履行义务或者履行义务不符合合同约定的，除合同约定的责任外，甲方有权解除合同，乙方应当全额退还甲方已付费用</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同时</w:t>
      </w:r>
      <w:r>
        <w:rPr>
          <w:rFonts w:hint="eastAsia"/>
          <w:color w:val="000000" w:themeColor="text1"/>
          <w:sz w:val="24"/>
          <w:szCs w:val="24"/>
          <w:highlight w:val="none"/>
          <w14:textFill>
            <w14:solidFill>
              <w14:schemeClr w14:val="tx1"/>
            </w14:solidFill>
          </w14:textFill>
        </w:rPr>
        <w:t>支付甲方合同总价款20%的违约金并且赔偿甲方全部损失。</w:t>
      </w:r>
    </w:p>
    <w:p>
      <w:pPr>
        <w:pStyle w:val="47"/>
        <w:tabs>
          <w:tab w:val="left" w:pos="8309"/>
        </w:tabs>
        <w:spacing w:line="480" w:lineRule="atLeast"/>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甲方不行使合同解除权的，乙方仍应按照上述条款的约定承担违约责任并且继续履行合同义务。</w:t>
      </w:r>
    </w:p>
    <w:p>
      <w:pPr>
        <w:pStyle w:val="47"/>
        <w:tabs>
          <w:tab w:val="left" w:pos="8309"/>
        </w:tabs>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本合同提及甲方“损失”，包括但不限于人身及财产损害、行政罚款等直接损失、预期利益损失及维权产生的公证费、调查取证费、交通费、律师费等。</w:t>
      </w:r>
    </w:p>
    <w:p>
      <w:pPr>
        <w:pStyle w:val="53"/>
        <w:widowControl/>
        <w:spacing w:line="360" w:lineRule="auto"/>
        <w:ind w:firstLine="535" w:firstLineChars="223"/>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第七条 甲方的违约责任：</w:t>
      </w:r>
    </w:p>
    <w:p>
      <w:pPr>
        <w:pStyle w:val="46"/>
        <w:widowControl/>
        <w:spacing w:line="480" w:lineRule="atLeast"/>
        <w:ind w:firstLine="480" w:firstLineChars="200"/>
        <w:jc w:val="both"/>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1、甲方如因财政原因无法按期支付合同款的，应及时通知乙方，支付顺延，甲方不承担因此造成的逾期付款违约责任；</w:t>
      </w:r>
    </w:p>
    <w:p>
      <w:pPr>
        <w:pStyle w:val="46"/>
        <w:widowControl/>
        <w:spacing w:line="480" w:lineRule="atLeast"/>
        <w:ind w:firstLine="480" w:firstLineChars="200"/>
        <w:jc w:val="both"/>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2、如因甲方自身原因逾期付款的，应按照每日千分之</w:t>
      </w:r>
      <w:r>
        <w:rPr>
          <w:rFonts w:hint="eastAsia" w:ascii="宋体" w:hAnsi="宋体" w:cs="宋体"/>
          <w:color w:val="000000" w:themeColor="text1"/>
          <w:highlight w:val="none"/>
          <w:lang w:eastAsia="zh-CN"/>
          <w14:textFill>
            <w14:solidFill>
              <w14:schemeClr w14:val="tx1"/>
            </w14:solidFill>
          </w14:textFill>
        </w:rPr>
        <w:t>一</w:t>
      </w:r>
      <w:r>
        <w:rPr>
          <w:rFonts w:hint="eastAsia" w:ascii="宋体" w:hAnsi="宋体" w:cs="宋体"/>
          <w:color w:val="000000" w:themeColor="text1"/>
          <w:highlight w:val="none"/>
          <w14:textFill>
            <w14:solidFill>
              <w14:schemeClr w14:val="tx1"/>
            </w14:solidFill>
          </w14:textFill>
        </w:rPr>
        <w:t>的比例向乙方偿付逾期付款的违约金，最高不超过合同总额的1%。</w:t>
      </w:r>
    </w:p>
    <w:p>
      <w:pPr>
        <w:pStyle w:val="46"/>
        <w:widowControl/>
        <w:spacing w:line="480" w:lineRule="atLeast"/>
        <w:ind w:firstLine="480" w:firstLineChars="200"/>
        <w:jc w:val="both"/>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第八条 保密条款</w:t>
      </w:r>
    </w:p>
    <w:p>
      <w:pPr>
        <w:pStyle w:val="46"/>
        <w:widowControl/>
        <w:spacing w:line="480" w:lineRule="atLeast"/>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1、本合同履行过程中双方获悉的对方的相关资料、信息等技术秘密和商业秘密，双方均应采取严格保密措施，不得泄露给任何第三方。</w:t>
      </w:r>
    </w:p>
    <w:p>
      <w:pPr>
        <w:pStyle w:val="53"/>
        <w:widowControl/>
        <w:spacing w:line="360" w:lineRule="auto"/>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2、双方的保密义务期限为自本合同生效之日起至本合同终止后   年(由双方商定)。</w:t>
      </w:r>
    </w:p>
    <w:p>
      <w:pPr>
        <w:pStyle w:val="53"/>
        <w:widowControl/>
        <w:spacing w:line="360" w:lineRule="auto"/>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3、除非得到甲方的书面许可，乙方不得将本合同中的内容及在本合同执行过程中获得的甲方任何信息向任何第三方泄露。乙方的保密义务应在本协议期满、解除或终止后仍然有效。</w:t>
      </w:r>
    </w:p>
    <w:p>
      <w:pPr>
        <w:pStyle w:val="46"/>
        <w:widowControl/>
        <w:spacing w:line="480" w:lineRule="atLeast"/>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第九条 不可抗力</w:t>
      </w:r>
    </w:p>
    <w:p>
      <w:pPr>
        <w:pStyle w:val="46"/>
        <w:widowControl/>
        <w:spacing w:line="480" w:lineRule="atLeast"/>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pPr>
        <w:pStyle w:val="46"/>
        <w:widowControl/>
        <w:numPr>
          <w:ilvl w:val="0"/>
          <w:numId w:val="12"/>
        </w:numPr>
        <w:spacing w:line="480" w:lineRule="atLeast"/>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争议的解决</w:t>
      </w:r>
    </w:p>
    <w:p>
      <w:pPr>
        <w:pStyle w:val="53"/>
        <w:widowControl/>
        <w:spacing w:line="360" w:lineRule="auto"/>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1、因货物的质量问题发生争议，由法律及有关规章规定的、双方共同认可的有相关资质的技术单位进行质量鉴定;</w:t>
      </w:r>
    </w:p>
    <w:p>
      <w:pPr>
        <w:pStyle w:val="46"/>
        <w:widowControl/>
        <w:spacing w:line="480" w:lineRule="atLeast"/>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2、执行本合同发生纠纷，甲乙双方应当及时友好协商解决，协商不成的，任何一方均可向</w:t>
      </w:r>
      <w:r>
        <w:rPr>
          <w:rFonts w:hint="eastAsia" w:ascii="宋体" w:hAnsi="宋体" w:cs="宋体"/>
          <w:color w:val="000000" w:themeColor="text1"/>
          <w:highlight w:val="none"/>
          <w:lang w:eastAsia="zh-CN"/>
          <w14:textFill>
            <w14:solidFill>
              <w14:schemeClr w14:val="tx1"/>
            </w14:solidFill>
          </w14:textFill>
        </w:rPr>
        <w:t>沙湾市</w:t>
      </w:r>
      <w:r>
        <w:rPr>
          <w:rFonts w:hint="eastAsia" w:ascii="宋体" w:hAnsi="宋体" w:cs="宋体"/>
          <w:color w:val="000000" w:themeColor="text1"/>
          <w:highlight w:val="none"/>
          <w14:textFill>
            <w14:solidFill>
              <w14:schemeClr w14:val="tx1"/>
            </w14:solidFill>
          </w14:textFill>
        </w:rPr>
        <w:t>人民法院提起诉讼。</w:t>
      </w:r>
    </w:p>
    <w:p>
      <w:pPr>
        <w:pStyle w:val="46"/>
        <w:widowControl/>
        <w:spacing w:line="480" w:lineRule="atLeast"/>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第十一条补充合同</w:t>
      </w:r>
    </w:p>
    <w:p>
      <w:pPr>
        <w:pStyle w:val="53"/>
        <w:widowControl/>
        <w:spacing w:line="360" w:lineRule="auto"/>
        <w:ind w:firstLine="48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合同订立后，双方经协商一致需变更合同实质性条款或订立补充合同的，与本合同具有同等法律效力。</w:t>
      </w:r>
    </w:p>
    <w:p>
      <w:pPr>
        <w:pStyle w:val="47"/>
        <w:spacing w:line="480" w:lineRule="atLeast"/>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第十</w:t>
      </w:r>
      <w:r>
        <w:rPr>
          <w:rFonts w:hint="eastAsia"/>
          <w:color w:val="000000" w:themeColor="text1"/>
          <w:sz w:val="24"/>
          <w:szCs w:val="24"/>
          <w:highlight w:val="none"/>
          <w:lang w:val="en-US"/>
          <w14:textFill>
            <w14:solidFill>
              <w14:schemeClr w14:val="tx1"/>
            </w14:solidFill>
          </w14:textFill>
        </w:rPr>
        <w:t>二</w:t>
      </w:r>
      <w:r>
        <w:rPr>
          <w:rFonts w:hint="eastAsia"/>
          <w:color w:val="000000" w:themeColor="text1"/>
          <w:sz w:val="24"/>
          <w:szCs w:val="24"/>
          <w:highlight w:val="none"/>
          <w14:textFill>
            <w14:solidFill>
              <w14:schemeClr w14:val="tx1"/>
            </w14:solidFill>
          </w14:textFill>
        </w:rPr>
        <w:t>条</w:t>
      </w:r>
      <w:r>
        <w:rPr>
          <w:rFonts w:hint="eastAsia"/>
          <w:color w:val="000000" w:themeColor="text1"/>
          <w:sz w:val="24"/>
          <w:szCs w:val="24"/>
          <w:highlight w:val="non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合同生效及其他</w:t>
      </w:r>
    </w:p>
    <w:p>
      <w:pPr>
        <w:pStyle w:val="47"/>
        <w:tabs>
          <w:tab w:val="left" w:pos="354"/>
        </w:tabs>
        <w:spacing w:line="480" w:lineRule="atLeast"/>
        <w:ind w:left="0" w:leftChars="0" w:firstLine="480" w:firstLineChars="200"/>
        <w:jc w:val="left"/>
        <w:rPr>
          <w:color w:val="000000" w:themeColor="text1"/>
          <w:sz w:val="24"/>
          <w:szCs w:val="24"/>
          <w:highlight w:val="none"/>
          <w14:textFill>
            <w14:solidFill>
              <w14:schemeClr w14:val="tx1"/>
            </w14:solidFill>
          </w14:textFill>
        </w:rPr>
      </w:pPr>
      <w:bookmarkStart w:id="169" w:name="bookmark26"/>
      <w:r>
        <w:rPr>
          <w:rFonts w:hint="eastAsia"/>
          <w:color w:val="000000" w:themeColor="text1"/>
          <w:sz w:val="24"/>
          <w:szCs w:val="24"/>
          <w:highlight w:val="none"/>
          <w14:textFill>
            <w14:solidFill>
              <w14:schemeClr w14:val="tx1"/>
            </w14:solidFill>
          </w14:textFill>
        </w:rPr>
        <w:t>1</w:t>
      </w:r>
      <w:bookmarkEnd w:id="169"/>
      <w:r>
        <w:rPr>
          <w:rFonts w:hint="eastAsia"/>
          <w:color w:val="000000" w:themeColor="text1"/>
          <w:sz w:val="24"/>
          <w:szCs w:val="24"/>
          <w:highlight w:val="none"/>
          <w14:textFill>
            <w14:solidFill>
              <w14:schemeClr w14:val="tx1"/>
            </w14:solidFill>
          </w14:textFill>
        </w:rPr>
        <w:t>、本合同自签</w:t>
      </w:r>
      <w:r>
        <w:rPr>
          <w:rFonts w:hint="eastAsia"/>
          <w:color w:val="000000" w:themeColor="text1"/>
          <w:sz w:val="24"/>
          <w:szCs w:val="24"/>
          <w:highlight w:val="none"/>
          <w:lang w:val="en-US"/>
          <w14:textFill>
            <w14:solidFill>
              <w14:schemeClr w14:val="tx1"/>
            </w14:solidFill>
          </w14:textFill>
        </w:rPr>
        <w:t>字盖章</w:t>
      </w:r>
      <w:r>
        <w:rPr>
          <w:rFonts w:hint="eastAsia"/>
          <w:color w:val="000000" w:themeColor="text1"/>
          <w:sz w:val="24"/>
          <w:szCs w:val="24"/>
          <w:highlight w:val="none"/>
          <w14:textFill>
            <w14:solidFill>
              <w14:schemeClr w14:val="tx1"/>
            </w14:solidFill>
          </w14:textFill>
        </w:rPr>
        <w:t>之日起生效。</w:t>
      </w:r>
    </w:p>
    <w:p>
      <w:pPr>
        <w:pStyle w:val="47"/>
        <w:tabs>
          <w:tab w:val="left" w:pos="354"/>
        </w:tabs>
        <w:spacing w:line="480" w:lineRule="atLeast"/>
        <w:ind w:left="0" w:leftChars="0"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2、</w:t>
      </w:r>
      <w:r>
        <w:rPr>
          <w:rFonts w:hint="eastAsia"/>
          <w:color w:val="000000" w:themeColor="text1"/>
          <w:sz w:val="24"/>
          <w:szCs w:val="24"/>
          <w:highlight w:val="none"/>
          <w14:textFill>
            <w14:solidFill>
              <w14:schemeClr w14:val="tx1"/>
            </w14:solidFill>
          </w14:textFill>
        </w:rPr>
        <w:t>本合同一式</w:t>
      </w:r>
      <w:r>
        <w:rPr>
          <w:rFonts w:hint="eastAsia"/>
          <w:color w:val="000000" w:themeColor="text1"/>
          <w:sz w:val="24"/>
          <w:szCs w:val="24"/>
          <w:highlight w:val="none"/>
          <w:u w:val="singl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份，甲乙双方各执</w:t>
      </w:r>
      <w:r>
        <w:rPr>
          <w:rFonts w:hint="eastAsia"/>
          <w:color w:val="000000" w:themeColor="text1"/>
          <w:sz w:val="24"/>
          <w:szCs w:val="24"/>
          <w:highlight w:val="none"/>
          <w:u w:val="singl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份。</w:t>
      </w:r>
    </w:p>
    <w:p>
      <w:pPr>
        <w:pStyle w:val="47"/>
        <w:tabs>
          <w:tab w:val="left" w:pos="363"/>
          <w:tab w:val="left" w:pos="1766"/>
          <w:tab w:val="left" w:leader="underscore" w:pos="3667"/>
          <w:tab w:val="left" w:leader="underscore" w:pos="4531"/>
          <w:tab w:val="left" w:leader="underscore" w:pos="7066"/>
        </w:tabs>
        <w:spacing w:line="340" w:lineRule="exact"/>
        <w:ind w:firstLine="480" w:firstLineChars="200"/>
        <w:jc w:val="left"/>
        <w:rPr>
          <w:color w:val="000000" w:themeColor="text1"/>
          <w:sz w:val="24"/>
          <w:szCs w:val="24"/>
          <w:highlight w:val="none"/>
          <w14:textFill>
            <w14:solidFill>
              <w14:schemeClr w14:val="tx1"/>
            </w14:solidFill>
          </w14:textFill>
        </w:rPr>
      </w:pPr>
    </w:p>
    <w:p>
      <w:pPr>
        <w:pStyle w:val="46"/>
        <w:widowControl/>
        <w:spacing w:line="480" w:lineRule="atLeast"/>
        <w:ind w:firstLine="960" w:firstLineChars="4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甲方(盖章)：_________           乙方(盖章)：_________</w:t>
      </w:r>
    </w:p>
    <w:p>
      <w:pPr>
        <w:pStyle w:val="46"/>
        <w:widowControl/>
        <w:spacing w:line="480" w:lineRule="atLeast"/>
        <w:ind w:firstLine="960" w:firstLineChars="4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经办人(签字)：________          经办人(签字)：_________</w:t>
      </w:r>
    </w:p>
    <w:p>
      <w:pPr>
        <w:pStyle w:val="46"/>
        <w:widowControl/>
        <w:spacing w:line="480" w:lineRule="atLeast"/>
        <w:ind w:firstLine="960" w:firstLineChars="4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负责人(签字)：_________         负责人(签字)：_________</w:t>
      </w:r>
    </w:p>
    <w:p>
      <w:pPr>
        <w:pStyle w:val="46"/>
        <w:widowControl/>
        <w:spacing w:line="480" w:lineRule="atLeast"/>
        <w:ind w:firstLine="960" w:firstLineChars="4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地　址：______________          地　址：_________</w:t>
      </w:r>
    </w:p>
    <w:p>
      <w:pPr>
        <w:pStyle w:val="46"/>
        <w:widowControl/>
        <w:spacing w:line="480" w:lineRule="atLeast"/>
        <w:ind w:firstLine="960" w:firstLineChars="4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电　话：______________          电　话：_________</w:t>
      </w:r>
    </w:p>
    <w:p>
      <w:pPr>
        <w:pStyle w:val="46"/>
        <w:widowControl/>
        <w:spacing w:line="480" w:lineRule="atLeast"/>
        <w:ind w:firstLine="960" w:firstLineChars="4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开户银行：_____________         开户银行：_________</w:t>
      </w:r>
    </w:p>
    <w:p>
      <w:pPr>
        <w:pStyle w:val="27"/>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200" w:lineRule="exact"/>
      <w:jc w:val="left"/>
      <w:rPr>
        <w:rFonts w:hint="default" w:ascii="Times New Roman" w:eastAsia="Times New Roman"/>
        <w:kern w:val="0"/>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Style w:val="35"/>
        <w:rFonts w:hint="eastAsia"/>
        <w:sz w:val="24"/>
      </w:rPr>
      <w:t xml:space="preserve">  </w:t>
    </w:r>
    <w:r>
      <w:rPr>
        <w:rStyle w:val="35"/>
        <w:sz w:val="24"/>
      </w:rPr>
      <w:drawing>
        <wp:inline distT="0" distB="0" distL="114300" distR="114300">
          <wp:extent cx="374015" cy="375920"/>
          <wp:effectExtent l="0" t="0" r="6985" b="5080"/>
          <wp:docPr id="2" name="图片 2" descr="D:\用户目录\我的文档\Tencent Files\742054343\Image\C2C\0UZ3YQ7QPT[@M_F(FE]QH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用户目录\我的文档\Tencent Files\742054343\Image\C2C\0UZ3YQ7QPT[@M_F(FE]QHFN.png"/>
                  <pic:cNvPicPr>
                    <a:picLocks noChangeAspect="1"/>
                  </pic:cNvPicPr>
                </pic:nvPicPr>
                <pic:blipFill>
                  <a:blip r:embed="rId1"/>
                  <a:stretch>
                    <a:fillRect/>
                  </a:stretch>
                </pic:blipFill>
                <pic:spPr>
                  <a:xfrm>
                    <a:off x="0" y="0"/>
                    <a:ext cx="374015" cy="375920"/>
                  </a:xfrm>
                  <a:prstGeom prst="rect">
                    <a:avLst/>
                  </a:prstGeom>
                  <a:noFill/>
                  <a:ln>
                    <a:noFill/>
                  </a:ln>
                </pic:spPr>
              </pic:pic>
            </a:graphicData>
          </a:graphic>
        </wp:inline>
      </w:drawing>
    </w:r>
    <w:r>
      <w:rPr>
        <w:rStyle w:val="35"/>
        <w:rFonts w:hint="eastAsia"/>
        <w:sz w:val="24"/>
      </w:rPr>
      <w:t xml:space="preserve">                                </w:t>
    </w:r>
    <w:r>
      <w:rPr>
        <w:rStyle w:val="35"/>
        <w:rFonts w:hint="eastAsia"/>
        <w:sz w:val="24"/>
        <w:lang w:val="en-US" w:eastAsia="zh-CN"/>
      </w:rPr>
      <w:t xml:space="preserve">  </w:t>
    </w:r>
    <w:r>
      <w:rPr>
        <w:rStyle w:val="35"/>
        <w:rFonts w:hint="eastAsia"/>
        <w:sz w:val="24"/>
      </w:rPr>
      <w:t>新疆拓源工程管理咨询有限公司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97A35"/>
    <w:multiLevelType w:val="singleLevel"/>
    <w:tmpl w:val="83B97A35"/>
    <w:lvl w:ilvl="0" w:tentative="0">
      <w:start w:val="2"/>
      <w:numFmt w:val="chineseCounting"/>
      <w:suff w:val="nothing"/>
      <w:lvlText w:val="%1、"/>
      <w:lvlJc w:val="left"/>
      <w:rPr>
        <w:rFonts w:hint="eastAsia"/>
      </w:rPr>
    </w:lvl>
  </w:abstractNum>
  <w:abstractNum w:abstractNumId="1">
    <w:nsid w:val="A145CCAE"/>
    <w:multiLevelType w:val="singleLevel"/>
    <w:tmpl w:val="A145CCAE"/>
    <w:lvl w:ilvl="0" w:tentative="0">
      <w:start w:val="1"/>
      <w:numFmt w:val="decimal"/>
      <w:suff w:val="nothing"/>
      <w:lvlText w:val="%1、"/>
      <w:lvlJc w:val="left"/>
    </w:lvl>
  </w:abstractNum>
  <w:abstractNum w:abstractNumId="2">
    <w:nsid w:val="B7083CBA"/>
    <w:multiLevelType w:val="singleLevel"/>
    <w:tmpl w:val="B7083CBA"/>
    <w:lvl w:ilvl="0" w:tentative="0">
      <w:start w:val="1"/>
      <w:numFmt w:val="decimal"/>
      <w:lvlText w:val="%1."/>
      <w:lvlJc w:val="left"/>
      <w:pPr>
        <w:tabs>
          <w:tab w:val="left" w:pos="312"/>
        </w:tabs>
      </w:pPr>
    </w:lvl>
  </w:abstractNum>
  <w:abstractNum w:abstractNumId="3">
    <w:nsid w:val="CB28F82C"/>
    <w:multiLevelType w:val="singleLevel"/>
    <w:tmpl w:val="CB28F82C"/>
    <w:lvl w:ilvl="0" w:tentative="0">
      <w:start w:val="7"/>
      <w:numFmt w:val="chineseCounting"/>
      <w:suff w:val="nothing"/>
      <w:lvlText w:val="%1、"/>
      <w:lvlJc w:val="left"/>
      <w:rPr>
        <w:rFonts w:hint="eastAsia"/>
      </w:rPr>
    </w:lvl>
  </w:abstractNum>
  <w:abstractNum w:abstractNumId="4">
    <w:nsid w:val="D9BA4D5B"/>
    <w:multiLevelType w:val="singleLevel"/>
    <w:tmpl w:val="D9BA4D5B"/>
    <w:lvl w:ilvl="0" w:tentative="0">
      <w:start w:val="1"/>
      <w:numFmt w:val="decimal"/>
      <w:lvlText w:val="%1."/>
      <w:lvlJc w:val="left"/>
      <w:pPr>
        <w:tabs>
          <w:tab w:val="left" w:pos="312"/>
        </w:tabs>
      </w:pPr>
    </w:lvl>
  </w:abstractNum>
  <w:abstractNum w:abstractNumId="5">
    <w:nsid w:val="F3290AE7"/>
    <w:multiLevelType w:val="singleLevel"/>
    <w:tmpl w:val="F3290AE7"/>
    <w:lvl w:ilvl="0" w:tentative="0">
      <w:start w:val="10"/>
      <w:numFmt w:val="chineseCounting"/>
      <w:suff w:val="space"/>
      <w:lvlText w:val="第%1条"/>
      <w:lvlJc w:val="left"/>
      <w:rPr>
        <w:rFonts w:hint="eastAsia"/>
      </w:rPr>
    </w:lvl>
  </w:abstractNum>
  <w:abstractNum w:abstractNumId="6">
    <w:nsid w:val="F605F4CB"/>
    <w:multiLevelType w:val="singleLevel"/>
    <w:tmpl w:val="F605F4CB"/>
    <w:lvl w:ilvl="0" w:tentative="0">
      <w:start w:val="2"/>
      <w:numFmt w:val="decimal"/>
      <w:lvlText w:val="%1."/>
      <w:lvlJc w:val="left"/>
      <w:pPr>
        <w:tabs>
          <w:tab w:val="left" w:pos="312"/>
        </w:tabs>
      </w:pPr>
    </w:lvl>
  </w:abstractNum>
  <w:abstractNum w:abstractNumId="7">
    <w:nsid w:val="0000000A"/>
    <w:multiLevelType w:val="multilevel"/>
    <w:tmpl w:val="0000000A"/>
    <w:lvl w:ilvl="0" w:tentative="0">
      <w:start w:val="1"/>
      <w:numFmt w:val="decimal"/>
      <w:lvlText w:val="第%1章"/>
      <w:lvlJc w:val="left"/>
      <w:pPr>
        <w:ind w:left="432" w:hanging="432"/>
      </w:pPr>
      <w:rPr>
        <w:rFonts w:hint="eastAsia" w:ascii="宋体" w:hAnsi="宋体" w:eastAsia="宋体" w:cs="宋体"/>
      </w:rPr>
    </w:lvl>
    <w:lvl w:ilvl="1" w:tentative="0">
      <w:start w:val="1"/>
      <w:numFmt w:val="decimalFullWidth"/>
      <w:lvlText w:val="%1.%2"/>
      <w:lvlJc w:val="left"/>
      <w:pPr>
        <w:ind w:left="575" w:hanging="575"/>
      </w:pPr>
      <w:rPr>
        <w:rFonts w:hint="eastAsia" w:ascii="宋体" w:hAnsi="宋体" w:eastAsia="宋体" w:cs="宋体"/>
      </w:rPr>
    </w:lvl>
    <w:lvl w:ilvl="2" w:tentative="0">
      <w:start w:val="1"/>
      <w:numFmt w:val="decimal"/>
      <w:lvlText w:val="%1.%2.%3 "/>
      <w:lvlJc w:val="left"/>
      <w:pPr>
        <w:ind w:left="720" w:hanging="720"/>
      </w:pPr>
      <w:rPr>
        <w:rFonts w:hint="eastAsia" w:ascii="宋体" w:hAnsi="宋体" w:eastAsia="宋体" w:cs="宋体"/>
      </w:rPr>
    </w:lvl>
    <w:lvl w:ilvl="3" w:tentative="0">
      <w:start w:val="1"/>
      <w:numFmt w:val="decimal"/>
      <w:pStyle w:val="6"/>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8">
    <w:nsid w:val="0000000F"/>
    <w:multiLevelType w:val="singleLevel"/>
    <w:tmpl w:val="0000000F"/>
    <w:lvl w:ilvl="0" w:tentative="0">
      <w:start w:val="1"/>
      <w:numFmt w:val="decimal"/>
      <w:suff w:val="nothing"/>
      <w:lvlText w:val="%1、"/>
      <w:lvlJc w:val="left"/>
    </w:lvl>
  </w:abstractNum>
  <w:abstractNum w:abstractNumId="9">
    <w:nsid w:val="47B24A7F"/>
    <w:multiLevelType w:val="multilevel"/>
    <w:tmpl w:val="47B24A7F"/>
    <w:lvl w:ilvl="0" w:tentative="0">
      <w:start w:val="1"/>
      <w:numFmt w:val="decimal"/>
      <w:lvlText w:val="%1、"/>
      <w:lvlJc w:val="left"/>
      <w:pPr>
        <w:tabs>
          <w:tab w:val="left" w:pos="740"/>
        </w:tabs>
        <w:ind w:left="1081" w:hanging="1081"/>
      </w:pPr>
      <w:rPr>
        <w:rFonts w:hint="default"/>
      </w:rPr>
    </w:lvl>
    <w:lvl w:ilvl="1" w:tentative="0">
      <w:start w:val="1"/>
      <w:numFmt w:val="decimal"/>
      <w:pStyle w:val="56"/>
      <w:lvlText w:val="%2、"/>
      <w:lvlJc w:val="left"/>
      <w:pPr>
        <w:tabs>
          <w:tab w:val="left" w:pos="1160"/>
        </w:tabs>
        <w:ind w:left="1501" w:hanging="1081"/>
      </w:pPr>
      <w:rPr>
        <w:rFonts w:hint="default" w:ascii="Arial" w:hAnsi="Arial" w:cs="Arial"/>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60C8F99C"/>
    <w:multiLevelType w:val="singleLevel"/>
    <w:tmpl w:val="60C8F99C"/>
    <w:lvl w:ilvl="0" w:tentative="0">
      <w:start w:val="6"/>
      <w:numFmt w:val="chineseCounting"/>
      <w:suff w:val="nothing"/>
      <w:lvlText w:val="%1、"/>
      <w:lvlJc w:val="left"/>
      <w:rPr>
        <w:rFonts w:hint="eastAsia"/>
      </w:rPr>
    </w:lvl>
  </w:abstractNum>
  <w:abstractNum w:abstractNumId="11">
    <w:nsid w:val="6CB4C3CB"/>
    <w:multiLevelType w:val="singleLevel"/>
    <w:tmpl w:val="6CB4C3CB"/>
    <w:lvl w:ilvl="0" w:tentative="0">
      <w:start w:val="8"/>
      <w:numFmt w:val="chineseCounting"/>
      <w:suff w:val="nothing"/>
      <w:lvlText w:val="%1、"/>
      <w:lvlJc w:val="left"/>
      <w:rPr>
        <w:rFonts w:hint="eastAsia"/>
      </w:rPr>
    </w:lvl>
  </w:abstractNum>
  <w:num w:numId="1">
    <w:abstractNumId w:val="7"/>
  </w:num>
  <w:num w:numId="2">
    <w:abstractNumId w:val="9"/>
  </w:num>
  <w:num w:numId="3">
    <w:abstractNumId w:val="8"/>
  </w:num>
  <w:num w:numId="4">
    <w:abstractNumId w:val="1"/>
  </w:num>
  <w:num w:numId="5">
    <w:abstractNumId w:val="0"/>
  </w:num>
  <w:num w:numId="6">
    <w:abstractNumId w:val="10"/>
  </w:num>
  <w:num w:numId="7">
    <w:abstractNumId w:val="3"/>
  </w:num>
  <w:num w:numId="8">
    <w:abstractNumId w:val="11"/>
  </w:num>
  <w:num w:numId="9">
    <w:abstractNumId w:val="6"/>
  </w:num>
  <w:num w:numId="10">
    <w:abstractNumId w:val="4"/>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1NmM1ZjhmOGNhYzhjNzM2MTEyM2Q2ZTg2YmYwYmMifQ=="/>
    <w:docVar w:name="KSO_WPS_MARK_KEY" w:val="2542d0e4-db01-47bc-9e30-3b31ec68f3a9"/>
  </w:docVars>
  <w:rsids>
    <w:rsidRoot w:val="006D6F44"/>
    <w:rsid w:val="00083A7D"/>
    <w:rsid w:val="00085DA1"/>
    <w:rsid w:val="001119CD"/>
    <w:rsid w:val="001343B1"/>
    <w:rsid w:val="00177ECA"/>
    <w:rsid w:val="002021CC"/>
    <w:rsid w:val="0022674C"/>
    <w:rsid w:val="00252FC0"/>
    <w:rsid w:val="003C111D"/>
    <w:rsid w:val="00436CBC"/>
    <w:rsid w:val="0049263D"/>
    <w:rsid w:val="004D5BB6"/>
    <w:rsid w:val="005F58DE"/>
    <w:rsid w:val="006351B6"/>
    <w:rsid w:val="006D6F44"/>
    <w:rsid w:val="00736F86"/>
    <w:rsid w:val="00754BD2"/>
    <w:rsid w:val="00A21929"/>
    <w:rsid w:val="00AD511E"/>
    <w:rsid w:val="00BD6145"/>
    <w:rsid w:val="00CC135F"/>
    <w:rsid w:val="00D651EE"/>
    <w:rsid w:val="00DF7C4C"/>
    <w:rsid w:val="00E47163"/>
    <w:rsid w:val="00F846DC"/>
    <w:rsid w:val="011A058D"/>
    <w:rsid w:val="019B461B"/>
    <w:rsid w:val="01F36A43"/>
    <w:rsid w:val="02563B57"/>
    <w:rsid w:val="02F11C19"/>
    <w:rsid w:val="02FC7F3E"/>
    <w:rsid w:val="03D305A2"/>
    <w:rsid w:val="057C2119"/>
    <w:rsid w:val="065A49AA"/>
    <w:rsid w:val="07C97589"/>
    <w:rsid w:val="082F62F4"/>
    <w:rsid w:val="0ACE6829"/>
    <w:rsid w:val="0AE36F06"/>
    <w:rsid w:val="0AF41C12"/>
    <w:rsid w:val="0B0D4C33"/>
    <w:rsid w:val="0CF602B9"/>
    <w:rsid w:val="0D2D03D2"/>
    <w:rsid w:val="0D5741F4"/>
    <w:rsid w:val="0D850FBB"/>
    <w:rsid w:val="0DBD2424"/>
    <w:rsid w:val="0DD87DE8"/>
    <w:rsid w:val="0F146C3D"/>
    <w:rsid w:val="0F2310FF"/>
    <w:rsid w:val="0F887012"/>
    <w:rsid w:val="1055163A"/>
    <w:rsid w:val="11000D61"/>
    <w:rsid w:val="117B5769"/>
    <w:rsid w:val="11AB0DFD"/>
    <w:rsid w:val="14F00AA2"/>
    <w:rsid w:val="15BA29AC"/>
    <w:rsid w:val="16247C45"/>
    <w:rsid w:val="16874642"/>
    <w:rsid w:val="16B65467"/>
    <w:rsid w:val="16E86EC4"/>
    <w:rsid w:val="17764E3E"/>
    <w:rsid w:val="17AD43A0"/>
    <w:rsid w:val="17FF6452"/>
    <w:rsid w:val="180F2C31"/>
    <w:rsid w:val="18A04871"/>
    <w:rsid w:val="18F52A9C"/>
    <w:rsid w:val="19C17CAA"/>
    <w:rsid w:val="19FF64A2"/>
    <w:rsid w:val="1A0A6A8E"/>
    <w:rsid w:val="1A246465"/>
    <w:rsid w:val="1B912A8E"/>
    <w:rsid w:val="1BD7260B"/>
    <w:rsid w:val="1BE331C5"/>
    <w:rsid w:val="1BF55BDB"/>
    <w:rsid w:val="1C111736"/>
    <w:rsid w:val="1C37598E"/>
    <w:rsid w:val="1D5252D9"/>
    <w:rsid w:val="1DC57731"/>
    <w:rsid w:val="1DD957B9"/>
    <w:rsid w:val="1DEA1950"/>
    <w:rsid w:val="1E842620"/>
    <w:rsid w:val="1F48390E"/>
    <w:rsid w:val="1F644AE8"/>
    <w:rsid w:val="1F684E59"/>
    <w:rsid w:val="20001D6A"/>
    <w:rsid w:val="206A5E42"/>
    <w:rsid w:val="21550B40"/>
    <w:rsid w:val="21D80B71"/>
    <w:rsid w:val="21F17D04"/>
    <w:rsid w:val="22500A99"/>
    <w:rsid w:val="226A7409"/>
    <w:rsid w:val="23E03502"/>
    <w:rsid w:val="246C62EA"/>
    <w:rsid w:val="24AE1898"/>
    <w:rsid w:val="24C93DF2"/>
    <w:rsid w:val="24D65801"/>
    <w:rsid w:val="25190209"/>
    <w:rsid w:val="25302162"/>
    <w:rsid w:val="255C218F"/>
    <w:rsid w:val="256F4866"/>
    <w:rsid w:val="260C30AD"/>
    <w:rsid w:val="26592325"/>
    <w:rsid w:val="267C3185"/>
    <w:rsid w:val="2725176B"/>
    <w:rsid w:val="2745745A"/>
    <w:rsid w:val="27BC2A5B"/>
    <w:rsid w:val="283E4C57"/>
    <w:rsid w:val="28D601EB"/>
    <w:rsid w:val="296C3771"/>
    <w:rsid w:val="29EB48A9"/>
    <w:rsid w:val="2ACF41CB"/>
    <w:rsid w:val="2AEC5A97"/>
    <w:rsid w:val="2B8773B3"/>
    <w:rsid w:val="2C730B86"/>
    <w:rsid w:val="2C8608B9"/>
    <w:rsid w:val="2CB2345D"/>
    <w:rsid w:val="2E096E23"/>
    <w:rsid w:val="2E7F2A0C"/>
    <w:rsid w:val="2EFE507F"/>
    <w:rsid w:val="2FB971F8"/>
    <w:rsid w:val="301A2DFD"/>
    <w:rsid w:val="304A3722"/>
    <w:rsid w:val="3062625C"/>
    <w:rsid w:val="30715502"/>
    <w:rsid w:val="31D609DB"/>
    <w:rsid w:val="31E01A47"/>
    <w:rsid w:val="32382833"/>
    <w:rsid w:val="329E236C"/>
    <w:rsid w:val="33BB7ADC"/>
    <w:rsid w:val="350A08F1"/>
    <w:rsid w:val="35A013B7"/>
    <w:rsid w:val="36710DB6"/>
    <w:rsid w:val="368A6A0B"/>
    <w:rsid w:val="374271D8"/>
    <w:rsid w:val="37D739CE"/>
    <w:rsid w:val="381B0296"/>
    <w:rsid w:val="38BB1E22"/>
    <w:rsid w:val="38E01351"/>
    <w:rsid w:val="38EF5A38"/>
    <w:rsid w:val="39162FC5"/>
    <w:rsid w:val="39D550EC"/>
    <w:rsid w:val="3A292476"/>
    <w:rsid w:val="3AF870AB"/>
    <w:rsid w:val="3CD07877"/>
    <w:rsid w:val="3D276170"/>
    <w:rsid w:val="3D661449"/>
    <w:rsid w:val="3DA6700D"/>
    <w:rsid w:val="3DA70D1F"/>
    <w:rsid w:val="3DAE3162"/>
    <w:rsid w:val="3DEA15D4"/>
    <w:rsid w:val="3EA76402"/>
    <w:rsid w:val="3F143436"/>
    <w:rsid w:val="40A50767"/>
    <w:rsid w:val="40AA1DF7"/>
    <w:rsid w:val="41686388"/>
    <w:rsid w:val="419378A9"/>
    <w:rsid w:val="42835A3D"/>
    <w:rsid w:val="428C078D"/>
    <w:rsid w:val="44F71EFD"/>
    <w:rsid w:val="451F126E"/>
    <w:rsid w:val="45867106"/>
    <w:rsid w:val="458E1839"/>
    <w:rsid w:val="45AB2CE7"/>
    <w:rsid w:val="46CE1383"/>
    <w:rsid w:val="477D2E4A"/>
    <w:rsid w:val="47C70A38"/>
    <w:rsid w:val="480908C5"/>
    <w:rsid w:val="487469E2"/>
    <w:rsid w:val="48F14EB5"/>
    <w:rsid w:val="48F91625"/>
    <w:rsid w:val="494C5A26"/>
    <w:rsid w:val="49AB391A"/>
    <w:rsid w:val="49C337B5"/>
    <w:rsid w:val="4ABA3D35"/>
    <w:rsid w:val="4B663938"/>
    <w:rsid w:val="4BB350A6"/>
    <w:rsid w:val="4C0554CB"/>
    <w:rsid w:val="4C260A4D"/>
    <w:rsid w:val="4C361B97"/>
    <w:rsid w:val="4C522C98"/>
    <w:rsid w:val="4CC27294"/>
    <w:rsid w:val="4EFD78B0"/>
    <w:rsid w:val="4F182DE3"/>
    <w:rsid w:val="4F7A3CCF"/>
    <w:rsid w:val="4F9A2DCC"/>
    <w:rsid w:val="501A62B0"/>
    <w:rsid w:val="50C3182D"/>
    <w:rsid w:val="511215A9"/>
    <w:rsid w:val="5223325C"/>
    <w:rsid w:val="53000AE3"/>
    <w:rsid w:val="54AB554E"/>
    <w:rsid w:val="55A56FD0"/>
    <w:rsid w:val="55A7171D"/>
    <w:rsid w:val="567E11E9"/>
    <w:rsid w:val="56933C1B"/>
    <w:rsid w:val="56A45C5C"/>
    <w:rsid w:val="57FA24E2"/>
    <w:rsid w:val="58D00F8B"/>
    <w:rsid w:val="599E6993"/>
    <w:rsid w:val="5A092C2B"/>
    <w:rsid w:val="5AEB1782"/>
    <w:rsid w:val="5CA028CF"/>
    <w:rsid w:val="5D54355A"/>
    <w:rsid w:val="5F51605A"/>
    <w:rsid w:val="5F850BD3"/>
    <w:rsid w:val="60077FCA"/>
    <w:rsid w:val="610738E0"/>
    <w:rsid w:val="612B4288"/>
    <w:rsid w:val="615A0A81"/>
    <w:rsid w:val="616427FD"/>
    <w:rsid w:val="61F10144"/>
    <w:rsid w:val="62226386"/>
    <w:rsid w:val="625F3AF3"/>
    <w:rsid w:val="63D77534"/>
    <w:rsid w:val="64261F1A"/>
    <w:rsid w:val="652F2220"/>
    <w:rsid w:val="656A1E1F"/>
    <w:rsid w:val="66417024"/>
    <w:rsid w:val="66CE7BBE"/>
    <w:rsid w:val="68BA3557"/>
    <w:rsid w:val="68BE5C06"/>
    <w:rsid w:val="694D1201"/>
    <w:rsid w:val="69A022B3"/>
    <w:rsid w:val="6B4E536C"/>
    <w:rsid w:val="6B6D6DE2"/>
    <w:rsid w:val="6BB27887"/>
    <w:rsid w:val="6BD928AA"/>
    <w:rsid w:val="6C183D6E"/>
    <w:rsid w:val="6D4441CE"/>
    <w:rsid w:val="6D8A0DDF"/>
    <w:rsid w:val="6E775CD9"/>
    <w:rsid w:val="6ED07197"/>
    <w:rsid w:val="70055A8F"/>
    <w:rsid w:val="70FE6A90"/>
    <w:rsid w:val="724E21E5"/>
    <w:rsid w:val="729D385E"/>
    <w:rsid w:val="7352461E"/>
    <w:rsid w:val="755E374E"/>
    <w:rsid w:val="757B4FC6"/>
    <w:rsid w:val="75BF456A"/>
    <w:rsid w:val="7654306E"/>
    <w:rsid w:val="78BF1DB2"/>
    <w:rsid w:val="795641A9"/>
    <w:rsid w:val="7AD26B8E"/>
    <w:rsid w:val="7CCD055A"/>
    <w:rsid w:val="7CCD4D16"/>
    <w:rsid w:val="7D7257F9"/>
    <w:rsid w:val="7D896857"/>
    <w:rsid w:val="7D95153D"/>
    <w:rsid w:val="7D980184"/>
    <w:rsid w:val="7D9F0FBC"/>
    <w:rsid w:val="7EE27891"/>
    <w:rsid w:val="7F080287"/>
    <w:rsid w:val="7F211E66"/>
    <w:rsid w:val="7F29553D"/>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pPr>
    <w:rPr>
      <w:rFonts w:ascii="Calibri" w:hAnsi="Calibri"/>
      <w:kern w:val="44"/>
      <w:sz w:val="44"/>
      <w:szCs w:val="44"/>
    </w:rPr>
  </w:style>
  <w:style w:type="paragraph" w:styleId="4">
    <w:name w:val="heading 2"/>
    <w:basedOn w:val="5"/>
    <w:next w:val="1"/>
    <w:qFormat/>
    <w:uiPriority w:val="0"/>
    <w:pPr>
      <w:keepLines/>
      <w:spacing w:before="260" w:after="260" w:line="416" w:lineRule="auto"/>
      <w:outlineLvl w:val="1"/>
    </w:pPr>
    <w:rPr>
      <w:rFonts w:ascii="Arial" w:hAnsi="Arial" w:eastAsia="黑体"/>
      <w:bCs/>
      <w:szCs w:val="32"/>
    </w:rPr>
  </w:style>
  <w:style w:type="paragraph" w:styleId="6">
    <w:name w:val="heading 4"/>
    <w:basedOn w:val="1"/>
    <w:next w:val="1"/>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cs="Times New Roman"/>
      <w:b/>
      <w:sz w:val="28"/>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customStyle="1" w:styleId="5">
    <w:name w:val="3）三级标题 与下段同页"/>
    <w:basedOn w:val="1"/>
    <w:qFormat/>
    <w:uiPriority w:val="0"/>
    <w:pPr>
      <w:keepNext/>
      <w:spacing w:beforeLines="50" w:afterLines="50"/>
      <w:jc w:val="center"/>
      <w:outlineLvl w:val="2"/>
    </w:pPr>
    <w:rPr>
      <w:rFonts w:ascii="仿宋_GB2312" w:eastAsia="仿宋_GB2312"/>
      <w:b/>
      <w:sz w:val="32"/>
    </w:rPr>
  </w:style>
  <w:style w:type="paragraph" w:styleId="7">
    <w:name w:val="caption"/>
    <w:basedOn w:val="1"/>
    <w:next w:val="1"/>
    <w:qFormat/>
    <w:uiPriority w:val="0"/>
    <w:rPr>
      <w:rFonts w:ascii="Arial" w:hAnsi="Arial" w:eastAsia="黑体" w:cs="Arial"/>
      <w:sz w:val="20"/>
      <w:szCs w:val="20"/>
    </w:rPr>
  </w:style>
  <w:style w:type="paragraph" w:styleId="8">
    <w:name w:val="toa heading"/>
    <w:basedOn w:val="1"/>
    <w:next w:val="1"/>
    <w:qFormat/>
    <w:uiPriority w:val="0"/>
    <w:pPr>
      <w:spacing w:before="120"/>
    </w:pPr>
    <w:rPr>
      <w:rFonts w:ascii="Cambria" w:hAnsi="Cambria"/>
      <w:sz w:val="24"/>
    </w:rPr>
  </w:style>
  <w:style w:type="paragraph" w:styleId="9">
    <w:name w:val="annotation text"/>
    <w:basedOn w:val="1"/>
    <w:link w:val="51"/>
    <w:qFormat/>
    <w:uiPriority w:val="0"/>
    <w:pPr>
      <w:jc w:val="left"/>
    </w:pPr>
  </w:style>
  <w:style w:type="paragraph" w:styleId="10">
    <w:name w:val="index 6"/>
    <w:basedOn w:val="1"/>
    <w:next w:val="1"/>
    <w:qFormat/>
    <w:uiPriority w:val="99"/>
    <w:pPr>
      <w:adjustRightInd w:val="0"/>
      <w:snapToGrid w:val="0"/>
      <w:ind w:left="2100"/>
    </w:pPr>
    <w:rPr>
      <w:rFonts w:ascii="Times New Roman" w:hAnsi="Times New Roman"/>
      <w:szCs w:val="21"/>
    </w:rPr>
  </w:style>
  <w:style w:type="paragraph" w:styleId="11">
    <w:name w:val="Body Text"/>
    <w:basedOn w:val="1"/>
    <w:next w:val="1"/>
    <w:qFormat/>
    <w:uiPriority w:val="0"/>
    <w:pPr>
      <w:spacing w:after="120"/>
    </w:pPr>
  </w:style>
  <w:style w:type="paragraph" w:styleId="12">
    <w:name w:val="Body Text Indent"/>
    <w:basedOn w:val="1"/>
    <w:next w:val="13"/>
    <w:qFormat/>
    <w:uiPriority w:val="0"/>
    <w:pPr>
      <w:ind w:firstLine="630"/>
    </w:pPr>
    <w:rPr>
      <w:sz w:val="32"/>
      <w:szCs w:val="20"/>
    </w:rPr>
  </w:style>
  <w:style w:type="paragraph" w:styleId="13">
    <w:name w:val="envelope return"/>
    <w:basedOn w:val="1"/>
    <w:qFormat/>
    <w:uiPriority w:val="99"/>
    <w:pPr>
      <w:snapToGrid w:val="0"/>
    </w:pPr>
    <w:rPr>
      <w:rFonts w:ascii="Arial" w:hAnsi="Arial" w:cs="Arial"/>
    </w:r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link w:val="50"/>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pPr>
      <w:spacing w:line="480" w:lineRule="auto"/>
    </w:pPr>
    <w:rPr>
      <w:rFonts w:ascii="Times New Roman" w:hAnsi="Times New Roman"/>
      <w:sz w:val="30"/>
    </w:rPr>
  </w:style>
  <w:style w:type="paragraph" w:styleId="20">
    <w:name w:val="index heading"/>
    <w:basedOn w:val="1"/>
    <w:next w:val="21"/>
    <w:qFormat/>
    <w:uiPriority w:val="0"/>
    <w:pPr>
      <w:adjustRightInd w:val="0"/>
      <w:spacing w:line="312" w:lineRule="atLeast"/>
      <w:textAlignment w:val="baseline"/>
    </w:pPr>
    <w:rPr>
      <w:rFonts w:ascii="Arial" w:hAnsi="Arial" w:eastAsia="仿宋" w:cs="Arial"/>
      <w:b/>
      <w:bCs/>
      <w:kern w:val="0"/>
      <w:sz w:val="32"/>
      <w:szCs w:val="20"/>
    </w:rPr>
  </w:style>
  <w:style w:type="paragraph" w:styleId="21">
    <w:name w:val="index 1"/>
    <w:basedOn w:val="1"/>
    <w:next w:val="1"/>
    <w:unhideWhenUsed/>
    <w:qFormat/>
    <w:uiPriority w:val="0"/>
  </w:style>
  <w:style w:type="paragraph" w:styleId="22">
    <w:name w:val="List 5"/>
    <w:basedOn w:val="1"/>
    <w:qFormat/>
    <w:uiPriority w:val="0"/>
    <w:pPr>
      <w:ind w:left="2100" w:hanging="420"/>
    </w:pPr>
    <w:rPr>
      <w:rFonts w:eastAsia="楷体_GB2312"/>
      <w:sz w:val="32"/>
      <w:szCs w:val="20"/>
    </w:rPr>
  </w:style>
  <w:style w:type="paragraph" w:styleId="23">
    <w:name w:val="Normal (Web)"/>
    <w:basedOn w:val="1"/>
    <w:next w:val="1"/>
    <w:qFormat/>
    <w:uiPriority w:val="0"/>
    <w:pPr>
      <w:widowControl/>
      <w:spacing w:before="100" w:beforeAutospacing="1" w:after="100" w:afterAutospacing="1"/>
      <w:jc w:val="left"/>
    </w:pPr>
    <w:rPr>
      <w:rFonts w:ascii="宋体" w:hAnsi="宋体"/>
      <w:kern w:val="0"/>
      <w:sz w:val="18"/>
      <w:szCs w:val="18"/>
    </w:rPr>
  </w:style>
  <w:style w:type="paragraph" w:styleId="24">
    <w:name w:val="Title"/>
    <w:basedOn w:val="1"/>
    <w:next w:val="1"/>
    <w:qFormat/>
    <w:uiPriority w:val="10"/>
    <w:pPr>
      <w:spacing w:before="240" w:after="60"/>
      <w:jc w:val="center"/>
      <w:outlineLvl w:val="0"/>
    </w:pPr>
    <w:rPr>
      <w:rFonts w:ascii="Cambria" w:hAnsi="Cambria"/>
      <w:b/>
      <w:bCs/>
      <w:sz w:val="32"/>
      <w:szCs w:val="32"/>
    </w:rPr>
  </w:style>
  <w:style w:type="paragraph" w:styleId="25">
    <w:name w:val="annotation subject"/>
    <w:basedOn w:val="9"/>
    <w:next w:val="9"/>
    <w:link w:val="52"/>
    <w:qFormat/>
    <w:uiPriority w:val="0"/>
    <w:rPr>
      <w:b/>
      <w:bCs/>
    </w:rPr>
  </w:style>
  <w:style w:type="paragraph" w:styleId="26">
    <w:name w:val="Body Text First Indent"/>
    <w:basedOn w:val="11"/>
    <w:next w:val="1"/>
    <w:qFormat/>
    <w:uiPriority w:val="0"/>
    <w:pPr>
      <w:ind w:firstLine="420" w:firstLineChars="100"/>
    </w:pPr>
  </w:style>
  <w:style w:type="paragraph" w:styleId="27">
    <w:name w:val="Body Text First Indent 2"/>
    <w:basedOn w:val="12"/>
    <w:next w:val="1"/>
    <w:qFormat/>
    <w:uiPriority w:val="0"/>
    <w:pPr>
      <w:ind w:firstLine="420"/>
    </w:pPr>
  </w:style>
  <w:style w:type="character" w:styleId="30">
    <w:name w:val="Strong"/>
    <w:basedOn w:val="29"/>
    <w:qFormat/>
    <w:uiPriority w:val="22"/>
    <w:rPr>
      <w:b/>
      <w:bCs/>
    </w:rPr>
  </w:style>
  <w:style w:type="character" w:styleId="31">
    <w:name w:val="Hyperlink"/>
    <w:basedOn w:val="29"/>
    <w:qFormat/>
    <w:uiPriority w:val="0"/>
    <w:rPr>
      <w:rFonts w:ascii="Times New Roman" w:hAnsi="Times New Roman" w:eastAsia="微软雅黑" w:cs="Times New Roman"/>
      <w:color w:val="0000FF"/>
      <w:u w:val="single"/>
    </w:rPr>
  </w:style>
  <w:style w:type="character" w:styleId="32">
    <w:name w:val="annotation reference"/>
    <w:basedOn w:val="29"/>
    <w:qFormat/>
    <w:uiPriority w:val="0"/>
    <w:rPr>
      <w:sz w:val="21"/>
      <w:szCs w:val="21"/>
    </w:rPr>
  </w:style>
  <w:style w:type="paragraph" w:customStyle="1" w:styleId="33">
    <w:name w:val="样式1"/>
    <w:basedOn w:val="1"/>
    <w:next w:val="34"/>
    <w:qFormat/>
    <w:uiPriority w:val="0"/>
    <w:pPr>
      <w:spacing w:before="120" w:beforeLines="0" w:after="120" w:afterLines="0"/>
    </w:pPr>
  </w:style>
  <w:style w:type="paragraph" w:customStyle="1" w:styleId="34">
    <w:name w:val="样式2"/>
    <w:basedOn w:val="1"/>
    <w:qFormat/>
    <w:uiPriority w:val="0"/>
    <w:pPr>
      <w:spacing w:before="120" w:beforeLines="0" w:after="120" w:afterLines="0"/>
    </w:pPr>
  </w:style>
  <w:style w:type="character" w:customStyle="1" w:styleId="35">
    <w:name w:val="NormalCharacter"/>
    <w:link w:val="36"/>
    <w:qFormat/>
    <w:uiPriority w:val="0"/>
  </w:style>
  <w:style w:type="paragraph" w:customStyle="1" w:styleId="36">
    <w:name w:val="UserStyle_5"/>
    <w:basedOn w:val="1"/>
    <w:link w:val="35"/>
    <w:qFormat/>
    <w:uiPriority w:val="0"/>
    <w:pPr>
      <w:widowControl/>
      <w:spacing w:after="160" w:line="240" w:lineRule="exact"/>
      <w:jc w:val="left"/>
      <w:textAlignment w:val="baseline"/>
    </w:pPr>
  </w:style>
  <w:style w:type="character" w:customStyle="1" w:styleId="37">
    <w:name w:val="UserStyle_3"/>
    <w:qFormat/>
    <w:uiPriority w:val="0"/>
    <w:rPr>
      <w:rFonts w:ascii="宋体" w:hAnsi="宋体" w:eastAsia="宋体"/>
      <w:b/>
      <w:sz w:val="32"/>
      <w:szCs w:val="32"/>
    </w:rPr>
  </w:style>
  <w:style w:type="paragraph" w:customStyle="1" w:styleId="38">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
    <w:name w:val="4正文"/>
    <w:basedOn w:val="1"/>
    <w:qFormat/>
    <w:uiPriority w:val="0"/>
    <w:pPr>
      <w:snapToGrid w:val="0"/>
      <w:spacing w:line="360" w:lineRule="auto"/>
      <w:ind w:firstLine="480" w:firstLineChars="200"/>
    </w:pPr>
    <w:rPr>
      <w:rFonts w:eastAsia="仿宋"/>
      <w:sz w:val="24"/>
    </w:rPr>
  </w:style>
  <w:style w:type="paragraph" w:customStyle="1" w:styleId="40">
    <w:name w:val="首行缩进:  0.85 厘米"/>
    <w:basedOn w:val="1"/>
    <w:qFormat/>
    <w:uiPriority w:val="0"/>
    <w:pPr>
      <w:widowControl/>
      <w:spacing w:after="100" w:line="360" w:lineRule="auto"/>
      <w:ind w:firstLine="482"/>
      <w:jc w:val="left"/>
    </w:pPr>
    <w:rPr>
      <w:kern w:val="0"/>
      <w:sz w:val="24"/>
      <w:lang w:eastAsia="en-US"/>
    </w:rPr>
  </w:style>
  <w:style w:type="character" w:customStyle="1" w:styleId="41">
    <w:name w:val="标题 1 Char"/>
    <w:link w:val="3"/>
    <w:qFormat/>
    <w:uiPriority w:val="0"/>
    <w:rPr>
      <w:rFonts w:ascii="Calibri" w:hAnsi="Calibri" w:eastAsia="宋体" w:cs="Times New Roman"/>
      <w:kern w:val="44"/>
      <w:sz w:val="44"/>
      <w:szCs w:val="44"/>
    </w:rPr>
  </w:style>
  <w:style w:type="paragraph" w:customStyle="1" w:styleId="42">
    <w:name w:val="Table Paragraph"/>
    <w:basedOn w:val="1"/>
    <w:unhideWhenUsed/>
    <w:qFormat/>
    <w:uiPriority w:val="1"/>
    <w:rPr>
      <w:sz w:val="24"/>
    </w:rPr>
  </w:style>
  <w:style w:type="paragraph" w:customStyle="1" w:styleId="43">
    <w:name w:val="列出段落1"/>
    <w:basedOn w:val="1"/>
    <w:qFormat/>
    <w:uiPriority w:val="0"/>
    <w:pPr>
      <w:spacing w:line="360" w:lineRule="auto"/>
      <w:ind w:firstLine="420" w:firstLineChars="200"/>
    </w:pPr>
    <w:rPr>
      <w:rFonts w:ascii="等线" w:hAnsi="等线"/>
      <w:szCs w:val="22"/>
    </w:rPr>
  </w:style>
  <w:style w:type="paragraph" w:customStyle="1" w:styleId="44">
    <w:name w:val="样式 正文缩进 + 首行缩进:  2 字符"/>
    <w:basedOn w:val="2"/>
    <w:qFormat/>
    <w:uiPriority w:val="0"/>
    <w:pPr>
      <w:spacing w:line="360" w:lineRule="auto"/>
      <w:ind w:firstLine="200"/>
    </w:pPr>
    <w:rPr>
      <w:rFonts w:cs="宋体"/>
      <w:sz w:val="24"/>
      <w:szCs w:val="20"/>
    </w:rPr>
  </w:style>
  <w:style w:type="paragraph" w:customStyle="1" w:styleId="45">
    <w:name w:val="WPS Plain"/>
    <w:basedOn w:val="1"/>
    <w:qFormat/>
    <w:uiPriority w:val="0"/>
    <w:pPr>
      <w:widowControl/>
      <w:jc w:val="left"/>
    </w:pPr>
    <w:rPr>
      <w:rFonts w:ascii="Times New Roman"/>
      <w:sz w:val="24"/>
    </w:rPr>
  </w:style>
  <w:style w:type="paragraph" w:customStyle="1" w:styleId="46">
    <w:name w:val="普通(网站)1"/>
    <w:basedOn w:val="1"/>
    <w:qFormat/>
    <w:uiPriority w:val="0"/>
    <w:pPr>
      <w:jc w:val="left"/>
    </w:pPr>
    <w:rPr>
      <w:kern w:val="0"/>
      <w:sz w:val="24"/>
    </w:rPr>
  </w:style>
  <w:style w:type="paragraph" w:customStyle="1" w:styleId="47">
    <w:name w:val="Body text|1"/>
    <w:basedOn w:val="1"/>
    <w:qFormat/>
    <w:uiPriority w:val="0"/>
    <w:pPr>
      <w:spacing w:line="290" w:lineRule="auto"/>
      <w:ind w:firstLine="400"/>
    </w:pPr>
    <w:rPr>
      <w:rFonts w:ascii="宋体" w:hAnsi="宋体" w:cs="宋体"/>
      <w:sz w:val="22"/>
      <w:szCs w:val="22"/>
      <w:lang w:val="zh-CN" w:bidi="zh-CN"/>
    </w:rPr>
  </w:style>
  <w:style w:type="paragraph" w:customStyle="1" w:styleId="48">
    <w:name w:val="纯文本1"/>
    <w:basedOn w:val="1"/>
    <w:qFormat/>
    <w:uiPriority w:val="0"/>
    <w:rPr>
      <w:rFonts w:ascii="宋体" w:hAnsi="Courier New"/>
      <w:szCs w:val="22"/>
    </w:rPr>
  </w:style>
  <w:style w:type="paragraph" w:styleId="49">
    <w:name w:val="List Paragraph"/>
    <w:basedOn w:val="1"/>
    <w:qFormat/>
    <w:uiPriority w:val="99"/>
    <w:pPr>
      <w:ind w:firstLine="420" w:firstLineChars="200"/>
    </w:pPr>
  </w:style>
  <w:style w:type="character" w:customStyle="1" w:styleId="50">
    <w:name w:val="批注框文本 Char"/>
    <w:basedOn w:val="29"/>
    <w:link w:val="16"/>
    <w:qFormat/>
    <w:uiPriority w:val="0"/>
    <w:rPr>
      <w:rFonts w:ascii="Calibri" w:hAnsi="Calibri"/>
      <w:kern w:val="2"/>
      <w:sz w:val="18"/>
      <w:szCs w:val="18"/>
    </w:rPr>
  </w:style>
  <w:style w:type="character" w:customStyle="1" w:styleId="51">
    <w:name w:val="批注文字 Char"/>
    <w:basedOn w:val="29"/>
    <w:link w:val="9"/>
    <w:qFormat/>
    <w:uiPriority w:val="0"/>
    <w:rPr>
      <w:rFonts w:ascii="Calibri" w:hAnsi="Calibri"/>
      <w:kern w:val="2"/>
      <w:sz w:val="21"/>
      <w:szCs w:val="24"/>
    </w:rPr>
  </w:style>
  <w:style w:type="character" w:customStyle="1" w:styleId="52">
    <w:name w:val="批注主题 Char"/>
    <w:basedOn w:val="51"/>
    <w:link w:val="25"/>
    <w:qFormat/>
    <w:uiPriority w:val="0"/>
    <w:rPr>
      <w:rFonts w:ascii="Calibri" w:hAnsi="Calibri"/>
      <w:b/>
      <w:bCs/>
      <w:kern w:val="2"/>
      <w:sz w:val="21"/>
      <w:szCs w:val="24"/>
    </w:rPr>
  </w:style>
  <w:style w:type="paragraph" w:customStyle="1" w:styleId="53">
    <w:name w:val="普通(网站)2"/>
    <w:basedOn w:val="1"/>
    <w:qFormat/>
    <w:uiPriority w:val="0"/>
    <w:pPr>
      <w:jc w:val="left"/>
    </w:pPr>
    <w:rPr>
      <w:rFonts w:ascii="Times New Roman" w:hAnsi="Times New Roman"/>
      <w:kern w:val="0"/>
      <w:sz w:val="24"/>
    </w:rPr>
  </w:style>
  <w:style w:type="paragraph" w:customStyle="1" w:styleId="54">
    <w:name w:val="Normal (Web)"/>
    <w:basedOn w:val="1"/>
    <w:qFormat/>
    <w:uiPriority w:val="0"/>
    <w:pPr>
      <w:spacing w:before="0" w:beforeLines="0" w:beforeAutospacing="0" w:after="0" w:afterLines="0" w:afterAutospacing="0"/>
      <w:ind w:left="0" w:right="0"/>
      <w:jc w:val="left"/>
    </w:pPr>
    <w:rPr>
      <w:kern w:val="0"/>
      <w:sz w:val="24"/>
      <w:lang w:val="en-US" w:eastAsia="zh-CN"/>
    </w:rPr>
  </w:style>
  <w:style w:type="paragraph" w:customStyle="1" w:styleId="55">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56">
    <w:name w:val="题注5"/>
    <w:basedOn w:val="1"/>
    <w:next w:val="7"/>
    <w:qFormat/>
    <w:uiPriority w:val="0"/>
    <w:pPr>
      <w:numPr>
        <w:ilvl w:val="1"/>
        <w:numId w:val="2"/>
      </w:numPr>
      <w:tabs>
        <w:tab w:val="left" w:pos="0"/>
        <w:tab w:val="left" w:pos="720"/>
      </w:tabs>
      <w:spacing w:line="360" w:lineRule="auto"/>
      <w:ind w:left="720" w:hanging="720"/>
    </w:pPr>
    <w:rPr>
      <w:b/>
      <w:color w:val="000000"/>
      <w:sz w:val="28"/>
      <w:szCs w:val="28"/>
    </w:rPr>
  </w:style>
  <w:style w:type="paragraph" w:customStyle="1" w:styleId="57">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8">
    <w:name w:val="正文_1"/>
    <w:qFormat/>
    <w:uiPriority w:val="0"/>
    <w:pPr>
      <w:widowControl w:val="0"/>
      <w:jc w:val="both"/>
    </w:pPr>
    <w:rPr>
      <w:rFonts w:ascii="Calibri" w:hAnsi="Calibri" w:eastAsia="宋体" w:cs="Times New Roman"/>
      <w:kern w:val="2"/>
      <w:sz w:val="21"/>
      <w:szCs w:val="24"/>
      <w:lang w:val="en-US" w:eastAsia="zh-CN" w:bidi="ar-SA"/>
    </w:rPr>
  </w:style>
  <w:style w:type="table" w:customStyle="1" w:styleId="59">
    <w:name w:val="无格式表格 11"/>
    <w:basedOn w:val="28"/>
    <w:qFormat/>
    <w:uiPriority w:val="41"/>
    <w:rPr>
      <w:rFonts w:ascii="Calibri" w:hAnsi="Calibri" w:eastAsia="宋体" w:cs="Times New Roman"/>
      <w:kern w:val="0"/>
      <w:sz w:val="20"/>
      <w:szCs w:val="20"/>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60">
    <w:name w:val="font181"/>
    <w:basedOn w:val="29"/>
    <w:qFormat/>
    <w:uiPriority w:val="0"/>
    <w:rPr>
      <w:rFonts w:hint="eastAsia" w:ascii="微软雅黑" w:hAnsi="微软雅黑" w:eastAsia="微软雅黑" w:cs="微软雅黑"/>
      <w:color w:val="000000"/>
      <w:sz w:val="18"/>
      <w:szCs w:val="18"/>
      <w:u w:val="none"/>
    </w:rPr>
  </w:style>
  <w:style w:type="character" w:customStyle="1" w:styleId="61">
    <w:name w:val="font281"/>
    <w:basedOn w:val="29"/>
    <w:qFormat/>
    <w:uiPriority w:val="0"/>
    <w:rPr>
      <w:rFonts w:hint="eastAsia" w:ascii="宋体" w:hAnsi="宋体" w:eastAsia="宋体" w:cs="宋体"/>
      <w:color w:val="000000"/>
      <w:sz w:val="18"/>
      <w:szCs w:val="18"/>
      <w:u w:val="none"/>
    </w:rPr>
  </w:style>
  <w:style w:type="character" w:customStyle="1" w:styleId="62">
    <w:name w:val="font201"/>
    <w:basedOn w:val="29"/>
    <w:qFormat/>
    <w:uiPriority w:val="0"/>
    <w:rPr>
      <w:rFonts w:hint="eastAsia" w:ascii="宋体" w:hAnsi="宋体" w:eastAsia="宋体" w:cs="宋体"/>
      <w:color w:val="000000"/>
      <w:sz w:val="44"/>
      <w:szCs w:val="44"/>
      <w:u w:val="none"/>
    </w:rPr>
  </w:style>
  <w:style w:type="character" w:customStyle="1" w:styleId="63">
    <w:name w:val="font212"/>
    <w:basedOn w:val="29"/>
    <w:qFormat/>
    <w:uiPriority w:val="0"/>
    <w:rPr>
      <w:rFonts w:hint="default" w:ascii="Segoe UI" w:hAnsi="Segoe UI" w:eastAsia="Segoe UI" w:cs="Segoe UI"/>
      <w:color w:val="000000"/>
      <w:sz w:val="44"/>
      <w:szCs w:val="44"/>
      <w:u w:val="none"/>
    </w:rPr>
  </w:style>
  <w:style w:type="character" w:customStyle="1" w:styleId="64">
    <w:name w:val="font41"/>
    <w:basedOn w:val="29"/>
    <w:qFormat/>
    <w:uiPriority w:val="0"/>
    <w:rPr>
      <w:rFonts w:hint="eastAsia" w:ascii="宋体" w:hAnsi="宋体" w:eastAsia="宋体" w:cs="宋体"/>
      <w:color w:val="000000"/>
      <w:sz w:val="24"/>
      <w:szCs w:val="24"/>
      <w:u w:val="none"/>
    </w:rPr>
  </w:style>
  <w:style w:type="character" w:customStyle="1" w:styleId="65">
    <w:name w:val="font291"/>
    <w:basedOn w:val="29"/>
    <w:qFormat/>
    <w:uiPriority w:val="0"/>
    <w:rPr>
      <w:rFonts w:ascii="Arial" w:hAnsi="Arial" w:cs="Arial"/>
      <w:color w:val="000000"/>
      <w:sz w:val="24"/>
      <w:szCs w:val="24"/>
      <w:u w:val="none"/>
    </w:rPr>
  </w:style>
  <w:style w:type="character" w:customStyle="1" w:styleId="66">
    <w:name w:val="font221"/>
    <w:basedOn w:val="29"/>
    <w:qFormat/>
    <w:uiPriority w:val="0"/>
    <w:rPr>
      <w:rFonts w:hint="eastAsia" w:ascii="宋体" w:hAnsi="宋体" w:eastAsia="宋体" w:cs="宋体"/>
      <w:color w:val="000000"/>
      <w:sz w:val="24"/>
      <w:szCs w:val="24"/>
      <w:u w:val="none"/>
    </w:rPr>
  </w:style>
  <w:style w:type="character" w:customStyle="1" w:styleId="67">
    <w:name w:val="font301"/>
    <w:basedOn w:val="29"/>
    <w:qFormat/>
    <w:uiPriority w:val="0"/>
    <w:rPr>
      <w:rFonts w:ascii="Tahoma" w:hAnsi="Tahoma" w:eastAsia="Tahoma" w:cs="Tahoma"/>
      <w:b/>
      <w:bCs/>
      <w:color w:val="3C3C3C"/>
      <w:sz w:val="24"/>
      <w:szCs w:val="24"/>
      <w:u w:val="none"/>
    </w:rPr>
  </w:style>
  <w:style w:type="character" w:customStyle="1" w:styleId="68">
    <w:name w:val="font312"/>
    <w:basedOn w:val="29"/>
    <w:qFormat/>
    <w:uiPriority w:val="0"/>
    <w:rPr>
      <w:rFonts w:hint="eastAsia" w:ascii="宋体" w:hAnsi="宋体" w:eastAsia="宋体" w:cs="宋体"/>
      <w:b/>
      <w:bCs/>
      <w:color w:val="3C3C3C"/>
      <w:sz w:val="24"/>
      <w:szCs w:val="24"/>
      <w:u w:val="none"/>
    </w:rPr>
  </w:style>
  <w:style w:type="character" w:customStyle="1" w:styleId="69">
    <w:name w:val="font271"/>
    <w:basedOn w:val="29"/>
    <w:qFormat/>
    <w:uiPriority w:val="0"/>
    <w:rPr>
      <w:rFonts w:hint="default" w:ascii="Tahoma" w:hAnsi="Tahoma" w:eastAsia="Tahoma" w:cs="Tahoma"/>
      <w:color w:val="3C3C3C"/>
      <w:sz w:val="24"/>
      <w:szCs w:val="24"/>
      <w:u w:val="none"/>
    </w:rPr>
  </w:style>
  <w:style w:type="character" w:customStyle="1" w:styleId="70">
    <w:name w:val="font321"/>
    <w:basedOn w:val="29"/>
    <w:qFormat/>
    <w:uiPriority w:val="0"/>
    <w:rPr>
      <w:rFonts w:hint="eastAsia" w:ascii="宋体" w:hAnsi="宋体" w:eastAsia="宋体" w:cs="宋体"/>
      <w:color w:val="3C3C3C"/>
      <w:sz w:val="24"/>
      <w:szCs w:val="24"/>
      <w:u w:val="none"/>
    </w:rPr>
  </w:style>
  <w:style w:type="character" w:customStyle="1" w:styleId="71">
    <w:name w:val="font11"/>
    <w:basedOn w:val="29"/>
    <w:qFormat/>
    <w:uiPriority w:val="0"/>
    <w:rPr>
      <w:rFonts w:hint="eastAsia" w:ascii="宋体" w:hAnsi="宋体" w:eastAsia="宋体" w:cs="宋体"/>
      <w:color w:val="000000"/>
      <w:sz w:val="22"/>
      <w:szCs w:val="22"/>
      <w:u w:val="none"/>
    </w:rPr>
  </w:style>
  <w:style w:type="character" w:customStyle="1" w:styleId="72">
    <w:name w:val="font21"/>
    <w:basedOn w:val="29"/>
    <w:qFormat/>
    <w:uiPriority w:val="0"/>
    <w:rPr>
      <w:rFonts w:hint="eastAsia" w:ascii="宋体" w:hAnsi="宋体" w:eastAsia="宋体" w:cs="宋体"/>
      <w:color w:val="FF0000"/>
      <w:sz w:val="22"/>
      <w:szCs w:val="22"/>
      <w:u w:val="none"/>
    </w:rPr>
  </w:style>
  <w:style w:type="character" w:customStyle="1" w:styleId="73">
    <w:name w:val="font01"/>
    <w:basedOn w:val="29"/>
    <w:qFormat/>
    <w:uiPriority w:val="0"/>
    <w:rPr>
      <w:rFonts w:hint="eastAsia" w:ascii="宋体" w:hAnsi="宋体" w:eastAsia="宋体" w:cs="宋体"/>
      <w:color w:val="000000"/>
      <w:sz w:val="22"/>
      <w:szCs w:val="22"/>
      <w:u w:val="none"/>
    </w:rPr>
  </w:style>
  <w:style w:type="paragraph" w:customStyle="1" w:styleId="74">
    <w:name w:val="BodyText1I2"/>
    <w:basedOn w:val="75"/>
    <w:next w:val="76"/>
    <w:qFormat/>
    <w:uiPriority w:val="0"/>
    <w:pPr>
      <w:ind w:leftChars="0"/>
    </w:pPr>
    <w:rPr>
      <w:rFonts w:ascii="Calibri" w:hAnsi="Calibri"/>
      <w:sz w:val="21"/>
      <w:szCs w:val="22"/>
    </w:rPr>
  </w:style>
  <w:style w:type="paragraph" w:customStyle="1" w:styleId="75">
    <w:name w:val="BodyTextIndent"/>
    <w:basedOn w:val="1"/>
    <w:qFormat/>
    <w:uiPriority w:val="0"/>
    <w:pPr>
      <w:spacing w:after="120"/>
      <w:ind w:left="420" w:leftChars="200"/>
    </w:pPr>
    <w:rPr>
      <w:sz w:val="24"/>
      <w:szCs w:val="24"/>
    </w:rPr>
  </w:style>
  <w:style w:type="paragraph" w:customStyle="1" w:styleId="76">
    <w:name w:val="BodyText"/>
    <w:basedOn w:val="1"/>
    <w:next w:val="1"/>
    <w:qFormat/>
    <w:uiPriority w:val="0"/>
    <w:rPr>
      <w:rFonts w:eastAsia="黑体"/>
      <w:kern w:val="0"/>
      <w:sz w:val="36"/>
      <w:szCs w:val="36"/>
    </w:rPr>
  </w:style>
  <w:style w:type="character" w:customStyle="1" w:styleId="77">
    <w:name w:val="font131"/>
    <w:basedOn w:val="29"/>
    <w:qFormat/>
    <w:uiPriority w:val="0"/>
    <w:rPr>
      <w:rFonts w:hint="eastAsia" w:ascii="宋体" w:hAnsi="宋体" w:eastAsia="宋体" w:cs="宋体"/>
      <w:b/>
      <w:bCs/>
      <w:color w:val="FF0000"/>
      <w:sz w:val="20"/>
      <w:szCs w:val="20"/>
      <w:u w:val="none"/>
    </w:rPr>
  </w:style>
  <w:style w:type="character" w:customStyle="1" w:styleId="78">
    <w:name w:val="font141"/>
    <w:basedOn w:val="29"/>
    <w:qFormat/>
    <w:uiPriority w:val="0"/>
    <w:rPr>
      <w:rFonts w:hint="eastAsia" w:ascii="宋体" w:hAnsi="宋体" w:eastAsia="宋体" w:cs="宋体"/>
      <w:strike/>
      <w:color w:val="FF0000"/>
      <w:sz w:val="20"/>
      <w:szCs w:val="20"/>
    </w:rPr>
  </w:style>
  <w:style w:type="character" w:customStyle="1" w:styleId="79">
    <w:name w:val="font151"/>
    <w:basedOn w:val="29"/>
    <w:qFormat/>
    <w:uiPriority w:val="0"/>
    <w:rPr>
      <w:rFonts w:hint="eastAsia" w:ascii="宋体" w:hAnsi="宋体" w:eastAsia="宋体" w:cs="宋体"/>
      <w:b/>
      <w:bCs/>
      <w:strike/>
      <w:color w:val="FF0000"/>
      <w:sz w:val="20"/>
      <w:szCs w:val="20"/>
    </w:rPr>
  </w:style>
  <w:style w:type="character" w:customStyle="1" w:styleId="80">
    <w:name w:val="font51"/>
    <w:basedOn w:val="29"/>
    <w:qFormat/>
    <w:uiPriority w:val="0"/>
    <w:rPr>
      <w:rFonts w:hint="eastAsia" w:ascii="宋体" w:hAnsi="宋体" w:eastAsia="宋体" w:cs="宋体"/>
      <w:color w:val="000000"/>
      <w:sz w:val="18"/>
      <w:szCs w:val="18"/>
      <w:u w:val="none"/>
    </w:rPr>
  </w:style>
  <w:style w:type="character" w:customStyle="1" w:styleId="81">
    <w:name w:val="font161"/>
    <w:basedOn w:val="29"/>
    <w:qFormat/>
    <w:uiPriority w:val="0"/>
    <w:rPr>
      <w:rFonts w:hint="eastAsia" w:ascii="宋体" w:hAnsi="宋体" w:eastAsia="宋体" w:cs="宋体"/>
      <w:color w:val="FF0000"/>
      <w:sz w:val="18"/>
      <w:szCs w:val="18"/>
      <w:u w:val="none"/>
    </w:rPr>
  </w:style>
  <w:style w:type="character" w:customStyle="1" w:styleId="82">
    <w:name w:val="font171"/>
    <w:basedOn w:val="29"/>
    <w:qFormat/>
    <w:uiPriority w:val="0"/>
    <w:rPr>
      <w:rFonts w:ascii="微软雅黑" w:hAnsi="微软雅黑" w:eastAsia="微软雅黑" w:cs="微软雅黑"/>
      <w:color w:val="FF0000"/>
      <w:sz w:val="18"/>
      <w:szCs w:val="18"/>
      <w:u w:val="none"/>
    </w:rPr>
  </w:style>
  <w:style w:type="character" w:customStyle="1" w:styleId="83">
    <w:name w:val="font71"/>
    <w:basedOn w:val="29"/>
    <w:qFormat/>
    <w:uiPriority w:val="0"/>
    <w:rPr>
      <w:rFonts w:hint="eastAsia" w:ascii="宋体" w:hAnsi="宋体" w:eastAsia="宋体" w:cs="宋体"/>
      <w:color w:val="FF0000"/>
      <w:sz w:val="20"/>
      <w:szCs w:val="20"/>
      <w:u w:val="none"/>
    </w:rPr>
  </w:style>
  <w:style w:type="character" w:customStyle="1" w:styleId="84">
    <w:name w:val="font81"/>
    <w:basedOn w:val="29"/>
    <w:qFormat/>
    <w:uiPriority w:val="0"/>
    <w:rPr>
      <w:rFonts w:hint="eastAsia" w:ascii="宋体" w:hAnsi="宋体" w:eastAsia="宋体" w:cs="宋体"/>
      <w:color w:val="FF0000"/>
      <w:sz w:val="20"/>
      <w:szCs w:val="20"/>
      <w:u w:val="none"/>
    </w:rPr>
  </w:style>
  <w:style w:type="character" w:customStyle="1" w:styleId="85">
    <w:name w:val="font91"/>
    <w:basedOn w:val="29"/>
    <w:qFormat/>
    <w:uiPriority w:val="0"/>
    <w:rPr>
      <w:rFonts w:hint="eastAsia" w:ascii="宋体" w:hAnsi="宋体" w:eastAsia="宋体" w:cs="宋体"/>
      <w:strike/>
      <w:color w:val="000000"/>
      <w:sz w:val="20"/>
      <w:szCs w:val="20"/>
    </w:rPr>
  </w:style>
  <w:style w:type="character" w:customStyle="1" w:styleId="86">
    <w:name w:val="font101"/>
    <w:basedOn w:val="29"/>
    <w:qFormat/>
    <w:uiPriority w:val="0"/>
    <w:rPr>
      <w:rFonts w:hint="eastAsia" w:ascii="宋体" w:hAnsi="宋体" w:eastAsia="宋体" w:cs="宋体"/>
      <w:strike/>
      <w:color w:val="FF0000"/>
      <w:sz w:val="20"/>
      <w:szCs w:val="20"/>
    </w:rPr>
  </w:style>
  <w:style w:type="character" w:customStyle="1" w:styleId="87">
    <w:name w:val="font23"/>
    <w:basedOn w:val="29"/>
    <w:qFormat/>
    <w:uiPriority w:val="0"/>
    <w:rPr>
      <w:rFonts w:hint="eastAsia" w:ascii="宋体" w:hAnsi="宋体" w:eastAsia="宋体" w:cs="宋体"/>
      <w:color w:val="000000"/>
      <w:sz w:val="20"/>
      <w:szCs w:val="20"/>
      <w:u w:val="none"/>
    </w:rPr>
  </w:style>
  <w:style w:type="character" w:customStyle="1" w:styleId="88">
    <w:name w:val="font191"/>
    <w:basedOn w:val="29"/>
    <w:qFormat/>
    <w:uiPriority w:val="0"/>
    <w:rPr>
      <w:rFonts w:hint="eastAsia" w:ascii="宋体" w:hAnsi="宋体" w:eastAsia="宋体" w:cs="宋体"/>
      <w:b/>
      <w:bCs/>
      <w:color w:val="FF0000"/>
      <w:sz w:val="18"/>
      <w:szCs w:val="18"/>
      <w:u w:val="none"/>
    </w:rPr>
  </w:style>
  <w:style w:type="character" w:customStyle="1" w:styleId="89">
    <w:name w:val="font211"/>
    <w:basedOn w:val="29"/>
    <w:qFormat/>
    <w:uiPriority w:val="0"/>
    <w:rPr>
      <w:rFonts w:hint="eastAsia" w:ascii="宋体" w:hAnsi="宋体" w:eastAsia="宋体" w:cs="宋体"/>
      <w:strike/>
      <w:color w:val="000000"/>
      <w:sz w:val="18"/>
      <w:szCs w:val="18"/>
    </w:rPr>
  </w:style>
  <w:style w:type="character" w:customStyle="1" w:styleId="90">
    <w:name w:val="font112"/>
    <w:basedOn w:val="29"/>
    <w:qFormat/>
    <w:uiPriority w:val="0"/>
    <w:rPr>
      <w:rFonts w:hint="eastAsia" w:ascii="宋体" w:hAnsi="宋体" w:eastAsia="宋体" w:cs="宋体"/>
      <w:color w:val="000000"/>
      <w:sz w:val="18"/>
      <w:szCs w:val="18"/>
      <w:u w:val="none"/>
    </w:rPr>
  </w:style>
  <w:style w:type="character" w:customStyle="1" w:styleId="91">
    <w:name w:val="font31"/>
    <w:basedOn w:val="29"/>
    <w:qFormat/>
    <w:uiPriority w:val="0"/>
    <w:rPr>
      <w:rFonts w:hint="eastAsia" w:ascii="宋体" w:hAnsi="宋体" w:eastAsia="宋体" w:cs="宋体"/>
      <w:color w:val="000000"/>
      <w:sz w:val="18"/>
      <w:szCs w:val="18"/>
      <w:u w:val="none"/>
    </w:rPr>
  </w:style>
  <w:style w:type="character" w:customStyle="1" w:styleId="92">
    <w:name w:val="font121"/>
    <w:basedOn w:val="29"/>
    <w:qFormat/>
    <w:uiPriority w:val="0"/>
    <w:rPr>
      <w:rFonts w:hint="eastAsia" w:ascii="宋体" w:hAnsi="宋体" w:eastAsia="宋体" w:cs="宋体"/>
      <w:b/>
      <w:bCs/>
      <w:strike/>
      <w:color w:val="FF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3.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306ECC-EA8F-4E41-BC32-F0EDF5BE185C}">
  <ds:schemaRefs/>
</ds:datastoreItem>
</file>

<file path=docProps/app.xml><?xml version="1.0" encoding="utf-8"?>
<Properties xmlns="http://schemas.openxmlformats.org/officeDocument/2006/extended-properties" xmlns:vt="http://schemas.openxmlformats.org/officeDocument/2006/docPropsVTypes">
  <Template>Normal</Template>
  <Pages>103</Pages>
  <Words>54082</Words>
  <Characters>59596</Characters>
  <Lines>214</Lines>
  <Paragraphs>60</Paragraphs>
  <TotalTime>30</TotalTime>
  <ScaleCrop>false</ScaleCrop>
  <LinksUpToDate>false</LinksUpToDate>
  <CharactersWithSpaces>63381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2023-02-22T09:34:00Z</dcterms:created>
  <dc:creator>lenovo</dc:creator>
  <cp:lastModifiedBy>Administrator</cp:lastModifiedBy>
  <dcterms:modified xsi:type="dcterms:W3CDTF">2023-08-02T10:54:07Z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2666A25B40FB48A1A8FD92D0BFCE4689_13</vt:lpwstr>
  </property>
</Properties>
</file>