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ind w:left="2168" w:hanging="1626" w:hangingChars="450"/>
        <w:jc w:val="center"/>
        <w:rPr>
          <w:rFonts w:hint="eastAsia" w:ascii="宋体" w:hAnsi="宋体" w:eastAsia="宋体" w:cs="宋体"/>
          <w:b/>
          <w:bCs/>
          <w:color w:val="000000" w:themeColor="text1"/>
          <w:kern w:val="0"/>
          <w:sz w:val="36"/>
          <w:szCs w:val="36"/>
          <w:lang w:eastAsia="zh-CN"/>
          <w14:textFill>
            <w14:solidFill>
              <w14:schemeClr w14:val="tx1"/>
            </w14:solidFill>
          </w14:textFill>
        </w:rPr>
      </w:pPr>
    </w:p>
    <w:p>
      <w:pPr>
        <w:pStyle w:val="2"/>
        <w:bidi w:val="0"/>
        <w:rPr>
          <w:rFonts w:hint="eastAsia"/>
          <w:sz w:val="44"/>
          <w:szCs w:val="44"/>
          <w:lang w:eastAsia="zh-CN"/>
        </w:rPr>
      </w:pPr>
      <w:r>
        <w:rPr>
          <w:rFonts w:hint="eastAsia"/>
          <w:sz w:val="44"/>
          <w:szCs w:val="44"/>
          <w:lang w:eastAsia="zh-CN"/>
        </w:rPr>
        <w:t>木垒县雀仁乡清洁能源改造项目（二次）</w:t>
      </w:r>
    </w:p>
    <w:p>
      <w:pPr>
        <w:spacing w:line="360" w:lineRule="atLeast"/>
        <w:ind w:left="2168" w:hanging="1446" w:hangingChars="450"/>
        <w:jc w:val="center"/>
        <w:rPr>
          <w:rFonts w:hint="eastAsia" w:ascii="宋体" w:hAnsi="宋体" w:eastAsia="宋体" w:cs="宋体"/>
          <w:b/>
          <w:bCs/>
          <w:color w:val="auto"/>
          <w:kern w:val="0"/>
          <w:sz w:val="32"/>
          <w:szCs w:val="32"/>
          <w:lang w:eastAsia="zh-CN"/>
        </w:rPr>
      </w:pPr>
    </w:p>
    <w:p>
      <w:pPr>
        <w:spacing w:line="360" w:lineRule="atLeast"/>
        <w:ind w:left="2168" w:hanging="1446" w:hangingChars="450"/>
        <w:jc w:val="center"/>
        <w:rPr>
          <w:rFonts w:hint="default" w:ascii="宋体" w:hAnsi="宋体" w:eastAsia="宋体" w:cs="宋体"/>
          <w:b/>
          <w:bCs/>
          <w:color w:val="auto"/>
          <w:kern w:val="0"/>
          <w:sz w:val="32"/>
          <w:szCs w:val="32"/>
          <w:lang w:val="en-US" w:eastAsia="zh-CN"/>
        </w:rPr>
      </w:pPr>
      <w:r>
        <w:rPr>
          <w:rFonts w:hint="eastAsia" w:ascii="宋体" w:hAnsi="宋体" w:eastAsia="宋体" w:cs="宋体"/>
          <w:b/>
          <w:bCs/>
          <w:color w:val="auto"/>
          <w:kern w:val="0"/>
          <w:sz w:val="32"/>
          <w:szCs w:val="32"/>
          <w:lang w:eastAsia="zh-CN"/>
        </w:rPr>
        <w:t>项目编号：W-XJXSZB2023-</w:t>
      </w:r>
      <w:r>
        <w:rPr>
          <w:rFonts w:hint="eastAsia" w:ascii="宋体" w:hAnsi="宋体" w:cs="宋体"/>
          <w:b/>
          <w:bCs/>
          <w:color w:val="auto"/>
          <w:kern w:val="0"/>
          <w:sz w:val="32"/>
          <w:szCs w:val="32"/>
          <w:lang w:val="en-US" w:eastAsia="zh-CN"/>
        </w:rPr>
        <w:t>24</w:t>
      </w:r>
      <w:r>
        <w:rPr>
          <w:rFonts w:hint="eastAsia" w:ascii="宋体" w:hAnsi="宋体" w:eastAsia="宋体" w:cs="宋体"/>
          <w:b/>
          <w:bCs/>
          <w:color w:val="auto"/>
          <w:kern w:val="0"/>
          <w:sz w:val="32"/>
          <w:szCs w:val="32"/>
          <w:lang w:eastAsia="zh-CN"/>
        </w:rPr>
        <w:t>-CG</w:t>
      </w:r>
      <w:r>
        <w:rPr>
          <w:rFonts w:hint="eastAsia" w:ascii="宋体" w:hAnsi="宋体" w:cs="宋体"/>
          <w:b/>
          <w:bCs/>
          <w:color w:val="auto"/>
          <w:kern w:val="0"/>
          <w:sz w:val="32"/>
          <w:szCs w:val="32"/>
          <w:lang w:val="en-US" w:eastAsia="zh-CN"/>
        </w:rPr>
        <w:t>-1</w:t>
      </w:r>
    </w:p>
    <w:p>
      <w:pPr>
        <w:bidi w:val="0"/>
        <w:rPr>
          <w:rFonts w:hint="eastAsia" w:ascii="宋体" w:hAnsi="宋体" w:eastAsia="宋体" w:cs="宋体"/>
          <w:color w:val="000000" w:themeColor="text1"/>
          <w:sz w:val="30"/>
          <w:szCs w:val="30"/>
          <w14:textFill>
            <w14:solidFill>
              <w14:schemeClr w14:val="tx1"/>
            </w14:solidFill>
          </w14:textFill>
        </w:rPr>
      </w:pPr>
    </w:p>
    <w:p>
      <w:pPr>
        <w:bidi w:val="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pacing w:val="0"/>
          <w:sz w:val="44"/>
          <w:szCs w:val="44"/>
          <w14:textFill>
            <w14:solidFill>
              <w14:schemeClr w14:val="tx1"/>
            </w14:solidFill>
          </w14:textFill>
        </w:rPr>
      </w:pPr>
      <w:r>
        <w:rPr>
          <w:rFonts w:hint="eastAsia" w:ascii="宋体" w:hAnsi="宋体" w:eastAsia="宋体" w:cs="宋体"/>
          <w:b/>
          <w:bCs/>
          <w:color w:val="000000" w:themeColor="text1"/>
          <w:spacing w:val="0"/>
          <w:sz w:val="44"/>
          <w:szCs w:val="44"/>
          <w14:textFill>
            <w14:solidFill>
              <w14:schemeClr w14:val="tx1"/>
            </w14:solidFill>
          </w14:textFill>
        </w:rPr>
        <w:t>招  标  文  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0"/>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0"/>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0"/>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pacing w:val="0"/>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pacing w:val="0"/>
          <w:sz w:val="30"/>
          <w:szCs w:val="30"/>
        </w:rPr>
      </w:pPr>
      <w:r>
        <w:rPr>
          <w:rFonts w:hint="eastAsia" w:ascii="宋体" w:hAnsi="宋体" w:eastAsia="宋体" w:cs="宋体"/>
          <w:b/>
          <w:bCs/>
          <w:color w:val="auto"/>
          <w:spacing w:val="0"/>
          <w:sz w:val="30"/>
          <w:szCs w:val="30"/>
        </w:rPr>
        <w:t>招标人（盖章）：</w:t>
      </w:r>
      <w:r>
        <w:rPr>
          <w:rFonts w:hint="eastAsia" w:ascii="宋体" w:hAnsi="宋体" w:eastAsia="宋体" w:cs="宋体"/>
          <w:b/>
          <w:bCs/>
          <w:color w:val="auto"/>
          <w:spacing w:val="0"/>
          <w:sz w:val="30"/>
          <w:szCs w:val="30"/>
          <w:lang w:eastAsia="zh-CN"/>
        </w:rPr>
        <w:t>新疆昌吉木垒县</w:t>
      </w:r>
      <w:r>
        <w:rPr>
          <w:rFonts w:hint="eastAsia" w:ascii="宋体" w:hAnsi="宋体" w:cs="宋体"/>
          <w:b/>
          <w:bCs/>
          <w:color w:val="auto"/>
          <w:spacing w:val="0"/>
          <w:sz w:val="30"/>
          <w:szCs w:val="30"/>
          <w:lang w:eastAsia="zh-CN"/>
        </w:rPr>
        <w:t>雀仁乡人民政府</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cs="宋体"/>
          <w:b/>
          <w:bCs/>
          <w:color w:val="auto"/>
          <w:spacing w:val="0"/>
          <w:sz w:val="30"/>
          <w:szCs w:val="30"/>
          <w:lang w:eastAsia="zh-CN"/>
        </w:rPr>
      </w:pPr>
      <w:r>
        <w:rPr>
          <w:rFonts w:hint="eastAsia" w:ascii="宋体" w:hAnsi="宋体" w:eastAsia="宋体" w:cs="宋体"/>
          <w:b/>
          <w:bCs/>
          <w:color w:val="auto"/>
          <w:spacing w:val="0"/>
          <w:sz w:val="30"/>
          <w:szCs w:val="30"/>
        </w:rPr>
        <w:t>联系人：</w:t>
      </w:r>
      <w:r>
        <w:rPr>
          <w:rFonts w:hint="eastAsia" w:ascii="宋体" w:hAnsi="宋体" w:cs="宋体"/>
          <w:b/>
          <w:bCs/>
          <w:color w:val="auto"/>
          <w:spacing w:val="0"/>
          <w:sz w:val="30"/>
          <w:szCs w:val="30"/>
          <w:lang w:eastAsia="zh-CN"/>
        </w:rPr>
        <w:t>叶尔开希</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pacing w:val="0"/>
          <w:sz w:val="30"/>
          <w:szCs w:val="30"/>
        </w:rPr>
      </w:pPr>
      <w:r>
        <w:rPr>
          <w:rFonts w:hint="eastAsia" w:ascii="宋体" w:hAnsi="宋体" w:eastAsia="宋体" w:cs="宋体"/>
          <w:b/>
          <w:bCs/>
          <w:color w:val="auto"/>
          <w:spacing w:val="0"/>
          <w:sz w:val="30"/>
          <w:szCs w:val="30"/>
          <w:lang w:eastAsia="zh-CN"/>
        </w:rPr>
        <w:t>联系</w:t>
      </w:r>
      <w:r>
        <w:rPr>
          <w:rFonts w:hint="eastAsia" w:ascii="宋体" w:hAnsi="宋体" w:eastAsia="宋体" w:cs="宋体"/>
          <w:b/>
          <w:bCs/>
          <w:color w:val="auto"/>
          <w:spacing w:val="0"/>
          <w:sz w:val="30"/>
          <w:szCs w:val="30"/>
        </w:rPr>
        <w:t>电话：15739468989</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pacing w:val="0"/>
          <w:sz w:val="30"/>
          <w:szCs w:val="30"/>
        </w:rPr>
      </w:pPr>
      <w:r>
        <w:rPr>
          <w:rFonts w:hint="eastAsia" w:ascii="宋体" w:hAnsi="宋体" w:eastAsia="宋体" w:cs="宋体"/>
          <w:b/>
          <w:bCs/>
          <w:color w:val="auto"/>
          <w:spacing w:val="0"/>
          <w:sz w:val="30"/>
          <w:szCs w:val="30"/>
        </w:rPr>
        <mc:AlternateContent>
          <mc:Choice Requires="wps">
            <w:drawing>
              <wp:anchor distT="0" distB="0" distL="114300" distR="114300" simplePos="0" relativeHeight="251660288" behindDoc="0" locked="0" layoutInCell="1" allowOverlap="1">
                <wp:simplePos x="0" y="0"/>
                <wp:positionH relativeFrom="column">
                  <wp:posOffset>-106680</wp:posOffset>
                </wp:positionH>
                <wp:positionV relativeFrom="paragraph">
                  <wp:posOffset>215900</wp:posOffset>
                </wp:positionV>
                <wp:extent cx="60198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8.4pt;margin-top:17pt;height:0pt;width:474pt;z-index:251660288;mso-width-relative:page;mso-height-relative:page;" filled="f" stroked="t" coordsize="21600,21600" o:gfxdata="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0xqozXAAAACQEAAA8AAAAAAAAAAQAgAAAAIgAAAGRycy9kb3ducmV2Lnht&#10;bFBLAQIUABQAAAAIAIdO4kA+lnyU+gEAAPQDAAAOAAAAAAAAAAEAIAAAACYBAABkcnMvZTJvRG9j&#10;LnhtbFBLBQYAAAAABgAGAFkBAACSBQAAAAA=&#10;">
                <v:fill on="f" focussize="0,0"/>
                <v:stroke weight="1pt" color="#000000" joinstyle="round" dashstyle="1 1"/>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pacing w:val="0"/>
          <w:sz w:val="30"/>
          <w:szCs w:val="30"/>
          <w:lang w:val="en-US" w:eastAsia="zh-CN"/>
        </w:rPr>
      </w:pPr>
      <w:r>
        <w:rPr>
          <w:rFonts w:hint="eastAsia" w:ascii="宋体" w:hAnsi="宋体" w:eastAsia="宋体" w:cs="宋体"/>
          <w:b/>
          <w:bCs/>
          <w:color w:val="auto"/>
          <w:spacing w:val="0"/>
          <w:sz w:val="30"/>
          <w:szCs w:val="30"/>
        </w:rPr>
        <w:t>招标代理机构（盖章）：</w:t>
      </w:r>
      <w:r>
        <w:rPr>
          <w:rFonts w:hint="eastAsia" w:ascii="宋体" w:hAnsi="宋体" w:eastAsia="宋体" w:cs="宋体"/>
          <w:b/>
          <w:bCs/>
          <w:color w:val="auto"/>
          <w:spacing w:val="0"/>
          <w:sz w:val="30"/>
          <w:szCs w:val="30"/>
          <w:lang w:eastAsia="zh-CN"/>
        </w:rPr>
        <w:t>新疆信实工程招标咨询服务有限公司</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pacing w:val="0"/>
          <w:sz w:val="30"/>
          <w:szCs w:val="30"/>
          <w:lang w:eastAsia="zh-CN"/>
        </w:rPr>
      </w:pPr>
      <w:r>
        <w:rPr>
          <w:rFonts w:hint="eastAsia" w:ascii="宋体" w:hAnsi="宋体" w:eastAsia="宋体" w:cs="宋体"/>
          <w:b/>
          <w:bCs/>
          <w:color w:val="auto"/>
          <w:spacing w:val="0"/>
          <w:sz w:val="30"/>
          <w:szCs w:val="30"/>
          <w:lang w:eastAsia="zh-CN"/>
        </w:rPr>
        <w:t>法定代表人（私章）：</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pacing w:val="0"/>
          <w:sz w:val="30"/>
          <w:szCs w:val="30"/>
          <w:lang w:eastAsia="zh-CN"/>
        </w:rPr>
      </w:pPr>
      <w:r>
        <w:rPr>
          <w:rFonts w:hint="eastAsia" w:ascii="宋体" w:hAnsi="宋体" w:eastAsia="宋体" w:cs="宋体"/>
          <w:b/>
          <w:bCs/>
          <w:color w:val="auto"/>
          <w:spacing w:val="0"/>
          <w:sz w:val="30"/>
          <w:szCs w:val="30"/>
          <w:lang w:eastAsia="zh-CN"/>
        </w:rPr>
        <w:t>联系人：翟玉娜</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default" w:ascii="宋体" w:hAnsi="宋体" w:eastAsia="宋体" w:cs="宋体"/>
          <w:b/>
          <w:bCs/>
          <w:color w:val="auto"/>
          <w:spacing w:val="0"/>
          <w:sz w:val="30"/>
          <w:szCs w:val="30"/>
          <w:lang w:val="en-US" w:eastAsia="zh-CN"/>
        </w:rPr>
      </w:pPr>
      <w:r>
        <w:rPr>
          <w:rFonts w:hint="eastAsia" w:ascii="宋体" w:hAnsi="宋体" w:eastAsia="宋体" w:cs="宋体"/>
          <w:b/>
          <w:bCs/>
          <w:color w:val="auto"/>
          <w:spacing w:val="0"/>
          <w:sz w:val="30"/>
          <w:szCs w:val="30"/>
          <w:lang w:eastAsia="zh-CN"/>
        </w:rPr>
        <w:t>联系电话：</w:t>
      </w:r>
      <w:r>
        <w:rPr>
          <w:rFonts w:hint="eastAsia" w:ascii="宋体" w:hAnsi="宋体" w:eastAsia="宋体" w:cs="宋体"/>
          <w:b/>
          <w:bCs/>
          <w:color w:val="000000"/>
          <w:kern w:val="0"/>
          <w:sz w:val="30"/>
          <w:szCs w:val="30"/>
          <w:lang w:eastAsia="zh-CN"/>
        </w:rPr>
        <w:t>0994-2521833</w:t>
      </w:r>
      <w:r>
        <w:rPr>
          <w:rFonts w:hint="eastAsia" w:ascii="宋体" w:hAnsi="宋体" w:cs="宋体"/>
          <w:b/>
          <w:bCs/>
          <w:color w:val="000000"/>
          <w:kern w:val="0"/>
          <w:sz w:val="30"/>
          <w:szCs w:val="30"/>
          <w:lang w:eastAsia="zh-CN"/>
        </w:rPr>
        <w:t>，</w:t>
      </w:r>
      <w:r>
        <w:rPr>
          <w:rFonts w:hint="eastAsia" w:ascii="宋体" w:hAnsi="宋体" w:cs="宋体"/>
          <w:b/>
          <w:bCs/>
          <w:color w:val="000000"/>
          <w:kern w:val="0"/>
          <w:sz w:val="30"/>
          <w:szCs w:val="30"/>
          <w:lang w:val="en-US" w:eastAsia="zh-CN"/>
        </w:rPr>
        <w:t>17699948667</w:t>
      </w:r>
    </w:p>
    <w:p>
      <w:pPr>
        <w:bidi w:val="0"/>
        <w:rPr>
          <w:rFonts w:hint="eastAsia" w:ascii="宋体" w:hAnsi="宋体" w:eastAsia="宋体" w:cs="宋体"/>
          <w:color w:val="000000" w:themeColor="text1"/>
          <w14:textFill>
            <w14:solidFill>
              <w14:schemeClr w14:val="tx1"/>
            </w14:solidFill>
          </w14:textFill>
        </w:rPr>
      </w:pPr>
    </w:p>
    <w:p>
      <w:pPr>
        <w:pStyle w:val="131"/>
        <w:jc w:val="center"/>
        <w:rPr>
          <w:rFonts w:hint="eastAsia" w:ascii="宋体" w:hAnsi="宋体" w:eastAsia="宋体" w:cs="宋体"/>
          <w:color w:val="000000" w:themeColor="text1"/>
          <w:sz w:val="44"/>
          <w:szCs w:val="44"/>
          <w:lang w:val="zh-CN"/>
          <w14:textFill>
            <w14:solidFill>
              <w14:schemeClr w14:val="tx1"/>
            </w14:solidFill>
          </w14:textFill>
        </w:rPr>
        <w:sectPr>
          <w:footerReference r:id="rId4" w:type="first"/>
          <w:footerReference r:id="rId3" w:type="default"/>
          <w:pgSz w:w="11906" w:h="16838"/>
          <w:pgMar w:top="1418" w:right="1417" w:bottom="1418" w:left="1417" w:header="851" w:footer="907" w:gutter="0"/>
          <w:pgBorders>
            <w:top w:val="none" w:sz="0" w:space="0"/>
            <w:left w:val="none" w:sz="0" w:space="0"/>
            <w:bottom w:val="none" w:sz="0" w:space="0"/>
            <w:right w:val="none" w:sz="0" w:space="0"/>
          </w:pgBorders>
          <w:pgNumType w:start="1"/>
          <w:cols w:space="720" w:num="1"/>
          <w:titlePg/>
          <w:docGrid w:type="lines" w:linePitch="290" w:charSpace="0"/>
        </w:sectPr>
      </w:pPr>
      <w:bookmarkStart w:id="0" w:name="_Toc513029200"/>
      <w:bookmarkStart w:id="1" w:name="_Toc523127445"/>
      <w:bookmarkStart w:id="2" w:name="_Toc120614210"/>
      <w:bookmarkStart w:id="3" w:name="_Toc494375077"/>
      <w:bookmarkStart w:id="4" w:name="_Toc20823272"/>
      <w:bookmarkStart w:id="5" w:name="_Toc16938516"/>
      <w:bookmarkStart w:id="6" w:name="_Toc479757206"/>
    </w:p>
    <w:p>
      <w:pPr>
        <w:pStyle w:val="131"/>
        <w:jc w:val="center"/>
        <w:rPr>
          <w:rFonts w:hint="eastAsia" w:ascii="宋体" w:hAnsi="宋体" w:eastAsia="宋体" w:cs="宋体"/>
          <w:color w:val="000000" w:themeColor="text1"/>
          <w:sz w:val="44"/>
          <w:szCs w:val="44"/>
          <w:lang w:val="zh-CN"/>
          <w14:textFill>
            <w14:solidFill>
              <w14:schemeClr w14:val="tx1"/>
            </w14:solidFill>
          </w14:textFill>
        </w:rPr>
      </w:pPr>
      <w:r>
        <w:rPr>
          <w:rFonts w:hint="eastAsia" w:ascii="宋体" w:hAnsi="宋体" w:eastAsia="宋体" w:cs="宋体"/>
          <w:color w:val="000000" w:themeColor="text1"/>
          <w:sz w:val="44"/>
          <w:szCs w:val="44"/>
          <w:lang w:val="zh-CN"/>
          <w14:textFill>
            <w14:solidFill>
              <w14:schemeClr w14:val="tx1"/>
            </w14:solidFill>
          </w14:textFill>
        </w:rPr>
        <w:t>目录</w:t>
      </w:r>
    </w:p>
    <w:p>
      <w:pPr>
        <w:rPr>
          <w:rFonts w:hint="eastAsia" w:ascii="宋体" w:hAnsi="宋体" w:eastAsia="宋体" w:cs="宋体"/>
          <w:color w:val="000000" w:themeColor="text1"/>
          <w:sz w:val="44"/>
          <w:szCs w:val="44"/>
          <w:lang w:val="zh-CN"/>
          <w14:textFill>
            <w14:solidFill>
              <w14:schemeClr w14:val="tx1"/>
            </w14:solidFill>
          </w14:textFill>
        </w:rPr>
      </w:pPr>
    </w:p>
    <w:p>
      <w:pPr>
        <w:pStyle w:val="20"/>
        <w:tabs>
          <w:tab w:val="right" w:leader="dot" w:pos="8306"/>
        </w:tabs>
        <w:spacing w:line="720" w:lineRule="auto"/>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TOC \o "1-1" \h \u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sz w:val="28"/>
          <w:szCs w:val="36"/>
        </w:rPr>
        <w:instrText xml:space="preserve"> HYPERLINK \l _Toc6823 </w:instrText>
      </w:r>
      <w:r>
        <w:rPr>
          <w:rFonts w:hint="eastAsia" w:ascii="宋体" w:hAnsi="宋体" w:eastAsia="宋体" w:cs="宋体"/>
          <w:sz w:val="28"/>
          <w:szCs w:val="36"/>
        </w:rPr>
        <w:fldChar w:fldCharType="separate"/>
      </w:r>
      <w:r>
        <w:rPr>
          <w:rFonts w:hint="eastAsia" w:ascii="宋体" w:hAnsi="宋体" w:eastAsia="宋体" w:cs="宋体"/>
          <w:sz w:val="28"/>
          <w:szCs w:val="28"/>
        </w:rPr>
        <w:t xml:space="preserve">第一章 </w:t>
      </w:r>
      <w:r>
        <w:rPr>
          <w:rFonts w:hint="eastAsia" w:ascii="宋体" w:hAnsi="宋体" w:eastAsia="宋体" w:cs="宋体"/>
          <w:sz w:val="28"/>
          <w:szCs w:val="28"/>
          <w:lang w:eastAsia="zh-CN"/>
        </w:rPr>
        <w:t>招标邀请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_Toc6823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36"/>
          <w14:textFill>
            <w14:solidFill>
              <w14:schemeClr w14:val="tx1"/>
            </w14:solidFill>
          </w14:textFill>
        </w:rPr>
        <w:fldChar w:fldCharType="end"/>
      </w:r>
    </w:p>
    <w:p>
      <w:pPr>
        <w:pStyle w:val="20"/>
        <w:tabs>
          <w:tab w:val="right" w:leader="dot" w:pos="8306"/>
        </w:tabs>
        <w:spacing w:line="720" w:lineRule="auto"/>
        <w:rPr>
          <w:rFonts w:hint="eastAsia" w:ascii="宋体" w:hAnsi="宋体" w:eastAsia="宋体" w:cs="宋体"/>
          <w:sz w:val="28"/>
          <w:szCs w:val="28"/>
        </w:rPr>
      </w:pP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sz w:val="28"/>
          <w:szCs w:val="36"/>
        </w:rPr>
        <w:instrText xml:space="preserve"> HYPERLINK \l _Toc22878 </w:instrText>
      </w:r>
      <w:r>
        <w:rPr>
          <w:rFonts w:hint="eastAsia" w:ascii="宋体" w:hAnsi="宋体" w:eastAsia="宋体" w:cs="宋体"/>
          <w:sz w:val="28"/>
          <w:szCs w:val="36"/>
        </w:rPr>
        <w:fldChar w:fldCharType="separate"/>
      </w:r>
      <w:r>
        <w:rPr>
          <w:rFonts w:hint="eastAsia" w:ascii="宋体" w:hAnsi="宋体" w:eastAsia="宋体" w:cs="宋体"/>
          <w:sz w:val="28"/>
          <w:szCs w:val="28"/>
          <w:lang w:eastAsia="zh-CN"/>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_Toc22878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36"/>
          <w14:textFill>
            <w14:solidFill>
              <w14:schemeClr w14:val="tx1"/>
            </w14:solidFill>
          </w14:textFill>
        </w:rPr>
        <w:fldChar w:fldCharType="end"/>
      </w:r>
    </w:p>
    <w:p>
      <w:pPr>
        <w:pStyle w:val="20"/>
        <w:tabs>
          <w:tab w:val="right" w:leader="dot" w:pos="8306"/>
        </w:tabs>
        <w:spacing w:line="720" w:lineRule="auto"/>
        <w:rPr>
          <w:rFonts w:hint="eastAsia" w:ascii="宋体" w:hAnsi="宋体" w:eastAsia="宋体" w:cs="宋体"/>
          <w:sz w:val="28"/>
          <w:szCs w:val="28"/>
        </w:rPr>
      </w:pP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sz w:val="28"/>
          <w:szCs w:val="36"/>
        </w:rPr>
        <w:instrText xml:space="preserve"> HYPERLINK \l _Toc9497 </w:instrText>
      </w:r>
      <w:r>
        <w:rPr>
          <w:rFonts w:hint="eastAsia" w:ascii="宋体" w:hAnsi="宋体" w:eastAsia="宋体" w:cs="宋体"/>
          <w:sz w:val="28"/>
          <w:szCs w:val="36"/>
        </w:rPr>
        <w:fldChar w:fldCharType="separate"/>
      </w:r>
      <w:r>
        <w:rPr>
          <w:rFonts w:hint="eastAsia" w:ascii="宋体" w:hAnsi="宋体" w:eastAsia="宋体" w:cs="宋体"/>
          <w:sz w:val="28"/>
          <w:szCs w:val="28"/>
        </w:rPr>
        <w:t>第三章 评分办法及评分标准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_Toc9497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36"/>
          <w14:textFill>
            <w14:solidFill>
              <w14:schemeClr w14:val="tx1"/>
            </w14:solidFill>
          </w14:textFill>
        </w:rPr>
        <w:fldChar w:fldCharType="end"/>
      </w:r>
    </w:p>
    <w:p>
      <w:pPr>
        <w:pStyle w:val="20"/>
        <w:tabs>
          <w:tab w:val="right" w:leader="dot" w:pos="8306"/>
        </w:tabs>
        <w:spacing w:line="720" w:lineRule="auto"/>
        <w:rPr>
          <w:rFonts w:hint="eastAsia" w:ascii="宋体" w:hAnsi="宋体" w:eastAsia="宋体" w:cs="宋体"/>
          <w:sz w:val="28"/>
          <w:szCs w:val="28"/>
        </w:rPr>
      </w:pP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sz w:val="28"/>
          <w:szCs w:val="36"/>
        </w:rPr>
        <w:instrText xml:space="preserve"> HYPERLINK \l _Toc23542 </w:instrText>
      </w:r>
      <w:r>
        <w:rPr>
          <w:rFonts w:hint="eastAsia" w:ascii="宋体" w:hAnsi="宋体" w:eastAsia="宋体" w:cs="宋体"/>
          <w:sz w:val="28"/>
          <w:szCs w:val="36"/>
        </w:rPr>
        <w:fldChar w:fldCharType="separate"/>
      </w:r>
      <w:r>
        <w:rPr>
          <w:rFonts w:hint="eastAsia" w:ascii="宋体" w:hAnsi="宋体" w:eastAsia="宋体" w:cs="宋体"/>
          <w:sz w:val="28"/>
          <w:szCs w:val="28"/>
          <w:lang w:val="en-US" w:eastAsia="zh-CN"/>
        </w:rPr>
        <w:t xml:space="preserve">第四章 </w:t>
      </w:r>
      <w:r>
        <w:rPr>
          <w:rFonts w:hint="eastAsia" w:ascii="宋体" w:hAnsi="宋体" w:eastAsia="宋体" w:cs="宋体"/>
          <w:sz w:val="28"/>
          <w:szCs w:val="28"/>
          <w:lang w:val="en-US" w:eastAsia="en-US"/>
        </w:rPr>
        <w:t>拟订立的合同样本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_Toc23542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36"/>
          <w14:textFill>
            <w14:solidFill>
              <w14:schemeClr w14:val="tx1"/>
            </w14:solidFill>
          </w14:textFill>
        </w:rPr>
        <w:fldChar w:fldCharType="end"/>
      </w:r>
    </w:p>
    <w:p>
      <w:pPr>
        <w:pStyle w:val="20"/>
        <w:tabs>
          <w:tab w:val="right" w:leader="dot" w:pos="8306"/>
        </w:tabs>
        <w:spacing w:line="720" w:lineRule="auto"/>
        <w:rPr>
          <w:rFonts w:hint="eastAsia" w:ascii="宋体" w:hAnsi="宋体" w:eastAsia="宋体" w:cs="宋体"/>
          <w:sz w:val="28"/>
          <w:szCs w:val="28"/>
        </w:rPr>
      </w:pP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sz w:val="28"/>
          <w:szCs w:val="36"/>
        </w:rPr>
        <w:instrText xml:space="preserve"> HYPERLINK \l _Toc5156 </w:instrText>
      </w:r>
      <w:r>
        <w:rPr>
          <w:rFonts w:hint="eastAsia" w:ascii="宋体" w:hAnsi="宋体" w:eastAsia="宋体" w:cs="宋体"/>
          <w:sz w:val="28"/>
          <w:szCs w:val="36"/>
        </w:rPr>
        <w:fldChar w:fldCharType="separate"/>
      </w:r>
      <w:r>
        <w:rPr>
          <w:rFonts w:hint="eastAsia" w:ascii="宋体" w:hAnsi="宋体" w:eastAsia="宋体" w:cs="宋体"/>
          <w:sz w:val="28"/>
          <w:szCs w:val="28"/>
        </w:rPr>
        <w:t>第</w:t>
      </w:r>
      <w:r>
        <w:rPr>
          <w:rFonts w:hint="eastAsia" w:ascii="宋体" w:hAnsi="宋体" w:eastAsia="宋体" w:cs="宋体"/>
          <w:sz w:val="28"/>
          <w:szCs w:val="28"/>
          <w:lang w:eastAsia="zh-CN"/>
        </w:rPr>
        <w:t>五</w:t>
      </w:r>
      <w:r>
        <w:rPr>
          <w:rFonts w:hint="eastAsia" w:ascii="宋体" w:hAnsi="宋体" w:eastAsia="宋体" w:cs="宋体"/>
          <w:sz w:val="28"/>
          <w:szCs w:val="28"/>
          <w:lang w:val="en-US" w:eastAsia="zh-CN"/>
        </w:rPr>
        <w:t>章</w:t>
      </w:r>
      <w:r>
        <w:rPr>
          <w:rFonts w:hint="eastAsia" w:ascii="宋体" w:hAnsi="宋体" w:eastAsia="宋体" w:cs="宋体"/>
          <w:sz w:val="28"/>
          <w:szCs w:val="28"/>
        </w:rPr>
        <w:t xml:space="preserve">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_Toc5156 \h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36"/>
          <w14:textFill>
            <w14:solidFill>
              <w14:schemeClr w14:val="tx1"/>
            </w14:solidFill>
          </w14:textFill>
        </w:rPr>
        <w:fldChar w:fldCharType="end"/>
      </w:r>
    </w:p>
    <w:p>
      <w:pPr>
        <w:pStyle w:val="20"/>
        <w:tabs>
          <w:tab w:val="right" w:leader="dot" w:pos="8306"/>
        </w:tabs>
        <w:spacing w:line="720" w:lineRule="auto"/>
        <w:rPr>
          <w:rFonts w:hint="eastAsia" w:ascii="宋体" w:hAnsi="宋体" w:eastAsia="宋体" w:cs="宋体"/>
        </w:rPr>
      </w:pP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sz w:val="28"/>
          <w:szCs w:val="36"/>
        </w:rPr>
        <w:instrText xml:space="preserve"> HYPERLINK \l _Toc5241 </w:instrText>
      </w:r>
      <w:r>
        <w:rPr>
          <w:rFonts w:hint="eastAsia" w:ascii="宋体" w:hAnsi="宋体" w:eastAsia="宋体" w:cs="宋体"/>
          <w:sz w:val="28"/>
          <w:szCs w:val="36"/>
        </w:rPr>
        <w:fldChar w:fldCharType="separate"/>
      </w:r>
      <w:r>
        <w:rPr>
          <w:rFonts w:hint="eastAsia" w:ascii="宋体" w:hAnsi="宋体" w:eastAsia="宋体" w:cs="宋体"/>
          <w:sz w:val="28"/>
          <w:szCs w:val="28"/>
          <w:lang w:val="en-US" w:eastAsia="zh-CN"/>
        </w:rPr>
        <w:t>第六章 项目需求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_Toc5241 \h </w:instrText>
      </w:r>
      <w:r>
        <w:rPr>
          <w:rFonts w:hint="eastAsia" w:ascii="宋体" w:hAnsi="宋体" w:eastAsia="宋体" w:cs="宋体"/>
          <w:sz w:val="28"/>
          <w:szCs w:val="28"/>
        </w:rPr>
        <w:fldChar w:fldCharType="separate"/>
      </w:r>
      <w:r>
        <w:rPr>
          <w:rFonts w:hint="eastAsia" w:ascii="宋体" w:hAnsi="宋体" w:eastAsia="宋体" w:cs="宋体"/>
          <w:sz w:val="28"/>
          <w:szCs w:val="28"/>
        </w:rPr>
        <w:t>56</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36"/>
          <w14:textFill>
            <w14:solidFill>
              <w14:schemeClr w14:val="tx1"/>
            </w14:solidFill>
          </w14:textFill>
        </w:rPr>
        <w:fldChar w:fldCharType="end"/>
      </w: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end"/>
      </w:r>
    </w:p>
    <w:p>
      <w:pPr>
        <w:rPr>
          <w:rFonts w:hint="eastAsia" w:ascii="宋体" w:hAnsi="宋体" w:eastAsia="宋体" w:cs="宋体"/>
          <w:color w:val="000000" w:themeColor="text1"/>
          <w:spacing w:val="-6"/>
          <w:sz w:val="44"/>
          <w:szCs w:val="22"/>
          <w:lang w:val="en-US" w:eastAsia="zh-CN"/>
          <w14:textFill>
            <w14:solidFill>
              <w14:schemeClr w14:val="tx1"/>
            </w14:solidFill>
          </w14:textFill>
        </w:rPr>
      </w:pPr>
      <w:bookmarkStart w:id="7" w:name="_Toc534725596"/>
      <w:r>
        <w:rPr>
          <w:rFonts w:hint="eastAsia" w:ascii="宋体" w:hAnsi="宋体" w:eastAsia="宋体" w:cs="宋体"/>
          <w:color w:val="000000" w:themeColor="text1"/>
          <w:spacing w:val="-6"/>
          <w:sz w:val="44"/>
          <w:szCs w:val="22"/>
          <w14:textFill>
            <w14:solidFill>
              <w14:schemeClr w14:val="tx1"/>
            </w14:solidFill>
          </w14:textFill>
        </w:rPr>
        <w:br w:type="page"/>
      </w:r>
    </w:p>
    <w:p>
      <w:pPr>
        <w:pStyle w:val="2"/>
        <w:bidi w:val="0"/>
        <w:rPr>
          <w:rFonts w:hint="eastAsia" w:ascii="宋体" w:hAnsi="宋体" w:eastAsia="宋体" w:cs="宋体"/>
          <w:color w:val="000000" w:themeColor="text1"/>
          <w:lang w:eastAsia="zh-CN"/>
          <w14:textFill>
            <w14:solidFill>
              <w14:schemeClr w14:val="tx1"/>
            </w14:solidFill>
          </w14:textFill>
        </w:rPr>
      </w:pPr>
      <w:bookmarkStart w:id="8" w:name="_Toc6823"/>
      <w:bookmarkStart w:id="9" w:name="_Toc20753"/>
      <w:bookmarkStart w:id="10" w:name="_Toc21554"/>
      <w:bookmarkStart w:id="11" w:name="_Toc22122"/>
      <w:bookmarkStart w:id="12" w:name="_Toc13808"/>
      <w:r>
        <w:rPr>
          <w:rFonts w:hint="eastAsia" w:ascii="宋体" w:hAnsi="宋体" w:eastAsia="宋体" w:cs="宋体"/>
          <w:color w:val="000000" w:themeColor="text1"/>
          <w14:textFill>
            <w14:solidFill>
              <w14:schemeClr w14:val="tx1"/>
            </w14:solidFill>
          </w14:textFill>
        </w:rPr>
        <w:t xml:space="preserve">第一章 </w:t>
      </w:r>
      <w:r>
        <w:rPr>
          <w:rFonts w:hint="eastAsia" w:ascii="宋体" w:hAnsi="宋体" w:eastAsia="宋体" w:cs="宋体"/>
          <w:color w:val="000000" w:themeColor="text1"/>
          <w:lang w:eastAsia="zh-CN"/>
          <w14:textFill>
            <w14:solidFill>
              <w14:schemeClr w14:val="tx1"/>
            </w14:solidFill>
          </w14:textFill>
        </w:rPr>
        <w:t>招标邀请</w:t>
      </w:r>
      <w:bookmarkEnd w:id="8"/>
    </w:p>
    <w:p>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rPr>
      </w:pPr>
      <w:bookmarkStart w:id="13" w:name="_Toc35393789"/>
      <w:bookmarkStart w:id="14" w:name="_Toc28359001"/>
      <w:r>
        <w:rPr>
          <w:rFonts w:hint="eastAsia" w:ascii="宋体" w:hAnsi="宋体" w:eastAsia="宋体" w:cs="宋体"/>
          <w:lang w:val="en-US" w:eastAsia="zh-CN"/>
        </w:rPr>
        <w:t>新疆信实工程招标咨询服务有限公司关于</w:t>
      </w:r>
      <w:r>
        <w:rPr>
          <w:rFonts w:hint="eastAsia" w:ascii="宋体" w:hAnsi="宋体" w:cs="宋体"/>
          <w:lang w:val="en-US" w:eastAsia="zh-CN"/>
        </w:rPr>
        <w:t>木垒县雀仁乡清洁能源改造项目（二次）</w:t>
      </w:r>
      <w:r>
        <w:rPr>
          <w:rFonts w:hint="eastAsia" w:ascii="宋体" w:hAnsi="宋体" w:eastAsia="宋体" w:cs="宋体"/>
          <w:lang w:val="en-US" w:eastAsia="zh-CN"/>
        </w:rPr>
        <w:t>公开</w:t>
      </w:r>
      <w:r>
        <w:rPr>
          <w:rFonts w:hint="eastAsia" w:ascii="宋体" w:hAnsi="宋体" w:eastAsia="宋体" w:cs="宋体"/>
        </w:rPr>
        <w:t>招标公告</w:t>
      </w:r>
      <w:bookmarkEnd w:id="13"/>
      <w:bookmarkEnd w:id="14"/>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木垒县雀仁乡清洁能源改造项目（二次）</w:t>
      </w:r>
      <w:r>
        <w:rPr>
          <w:rFonts w:hint="eastAsia" w:ascii="宋体" w:hAnsi="宋体" w:eastAsia="宋体" w:cs="宋体"/>
          <w:sz w:val="28"/>
          <w:szCs w:val="28"/>
        </w:rPr>
        <w:t xml:space="preserve"> 招标项目的潜在投标人应在</w:t>
      </w:r>
      <w:r>
        <w:rPr>
          <w:rFonts w:hint="eastAsia" w:ascii="宋体" w:hAnsi="宋体" w:eastAsia="宋体" w:cs="宋体"/>
          <w:sz w:val="28"/>
          <w:szCs w:val="28"/>
          <w:u w:val="single"/>
        </w:rPr>
        <w:t>新疆政府采购网政采云平台（www.zcygov.cn）</w:t>
      </w:r>
      <w:r>
        <w:rPr>
          <w:rFonts w:hint="eastAsia" w:ascii="宋体" w:hAnsi="宋体" w:eastAsia="宋体" w:cs="宋体"/>
          <w:sz w:val="28"/>
          <w:szCs w:val="28"/>
        </w:rPr>
        <w:t>获取招标文件，并于</w:t>
      </w:r>
      <w:r>
        <w:rPr>
          <w:rFonts w:hint="eastAsia" w:ascii="宋体" w:hAnsi="宋体" w:cs="宋体"/>
          <w:sz w:val="28"/>
          <w:szCs w:val="28"/>
          <w:u w:val="single"/>
          <w:lang w:val="en-US" w:eastAsia="zh-CN"/>
        </w:rPr>
        <w:t>2023</w:t>
      </w:r>
      <w:r>
        <w:rPr>
          <w:rFonts w:hint="eastAsia" w:ascii="宋体" w:hAnsi="宋体" w:eastAsia="宋体" w:cs="宋体"/>
          <w:bCs/>
          <w:sz w:val="28"/>
          <w:szCs w:val="28"/>
          <w:u w:val="single"/>
        </w:rPr>
        <w:t>年</w:t>
      </w:r>
      <w:r>
        <w:rPr>
          <w:rFonts w:hint="eastAsia" w:ascii="宋体" w:hAnsi="宋体" w:cs="宋体"/>
          <w:bCs/>
          <w:sz w:val="28"/>
          <w:szCs w:val="28"/>
          <w:u w:val="single"/>
          <w:lang w:val="en-US" w:eastAsia="zh-CN"/>
        </w:rPr>
        <w:t>9</w:t>
      </w:r>
      <w:r>
        <w:rPr>
          <w:rFonts w:hint="eastAsia" w:ascii="宋体" w:hAnsi="宋体" w:eastAsia="宋体" w:cs="宋体"/>
          <w:bCs/>
          <w:sz w:val="28"/>
          <w:szCs w:val="28"/>
          <w:u w:val="single"/>
        </w:rPr>
        <w:t>月</w:t>
      </w:r>
      <w:r>
        <w:rPr>
          <w:rFonts w:hint="eastAsia" w:ascii="宋体" w:hAnsi="宋体" w:cs="宋体"/>
          <w:bCs/>
          <w:sz w:val="28"/>
          <w:szCs w:val="28"/>
          <w:u w:val="single"/>
          <w:lang w:val="en-US" w:eastAsia="zh-CN"/>
        </w:rPr>
        <w:t>6</w:t>
      </w:r>
      <w:r>
        <w:rPr>
          <w:rFonts w:hint="eastAsia" w:ascii="宋体" w:hAnsi="宋体" w:eastAsia="宋体" w:cs="宋体"/>
          <w:bCs/>
          <w:sz w:val="28"/>
          <w:szCs w:val="28"/>
          <w:u w:val="single"/>
        </w:rPr>
        <w:t>日</w:t>
      </w:r>
      <w:r>
        <w:rPr>
          <w:rFonts w:hint="eastAsia" w:ascii="宋体" w:hAnsi="宋体" w:cs="宋体"/>
          <w:bCs/>
          <w:sz w:val="28"/>
          <w:szCs w:val="28"/>
          <w:u w:val="single"/>
          <w:lang w:val="en-US" w:eastAsia="zh-CN"/>
        </w:rPr>
        <w:t>11</w:t>
      </w:r>
      <w:r>
        <w:rPr>
          <w:rFonts w:hint="eastAsia" w:ascii="宋体" w:hAnsi="宋体" w:eastAsia="宋体" w:cs="宋体"/>
          <w:bCs/>
          <w:sz w:val="28"/>
          <w:szCs w:val="28"/>
          <w:u w:val="single"/>
        </w:rPr>
        <w:t>点</w:t>
      </w:r>
      <w:r>
        <w:rPr>
          <w:rFonts w:hint="eastAsia" w:ascii="宋体" w:hAnsi="宋体" w:cs="宋体"/>
          <w:bCs/>
          <w:sz w:val="28"/>
          <w:szCs w:val="28"/>
          <w:u w:val="single"/>
          <w:lang w:val="en-US" w:eastAsia="zh-CN"/>
        </w:rPr>
        <w:t>30</w:t>
      </w:r>
      <w:r>
        <w:rPr>
          <w:rFonts w:hint="eastAsia" w:ascii="宋体" w:hAnsi="宋体" w:eastAsia="宋体" w:cs="宋体"/>
          <w:bCs/>
          <w:sz w:val="28"/>
          <w:szCs w:val="28"/>
          <w:u w:val="single"/>
        </w:rPr>
        <w:t>分（</w:t>
      </w:r>
      <w:r>
        <w:rPr>
          <w:rFonts w:hint="eastAsia" w:ascii="宋体" w:hAnsi="宋体" w:eastAsia="宋体" w:cs="宋体"/>
          <w:bCs/>
          <w:sz w:val="28"/>
          <w:szCs w:val="28"/>
        </w:rPr>
        <w:t>北京时间）前递交投标文件</w:t>
      </w:r>
      <w:r>
        <w:rPr>
          <w:rFonts w:hint="eastAsia" w:ascii="宋体" w:hAnsi="宋体" w:eastAsia="宋体" w:cs="宋体"/>
          <w:sz w:val="28"/>
          <w:szCs w:val="28"/>
        </w:rPr>
        <w:t>。</w:t>
      </w:r>
    </w:p>
    <w:p>
      <w:pPr>
        <w:rPr>
          <w:rFonts w:hint="eastAsia" w:ascii="宋体" w:hAnsi="宋体" w:eastAsia="宋体" w:cs="宋体"/>
          <w:sz w:val="28"/>
          <w:szCs w:val="28"/>
        </w:rPr>
      </w:pPr>
    </w:p>
    <w:p>
      <w:pPr>
        <w:pStyle w:val="3"/>
        <w:spacing w:line="360" w:lineRule="auto"/>
        <w:rPr>
          <w:rFonts w:hint="eastAsia" w:ascii="宋体" w:hAnsi="宋体" w:eastAsia="宋体" w:cs="宋体"/>
          <w:b w:val="0"/>
          <w:sz w:val="28"/>
          <w:szCs w:val="28"/>
        </w:rPr>
      </w:pPr>
      <w:bookmarkStart w:id="15" w:name="_Toc28359079"/>
      <w:bookmarkStart w:id="16" w:name="_Toc28359002"/>
      <w:bookmarkStart w:id="17" w:name="_Toc35393790"/>
      <w:bookmarkStart w:id="18" w:name="_Toc35393621"/>
      <w:bookmarkStart w:id="19" w:name="_Hlk24379207"/>
      <w:r>
        <w:rPr>
          <w:rFonts w:hint="eastAsia" w:ascii="宋体" w:hAnsi="宋体" w:eastAsia="宋体" w:cs="宋体"/>
          <w:b w:val="0"/>
          <w:sz w:val="28"/>
          <w:szCs w:val="28"/>
        </w:rPr>
        <w:t>一、项目基本情况</w:t>
      </w:r>
      <w:bookmarkEnd w:id="15"/>
      <w:bookmarkEnd w:id="16"/>
      <w:bookmarkEnd w:id="17"/>
      <w:bookmarkEnd w:id="18"/>
    </w:p>
    <w:p>
      <w:pPr>
        <w:ind w:firstLine="560" w:firstLineChars="200"/>
        <w:rPr>
          <w:rFonts w:hint="default" w:ascii="宋体" w:hAnsi="宋体" w:eastAsia="宋体" w:cs="宋体"/>
          <w:color w:val="FF0000"/>
          <w:sz w:val="28"/>
          <w:szCs w:val="28"/>
          <w:lang w:val="en-US" w:eastAsia="zh-CN"/>
        </w:rPr>
      </w:pPr>
      <w:r>
        <w:rPr>
          <w:rFonts w:hint="eastAsia" w:ascii="宋体" w:hAnsi="宋体" w:eastAsia="宋体" w:cs="宋体"/>
          <w:sz w:val="28"/>
          <w:szCs w:val="28"/>
        </w:rPr>
        <w:t>项目编号：W-XJXSZB2023-2</w:t>
      </w:r>
      <w:r>
        <w:rPr>
          <w:rFonts w:hint="eastAsia" w:ascii="宋体" w:hAnsi="宋体" w:cs="宋体"/>
          <w:sz w:val="28"/>
          <w:szCs w:val="28"/>
          <w:lang w:val="en-US" w:eastAsia="zh-CN"/>
        </w:rPr>
        <w:t>4</w:t>
      </w:r>
      <w:r>
        <w:rPr>
          <w:rFonts w:hint="eastAsia" w:ascii="宋体" w:hAnsi="宋体" w:eastAsia="宋体" w:cs="宋体"/>
          <w:sz w:val="28"/>
          <w:szCs w:val="28"/>
        </w:rPr>
        <w:t>-CG</w:t>
      </w:r>
      <w:r>
        <w:rPr>
          <w:rFonts w:hint="eastAsia" w:ascii="宋体" w:hAnsi="宋体" w:cs="宋体"/>
          <w:sz w:val="28"/>
          <w:szCs w:val="28"/>
          <w:lang w:val="en-US" w:eastAsia="zh-CN"/>
        </w:rPr>
        <w:t>-1</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项目名称：</w:t>
      </w:r>
      <w:r>
        <w:rPr>
          <w:rFonts w:hint="eastAsia" w:ascii="宋体" w:hAnsi="宋体" w:cs="宋体"/>
          <w:sz w:val="28"/>
          <w:szCs w:val="28"/>
          <w:lang w:eastAsia="zh-CN"/>
        </w:rPr>
        <w:t>木垒县雀仁乡清洁能源改造项目（二次）</w:t>
      </w:r>
    </w:p>
    <w:bookmarkEnd w:id="19"/>
    <w:p>
      <w:pPr>
        <w:ind w:firstLine="560" w:firstLineChars="200"/>
        <w:rPr>
          <w:rFonts w:hint="eastAsia" w:ascii="宋体" w:hAnsi="宋体" w:cs="宋体"/>
          <w:sz w:val="28"/>
          <w:szCs w:val="28"/>
          <w:lang w:val="en-US" w:eastAsia="zh-CN"/>
        </w:rPr>
      </w:pPr>
      <w:r>
        <w:rPr>
          <w:rFonts w:hint="eastAsia" w:ascii="宋体" w:hAnsi="宋体" w:eastAsia="宋体" w:cs="宋体"/>
          <w:sz w:val="28"/>
          <w:szCs w:val="28"/>
        </w:rPr>
        <w:t>预算金额</w:t>
      </w:r>
      <w:r>
        <w:rPr>
          <w:rFonts w:hint="eastAsia" w:ascii="宋体" w:hAnsi="宋体" w:eastAsia="宋体" w:cs="宋体"/>
          <w:sz w:val="28"/>
          <w:szCs w:val="28"/>
          <w:lang w:eastAsia="zh-CN"/>
        </w:rPr>
        <w:t>（万元）</w:t>
      </w:r>
      <w:r>
        <w:rPr>
          <w:rFonts w:hint="eastAsia" w:ascii="宋体" w:hAnsi="宋体" w:eastAsia="宋体" w:cs="宋体"/>
          <w:sz w:val="28"/>
          <w:szCs w:val="28"/>
        </w:rPr>
        <w:t>：</w:t>
      </w:r>
      <w:r>
        <w:rPr>
          <w:rFonts w:hint="eastAsia" w:ascii="宋体" w:hAnsi="宋体" w:cs="宋体"/>
          <w:sz w:val="28"/>
          <w:szCs w:val="28"/>
          <w:lang w:val="en-US" w:eastAsia="zh-CN"/>
        </w:rPr>
        <w:t>285</w:t>
      </w:r>
    </w:p>
    <w:p>
      <w:pPr>
        <w:ind w:firstLine="560" w:firstLineChars="200"/>
        <w:rPr>
          <w:rFonts w:hint="eastAsia" w:ascii="宋体" w:hAnsi="宋体" w:cs="宋体"/>
          <w:sz w:val="28"/>
          <w:szCs w:val="28"/>
          <w:lang w:val="en-US" w:eastAsia="zh-CN"/>
        </w:rPr>
      </w:pPr>
      <w:r>
        <w:rPr>
          <w:rFonts w:hint="eastAsia" w:ascii="宋体" w:hAnsi="宋体" w:eastAsia="宋体" w:cs="宋体"/>
          <w:sz w:val="28"/>
          <w:szCs w:val="28"/>
        </w:rPr>
        <w:t>最高限价（</w:t>
      </w:r>
      <w:r>
        <w:rPr>
          <w:rFonts w:hint="eastAsia" w:ascii="宋体" w:hAnsi="宋体" w:eastAsia="宋体" w:cs="宋体"/>
          <w:sz w:val="28"/>
          <w:szCs w:val="28"/>
          <w:lang w:eastAsia="zh-CN"/>
        </w:rPr>
        <w:t>万元</w:t>
      </w:r>
      <w:r>
        <w:rPr>
          <w:rFonts w:hint="eastAsia" w:ascii="宋体" w:hAnsi="宋体" w:eastAsia="宋体" w:cs="宋体"/>
          <w:sz w:val="28"/>
          <w:szCs w:val="28"/>
        </w:rPr>
        <w:t>）：</w:t>
      </w:r>
      <w:r>
        <w:rPr>
          <w:rFonts w:hint="eastAsia" w:ascii="宋体" w:hAnsi="宋体" w:cs="宋体"/>
          <w:sz w:val="28"/>
          <w:szCs w:val="28"/>
          <w:lang w:val="en-US" w:eastAsia="zh-CN"/>
        </w:rPr>
        <w:t>285</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采购需求：雀仁乡人民政府燃煤锅炉供暖面积为7000平方米；雀仁乡农牧民实训基地燃煤锅炉供暖面积12000平方米</w:t>
      </w:r>
      <w:r>
        <w:rPr>
          <w:rFonts w:hint="eastAsia" w:ascii="宋体" w:hAnsi="宋体" w:eastAsia="宋体" w:cs="宋体"/>
          <w:sz w:val="28"/>
          <w:szCs w:val="28"/>
          <w:lang w:eastAsia="zh-CN"/>
        </w:rPr>
        <w:t>（详见招标文件）</w:t>
      </w:r>
    </w:p>
    <w:p>
      <w:pPr>
        <w:ind w:firstLine="560" w:firstLineChars="200"/>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合同履行期限：9月30日前完工</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w:t>
      </w:r>
      <w:r>
        <w:rPr>
          <w:rFonts w:hint="eastAsia" w:ascii="宋体" w:hAnsi="宋体" w:eastAsia="宋体" w:cs="宋体"/>
          <w:i w:val="0"/>
          <w:iCs/>
          <w:sz w:val="28"/>
          <w:szCs w:val="28"/>
        </w:rPr>
        <w:t>否</w:t>
      </w:r>
      <w:r>
        <w:rPr>
          <w:rFonts w:hint="eastAsia" w:ascii="宋体" w:hAnsi="宋体" w:eastAsia="宋体" w:cs="宋体"/>
          <w:sz w:val="28"/>
          <w:szCs w:val="28"/>
        </w:rPr>
        <w:t>）接受联合体投标。</w:t>
      </w:r>
    </w:p>
    <w:p>
      <w:pPr>
        <w:pStyle w:val="3"/>
        <w:spacing w:line="360" w:lineRule="auto"/>
        <w:rPr>
          <w:rFonts w:hint="eastAsia" w:ascii="宋体" w:hAnsi="宋体" w:eastAsia="宋体" w:cs="宋体"/>
          <w:b w:val="0"/>
          <w:sz w:val="28"/>
          <w:szCs w:val="28"/>
        </w:rPr>
      </w:pPr>
      <w:bookmarkStart w:id="20" w:name="_Toc35393791"/>
      <w:bookmarkStart w:id="21" w:name="_Toc35393622"/>
      <w:bookmarkStart w:id="22" w:name="_Toc28359080"/>
      <w:bookmarkStart w:id="23" w:name="_Toc28359003"/>
      <w:r>
        <w:rPr>
          <w:rFonts w:hint="eastAsia" w:ascii="宋体" w:hAnsi="宋体" w:eastAsia="宋体" w:cs="宋体"/>
          <w:b w:val="0"/>
          <w:sz w:val="28"/>
          <w:szCs w:val="28"/>
        </w:rPr>
        <w:t>二、申请人的资格要求：</w:t>
      </w:r>
      <w:bookmarkEnd w:id="20"/>
      <w:bookmarkEnd w:id="21"/>
      <w:bookmarkEnd w:id="22"/>
      <w:bookmarkEnd w:id="23"/>
    </w:p>
    <w:p>
      <w:pPr>
        <w:ind w:firstLine="560" w:firstLineChars="200"/>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pPr>
        <w:pStyle w:val="16"/>
        <w:ind w:firstLine="560" w:firstLineChars="200"/>
        <w:rPr>
          <w:rFonts w:hint="eastAsia" w:ascii="宋体" w:hAnsi="宋体" w:eastAsia="宋体" w:cs="宋体"/>
          <w:sz w:val="28"/>
          <w:szCs w:val="28"/>
        </w:rPr>
      </w:pPr>
      <w:bookmarkStart w:id="24" w:name="_Toc28359081"/>
      <w:bookmarkStart w:id="25" w:name="_Toc28359004"/>
      <w:r>
        <w:rPr>
          <w:rFonts w:hint="eastAsia" w:ascii="宋体" w:hAnsi="宋体" w:eastAsia="宋体" w:cs="宋体"/>
          <w:sz w:val="28"/>
          <w:szCs w:val="28"/>
        </w:rPr>
        <w:t>2.落实政府采购政策需满足的资格要求：</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按照《财政部工业和信息化部关于印发&lt;政府采购促进中小企业发展管理办法&gt;的通知》（财库〔2020〕46号）的规定，落实促进中小企业发展政策,本项目专门面向中小企业。企业划型标准执行工信部联企业（2011）300号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3.本项目的特定资格要求：</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3.1.应具备独立法人资格，具有有效的营业执照；</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3.2.根据《财政部关于在政府采购活动中查询及使用信用记录有关问题的通知》（财库﹝2016﹞125号）的要求，凡拟参加本次招标项目的供应商，供应商未被列入“信用中国”网站（www.creditchina.gov.cn）失信被执行人、重大税收违法案件当事人名单及中国政府采购网（www.ccgp.gov.cn）“政府采购严重违法失信行为信息记录”；</w:t>
      </w:r>
    </w:p>
    <w:p>
      <w:pPr>
        <w:pStyle w:val="5"/>
        <w:rPr>
          <w:rFonts w:hint="eastAsia" w:ascii="宋体" w:hAnsi="宋体" w:eastAsia="宋体" w:cs="宋体"/>
          <w:sz w:val="28"/>
          <w:szCs w:val="28"/>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lang w:val="en-US" w:eastAsia="zh-CN"/>
          <w14:textFill>
            <w14:solidFill>
              <w14:schemeClr w14:val="tx1"/>
            </w14:solidFill>
          </w14:textFill>
        </w:rPr>
        <w:t>.单位负责人为同一人或者存在直接控股、管理关系的不同投标人，不得参加同一合同项下的政府采购活动。否则，皆取消投标资格。</w:t>
      </w:r>
    </w:p>
    <w:p>
      <w:pPr>
        <w:pStyle w:val="3"/>
        <w:spacing w:line="360" w:lineRule="auto"/>
        <w:rPr>
          <w:rFonts w:hint="eastAsia" w:ascii="宋体" w:hAnsi="宋体" w:eastAsia="宋体" w:cs="宋体"/>
          <w:b w:val="0"/>
          <w:sz w:val="28"/>
          <w:szCs w:val="28"/>
        </w:rPr>
      </w:pPr>
      <w:bookmarkStart w:id="26" w:name="_Toc35393792"/>
      <w:bookmarkStart w:id="27" w:name="_Toc35393623"/>
      <w:r>
        <w:rPr>
          <w:rFonts w:hint="eastAsia" w:ascii="宋体" w:hAnsi="宋体" w:eastAsia="宋体" w:cs="宋体"/>
          <w:b w:val="0"/>
          <w:sz w:val="28"/>
          <w:szCs w:val="28"/>
        </w:rPr>
        <w:t>三、获取招标文件</w:t>
      </w:r>
      <w:bookmarkEnd w:id="24"/>
      <w:bookmarkEnd w:id="25"/>
      <w:bookmarkEnd w:id="26"/>
      <w:bookmarkEnd w:id="27"/>
    </w:p>
    <w:p>
      <w:pPr>
        <w:spacing w:line="360" w:lineRule="auto"/>
        <w:ind w:firstLine="540"/>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cs="宋体"/>
          <w:sz w:val="28"/>
          <w:szCs w:val="28"/>
          <w:u w:val="single"/>
          <w:lang w:val="en-US" w:eastAsia="zh-CN"/>
        </w:rPr>
        <w:t>2023</w:t>
      </w:r>
      <w:r>
        <w:rPr>
          <w:rFonts w:hint="eastAsia" w:ascii="宋体" w:hAnsi="宋体" w:eastAsia="宋体" w:cs="宋体"/>
          <w:sz w:val="28"/>
          <w:szCs w:val="28"/>
          <w:u w:val="single"/>
        </w:rPr>
        <w:t>年</w:t>
      </w:r>
      <w:r>
        <w:rPr>
          <w:rFonts w:hint="eastAsia" w:ascii="宋体" w:hAnsi="宋体" w:cs="宋体"/>
          <w:sz w:val="28"/>
          <w:szCs w:val="28"/>
          <w:u w:val="single"/>
          <w:lang w:val="en-US" w:eastAsia="zh-CN"/>
        </w:rPr>
        <w:t>8</w:t>
      </w:r>
      <w:r>
        <w:rPr>
          <w:rFonts w:hint="eastAsia" w:ascii="宋体" w:hAnsi="宋体" w:eastAsia="宋体" w:cs="宋体"/>
          <w:sz w:val="28"/>
          <w:szCs w:val="28"/>
          <w:u w:val="single"/>
        </w:rPr>
        <w:t>月</w:t>
      </w:r>
      <w:r>
        <w:rPr>
          <w:rFonts w:hint="eastAsia" w:ascii="宋体" w:hAnsi="宋体" w:cs="宋体"/>
          <w:sz w:val="28"/>
          <w:szCs w:val="28"/>
          <w:u w:val="single"/>
          <w:lang w:val="en-US" w:eastAsia="zh-CN"/>
        </w:rPr>
        <w:t>17</w:t>
      </w:r>
      <w:r>
        <w:rPr>
          <w:rFonts w:hint="eastAsia" w:ascii="宋体" w:hAnsi="宋体" w:eastAsia="宋体" w:cs="宋体"/>
          <w:sz w:val="28"/>
          <w:szCs w:val="28"/>
          <w:u w:val="single"/>
        </w:rPr>
        <w:t>日</w:t>
      </w:r>
      <w:r>
        <w:rPr>
          <w:rFonts w:hint="eastAsia" w:ascii="宋体" w:hAnsi="宋体" w:eastAsia="宋体" w:cs="宋体"/>
          <w:sz w:val="28"/>
          <w:szCs w:val="28"/>
        </w:rPr>
        <w:t>至</w:t>
      </w:r>
      <w:r>
        <w:rPr>
          <w:rFonts w:hint="eastAsia" w:ascii="宋体" w:hAnsi="宋体" w:cs="宋体"/>
          <w:sz w:val="28"/>
          <w:szCs w:val="28"/>
          <w:u w:val="single"/>
          <w:lang w:val="en-US" w:eastAsia="zh-CN"/>
        </w:rPr>
        <w:t>2023</w:t>
      </w:r>
      <w:r>
        <w:rPr>
          <w:rFonts w:hint="eastAsia" w:ascii="宋体" w:hAnsi="宋体" w:eastAsia="宋体" w:cs="宋体"/>
          <w:sz w:val="28"/>
          <w:szCs w:val="28"/>
          <w:u w:val="single"/>
        </w:rPr>
        <w:t>年</w:t>
      </w:r>
      <w:r>
        <w:rPr>
          <w:rFonts w:hint="eastAsia" w:ascii="宋体" w:hAnsi="宋体" w:cs="宋体"/>
          <w:sz w:val="28"/>
          <w:szCs w:val="28"/>
          <w:u w:val="single"/>
          <w:lang w:val="en-US" w:eastAsia="zh-CN"/>
        </w:rPr>
        <w:t>8</w:t>
      </w:r>
      <w:r>
        <w:rPr>
          <w:rFonts w:hint="eastAsia" w:ascii="宋体" w:hAnsi="宋体" w:eastAsia="宋体" w:cs="宋体"/>
          <w:sz w:val="28"/>
          <w:szCs w:val="28"/>
          <w:u w:val="single"/>
        </w:rPr>
        <w:t>月</w:t>
      </w:r>
      <w:r>
        <w:rPr>
          <w:rFonts w:hint="eastAsia" w:ascii="宋体" w:hAnsi="宋体" w:cs="宋体"/>
          <w:sz w:val="28"/>
          <w:szCs w:val="28"/>
          <w:u w:val="single"/>
          <w:lang w:val="en-US" w:eastAsia="zh-CN"/>
        </w:rPr>
        <w:t>24</w:t>
      </w:r>
      <w:r>
        <w:rPr>
          <w:rFonts w:hint="eastAsia" w:ascii="宋体" w:hAnsi="宋体" w:eastAsia="宋体" w:cs="宋体"/>
          <w:sz w:val="28"/>
          <w:szCs w:val="28"/>
          <w:u w:val="single"/>
        </w:rPr>
        <w:t>日</w:t>
      </w:r>
      <w:r>
        <w:rPr>
          <w:rFonts w:hint="eastAsia" w:ascii="宋体" w:hAnsi="宋体" w:eastAsia="宋体" w:cs="宋体"/>
          <w:sz w:val="28"/>
          <w:szCs w:val="28"/>
        </w:rPr>
        <w:t>，每天上午</w:t>
      </w:r>
      <w:r>
        <w:rPr>
          <w:rFonts w:hint="eastAsia" w:ascii="宋体" w:hAnsi="宋体" w:eastAsia="宋体" w:cs="宋体"/>
          <w:sz w:val="28"/>
          <w:szCs w:val="28"/>
          <w:lang w:val="en-US" w:eastAsia="zh-CN"/>
        </w:rPr>
        <w:t>10:00</w:t>
      </w:r>
      <w:r>
        <w:rPr>
          <w:rFonts w:hint="eastAsia" w:ascii="宋体" w:hAnsi="宋体" w:eastAsia="宋体" w:cs="宋体"/>
          <w:sz w:val="28"/>
          <w:szCs w:val="28"/>
        </w:rPr>
        <w:t>至</w:t>
      </w:r>
      <w:r>
        <w:rPr>
          <w:rFonts w:hint="eastAsia" w:ascii="宋体" w:hAnsi="宋体" w:eastAsia="宋体" w:cs="宋体"/>
          <w:sz w:val="28"/>
          <w:szCs w:val="28"/>
          <w:lang w:val="en-US" w:eastAsia="zh-CN"/>
        </w:rPr>
        <w:t>14:00</w:t>
      </w:r>
      <w:r>
        <w:rPr>
          <w:rFonts w:hint="eastAsia" w:ascii="宋体" w:hAnsi="宋体" w:eastAsia="宋体" w:cs="宋体"/>
          <w:sz w:val="28"/>
          <w:szCs w:val="28"/>
        </w:rPr>
        <w:t>，下午</w:t>
      </w:r>
      <w:r>
        <w:rPr>
          <w:rFonts w:hint="eastAsia" w:ascii="宋体" w:hAnsi="宋体" w:eastAsia="宋体" w:cs="宋体"/>
          <w:sz w:val="28"/>
          <w:szCs w:val="28"/>
          <w:lang w:val="en-US" w:eastAsia="zh-CN"/>
        </w:rPr>
        <w:t>16:00</w:t>
      </w:r>
      <w:r>
        <w:rPr>
          <w:rFonts w:hint="eastAsia" w:ascii="宋体" w:hAnsi="宋体" w:eastAsia="宋体" w:cs="宋体"/>
          <w:sz w:val="28"/>
          <w:szCs w:val="28"/>
        </w:rPr>
        <w:t>至</w:t>
      </w:r>
      <w:r>
        <w:rPr>
          <w:rFonts w:hint="eastAsia" w:ascii="宋体" w:hAnsi="宋体" w:eastAsia="宋体" w:cs="宋体"/>
          <w:sz w:val="28"/>
          <w:szCs w:val="28"/>
          <w:lang w:val="en-US" w:eastAsia="zh-CN"/>
        </w:rPr>
        <w:t>20:00</w:t>
      </w:r>
      <w:r>
        <w:rPr>
          <w:rFonts w:hint="eastAsia" w:ascii="宋体" w:hAnsi="宋体" w:eastAsia="宋体" w:cs="宋体"/>
          <w:sz w:val="28"/>
          <w:szCs w:val="28"/>
        </w:rPr>
        <w:t>（北京时间，法定节假日除外 ）</w:t>
      </w:r>
    </w:p>
    <w:p>
      <w:pPr>
        <w:spacing w:line="360" w:lineRule="auto"/>
        <w:ind w:firstLine="540"/>
        <w:rPr>
          <w:rFonts w:hint="eastAsia" w:ascii="宋体" w:hAnsi="宋体" w:eastAsia="宋体" w:cs="宋体"/>
          <w:sz w:val="28"/>
          <w:szCs w:val="28"/>
          <w:u w:val="single"/>
        </w:rPr>
      </w:pPr>
      <w:bookmarkStart w:id="28" w:name="_Toc28359082"/>
      <w:bookmarkStart w:id="29" w:name="_Toc28359005"/>
      <w:bookmarkStart w:id="30" w:name="_Toc35393793"/>
      <w:bookmarkStart w:id="31" w:name="_Toc35393624"/>
      <w:r>
        <w:rPr>
          <w:rFonts w:hint="eastAsia" w:ascii="宋体" w:hAnsi="宋体" w:eastAsia="宋体" w:cs="宋体"/>
          <w:sz w:val="28"/>
          <w:szCs w:val="28"/>
        </w:rPr>
        <w:t xml:space="preserve">地点：新疆政府采购网政采云平台（www.zcygov.cn） </w:t>
      </w:r>
    </w:p>
    <w:p>
      <w:pPr>
        <w:spacing w:line="360" w:lineRule="auto"/>
        <w:ind w:firstLine="540"/>
        <w:rPr>
          <w:rFonts w:hint="eastAsia" w:ascii="宋体" w:hAnsi="宋体" w:eastAsia="宋体" w:cs="宋体"/>
          <w:sz w:val="28"/>
          <w:szCs w:val="28"/>
          <w:u w:val="single"/>
        </w:rPr>
      </w:pPr>
      <w:r>
        <w:rPr>
          <w:rFonts w:hint="eastAsia" w:ascii="宋体" w:hAnsi="宋体" w:eastAsia="宋体" w:cs="宋体"/>
          <w:sz w:val="28"/>
          <w:szCs w:val="28"/>
        </w:rPr>
        <w:t>方式：线上获取</w:t>
      </w:r>
    </w:p>
    <w:p>
      <w:pPr>
        <w:spacing w:line="360" w:lineRule="auto"/>
        <w:ind w:firstLine="540"/>
        <w:rPr>
          <w:rFonts w:hint="eastAsia" w:ascii="宋体" w:hAnsi="宋体" w:eastAsia="宋体" w:cs="宋体"/>
          <w:sz w:val="28"/>
          <w:szCs w:val="28"/>
        </w:rPr>
      </w:pPr>
      <w:r>
        <w:rPr>
          <w:rFonts w:hint="eastAsia" w:ascii="宋体" w:hAnsi="宋体" w:eastAsia="宋体" w:cs="宋体"/>
          <w:sz w:val="28"/>
          <w:szCs w:val="28"/>
        </w:rPr>
        <w:t>售价：0元/份</w:t>
      </w:r>
    </w:p>
    <w:p>
      <w:pPr>
        <w:pStyle w:val="3"/>
        <w:spacing w:line="360" w:lineRule="auto"/>
        <w:rPr>
          <w:rFonts w:hint="eastAsia" w:ascii="宋体" w:hAnsi="宋体" w:eastAsia="宋体" w:cs="宋体"/>
          <w:b w:val="0"/>
          <w:sz w:val="28"/>
          <w:szCs w:val="28"/>
        </w:rPr>
      </w:pPr>
      <w:r>
        <w:rPr>
          <w:rFonts w:hint="eastAsia" w:ascii="宋体" w:hAnsi="宋体" w:eastAsia="宋体" w:cs="宋体"/>
          <w:b w:val="0"/>
          <w:sz w:val="28"/>
          <w:szCs w:val="28"/>
        </w:rPr>
        <w:t>四、提交投标文件</w:t>
      </w:r>
      <w:bookmarkEnd w:id="28"/>
      <w:bookmarkEnd w:id="29"/>
      <w:r>
        <w:rPr>
          <w:rFonts w:hint="eastAsia" w:ascii="宋体" w:hAnsi="宋体" w:eastAsia="宋体" w:cs="宋体"/>
          <w:b w:val="0"/>
          <w:sz w:val="28"/>
          <w:szCs w:val="28"/>
        </w:rPr>
        <w:t>截止时间、开标时间和地点</w:t>
      </w:r>
      <w:bookmarkEnd w:id="30"/>
      <w:bookmarkEnd w:id="31"/>
    </w:p>
    <w:p>
      <w:pPr>
        <w:ind w:firstLine="560" w:firstLineChars="200"/>
        <w:rPr>
          <w:rFonts w:hint="eastAsia" w:ascii="宋体" w:hAnsi="宋体" w:eastAsia="宋体" w:cs="宋体"/>
          <w:bCs/>
          <w:sz w:val="28"/>
          <w:szCs w:val="28"/>
        </w:rPr>
      </w:pPr>
      <w:r>
        <w:rPr>
          <w:rFonts w:hint="eastAsia" w:ascii="宋体" w:hAnsi="宋体" w:eastAsia="宋体" w:cs="宋体"/>
          <w:sz w:val="28"/>
          <w:szCs w:val="28"/>
          <w:lang w:eastAsia="zh-CN"/>
        </w:rPr>
        <w:t>时</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间：</w:t>
      </w:r>
      <w:r>
        <w:rPr>
          <w:rFonts w:hint="eastAsia" w:ascii="宋体" w:hAnsi="宋体" w:cs="宋体"/>
          <w:sz w:val="28"/>
          <w:szCs w:val="28"/>
          <w:u w:val="single"/>
          <w:lang w:val="en-US" w:eastAsia="zh-CN"/>
        </w:rPr>
        <w:t xml:space="preserve"> 2023</w:t>
      </w:r>
      <w:r>
        <w:rPr>
          <w:rFonts w:hint="eastAsia" w:ascii="宋体" w:hAnsi="宋体" w:eastAsia="宋体" w:cs="宋体"/>
          <w:bCs/>
          <w:sz w:val="28"/>
          <w:szCs w:val="28"/>
          <w:u w:val="single"/>
        </w:rPr>
        <w:t>年</w:t>
      </w:r>
      <w:r>
        <w:rPr>
          <w:rFonts w:hint="eastAsia" w:ascii="宋体" w:hAnsi="宋体" w:cs="宋体"/>
          <w:bCs/>
          <w:sz w:val="28"/>
          <w:szCs w:val="28"/>
          <w:u w:val="single"/>
          <w:lang w:val="en-US" w:eastAsia="zh-CN"/>
        </w:rPr>
        <w:t>9</w:t>
      </w:r>
      <w:r>
        <w:rPr>
          <w:rFonts w:hint="eastAsia" w:ascii="宋体" w:hAnsi="宋体" w:eastAsia="宋体" w:cs="宋体"/>
          <w:bCs/>
          <w:sz w:val="28"/>
          <w:szCs w:val="28"/>
          <w:u w:val="single"/>
        </w:rPr>
        <w:t>月</w:t>
      </w:r>
      <w:r>
        <w:rPr>
          <w:rFonts w:hint="eastAsia" w:ascii="宋体" w:hAnsi="宋体" w:cs="宋体"/>
          <w:bCs/>
          <w:sz w:val="28"/>
          <w:szCs w:val="28"/>
          <w:u w:val="single"/>
          <w:lang w:val="en-US" w:eastAsia="zh-CN"/>
        </w:rPr>
        <w:t>6</w:t>
      </w:r>
      <w:r>
        <w:rPr>
          <w:rFonts w:hint="eastAsia" w:ascii="宋体" w:hAnsi="宋体" w:eastAsia="宋体" w:cs="宋体"/>
          <w:bCs/>
          <w:sz w:val="28"/>
          <w:szCs w:val="28"/>
          <w:u w:val="single"/>
        </w:rPr>
        <w:t>日</w:t>
      </w:r>
      <w:r>
        <w:rPr>
          <w:rFonts w:hint="eastAsia" w:ascii="宋体" w:hAnsi="宋体" w:cs="宋体"/>
          <w:bCs/>
          <w:sz w:val="28"/>
          <w:szCs w:val="28"/>
          <w:u w:val="single"/>
          <w:lang w:val="en-US" w:eastAsia="zh-CN"/>
        </w:rPr>
        <w:t>11</w:t>
      </w:r>
      <w:r>
        <w:rPr>
          <w:rFonts w:hint="eastAsia" w:ascii="宋体" w:hAnsi="宋体" w:eastAsia="宋体" w:cs="宋体"/>
          <w:bCs/>
          <w:sz w:val="28"/>
          <w:szCs w:val="28"/>
          <w:u w:val="single"/>
        </w:rPr>
        <w:t>点</w:t>
      </w:r>
      <w:r>
        <w:rPr>
          <w:rFonts w:hint="eastAsia" w:ascii="宋体" w:hAnsi="宋体" w:cs="宋体"/>
          <w:bCs/>
          <w:sz w:val="28"/>
          <w:szCs w:val="28"/>
          <w:u w:val="single"/>
          <w:lang w:val="en-US" w:eastAsia="zh-CN"/>
        </w:rPr>
        <w:t>30</w:t>
      </w:r>
      <w:r>
        <w:rPr>
          <w:rFonts w:hint="eastAsia" w:ascii="宋体" w:hAnsi="宋体" w:eastAsia="宋体" w:cs="宋体"/>
          <w:bCs/>
          <w:sz w:val="28"/>
          <w:szCs w:val="28"/>
          <w:u w:val="single"/>
        </w:rPr>
        <w:t>分</w:t>
      </w:r>
      <w:r>
        <w:rPr>
          <w:rFonts w:hint="eastAsia" w:ascii="宋体" w:hAnsi="宋体" w:eastAsia="宋体" w:cs="宋体"/>
          <w:bCs/>
          <w:sz w:val="28"/>
          <w:szCs w:val="28"/>
        </w:rPr>
        <w:t>（北京时间）</w:t>
      </w:r>
    </w:p>
    <w:p>
      <w:pPr>
        <w:ind w:firstLine="560" w:firstLineChars="200"/>
        <w:rPr>
          <w:rFonts w:hint="eastAsia" w:ascii="宋体" w:hAnsi="宋体" w:eastAsia="宋体" w:cs="宋体"/>
          <w:bCs/>
          <w:sz w:val="28"/>
          <w:szCs w:val="28"/>
          <w:u w:val="single"/>
        </w:rPr>
      </w:pPr>
      <w:r>
        <w:rPr>
          <w:rFonts w:hint="eastAsia" w:ascii="宋体" w:hAnsi="宋体" w:eastAsia="宋体" w:cs="宋体"/>
          <w:sz w:val="28"/>
          <w:szCs w:val="28"/>
          <w:lang w:eastAsia="zh-CN"/>
        </w:rPr>
        <w:t>地</w:t>
      </w:r>
      <w:r>
        <w:rPr>
          <w:rFonts w:hint="eastAsia" w:ascii="宋体" w:hAnsi="宋体" w:eastAsia="宋体" w:cs="宋体"/>
          <w:sz w:val="28"/>
          <w:szCs w:val="28"/>
        </w:rPr>
        <w:t>点：供应商应将电子投标文件上传到“政采云（https://www.zcygov.cn/）”平台</w:t>
      </w:r>
    </w:p>
    <w:p>
      <w:pPr>
        <w:pStyle w:val="3"/>
        <w:spacing w:line="360" w:lineRule="auto"/>
        <w:rPr>
          <w:rFonts w:hint="eastAsia" w:ascii="宋体" w:hAnsi="宋体" w:eastAsia="宋体" w:cs="宋体"/>
          <w:b w:val="0"/>
          <w:sz w:val="28"/>
          <w:szCs w:val="28"/>
        </w:rPr>
      </w:pPr>
      <w:bookmarkStart w:id="32" w:name="_Toc28359007"/>
      <w:bookmarkStart w:id="33" w:name="_Toc35393794"/>
      <w:bookmarkStart w:id="34" w:name="_Toc28359084"/>
      <w:bookmarkStart w:id="35" w:name="_Toc35393625"/>
      <w:r>
        <w:rPr>
          <w:rFonts w:hint="eastAsia" w:ascii="宋体" w:hAnsi="宋体" w:eastAsia="宋体" w:cs="宋体"/>
          <w:b w:val="0"/>
          <w:sz w:val="28"/>
          <w:szCs w:val="28"/>
        </w:rPr>
        <w:t>五、公告期限</w:t>
      </w:r>
      <w:bookmarkEnd w:id="32"/>
      <w:bookmarkEnd w:id="33"/>
      <w:bookmarkEnd w:id="34"/>
      <w:bookmarkEnd w:id="35"/>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自本公告发布之日起5个工作日。</w:t>
      </w:r>
    </w:p>
    <w:p>
      <w:pPr>
        <w:pStyle w:val="3"/>
        <w:spacing w:line="360" w:lineRule="auto"/>
        <w:rPr>
          <w:rFonts w:hint="eastAsia" w:ascii="宋体" w:hAnsi="宋体" w:eastAsia="宋体" w:cs="宋体"/>
          <w:b w:val="0"/>
          <w:sz w:val="28"/>
          <w:szCs w:val="28"/>
        </w:rPr>
      </w:pPr>
      <w:bookmarkStart w:id="36" w:name="_Toc35393795"/>
      <w:bookmarkStart w:id="37" w:name="_Toc35393626"/>
      <w:r>
        <w:rPr>
          <w:rFonts w:hint="eastAsia" w:ascii="宋体" w:hAnsi="宋体" w:eastAsia="宋体" w:cs="宋体"/>
          <w:b w:val="0"/>
          <w:sz w:val="28"/>
          <w:szCs w:val="28"/>
        </w:rPr>
        <w:t>六、其他补充事宜</w:t>
      </w:r>
      <w:bookmarkEnd w:id="36"/>
      <w:bookmarkEnd w:id="37"/>
    </w:p>
    <w:p>
      <w:pPr>
        <w:ind w:firstLine="560" w:firstLineChars="200"/>
        <w:rPr>
          <w:rFonts w:hint="eastAsia" w:ascii="宋体" w:hAnsi="宋体" w:eastAsia="宋体" w:cs="宋体"/>
          <w:sz w:val="28"/>
          <w:szCs w:val="28"/>
        </w:rPr>
      </w:pPr>
      <w:bookmarkStart w:id="38" w:name="_Toc35393627"/>
      <w:bookmarkStart w:id="39" w:name="_Toc35393796"/>
      <w:bookmarkStart w:id="40" w:name="_Toc28359008"/>
      <w:bookmarkStart w:id="41" w:name="_Toc28359085"/>
      <w:r>
        <w:rPr>
          <w:rFonts w:hint="eastAsia" w:ascii="宋体" w:hAnsi="宋体" w:eastAsia="宋体" w:cs="宋体"/>
          <w:sz w:val="28"/>
          <w:szCs w:val="28"/>
        </w:rPr>
        <w:t xml:space="preserve"> 1、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cs="宋体"/>
          <w:sz w:val="28"/>
          <w:szCs w:val="28"/>
          <w:lang w:val="en-US" w:eastAsia="zh-CN"/>
        </w:rPr>
        <w:t>95763</w:t>
      </w:r>
      <w:r>
        <w:rPr>
          <w:rFonts w:hint="eastAsia" w:ascii="宋体" w:hAnsi="宋体" w:eastAsia="宋体" w:cs="宋体"/>
          <w:sz w:val="28"/>
          <w:szCs w:val="28"/>
        </w:rPr>
        <w:t>进行咨询。</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3.投标人应当在递交电子投标文件截止时间前，将生成的“电子加密投标文件”上传递交至“政府采购云平台”，递交电子投标文件截止时间以后上传递交的投标文件将被“政府采购云平台”拒收。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4.投标人登录政采云平台，在投标截止时间后30分钟内用“项目采购-开标评标”功能进行解密</w:t>
      </w:r>
      <w:r>
        <w:rPr>
          <w:rFonts w:hint="eastAsia" w:ascii="宋体" w:hAnsi="宋体" w:eastAsia="宋体" w:cs="宋体"/>
          <w:sz w:val="28"/>
          <w:szCs w:val="28"/>
          <w:lang w:eastAsia="zh-CN"/>
        </w:rPr>
        <w:t>投标</w:t>
      </w:r>
      <w:r>
        <w:rPr>
          <w:rFonts w:hint="eastAsia" w:ascii="宋体" w:hAnsi="宋体" w:eastAsia="宋体" w:cs="宋体"/>
          <w:sz w:val="28"/>
          <w:szCs w:val="28"/>
        </w:rPr>
        <w:t>文件。若投标人在规定时间内未按时解密的，视为无效响应。解密与加密投标文件须使用同一个CA。</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5、发布公告的媒介：新疆政府采购网。</w:t>
      </w:r>
    </w:p>
    <w:p>
      <w:pPr>
        <w:pStyle w:val="3"/>
        <w:spacing w:line="360" w:lineRule="auto"/>
        <w:rPr>
          <w:rFonts w:hint="eastAsia" w:ascii="宋体" w:hAnsi="宋体" w:eastAsia="宋体" w:cs="宋体"/>
          <w:b w:val="0"/>
          <w:sz w:val="28"/>
          <w:szCs w:val="28"/>
        </w:rPr>
      </w:pPr>
      <w:r>
        <w:rPr>
          <w:rFonts w:hint="eastAsia" w:ascii="宋体" w:hAnsi="宋体" w:eastAsia="宋体" w:cs="宋体"/>
          <w:b w:val="0"/>
          <w:sz w:val="28"/>
          <w:szCs w:val="28"/>
        </w:rPr>
        <w:t>七、对本次招标提出询问，请按以下方式联系。</w:t>
      </w:r>
      <w:bookmarkEnd w:id="38"/>
      <w:bookmarkEnd w:id="39"/>
      <w:bookmarkEnd w:id="40"/>
      <w:bookmarkEnd w:id="41"/>
    </w:p>
    <w:p>
      <w:pPr>
        <w:widowControl/>
        <w:jc w:val="left"/>
        <w:rPr>
          <w:rFonts w:hint="eastAsia" w:ascii="宋体" w:hAnsi="宋体" w:eastAsia="宋体" w:cs="宋体"/>
          <w:sz w:val="28"/>
          <w:szCs w:val="28"/>
        </w:rPr>
      </w:pPr>
      <w:r>
        <w:rPr>
          <w:rFonts w:hint="eastAsia" w:ascii="宋体" w:hAnsi="宋体" w:eastAsia="宋体" w:cs="宋体"/>
          <w:sz w:val="28"/>
          <w:szCs w:val="28"/>
        </w:rPr>
        <w:t>　　　1.采购人信息</w:t>
      </w:r>
    </w:p>
    <w:p>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新疆昌吉木垒县雀仁乡人民政府　</w:t>
      </w:r>
    </w:p>
    <w:p>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u w:val="single"/>
        </w:rPr>
        <w:t>　　昌吉木垒县雀仁乡人民政府　　　</w:t>
      </w:r>
    </w:p>
    <w:p>
      <w:pPr>
        <w:spacing w:line="360" w:lineRule="auto"/>
        <w:ind w:left="1129" w:leftChars="371" w:hanging="350" w:hangingChars="125"/>
        <w:jc w:val="left"/>
        <w:rPr>
          <w:rFonts w:hint="eastAsia" w:ascii="宋体" w:hAnsi="宋体" w:eastAsia="宋体" w:cs="宋体"/>
          <w:sz w:val="28"/>
          <w:szCs w:val="28"/>
          <w:u w:val="single"/>
          <w:lang w:val="en-US" w:eastAsia="zh-CN"/>
        </w:rPr>
      </w:pPr>
      <w:r>
        <w:rPr>
          <w:rFonts w:hint="eastAsia" w:ascii="宋体" w:hAnsi="宋体" w:eastAsia="宋体" w:cs="宋体"/>
          <w:sz w:val="28"/>
          <w:szCs w:val="28"/>
        </w:rPr>
        <w:t>联系方式：</w:t>
      </w:r>
      <w:r>
        <w:rPr>
          <w:rFonts w:hint="eastAsia" w:ascii="宋体" w:hAnsi="宋体" w:eastAsia="宋体" w:cs="宋体"/>
          <w:sz w:val="28"/>
          <w:szCs w:val="28"/>
          <w:u w:val="single"/>
        </w:rPr>
        <w:t>　</w:t>
      </w:r>
      <w:r>
        <w:rPr>
          <w:rFonts w:hint="eastAsia" w:ascii="宋体" w:hAnsi="宋体" w:eastAsia="宋体" w:cs="宋体"/>
          <w:sz w:val="28"/>
          <w:szCs w:val="28"/>
          <w:u w:val="single"/>
          <w:lang w:eastAsia="zh-CN"/>
        </w:rPr>
        <w:t>叶尔开希</w:t>
      </w:r>
      <w:r>
        <w:rPr>
          <w:rFonts w:hint="eastAsia" w:ascii="宋体" w:hAnsi="宋体" w:eastAsia="宋体" w:cs="宋体"/>
          <w:sz w:val="28"/>
          <w:szCs w:val="28"/>
          <w:u w:val="single"/>
        </w:rPr>
        <w:t>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15739468989</w:t>
      </w:r>
      <w:r>
        <w:rPr>
          <w:rFonts w:hint="eastAsia" w:ascii="宋体" w:hAnsi="宋体" w:cs="宋体"/>
          <w:sz w:val="28"/>
          <w:szCs w:val="28"/>
          <w:u w:val="none"/>
          <w:lang w:val="en-US" w:eastAsia="zh-CN"/>
        </w:rPr>
        <w:t xml:space="preserve">  </w:t>
      </w:r>
      <w:r>
        <w:rPr>
          <w:rFonts w:hint="eastAsia" w:ascii="宋体" w:hAnsi="宋体" w:cs="宋体"/>
          <w:sz w:val="28"/>
          <w:szCs w:val="28"/>
          <w:u w:val="single"/>
          <w:lang w:val="en-US" w:eastAsia="zh-CN"/>
        </w:rPr>
        <w:t xml:space="preserve"> </w:t>
      </w:r>
    </w:p>
    <w:p>
      <w:pPr>
        <w:pStyle w:val="3"/>
        <w:spacing w:line="360" w:lineRule="auto"/>
        <w:ind w:firstLine="840" w:firstLineChars="300"/>
        <w:rPr>
          <w:rFonts w:hint="eastAsia" w:ascii="宋体" w:hAnsi="宋体" w:eastAsia="宋体" w:cs="宋体"/>
          <w:b w:val="0"/>
          <w:sz w:val="28"/>
          <w:szCs w:val="28"/>
        </w:rPr>
      </w:pPr>
      <w:bookmarkStart w:id="42" w:name="_Toc28359009"/>
      <w:bookmarkStart w:id="43" w:name="_Toc28359086"/>
      <w:r>
        <w:rPr>
          <w:rFonts w:hint="eastAsia" w:ascii="宋体" w:hAnsi="宋体" w:eastAsia="宋体" w:cs="宋体"/>
          <w:b w:val="0"/>
          <w:sz w:val="28"/>
          <w:szCs w:val="28"/>
        </w:rPr>
        <w:t>2.采购代理机构信息</w:t>
      </w:r>
      <w:bookmarkEnd w:id="42"/>
      <w:bookmarkEnd w:id="43"/>
    </w:p>
    <w:p>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名    称：</w:t>
      </w:r>
      <w:r>
        <w:rPr>
          <w:rFonts w:hint="eastAsia" w:ascii="宋体" w:hAnsi="宋体" w:eastAsia="宋体" w:cs="宋体"/>
          <w:sz w:val="28"/>
          <w:szCs w:val="28"/>
          <w:u w:val="single"/>
        </w:rPr>
        <w:t>新疆信实工程招标咨询服务有限公司</w:t>
      </w:r>
    </w:p>
    <w:p>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single"/>
        </w:rPr>
        <w:t>昌吉市建国西路和谐国际广场A座1406室</w:t>
      </w:r>
    </w:p>
    <w:p>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联系方式：</w:t>
      </w:r>
      <w:r>
        <w:rPr>
          <w:rFonts w:hint="eastAsia" w:ascii="宋体" w:hAnsi="宋体" w:eastAsia="宋体" w:cs="宋体"/>
          <w:sz w:val="28"/>
          <w:szCs w:val="28"/>
          <w:u w:val="single"/>
        </w:rPr>
        <w:t>　</w:t>
      </w:r>
      <w:r>
        <w:rPr>
          <w:rFonts w:hint="eastAsia" w:ascii="宋体" w:hAnsi="宋体" w:eastAsia="宋体" w:cs="宋体"/>
          <w:sz w:val="28"/>
          <w:szCs w:val="28"/>
          <w:u w:val="single"/>
          <w:lang w:eastAsia="zh-CN"/>
        </w:rPr>
        <w:t>翟玉娜</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0994-2521833</w:t>
      </w:r>
      <w:r>
        <w:rPr>
          <w:rFonts w:hint="eastAsia" w:ascii="宋体" w:hAnsi="宋体" w:eastAsia="宋体" w:cs="宋体"/>
          <w:sz w:val="28"/>
          <w:szCs w:val="28"/>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sz w:val="28"/>
          <w:szCs w:val="28"/>
          <w:u w:val="single"/>
        </w:rPr>
        <w:t>　</w:t>
      </w:r>
    </w:p>
    <w:p>
      <w:pPr>
        <w:pStyle w:val="3"/>
        <w:spacing w:line="360" w:lineRule="auto"/>
        <w:ind w:firstLine="840" w:firstLineChars="300"/>
        <w:rPr>
          <w:rFonts w:hint="eastAsia" w:ascii="宋体" w:hAnsi="宋体" w:eastAsia="宋体" w:cs="宋体"/>
          <w:b w:val="0"/>
          <w:sz w:val="28"/>
          <w:szCs w:val="28"/>
        </w:rPr>
      </w:pPr>
      <w:bookmarkStart w:id="44" w:name="_Toc35393639"/>
      <w:bookmarkStart w:id="45" w:name="_Toc28359098"/>
      <w:bookmarkStart w:id="46" w:name="_Toc35393808"/>
      <w:bookmarkStart w:id="47" w:name="_Toc28359021"/>
      <w:r>
        <w:rPr>
          <w:rFonts w:hint="eastAsia" w:ascii="宋体" w:hAnsi="宋体" w:eastAsia="宋体" w:cs="宋体"/>
          <w:b w:val="0"/>
          <w:sz w:val="28"/>
          <w:szCs w:val="28"/>
        </w:rPr>
        <w:t>3.项目联系方式</w:t>
      </w:r>
      <w:bookmarkEnd w:id="44"/>
      <w:bookmarkEnd w:id="45"/>
      <w:bookmarkEnd w:id="46"/>
      <w:bookmarkEnd w:id="47"/>
    </w:p>
    <w:p>
      <w:pPr>
        <w:spacing w:line="360" w:lineRule="auto"/>
        <w:ind w:firstLine="840" w:firstLineChars="300"/>
        <w:rPr>
          <w:rFonts w:hint="eastAsia" w:ascii="宋体" w:hAnsi="宋体" w:eastAsia="宋体" w:cs="宋体"/>
          <w:sz w:val="28"/>
          <w:szCs w:val="28"/>
          <w:u w:val="single"/>
          <w:lang w:val="en-US" w:eastAsia="zh-CN"/>
        </w:rPr>
      </w:pPr>
      <w:r>
        <w:rPr>
          <w:rFonts w:hint="eastAsia" w:ascii="宋体" w:hAnsi="宋体" w:eastAsia="宋体" w:cs="宋体"/>
          <w:sz w:val="28"/>
          <w:szCs w:val="28"/>
        </w:rPr>
        <w:t>项目联系人：</w:t>
      </w:r>
      <w:r>
        <w:rPr>
          <w:rFonts w:hint="eastAsia" w:ascii="宋体" w:hAnsi="宋体" w:eastAsia="宋体" w:cs="宋体"/>
          <w:sz w:val="28"/>
          <w:szCs w:val="28"/>
          <w:u w:val="single"/>
        </w:rPr>
        <w:t>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翟玉娜</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single"/>
          <w:lang w:val="en-US" w:eastAsia="zh-CN"/>
        </w:rPr>
        <w:t xml:space="preserve">                                      </w:t>
      </w:r>
    </w:p>
    <w:p>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eastAsia="宋体" w:cs="宋体"/>
          <w:sz w:val="28"/>
          <w:szCs w:val="28"/>
          <w:u w:val="single"/>
        </w:rPr>
        <w:t>　　</w:t>
      </w:r>
      <w:r>
        <w:rPr>
          <w:rFonts w:hint="eastAsia" w:ascii="宋体" w:hAnsi="宋体" w:cs="宋体"/>
          <w:sz w:val="28"/>
          <w:szCs w:val="28"/>
          <w:u w:val="single"/>
          <w:lang w:val="en-US" w:eastAsia="zh-CN"/>
        </w:rPr>
        <w:t>17699948667</w:t>
      </w:r>
      <w:r>
        <w:rPr>
          <w:rFonts w:hint="eastAsia" w:ascii="宋体" w:hAnsi="宋体" w:eastAsia="宋体" w:cs="宋体"/>
          <w:sz w:val="28"/>
          <w:szCs w:val="28"/>
          <w:u w:val="single"/>
        </w:rPr>
        <w:t xml:space="preserve">   　　</w:t>
      </w:r>
    </w:p>
    <w:p>
      <w:pPr>
        <w:jc w:val="right"/>
        <w:rPr>
          <w:rFonts w:hint="eastAsia" w:ascii="宋体" w:hAnsi="宋体" w:eastAsia="宋体" w:cs="宋体"/>
          <w:color w:val="000000" w:themeColor="text1"/>
          <w:kern w:val="0"/>
          <w:sz w:val="24"/>
          <w:szCs w:val="24"/>
          <w14:textFill>
            <w14:solidFill>
              <w14:schemeClr w14:val="tx1"/>
            </w14:solidFill>
          </w14:textFill>
        </w:rPr>
      </w:pPr>
    </w:p>
    <w:p>
      <w:pPr>
        <w:rPr>
          <w:rFonts w:hint="eastAsia" w:ascii="宋体" w:hAnsi="宋体" w:eastAsia="宋体" w:cs="宋体"/>
          <w:color w:val="000000" w:themeColor="text1"/>
          <w:lang w:eastAsia="zh-CN"/>
          <w14:textFill>
            <w14:solidFill>
              <w14:schemeClr w14:val="tx1"/>
            </w14:solidFill>
          </w14:textFill>
        </w:rPr>
      </w:pPr>
    </w:p>
    <w:p>
      <w:pPr>
        <w:rPr>
          <w:rFonts w:hint="eastAsia" w:ascii="宋体" w:hAnsi="宋体" w:eastAsia="宋体" w:cs="宋体"/>
          <w:color w:val="000000" w:themeColor="text1"/>
          <w:lang w:eastAsia="zh-CN"/>
          <w14:textFill>
            <w14:solidFill>
              <w14:schemeClr w14:val="tx1"/>
            </w14:solidFill>
          </w14:textFill>
        </w:rPr>
      </w:pPr>
    </w:p>
    <w:p>
      <w:pPr>
        <w:rPr>
          <w:rFonts w:hint="eastAsia" w:ascii="宋体" w:hAnsi="宋体" w:eastAsia="宋体" w:cs="宋体"/>
          <w:color w:val="000000" w:themeColor="text1"/>
          <w:lang w:eastAsia="zh-CN"/>
          <w14:textFill>
            <w14:solidFill>
              <w14:schemeClr w14:val="tx1"/>
            </w14:solidFill>
          </w14:textFill>
        </w:rPr>
      </w:pPr>
    </w:p>
    <w:p>
      <w:pPr>
        <w:rPr>
          <w:rFonts w:hint="eastAsia" w:ascii="宋体" w:hAnsi="宋体" w:eastAsia="宋体" w:cs="宋体"/>
          <w:color w:val="000000" w:themeColor="text1"/>
          <w:lang w:eastAsia="zh-CN"/>
          <w14:textFill>
            <w14:solidFill>
              <w14:schemeClr w14:val="tx1"/>
            </w14:solidFill>
          </w14:textFill>
        </w:rPr>
      </w:pPr>
    </w:p>
    <w:p>
      <w:pPr>
        <w:rPr>
          <w:rFonts w:hint="eastAsia" w:ascii="宋体" w:hAnsi="宋体" w:eastAsia="宋体" w:cs="宋体"/>
          <w:color w:val="000000" w:themeColor="text1"/>
          <w:lang w:eastAsia="zh-CN"/>
          <w14:textFill>
            <w14:solidFill>
              <w14:schemeClr w14:val="tx1"/>
            </w14:solidFill>
          </w14:textFill>
        </w:rPr>
      </w:pPr>
    </w:p>
    <w:p>
      <w:pPr>
        <w:rPr>
          <w:rFonts w:hint="eastAsia" w:ascii="宋体" w:hAnsi="宋体" w:eastAsia="宋体" w:cs="宋体"/>
          <w:color w:val="000000" w:themeColor="text1"/>
          <w:lang w:eastAsia="zh-CN"/>
          <w14:textFill>
            <w14:solidFill>
              <w14:schemeClr w14:val="tx1"/>
            </w14:solidFill>
          </w14:textFill>
        </w:rPr>
      </w:pPr>
    </w:p>
    <w:p>
      <w:pPr>
        <w:rPr>
          <w:rFonts w:hint="eastAsia" w:ascii="宋体" w:hAnsi="宋体" w:eastAsia="宋体" w:cs="宋体"/>
          <w:color w:val="000000" w:themeColor="text1"/>
          <w:lang w:eastAsia="zh-CN"/>
          <w14:textFill>
            <w14:solidFill>
              <w14:schemeClr w14:val="tx1"/>
            </w14:solidFill>
          </w14:textFill>
        </w:rPr>
      </w:pPr>
    </w:p>
    <w:p>
      <w:pPr>
        <w:rPr>
          <w:rFonts w:hint="eastAsia" w:ascii="宋体" w:hAnsi="宋体" w:eastAsia="宋体" w:cs="宋体"/>
          <w:color w:val="000000" w:themeColor="text1"/>
          <w:lang w:eastAsia="zh-CN"/>
          <w14:textFill>
            <w14:solidFill>
              <w14:schemeClr w14:val="tx1"/>
            </w14:solidFill>
          </w14:textFill>
        </w:rPr>
      </w:pPr>
    </w:p>
    <w:p>
      <w:pPr>
        <w:rPr>
          <w:rFonts w:hint="eastAsia" w:ascii="宋体" w:hAnsi="宋体" w:eastAsia="宋体" w:cs="宋体"/>
          <w:color w:val="000000" w:themeColor="text1"/>
          <w:lang w:eastAsia="zh-CN"/>
          <w14:textFill>
            <w14:solidFill>
              <w14:schemeClr w14:val="tx1"/>
            </w14:solidFill>
          </w14:textFill>
        </w:rPr>
      </w:pPr>
    </w:p>
    <w:p>
      <w:pPr>
        <w:rPr>
          <w:rFonts w:hint="eastAsia" w:ascii="宋体" w:hAnsi="宋体" w:eastAsia="宋体" w:cs="宋体"/>
          <w:color w:val="000000" w:themeColor="text1"/>
          <w:lang w:eastAsia="zh-CN"/>
          <w14:textFill>
            <w14:solidFill>
              <w14:schemeClr w14:val="tx1"/>
            </w14:solidFill>
          </w14:textFill>
        </w:rPr>
      </w:pPr>
    </w:p>
    <w:p>
      <w:pPr>
        <w:rPr>
          <w:rFonts w:hint="eastAsia" w:ascii="宋体" w:hAnsi="宋体" w:eastAsia="宋体" w:cs="宋体"/>
          <w:color w:val="000000" w:themeColor="text1"/>
          <w:lang w:eastAsia="zh-CN"/>
          <w14:textFill>
            <w14:solidFill>
              <w14:schemeClr w14:val="tx1"/>
            </w14:solidFill>
          </w14:textFill>
        </w:rPr>
      </w:pPr>
    </w:p>
    <w:p>
      <w:pPr>
        <w:rPr>
          <w:rFonts w:hint="eastAsia" w:ascii="宋体" w:hAnsi="宋体" w:eastAsia="宋体" w:cs="宋体"/>
          <w:color w:val="000000" w:themeColor="text1"/>
          <w:lang w:eastAsia="zh-CN"/>
          <w14:textFill>
            <w14:solidFill>
              <w14:schemeClr w14:val="tx1"/>
            </w14:solidFill>
          </w14:textFill>
        </w:rPr>
      </w:pPr>
    </w:p>
    <w:p>
      <w:pPr>
        <w:rPr>
          <w:rFonts w:hint="eastAsia" w:ascii="宋体" w:hAnsi="宋体" w:eastAsia="宋体" w:cs="宋体"/>
          <w:color w:val="000000" w:themeColor="text1"/>
          <w:lang w:eastAsia="zh-CN"/>
          <w14:textFill>
            <w14:solidFill>
              <w14:schemeClr w14:val="tx1"/>
            </w14:solidFill>
          </w14:textFill>
        </w:rPr>
      </w:pPr>
    </w:p>
    <w:p>
      <w:pPr>
        <w:rPr>
          <w:rFonts w:hint="eastAsia" w:ascii="宋体" w:hAnsi="宋体" w:eastAsia="宋体" w:cs="宋体"/>
          <w:color w:val="000000" w:themeColor="text1"/>
          <w:lang w:eastAsia="zh-CN"/>
          <w14:textFill>
            <w14:solidFill>
              <w14:schemeClr w14:val="tx1"/>
            </w14:solidFill>
          </w14:textFill>
        </w:rPr>
      </w:pPr>
    </w:p>
    <w:p>
      <w:pPr>
        <w:rPr>
          <w:rFonts w:hint="eastAsia" w:ascii="宋体" w:hAnsi="宋体" w:eastAsia="宋体" w:cs="宋体"/>
          <w:color w:val="000000" w:themeColor="text1"/>
          <w:lang w:eastAsia="zh-CN"/>
          <w14:textFill>
            <w14:solidFill>
              <w14:schemeClr w14:val="tx1"/>
            </w14:solidFill>
          </w14:textFill>
        </w:rPr>
      </w:pPr>
    </w:p>
    <w:p>
      <w:pPr>
        <w:rPr>
          <w:rFonts w:hint="eastAsia" w:ascii="宋体" w:hAnsi="宋体" w:eastAsia="宋体" w:cs="宋体"/>
          <w:color w:val="000000" w:themeColor="text1"/>
          <w:lang w:eastAsia="zh-CN"/>
          <w14:textFill>
            <w14:solidFill>
              <w14:schemeClr w14:val="tx1"/>
            </w14:solidFill>
          </w14:textFill>
        </w:rPr>
      </w:pPr>
    </w:p>
    <w:p>
      <w:pPr>
        <w:pStyle w:val="2"/>
        <w:numPr>
          <w:ilvl w:val="0"/>
          <w:numId w:val="0"/>
        </w:numPr>
        <w:bidi w:val="0"/>
        <w:jc w:val="center"/>
        <w:rPr>
          <w:rFonts w:hint="eastAsia" w:ascii="宋体" w:hAnsi="宋体" w:eastAsia="宋体" w:cs="宋体"/>
          <w:color w:val="000000" w:themeColor="text1"/>
          <w14:textFill>
            <w14:solidFill>
              <w14:schemeClr w14:val="tx1"/>
            </w14:solidFill>
          </w14:textFill>
        </w:rPr>
      </w:pPr>
      <w:bookmarkStart w:id="48" w:name="_Toc9359"/>
      <w:bookmarkStart w:id="49" w:name="_Toc13939"/>
      <w:bookmarkStart w:id="50" w:name="_Toc120614213"/>
      <w:bookmarkStart w:id="51" w:name="_Toc22878"/>
      <w:bookmarkStart w:id="52" w:name="_Toc513029202"/>
      <w:bookmarkStart w:id="53" w:name="_Toc20823274"/>
      <w:bookmarkStart w:id="54" w:name="_Toc16938518"/>
      <w:r>
        <w:rPr>
          <w:rFonts w:hint="eastAsia" w:ascii="宋体" w:hAnsi="宋体" w:eastAsia="宋体" w:cs="宋体"/>
          <w:color w:val="000000" w:themeColor="text1"/>
          <w:lang w:eastAsia="zh-CN"/>
          <w14:textFill>
            <w14:solidFill>
              <w14:schemeClr w14:val="tx1"/>
            </w14:solidFill>
          </w14:textFill>
        </w:rPr>
        <w:t>第二章</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投标人须知</w:t>
      </w:r>
      <w:bookmarkEnd w:id="48"/>
      <w:bookmarkEnd w:id="49"/>
      <w:bookmarkEnd w:id="50"/>
      <w:bookmarkEnd w:id="51"/>
      <w:bookmarkEnd w:id="52"/>
      <w:bookmarkEnd w:id="53"/>
      <w:bookmarkEnd w:id="54"/>
    </w:p>
    <w:p>
      <w:pPr>
        <w:pStyle w:val="3"/>
        <w:bidi w:val="0"/>
        <w:jc w:val="center"/>
        <w:rPr>
          <w:rFonts w:hint="eastAsia" w:ascii="宋体" w:hAnsi="宋体" w:eastAsia="宋体" w:cs="宋体"/>
          <w:lang w:eastAsia="en-US"/>
        </w:rPr>
      </w:pPr>
      <w:r>
        <w:rPr>
          <w:rFonts w:hint="eastAsia" w:ascii="宋体" w:hAnsi="宋体" w:eastAsia="宋体" w:cs="宋体"/>
          <w:lang w:eastAsia="zh-CN"/>
        </w:rPr>
        <w:t>须知</w:t>
      </w:r>
      <w:r>
        <w:rPr>
          <w:rFonts w:hint="eastAsia" w:ascii="宋体" w:hAnsi="宋体" w:eastAsia="宋体" w:cs="宋体"/>
        </w:rPr>
        <w:t>前附表</w:t>
      </w:r>
      <w:bookmarkEnd w:id="9"/>
      <w:bookmarkEnd w:id="10"/>
    </w:p>
    <w:tbl>
      <w:tblPr>
        <w:tblStyle w:val="37"/>
        <w:tblW w:w="9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4"/>
        <w:gridCol w:w="1607"/>
        <w:gridCol w:w="67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序号</w:t>
            </w:r>
          </w:p>
        </w:tc>
        <w:tc>
          <w:tcPr>
            <w:tcW w:w="160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内  容</w:t>
            </w:r>
          </w:p>
        </w:tc>
        <w:tc>
          <w:tcPr>
            <w:tcW w:w="672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说明及要求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vMerge w:val="restart"/>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1</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项目名称</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新疆昌吉木垒县雀仁乡人民政府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vMerge w:val="continue"/>
            <w:tcBorders>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14:textFill>
                  <w14:solidFill>
                    <w14:schemeClr w14:val="tx1"/>
                  </w14:solidFill>
                </w14:textFill>
              </w:rPr>
            </w:pP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招标编号</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sz w:val="20"/>
                <w:szCs w:val="20"/>
                <w:lang w:val="en-US" w:eastAsia="zh-CN"/>
                <w14:textFill>
                  <w14:solidFill>
                    <w14:schemeClr w14:val="tx1"/>
                  </w14:solidFill>
                </w14:textFill>
              </w:rPr>
            </w:pPr>
            <w:r>
              <w:rPr>
                <w:rFonts w:hint="eastAsia" w:ascii="宋体" w:hAnsi="宋体" w:eastAsia="宋体" w:cs="宋体"/>
                <w:bCs/>
                <w:color w:val="000000" w:themeColor="text1"/>
                <w:sz w:val="20"/>
                <w:szCs w:val="20"/>
                <w:lang w:val="en-US" w:eastAsia="zh-CN"/>
                <w14:textFill>
                  <w14:solidFill>
                    <w14:schemeClr w14:val="tx1"/>
                  </w14:solidFill>
                </w14:textFill>
              </w:rPr>
              <w:t>W-XJXSZB2023-24-CG-1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vMerge w:val="restart"/>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2</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资金来源</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sz w:val="20"/>
                <w:szCs w:val="20"/>
                <w:lang w:eastAsia="zh-CN"/>
                <w14:textFill>
                  <w14:solidFill>
                    <w14:schemeClr w14:val="tx1"/>
                  </w14:solidFill>
                </w14:textFill>
              </w:rPr>
            </w:pPr>
            <w:r>
              <w:rPr>
                <w:rFonts w:hint="eastAsia" w:ascii="宋体" w:hAnsi="宋体" w:eastAsia="宋体" w:cs="宋体"/>
                <w:bCs/>
                <w:color w:val="000000" w:themeColor="text1"/>
                <w:sz w:val="20"/>
                <w:szCs w:val="20"/>
                <w:lang w:eastAsia="zh-CN"/>
                <w14:textFill>
                  <w14:solidFill>
                    <w14:schemeClr w14:val="tx1"/>
                  </w14:solidFill>
                </w14:textFill>
              </w:rPr>
              <w:t>中央奖补资金及县级财政补助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14:textFill>
                  <w14:solidFill>
                    <w14:schemeClr w14:val="tx1"/>
                  </w14:solidFill>
                </w14:textFill>
              </w:rPr>
            </w:pPr>
          </w:p>
        </w:tc>
        <w:tc>
          <w:tcPr>
            <w:tcW w:w="1607"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Cs/>
                <w:color w:val="000000" w:themeColor="text1"/>
                <w:sz w:val="20"/>
                <w:szCs w:val="20"/>
                <w:highlight w:val="none"/>
                <w:lang w:val="en-US" w:eastAsia="zh-CN"/>
                <w14:textFill>
                  <w14:solidFill>
                    <w14:schemeClr w14:val="tx1"/>
                  </w14:solidFill>
                </w14:textFill>
              </w:rPr>
              <w:t>预算金额</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bCs/>
                <w:color w:val="000000" w:themeColor="text1"/>
                <w:sz w:val="20"/>
                <w:szCs w:val="20"/>
                <w:highlight w:val="none"/>
                <w:lang w:eastAsia="zh-CN"/>
                <w14:textFill>
                  <w14:solidFill>
                    <w14:schemeClr w14:val="tx1"/>
                  </w14:solidFill>
                </w14:textFill>
              </w:rPr>
              <w:t>最高限价</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预算金额：</w:t>
            </w:r>
            <w:r>
              <w:rPr>
                <w:rFonts w:hint="eastAsia" w:ascii="宋体" w:hAnsi="宋体" w:eastAsia="宋体" w:cs="宋体"/>
                <w:sz w:val="20"/>
                <w:szCs w:val="20"/>
                <w:lang w:val="en-US" w:eastAsia="zh-CN"/>
              </w:rPr>
              <w:t>285万元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vMerge w:val="continue"/>
            <w:tcBorders>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14:textFill>
                  <w14:solidFill>
                    <w14:schemeClr w14:val="tx1"/>
                  </w14:solidFill>
                </w14:textFill>
              </w:rPr>
            </w:pPr>
          </w:p>
        </w:tc>
        <w:tc>
          <w:tcPr>
            <w:tcW w:w="1607"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highlight w:val="none"/>
                <w:lang w:eastAsia="zh-CN"/>
                <w14:textFill>
                  <w14:solidFill>
                    <w14:schemeClr w14:val="tx1"/>
                  </w14:solidFill>
                </w14:textFill>
              </w:rPr>
            </w:pPr>
          </w:p>
        </w:tc>
        <w:tc>
          <w:tcPr>
            <w:tcW w:w="6727" w:type="dxa"/>
            <w:tcBorders>
              <w:top w:val="single" w:color="auto" w:sz="4" w:space="0"/>
              <w:left w:val="single" w:color="auto" w:sz="4" w:space="0"/>
              <w:bottom w:val="single" w:color="auto" w:sz="4" w:space="0"/>
              <w:right w:val="single" w:color="auto" w:sz="4" w:space="0"/>
            </w:tcBorders>
            <w:vAlign w:val="center"/>
          </w:tcPr>
          <w:p>
            <w:pPr>
              <w:pStyle w:val="5"/>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最高限价：285</w:t>
            </w:r>
            <w:r>
              <w:rPr>
                <w:rFonts w:hint="eastAsia" w:ascii="宋体" w:hAnsi="宋体" w:eastAsia="宋体" w:cs="宋体"/>
                <w:bCs/>
                <w:color w:val="000000" w:themeColor="text1"/>
                <w:sz w:val="20"/>
                <w:szCs w:val="20"/>
                <w:highlight w:val="none"/>
                <w:lang w:val="en-US" w:eastAsia="zh-CN"/>
                <w14:textFill>
                  <w14:solidFill>
                    <w14:schemeClr w14:val="tx1"/>
                  </w14:solidFill>
                </w14:textFill>
              </w:rPr>
              <w:t>万元</w:t>
            </w:r>
          </w:p>
          <w:p>
            <w:pPr>
              <w:pStyle w:val="5"/>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（投标人的报价不得超过最高限价，否则其投标文件将被拒绝）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3</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招标方式</w:t>
            </w:r>
          </w:p>
        </w:tc>
        <w:tc>
          <w:tcPr>
            <w:tcW w:w="6727" w:type="dxa"/>
            <w:tcBorders>
              <w:top w:val="single" w:color="auto" w:sz="4" w:space="0"/>
              <w:left w:val="single" w:color="auto" w:sz="4" w:space="0"/>
              <w:bottom w:val="single" w:color="auto" w:sz="4" w:space="0"/>
              <w:right w:val="single" w:color="auto" w:sz="4" w:space="0"/>
            </w:tcBorders>
            <w:vAlign w:val="center"/>
          </w:tcPr>
          <w:p>
            <w:pPr>
              <w:pStyle w:val="125"/>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Cs/>
                <w:color w:val="000000" w:themeColor="text1"/>
                <w:kern w:val="0"/>
                <w:sz w:val="20"/>
                <w:szCs w:val="20"/>
                <w14:textFill>
                  <w14:solidFill>
                    <w14:schemeClr w14:val="tx1"/>
                  </w14:solidFill>
                </w14:textFill>
              </w:rPr>
            </w:pPr>
            <w:r>
              <w:rPr>
                <w:rFonts w:hint="eastAsia" w:ascii="宋体" w:hAnsi="宋体" w:eastAsia="宋体" w:cs="宋体"/>
                <w:bCs/>
                <w:color w:val="000000" w:themeColor="text1"/>
                <w:kern w:val="0"/>
                <w:sz w:val="20"/>
                <w:szCs w:val="20"/>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4</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招标内容</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详见本招标文件第六章项目需求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5</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lang w:eastAsia="zh-CN"/>
                <w14:textFill>
                  <w14:solidFill>
                    <w14:schemeClr w14:val="tx1"/>
                  </w14:solidFill>
                </w14:textFill>
              </w:rPr>
              <w:t>交货</w:t>
            </w:r>
            <w:r>
              <w:rPr>
                <w:rFonts w:hint="eastAsia" w:ascii="宋体" w:hAnsi="宋体" w:eastAsia="宋体" w:cs="宋体"/>
                <w:bCs/>
                <w:color w:val="000000" w:themeColor="text1"/>
                <w:sz w:val="20"/>
                <w:szCs w:val="20"/>
                <w14:textFill>
                  <w14:solidFill>
                    <w14:schemeClr w14:val="tx1"/>
                  </w14:solidFill>
                </w14:textFill>
              </w:rPr>
              <w:t>地点</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招标人指定地点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6</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合同履约期限</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9月30日前完工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7</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质量标准</w:t>
            </w:r>
          </w:p>
        </w:tc>
        <w:tc>
          <w:tcPr>
            <w:tcW w:w="6727" w:type="dxa"/>
            <w:tcBorders>
              <w:top w:val="single" w:color="auto" w:sz="4" w:space="0"/>
              <w:left w:val="single" w:color="auto" w:sz="4" w:space="0"/>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sz w:val="20"/>
                <w:szCs w:val="20"/>
              </w:rPr>
              <w:t>工程中所用主要部件、套件（变压器、电缆、电线、供暖设备、空开、配电箱），要符合国家标准并提供产品合格证明材料。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8</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付款方式</w:t>
            </w:r>
          </w:p>
        </w:tc>
        <w:tc>
          <w:tcPr>
            <w:tcW w:w="6727" w:type="dxa"/>
            <w:tcBorders>
              <w:top w:val="nil"/>
              <w:left w:val="single" w:color="auto" w:sz="4" w:space="0"/>
              <w:bottom w:val="nil"/>
              <w:right w:val="single" w:color="auto" w:sz="4" w:space="0"/>
            </w:tcBorders>
            <w:vAlign w:val="center"/>
          </w:tcPr>
          <w:tbl>
            <w:tblPr>
              <w:tblStyle w:val="37"/>
              <w:tblW w:w="9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合同签订，安装竣工验收合格后，甲方一次性支付工程总价款40%，2024年10月1日前支付工程款的30%，2025年10月1日前支付工程款的30%。</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9</w:t>
            </w:r>
          </w:p>
        </w:tc>
        <w:tc>
          <w:tcPr>
            <w:tcW w:w="16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0" w:firstLineChars="0"/>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质保期</w:t>
            </w:r>
          </w:p>
        </w:tc>
        <w:tc>
          <w:tcPr>
            <w:tcW w:w="6727"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color w:val="000000" w:themeColor="text1"/>
                <w:sz w:val="20"/>
                <w:szCs w:val="20"/>
                <w:lang w:val="en-US" w:eastAsia="zh-CN"/>
                <w14:textFill>
                  <w14:solidFill>
                    <w14:schemeClr w14:val="tx1"/>
                  </w14:solidFill>
                </w14:textFill>
              </w:rPr>
              <w:t>变压器质保期为一年、其他部件（电暖气、配电箱、配件）3年免费更换、5年免费维修（不含成本费）。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lang w:val="en-US" w:eastAsia="zh-CN"/>
                <w14:textFill>
                  <w14:solidFill>
                    <w14:schemeClr w14:val="tx1"/>
                  </w14:solidFill>
                </w14:textFill>
              </w:rPr>
            </w:pPr>
            <w:r>
              <w:rPr>
                <w:rFonts w:hint="eastAsia" w:ascii="宋体" w:hAnsi="宋体" w:eastAsia="宋体" w:cs="宋体"/>
                <w:bCs/>
                <w:color w:val="000000" w:themeColor="text1"/>
                <w:sz w:val="20"/>
                <w:szCs w:val="20"/>
                <w:lang w:val="en-US" w:eastAsia="zh-CN"/>
                <w14:textFill>
                  <w14:solidFill>
                    <w14:schemeClr w14:val="tx1"/>
                  </w14:solidFill>
                </w14:textFill>
              </w:rPr>
              <w:t>10</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val="zh-CN" w:eastAsia="zh-CN"/>
                <w14:textFill>
                  <w14:solidFill>
                    <w14:schemeClr w14:val="tx1"/>
                  </w14:solidFill>
                </w14:textFill>
              </w:rPr>
              <w:t>构成招标文件的其他文件</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val="zh-CN"/>
                <w14:textFill>
                  <w14:solidFill>
                    <w14:schemeClr w14:val="tx1"/>
                  </w14:solidFill>
                </w14:textFill>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lang w:val="en-US" w:eastAsia="zh-CN" w:bidi="ar-SA"/>
                <w14:textFill>
                  <w14:solidFill>
                    <w14:schemeClr w14:val="tx1"/>
                  </w14:solidFill>
                </w14:textFill>
              </w:rPr>
              <w:t>11</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投标人资格要求</w:t>
            </w:r>
          </w:p>
        </w:tc>
        <w:tc>
          <w:tcPr>
            <w:tcW w:w="6727" w:type="dxa"/>
            <w:tcBorders>
              <w:top w:val="single" w:color="auto" w:sz="4" w:space="0"/>
              <w:left w:val="single" w:color="auto" w:sz="4" w:space="0"/>
              <w:bottom w:val="single" w:color="auto" w:sz="4" w:space="0"/>
              <w:right w:val="single" w:color="auto" w:sz="4" w:space="0"/>
            </w:tcBorders>
            <w:vAlign w:val="center"/>
          </w:tcPr>
          <w:p>
            <w:pPr>
              <w:pStyle w:val="17"/>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1.满足《中华人民共和国政府采购法》第二十二条规定；</w:t>
            </w:r>
          </w:p>
          <w:p>
            <w:pPr>
              <w:pStyle w:val="17"/>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落实政府采购政策需满足的资格要求：按照《财政部工业和信息化部关于印发&lt;政府采购促进中小企业发展管理办法&gt;的通知》（财库〔2020〕46号）的规定，落实促进中小企业发展政策,本项目专门面向中小企业。企业划型标准执行工信部联企业（2011）300号文。</w:t>
            </w:r>
          </w:p>
          <w:p>
            <w:pPr>
              <w:pStyle w:val="17"/>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3.本项目的特定资格要求：</w:t>
            </w:r>
          </w:p>
          <w:p>
            <w:pPr>
              <w:pStyle w:val="17"/>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3.1.应具备独立法人资格，具有有效的营业执照；</w:t>
            </w:r>
          </w:p>
          <w:p>
            <w:pPr>
              <w:pStyle w:val="17"/>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3.2.根据《财政部关于在政府采购活动中查询及使用信用记录有关问题的通知》（财库﹝2016﹞125号）的要求，凡拟参加本次招标项目的供应商，供应商未被列入“信用中国”网站（www.creditchina.gov.cn）失信被执行人、重大税收违法案件当事人名单及中国政府采购网（www.ccgp.gov.cn）“政府采购严重违法失信行为信息记录”；</w:t>
            </w:r>
          </w:p>
          <w:p>
            <w:pPr>
              <w:pStyle w:val="17"/>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3.3.单位负责人为同一人或者存在直接控股、管理关系的不同投标人，不得参加同一合同项下的政府采购活动。否则，皆取消投标资格。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lang w:val="en-US" w:eastAsia="zh-CN"/>
                <w14:textFill>
                  <w14:solidFill>
                    <w14:schemeClr w14:val="tx1"/>
                  </w14:solidFill>
                </w14:textFill>
              </w:rPr>
              <w:t>12</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投标保证金</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0"/>
                <w:szCs w:val="20"/>
                <w:highlight w:val="green"/>
                <w:lang w:val="en-US" w:eastAsia="zh-CN" w:bidi="ar-SA"/>
                <w14:textFill>
                  <w14:solidFill>
                    <w14:schemeClr w14:val="tx1"/>
                  </w14:solidFill>
                </w14:textFill>
              </w:rPr>
            </w:pPr>
            <w:r>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t>1.投标保证金数额：</w:t>
            </w:r>
            <w:bookmarkStart w:id="139" w:name="_GoBack"/>
            <w:r>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t>￥</w:t>
            </w:r>
            <w:r>
              <w:rPr>
                <w:rFonts w:hint="eastAsia" w:ascii="宋体" w:hAnsi="宋体" w:cs="宋体"/>
                <w:bCs/>
                <w:color w:val="000000" w:themeColor="text1"/>
                <w:sz w:val="20"/>
                <w:szCs w:val="20"/>
                <w:highlight w:val="none"/>
                <w:lang w:val="en-US" w:eastAsia="zh-CN" w:bidi="ar-SA"/>
                <w14:textFill>
                  <w14:solidFill>
                    <w14:schemeClr w14:val="tx1"/>
                  </w14:solidFill>
                </w14:textFill>
              </w:rPr>
              <w:t>28000.00</w:t>
            </w:r>
            <w:r>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t>元（大写：</w:t>
            </w:r>
            <w:r>
              <w:rPr>
                <w:rFonts w:hint="eastAsia" w:ascii="宋体" w:hAnsi="宋体" w:cs="宋体"/>
                <w:bCs/>
                <w:color w:val="000000" w:themeColor="text1"/>
                <w:sz w:val="20"/>
                <w:szCs w:val="20"/>
                <w:highlight w:val="none"/>
                <w:lang w:val="en-US" w:eastAsia="zh-CN" w:bidi="ar-SA"/>
                <w14:textFill>
                  <w14:solidFill>
                    <w14:schemeClr w14:val="tx1"/>
                  </w14:solidFill>
                </w14:textFill>
              </w:rPr>
              <w:t>贰万捌仟元整</w:t>
            </w:r>
            <w:r>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t>）</w:t>
            </w:r>
            <w:bookmarkEnd w:id="139"/>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pPr>
            <w:r>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t>2.投标保证金递交截止时间：投标文件递交截止时间前。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pPr>
            <w:r>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t>3.投标保证金缴纳形式：以银行转账、保函、电汇、支票、银行汇票等非现金形式提交。银行保函或者保险公司、担保公司保函应当从其基本账户开具。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pPr>
            <w:r>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t>4.投标保证金递交的开户银行及账号如下：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pPr>
            <w:r>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t>账户：新疆信实工程招标咨询服务有限公司昌吉分公司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pPr>
            <w:r>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t>开户账号：3004800909000023370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pPr>
            <w:r>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t>开户行行号：102885080092</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pPr>
            <w:r>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t>开户行：工行昌吉建国路支行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pPr>
            <w:r>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t>注：（1）投标保证金由投标人基本账户一次性汇入。投标保证金必须在提交投标文件截止时间前缴纳，投标人应充分考虑资金到账时间，在规定的时限前自行办妥投标保证金交纳手续。超过时限交纳投标保证金视为投标无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pPr>
            <w:r>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t>不得以分公司、办事处或其他机构名义缴纳，投标人在缴纳保证金时，需在进账凭证上明确自己用途和投标项目，以便查对核实。请投标人按上述要求将投标保证金汇入指定的开户银行，并在投标保证金的递交截止时间前招标代理机构项目负责人换取投标保证金收据，并以此收据作为投标保证金交讫凭据。未按规定提交投标保证金的投标，将被视为投标无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pPr>
            <w:r>
              <w:rPr>
                <w:rFonts w:hint="eastAsia" w:ascii="宋体" w:hAnsi="宋体" w:eastAsia="宋体" w:cs="宋体"/>
                <w:bCs/>
                <w:color w:val="000000" w:themeColor="text1"/>
                <w:sz w:val="20"/>
                <w:szCs w:val="20"/>
                <w:highlight w:val="none"/>
                <w:lang w:val="en-US" w:eastAsia="zh-CN" w:bidi="ar-SA"/>
                <w14:textFill>
                  <w14:solidFill>
                    <w14:schemeClr w14:val="tx1"/>
                  </w14:solidFill>
                </w14:textFill>
              </w:rPr>
              <w:t>投标人提交投标保证金时，将开户许可证和打款凭证发送至邮箱：1551723378@qq.com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lang w:val="en-US" w:eastAsia="zh-CN"/>
                <w14:textFill>
                  <w14:solidFill>
                    <w14:schemeClr w14:val="tx1"/>
                  </w14:solidFill>
                </w14:textFill>
              </w:rPr>
              <w:t>13</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投标有效期</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递交投标文件的截止之日起90天。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lang w:val="en-US" w:eastAsia="zh-CN"/>
                <w14:textFill>
                  <w14:solidFill>
                    <w14:schemeClr w14:val="tx1"/>
                  </w14:solidFill>
                </w14:textFill>
              </w:rPr>
              <w:t>14</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现场踏勘</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lang w:val="en-US" w:eastAsia="zh-CN"/>
                <w14:textFill>
                  <w14:solidFill>
                    <w14:schemeClr w14:val="tx1"/>
                  </w14:solidFill>
                </w14:textFill>
              </w:rPr>
              <w:t>本项目不安排现场踏勘。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lang w:val="en-US" w:eastAsia="zh-CN"/>
                <w14:textFill>
                  <w14:solidFill>
                    <w14:schemeClr w14:val="tx1"/>
                  </w14:solidFill>
                </w14:textFill>
              </w:rPr>
              <w:t>15</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投标文件</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kern w:val="2"/>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份数</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kern w:val="2"/>
                <w:sz w:val="20"/>
                <w:szCs w:val="20"/>
                <w:lang w:val="en-US" w:eastAsia="zh-CN" w:bidi="ar-SA"/>
                <w14:textFill>
                  <w14:solidFill>
                    <w14:schemeClr w14:val="tx1"/>
                  </w14:solidFill>
                </w14:textFill>
              </w:rPr>
            </w:pPr>
            <w:r>
              <w:rPr>
                <w:rFonts w:hint="eastAsia" w:ascii="宋体" w:hAnsi="宋体" w:eastAsia="宋体" w:cs="宋体"/>
                <w:bCs/>
                <w:color w:val="000000" w:themeColor="text1"/>
                <w:kern w:val="2"/>
                <w:sz w:val="20"/>
                <w:szCs w:val="20"/>
                <w:lang w:val="en-US" w:eastAsia="zh-CN" w:bidi="ar-SA"/>
                <w14:textFill>
                  <w14:solidFill>
                    <w14:schemeClr w14:val="tx1"/>
                  </w14:solidFill>
                </w14:textFill>
              </w:rPr>
              <w:t>项目开标结束后，中标单位需提供纸质版投标文件：正本壹份，副本贰份，电子版光盘贰份（未加密的全套PDF版投标文件，内容与纸质版及加密上传的投标文件一致，光盘上标注项目名称、投标单位名称）。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lang w:val="en-US" w:eastAsia="zh-CN"/>
                <w14:textFill>
                  <w14:solidFill>
                    <w14:schemeClr w14:val="tx1"/>
                  </w14:solidFill>
                </w14:textFill>
              </w:rPr>
              <w:t>16</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kern w:val="2"/>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投标截止时间</w:t>
            </w:r>
            <w:r>
              <w:rPr>
                <w:rFonts w:hint="eastAsia" w:ascii="宋体" w:hAnsi="宋体" w:eastAsia="宋体" w:cs="宋体"/>
                <w:bCs/>
                <w:color w:val="000000" w:themeColor="text1"/>
                <w:sz w:val="20"/>
                <w:szCs w:val="20"/>
                <w:lang w:eastAsia="zh-CN"/>
                <w14:textFill>
                  <w14:solidFill>
                    <w14:schemeClr w14:val="tx1"/>
                  </w14:solidFill>
                </w14:textFill>
              </w:rPr>
              <w:t>、开标时间</w:t>
            </w:r>
            <w:r>
              <w:rPr>
                <w:rFonts w:hint="eastAsia" w:ascii="宋体" w:hAnsi="宋体" w:eastAsia="宋体" w:cs="宋体"/>
                <w:bCs/>
                <w:color w:val="000000" w:themeColor="text1"/>
                <w:sz w:val="20"/>
                <w:szCs w:val="20"/>
                <w14:textFill>
                  <w14:solidFill>
                    <w14:schemeClr w14:val="tx1"/>
                  </w14:solidFill>
                </w14:textFill>
              </w:rPr>
              <w:t>及投标地点</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900" w:hanging="1000" w:hangingChars="500"/>
              <w:jc w:val="left"/>
              <w:textAlignment w:val="auto"/>
              <w:rPr>
                <w:rFonts w:hint="eastAsia" w:ascii="宋体" w:hAnsi="宋体" w:eastAsia="宋体" w:cs="宋体"/>
                <w:sz w:val="20"/>
                <w:szCs w:val="20"/>
              </w:rPr>
            </w:pPr>
            <w:r>
              <w:rPr>
                <w:rFonts w:hint="eastAsia" w:ascii="宋体" w:hAnsi="宋体" w:eastAsia="宋体" w:cs="宋体"/>
                <w:sz w:val="20"/>
                <w:szCs w:val="20"/>
              </w:rPr>
              <w:t>投标截止时间</w:t>
            </w:r>
            <w:r>
              <w:rPr>
                <w:rFonts w:hint="eastAsia" w:ascii="宋体" w:hAnsi="宋体" w:eastAsia="宋体" w:cs="宋体"/>
                <w:sz w:val="20"/>
                <w:szCs w:val="20"/>
                <w:u w:val="single"/>
              </w:rPr>
              <w:t>：2023年</w:t>
            </w:r>
            <w:r>
              <w:rPr>
                <w:rFonts w:hint="eastAsia" w:ascii="宋体" w:hAnsi="宋体" w:eastAsia="宋体" w:cs="宋体"/>
                <w:sz w:val="20"/>
                <w:szCs w:val="20"/>
                <w:u w:val="single"/>
                <w:lang w:val="en-US" w:eastAsia="zh-CN"/>
              </w:rPr>
              <w:t>9</w:t>
            </w:r>
            <w:r>
              <w:rPr>
                <w:rFonts w:hint="eastAsia" w:ascii="宋体" w:hAnsi="宋体" w:eastAsia="宋体" w:cs="宋体"/>
                <w:sz w:val="20"/>
                <w:szCs w:val="20"/>
                <w:u w:val="single"/>
              </w:rPr>
              <w:t>月</w:t>
            </w:r>
            <w:r>
              <w:rPr>
                <w:rFonts w:hint="eastAsia" w:ascii="宋体" w:hAnsi="宋体" w:eastAsia="宋体" w:cs="宋体"/>
                <w:sz w:val="20"/>
                <w:szCs w:val="20"/>
                <w:u w:val="single"/>
                <w:lang w:val="en-US" w:eastAsia="zh-CN"/>
              </w:rPr>
              <w:t>6</w:t>
            </w:r>
            <w:r>
              <w:rPr>
                <w:rFonts w:hint="eastAsia" w:ascii="宋体" w:hAnsi="宋体" w:eastAsia="宋体" w:cs="宋体"/>
                <w:sz w:val="20"/>
                <w:szCs w:val="20"/>
                <w:u w:val="single"/>
              </w:rPr>
              <w:t>日11点30分(北京时间)</w:t>
            </w:r>
          </w:p>
          <w:p>
            <w:pPr>
              <w:keepNext w:val="0"/>
              <w:keepLines w:val="0"/>
              <w:pageBreakBefore w:val="0"/>
              <w:kinsoku/>
              <w:wordWrap/>
              <w:overflowPunct/>
              <w:topLinePunct w:val="0"/>
              <w:autoSpaceDE/>
              <w:autoSpaceDN/>
              <w:bidi w:val="0"/>
              <w:adjustRightInd/>
              <w:snapToGrid/>
              <w:spacing w:line="240" w:lineRule="auto"/>
              <w:ind w:left="1000" w:leftChars="0" w:hanging="1000" w:hangingChars="500"/>
              <w:jc w:val="left"/>
              <w:textAlignment w:val="auto"/>
              <w:rPr>
                <w:rFonts w:hint="eastAsia" w:ascii="宋体" w:hAnsi="宋体" w:eastAsia="宋体" w:cs="宋体"/>
                <w:sz w:val="20"/>
                <w:szCs w:val="20"/>
                <w:u w:val="single"/>
              </w:rPr>
            </w:pPr>
            <w:r>
              <w:rPr>
                <w:rFonts w:hint="eastAsia" w:ascii="宋体" w:hAnsi="宋体" w:eastAsia="宋体" w:cs="宋体"/>
                <w:sz w:val="20"/>
                <w:szCs w:val="20"/>
              </w:rPr>
              <w:t>投标地点：</w:t>
            </w:r>
            <w:r>
              <w:rPr>
                <w:rFonts w:hint="eastAsia" w:ascii="宋体" w:hAnsi="宋体" w:eastAsia="宋体" w:cs="宋体"/>
                <w:sz w:val="20"/>
                <w:szCs w:val="20"/>
                <w:u w:val="single"/>
              </w:rPr>
              <w:t>“政采云https://www.zcygov.cn/）”平台。</w:t>
            </w:r>
          </w:p>
          <w:p>
            <w:pPr>
              <w:bidi w:val="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开标30分钟内投标单位可以登录“政采云”平台，用“项目采购-开标评标”功能进行解密投标文件。解密时间：30分钟，若投标单位在规定时间内未按时解密的，视为投标文件撤回。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lang w:val="en-US" w:eastAsia="zh-CN"/>
                <w14:textFill>
                  <w14:solidFill>
                    <w14:schemeClr w14:val="tx1"/>
                  </w14:solidFill>
                </w14:textFill>
              </w:rPr>
              <w:t>17</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kern w:val="2"/>
                <w:sz w:val="20"/>
                <w:szCs w:val="20"/>
                <w:lang w:val="en-US" w:eastAsia="zh-CN" w:bidi="ar-SA"/>
                <w14:textFill>
                  <w14:solidFill>
                    <w14:schemeClr w14:val="tx1"/>
                  </w14:solidFill>
                </w14:textFill>
              </w:rPr>
            </w:pPr>
            <w:r>
              <w:rPr>
                <w:rFonts w:hint="eastAsia" w:ascii="宋体" w:hAnsi="宋体" w:eastAsia="宋体" w:cs="宋体"/>
                <w:sz w:val="20"/>
                <w:szCs w:val="20"/>
                <w:lang w:val="en-US" w:eastAsia="zh-CN"/>
              </w:rPr>
              <w:t>递交投标文件的地点及方式</w:t>
            </w:r>
          </w:p>
        </w:tc>
        <w:tc>
          <w:tcPr>
            <w:tcW w:w="6727" w:type="dxa"/>
            <w:tcBorders>
              <w:top w:val="single" w:color="auto" w:sz="4" w:space="0"/>
              <w:left w:val="single" w:color="auto" w:sz="4" w:space="0"/>
              <w:bottom w:val="single" w:color="auto" w:sz="4" w:space="0"/>
              <w:right w:val="single" w:color="auto" w:sz="4" w:space="0"/>
            </w:tcBorders>
            <w:vAlign w:val="center"/>
          </w:tcPr>
          <w:p>
            <w:pPr>
              <w:bidi w:val="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投标人应于</w:t>
            </w:r>
            <w:r>
              <w:rPr>
                <w:rFonts w:hint="eastAsia" w:ascii="宋体" w:hAnsi="宋体" w:eastAsia="宋体" w:cs="宋体"/>
                <w:sz w:val="20"/>
                <w:szCs w:val="20"/>
                <w:u w:val="single"/>
              </w:rPr>
              <w:t>2023年</w:t>
            </w:r>
            <w:r>
              <w:rPr>
                <w:rFonts w:hint="eastAsia" w:ascii="宋体" w:hAnsi="宋体" w:eastAsia="宋体" w:cs="宋体"/>
                <w:sz w:val="20"/>
                <w:szCs w:val="20"/>
                <w:u w:val="single"/>
                <w:lang w:val="en-US" w:eastAsia="zh-CN"/>
              </w:rPr>
              <w:t>9</w:t>
            </w:r>
            <w:r>
              <w:rPr>
                <w:rFonts w:hint="eastAsia" w:ascii="宋体" w:hAnsi="宋体" w:eastAsia="宋体" w:cs="宋体"/>
                <w:sz w:val="20"/>
                <w:szCs w:val="20"/>
                <w:u w:val="single"/>
              </w:rPr>
              <w:t>月</w:t>
            </w:r>
            <w:r>
              <w:rPr>
                <w:rFonts w:hint="eastAsia" w:ascii="宋体" w:hAnsi="宋体" w:eastAsia="宋体" w:cs="宋体"/>
                <w:sz w:val="20"/>
                <w:szCs w:val="20"/>
                <w:u w:val="single"/>
                <w:lang w:val="en-US" w:eastAsia="zh-CN"/>
              </w:rPr>
              <w:t>6</w:t>
            </w:r>
            <w:r>
              <w:rPr>
                <w:rFonts w:hint="eastAsia" w:ascii="宋体" w:hAnsi="宋体" w:eastAsia="宋体" w:cs="宋体"/>
                <w:sz w:val="20"/>
                <w:szCs w:val="20"/>
                <w:u w:val="single"/>
              </w:rPr>
              <w:t>日11点30分(北京时间)</w:t>
            </w:r>
            <w:r>
              <w:rPr>
                <w:rFonts w:hint="eastAsia" w:ascii="宋体" w:hAnsi="宋体" w:eastAsia="宋体" w:cs="宋体"/>
                <w:sz w:val="20"/>
                <w:szCs w:val="20"/>
                <w:lang w:val="en-US" w:eastAsia="zh-CN"/>
              </w:rPr>
              <w:t>之前将电子投标文件上传到“政采云”平台。应按照本项目招标文件和政采云平台的要求编制、加密传输投标文件。投标单位在使用系统进行投标的过程中遇到涉及平台使用的任何问题，可致电政采云平台技术支持热线咨询，联系方式：95763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18</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right="-8" w:rightChars="0"/>
              <w:jc w:val="center"/>
              <w:textAlignment w:val="auto"/>
              <w:rPr>
                <w:rFonts w:hint="eastAsia" w:ascii="宋体" w:hAnsi="宋体" w:eastAsia="宋体" w:cs="宋体"/>
                <w:bCs/>
                <w:color w:val="000000" w:themeColor="text1"/>
                <w:kern w:val="2"/>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评标办法</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lang w:eastAsia="zh-CN"/>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lang w:val="en-US" w:eastAsia="zh-CN" w:bidi="ar-SA"/>
                <w14:textFill>
                  <w14:solidFill>
                    <w14:schemeClr w14:val="tx1"/>
                  </w14:solidFill>
                </w14:textFill>
              </w:rPr>
              <w:t>19</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kern w:val="2"/>
                <w:sz w:val="20"/>
                <w:szCs w:val="20"/>
                <w:lang w:val="en-US" w:eastAsia="zh-CN" w:bidi="ar-SA"/>
                <w14:textFill>
                  <w14:solidFill>
                    <w14:schemeClr w14:val="tx1"/>
                  </w14:solidFill>
                </w14:textFill>
              </w:rPr>
            </w:pPr>
            <w:r>
              <w:rPr>
                <w:rFonts w:hint="eastAsia" w:ascii="宋体" w:hAnsi="宋体" w:eastAsia="宋体" w:cs="宋体"/>
                <w:bCs/>
                <w:color w:val="auto"/>
                <w:sz w:val="20"/>
                <w:szCs w:val="20"/>
              </w:rPr>
              <w:t>履约保证金</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0"/>
                <w:szCs w:val="20"/>
                <w:lang w:val="en-US" w:eastAsia="zh-CN"/>
              </w:rPr>
            </w:pPr>
            <w:r>
              <w:rPr>
                <w:rFonts w:hint="eastAsia" w:ascii="宋体" w:hAnsi="宋体" w:eastAsia="宋体" w:cs="宋体"/>
                <w:bCs/>
                <w:color w:val="000000" w:themeColor="text1"/>
                <w:sz w:val="20"/>
                <w:szCs w:val="20"/>
                <w:lang w:eastAsia="zh-CN"/>
                <w14:textFill>
                  <w14:solidFill>
                    <w14:schemeClr w14:val="tx1"/>
                  </w14:solidFill>
                </w14:textFill>
              </w:rPr>
              <w:t>金额：</w:t>
            </w:r>
            <w:r>
              <w:rPr>
                <w:rFonts w:hint="eastAsia" w:ascii="宋体" w:hAnsi="宋体" w:eastAsia="宋体" w:cs="宋体"/>
                <w:sz w:val="20"/>
                <w:szCs w:val="20"/>
                <w:lang w:val="en-US" w:eastAsia="zh-CN"/>
              </w:rPr>
              <w:t>签约合同价格的10%。</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缴纳时间：合同签订前</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退还时间：由中标单位与采购人自行约定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lang w:val="en-US" w:eastAsia="zh-CN"/>
                <w14:textFill>
                  <w14:solidFill>
                    <w14:schemeClr w14:val="tx1"/>
                  </w14:solidFill>
                </w14:textFill>
              </w:rPr>
              <w:t>20</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4"/>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pacing w:val="-4"/>
                <w:kern w:val="2"/>
                <w:sz w:val="20"/>
                <w:szCs w:val="20"/>
                <w:highlight w:val="none"/>
                <w:lang w:val="en-US" w:eastAsia="zh-CN" w:bidi="ar-SA"/>
                <w14:textFill>
                  <w14:solidFill>
                    <w14:schemeClr w14:val="tx1"/>
                  </w14:solidFill>
                </w14:textFill>
              </w:rPr>
              <w:t>同品牌投标处理原则</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pacing w:val="-4"/>
                <w:kern w:val="2"/>
                <w:sz w:val="20"/>
                <w:szCs w:val="20"/>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4"/>
                <w:kern w:val="2"/>
                <w:sz w:val="20"/>
                <w:szCs w:val="20"/>
                <w:highlight w:val="none"/>
                <w:lang w:val="en-US" w:eastAsia="zh-CN"/>
                <w14:textFill>
                  <w14:solidFill>
                    <w14:schemeClr w14:val="tx1"/>
                  </w14:solidFill>
                </w14:textFill>
              </w:rPr>
              <w:t>详见本招标文件总则第6条。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lang w:val="en-US" w:eastAsia="zh-CN"/>
                <w14:textFill>
                  <w14:solidFill>
                    <w14:schemeClr w14:val="tx1"/>
                  </w14:solidFill>
                </w14:textFill>
              </w:rPr>
              <w:t>21</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kern w:val="2"/>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lang w:eastAsia="zh-CN"/>
                <w14:textFill>
                  <w14:solidFill>
                    <w14:schemeClr w14:val="tx1"/>
                  </w14:solidFill>
                </w14:textFill>
              </w:rPr>
              <w:t>代理服务费用</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0"/>
                <w:szCs w:val="20"/>
                <w:lang w:val="en-US" w:eastAsia="zh-CN" w:bidi="ar-SA"/>
                <w14:textFill>
                  <w14:solidFill>
                    <w14:schemeClr w14:val="tx1"/>
                  </w14:solidFill>
                </w14:textFill>
              </w:rPr>
            </w:pPr>
            <w:r>
              <w:rPr>
                <w:rFonts w:hint="eastAsia" w:ascii="宋体" w:hAnsi="宋体" w:eastAsia="宋体" w:cs="宋体"/>
                <w:bCs/>
                <w:color w:val="000000" w:themeColor="text1"/>
                <w:kern w:val="2"/>
                <w:sz w:val="20"/>
                <w:szCs w:val="20"/>
                <w:lang w:val="en-US" w:eastAsia="zh-CN" w:bidi="ar-SA"/>
                <w14:textFill>
                  <w14:solidFill>
                    <w14:schemeClr w14:val="tx1"/>
                  </w14:solidFill>
                </w14:textFill>
              </w:rPr>
              <w:t>根据成本加合理利润原则，经与采购人协商，招标文件特别约定，招标代理服务费以中标金额为计算基数，按照下表，采用差额定率累进法计算，由中标单位支付。</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0"/>
                <w:szCs w:val="20"/>
                <w:lang w:val="en-US" w:eastAsia="zh-CN" w:bidi="ar-SA"/>
                <w14:textFill>
                  <w14:solidFill>
                    <w14:schemeClr w14:val="tx1"/>
                  </w14:solidFill>
                </w14:textFill>
              </w:rPr>
            </w:pPr>
            <w:r>
              <w:rPr>
                <w:rFonts w:hint="eastAsia" w:ascii="宋体" w:hAnsi="宋体" w:eastAsia="宋体" w:cs="宋体"/>
                <w:bCs/>
                <w:color w:val="000000" w:themeColor="text1"/>
                <w:kern w:val="2"/>
                <w:sz w:val="20"/>
                <w:szCs w:val="20"/>
                <w:lang w:val="en-US" w:eastAsia="zh-CN" w:bidi="ar-SA"/>
                <w14:textFill>
                  <w14:solidFill>
                    <w14:schemeClr w14:val="tx1"/>
                  </w14:solidFill>
                </w14:textFill>
              </w:rPr>
              <w:t>注: ①按本表费率计算的收费为招标代理服务全过程的收费基准价格。②招标代理服务收费按差额定率累进法计算。</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0"/>
                <w:szCs w:val="20"/>
                <w:lang w:val="en-US" w:eastAsia="zh-CN"/>
              </w:rPr>
            </w:pPr>
            <w:r>
              <w:rPr>
                <w:rFonts w:hint="eastAsia" w:ascii="宋体" w:hAnsi="宋体" w:eastAsia="宋体" w:cs="宋体"/>
                <w:bCs/>
                <w:color w:val="auto"/>
                <w:sz w:val="20"/>
                <w:szCs w:val="20"/>
                <w:lang w:eastAsia="zh-CN"/>
              </w:rPr>
              <w:drawing>
                <wp:inline distT="0" distB="0" distL="114300" distR="114300">
                  <wp:extent cx="4126865" cy="1996440"/>
                  <wp:effectExtent l="0" t="0" r="3175" b="0"/>
                  <wp:docPr id="3" name="图片 3" descr="b9b2a2c340a8ff1c28c62f8bbd156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9b2a2c340a8ff1c28c62f8bbd156f3"/>
                          <pic:cNvPicPr>
                            <a:picLocks noChangeAspect="1"/>
                          </pic:cNvPicPr>
                        </pic:nvPicPr>
                        <pic:blipFill>
                          <a:blip r:embed="rId8"/>
                          <a:stretch>
                            <a:fillRect/>
                          </a:stretch>
                        </pic:blipFill>
                        <pic:spPr>
                          <a:xfrm>
                            <a:off x="0" y="0"/>
                            <a:ext cx="4126865" cy="199644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0"/>
                <w:szCs w:val="20"/>
                <w:lang w:val="en-US" w:eastAsia="zh-CN" w:bidi="ar-SA"/>
                <w14:textFill>
                  <w14:solidFill>
                    <w14:schemeClr w14:val="tx1"/>
                  </w14:solidFill>
                </w14:textFill>
              </w:rPr>
            </w:pPr>
            <w:r>
              <w:rPr>
                <w:rFonts w:hint="eastAsia" w:ascii="宋体" w:hAnsi="宋体" w:eastAsia="宋体" w:cs="宋体"/>
                <w:bCs/>
                <w:color w:val="000000" w:themeColor="text1"/>
                <w:kern w:val="2"/>
                <w:sz w:val="20"/>
                <w:szCs w:val="20"/>
                <w:lang w:val="en-US" w:eastAsia="zh-CN" w:bidi="ar-SA"/>
                <w14:textFill>
                  <w14:solidFill>
                    <w14:schemeClr w14:val="tx1"/>
                  </w14:solidFill>
                </w14:textFill>
              </w:rPr>
              <w:t xml:space="preserve">例如：某工程招标项目中标金额为 6000 万元，计算招标服务费如下：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0"/>
                <w:szCs w:val="20"/>
                <w:lang w:val="en-US" w:eastAsia="zh-CN" w:bidi="ar-SA"/>
                <w14:textFill>
                  <w14:solidFill>
                    <w14:schemeClr w14:val="tx1"/>
                  </w14:solidFill>
                </w14:textFill>
              </w:rPr>
            </w:pPr>
            <w:r>
              <w:rPr>
                <w:rFonts w:hint="eastAsia" w:ascii="宋体" w:hAnsi="宋体" w:eastAsia="宋体" w:cs="宋体"/>
                <w:bCs/>
                <w:color w:val="000000" w:themeColor="text1"/>
                <w:kern w:val="2"/>
                <w:sz w:val="20"/>
                <w:szCs w:val="20"/>
                <w:lang w:val="en-US" w:eastAsia="zh-CN" w:bidi="ar-SA"/>
                <w14:textFill>
                  <w14:solidFill>
                    <w14:schemeClr w14:val="tx1"/>
                  </w14:solidFill>
                </w14:textFill>
              </w:rPr>
              <w:t xml:space="preserve">100 万元×1.0%=1 万元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0"/>
                <w:szCs w:val="20"/>
                <w:lang w:val="en-US" w:eastAsia="zh-CN" w:bidi="ar-SA"/>
                <w14:textFill>
                  <w14:solidFill>
                    <w14:schemeClr w14:val="tx1"/>
                  </w14:solidFill>
                </w14:textFill>
              </w:rPr>
            </w:pPr>
            <w:r>
              <w:rPr>
                <w:rFonts w:hint="eastAsia" w:ascii="宋体" w:hAnsi="宋体" w:eastAsia="宋体" w:cs="宋体"/>
                <w:bCs/>
                <w:color w:val="000000" w:themeColor="text1"/>
                <w:kern w:val="2"/>
                <w:sz w:val="20"/>
                <w:szCs w:val="20"/>
                <w:lang w:val="en-US" w:eastAsia="zh-CN" w:bidi="ar-SA"/>
                <w14:textFill>
                  <w14:solidFill>
                    <w14:schemeClr w14:val="tx1"/>
                  </w14:solidFill>
                </w14:textFill>
              </w:rPr>
              <w:t xml:space="preserve">(500－100)万元×0.7%=2.8 万元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0"/>
                <w:szCs w:val="20"/>
                <w:lang w:val="en-US" w:eastAsia="zh-CN" w:bidi="ar-SA"/>
                <w14:textFill>
                  <w14:solidFill>
                    <w14:schemeClr w14:val="tx1"/>
                  </w14:solidFill>
                </w14:textFill>
              </w:rPr>
            </w:pPr>
            <w:r>
              <w:rPr>
                <w:rFonts w:hint="eastAsia" w:ascii="宋体" w:hAnsi="宋体" w:eastAsia="宋体" w:cs="宋体"/>
                <w:bCs/>
                <w:color w:val="000000" w:themeColor="text1"/>
                <w:kern w:val="2"/>
                <w:sz w:val="20"/>
                <w:szCs w:val="20"/>
                <w:lang w:val="en-US" w:eastAsia="zh-CN" w:bidi="ar-SA"/>
                <w14:textFill>
                  <w14:solidFill>
                    <w14:schemeClr w14:val="tx1"/>
                  </w14:solidFill>
                </w14:textFill>
              </w:rPr>
              <w:t xml:space="preserve">(1000－500)万元×0.55%=2.75 万元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0"/>
                <w:szCs w:val="20"/>
                <w:lang w:val="en-US" w:eastAsia="zh-CN" w:bidi="ar-SA"/>
                <w14:textFill>
                  <w14:solidFill>
                    <w14:schemeClr w14:val="tx1"/>
                  </w14:solidFill>
                </w14:textFill>
              </w:rPr>
            </w:pPr>
            <w:r>
              <w:rPr>
                <w:rFonts w:hint="eastAsia" w:ascii="宋体" w:hAnsi="宋体" w:eastAsia="宋体" w:cs="宋体"/>
                <w:bCs/>
                <w:color w:val="000000" w:themeColor="text1"/>
                <w:kern w:val="2"/>
                <w:sz w:val="20"/>
                <w:szCs w:val="20"/>
                <w:lang w:val="en-US" w:eastAsia="zh-CN" w:bidi="ar-SA"/>
                <w14:textFill>
                  <w14:solidFill>
                    <w14:schemeClr w14:val="tx1"/>
                  </w14:solidFill>
                </w14:textFill>
              </w:rPr>
              <w:t xml:space="preserve">(5000－1000)万元×0.35%=14 万元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0"/>
                <w:szCs w:val="20"/>
                <w:lang w:val="en-US" w:eastAsia="zh-CN" w:bidi="ar-SA"/>
                <w14:textFill>
                  <w14:solidFill>
                    <w14:schemeClr w14:val="tx1"/>
                  </w14:solidFill>
                </w14:textFill>
              </w:rPr>
            </w:pPr>
            <w:r>
              <w:rPr>
                <w:rFonts w:hint="eastAsia" w:ascii="宋体" w:hAnsi="宋体" w:eastAsia="宋体" w:cs="宋体"/>
                <w:bCs/>
                <w:color w:val="000000" w:themeColor="text1"/>
                <w:kern w:val="2"/>
                <w:sz w:val="20"/>
                <w:szCs w:val="20"/>
                <w:lang w:val="en-US" w:eastAsia="zh-CN" w:bidi="ar-SA"/>
                <w14:textFill>
                  <w14:solidFill>
                    <w14:schemeClr w14:val="tx1"/>
                  </w14:solidFill>
                </w14:textFill>
              </w:rPr>
              <w:t xml:space="preserve">(6000－5000)万元 ×0.2%=2 万元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0"/>
                <w:szCs w:val="20"/>
                <w:lang w:val="en-US" w:eastAsia="zh-CN" w:bidi="ar-SA"/>
                <w14:textFill>
                  <w14:solidFill>
                    <w14:schemeClr w14:val="tx1"/>
                  </w14:solidFill>
                </w14:textFill>
              </w:rPr>
            </w:pPr>
            <w:r>
              <w:rPr>
                <w:rFonts w:hint="eastAsia" w:ascii="宋体" w:hAnsi="宋体" w:eastAsia="宋体" w:cs="宋体"/>
                <w:bCs/>
                <w:color w:val="000000" w:themeColor="text1"/>
                <w:kern w:val="2"/>
                <w:sz w:val="20"/>
                <w:szCs w:val="20"/>
                <w:lang w:val="en-US" w:eastAsia="zh-CN" w:bidi="ar-SA"/>
                <w14:textFill>
                  <w14:solidFill>
                    <w14:schemeClr w14:val="tx1"/>
                  </w14:solidFill>
                </w14:textFill>
              </w:rPr>
              <w:t>合计收费=1＋2.8+2.75+14+2=22.55万元。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lang w:val="en-US" w:eastAsia="zh-CN"/>
                <w14:textFill>
                  <w14:solidFill>
                    <w14:schemeClr w14:val="tx1"/>
                  </w14:solidFill>
                </w14:textFill>
              </w:rPr>
            </w:pPr>
            <w:r>
              <w:rPr>
                <w:rFonts w:hint="eastAsia" w:ascii="宋体" w:hAnsi="宋体" w:eastAsia="宋体" w:cs="宋体"/>
                <w:bCs/>
                <w:color w:val="000000" w:themeColor="text1"/>
                <w:sz w:val="20"/>
                <w:szCs w:val="20"/>
                <w:lang w:val="en-US" w:eastAsia="zh-CN"/>
                <w14:textFill>
                  <w14:solidFill>
                    <w14:schemeClr w14:val="tx1"/>
                  </w14:solidFill>
                </w14:textFill>
              </w:rPr>
              <w:t>22</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000000" w:themeColor="text1"/>
                <w:kern w:val="2"/>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lang w:val="en-US" w:eastAsia="zh-CN"/>
                <w14:textFill>
                  <w14:solidFill>
                    <w14:schemeClr w14:val="tx1"/>
                  </w14:solidFill>
                </w14:textFill>
              </w:rPr>
              <w:t>疑问</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themeColor="text1"/>
                <w:spacing w:val="-4"/>
                <w:kern w:val="2"/>
                <w:sz w:val="20"/>
                <w:szCs w:val="20"/>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4"/>
                <w:kern w:val="2"/>
                <w:sz w:val="20"/>
                <w:szCs w:val="20"/>
                <w:highlight w:val="none"/>
                <w:lang w:val="en-US" w:eastAsia="zh-CN"/>
                <w14:textFill>
                  <w14:solidFill>
                    <w14:schemeClr w14:val="tx1"/>
                  </w14:solidFill>
                </w14:textFill>
              </w:rPr>
              <w:t>投标人购买招标文件后，若有疑问需要澄清，可在投标截止时间15日前向新疆信实工程招标咨询服务有限公司提供书面答疑材料。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lang w:val="en-US" w:eastAsia="zh-CN"/>
                <w14:textFill>
                  <w14:solidFill>
                    <w14:schemeClr w14:val="tx1"/>
                  </w14:solidFill>
                </w14:textFill>
              </w:rPr>
            </w:pPr>
            <w:r>
              <w:rPr>
                <w:rFonts w:hint="eastAsia" w:ascii="宋体" w:hAnsi="宋体" w:eastAsia="宋体" w:cs="宋体"/>
                <w:bCs/>
                <w:color w:val="000000" w:themeColor="text1"/>
                <w:sz w:val="20"/>
                <w:szCs w:val="20"/>
                <w:lang w:val="en-US" w:eastAsia="zh-CN"/>
                <w14:textFill>
                  <w14:solidFill>
                    <w14:schemeClr w14:val="tx1"/>
                  </w14:solidFill>
                </w14:textFill>
              </w:rPr>
              <w:t>23</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pacing w:val="-4"/>
                <w:kern w:val="2"/>
                <w:sz w:val="20"/>
                <w:szCs w:val="20"/>
                <w:highlight w:val="none"/>
                <w:lang w:val="en-US" w:eastAsia="zh-CN" w:bidi="ar-SA"/>
              </w:rPr>
            </w:pPr>
            <w:r>
              <w:rPr>
                <w:rFonts w:hint="eastAsia" w:ascii="宋体" w:hAnsi="宋体" w:eastAsia="宋体" w:cs="宋体"/>
                <w:color w:val="auto"/>
                <w:spacing w:val="-4"/>
                <w:kern w:val="2"/>
                <w:sz w:val="20"/>
                <w:szCs w:val="20"/>
                <w:highlight w:val="none"/>
                <w:lang w:val="en-US" w:eastAsia="zh-CN" w:bidi="ar-SA"/>
              </w:rPr>
              <w:t>落实采购政策</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jc w:val="both"/>
              <w:textAlignment w:val="auto"/>
              <w:rPr>
                <w:rFonts w:hint="eastAsia" w:ascii="宋体" w:hAnsi="宋体" w:eastAsia="宋体" w:cs="宋体"/>
                <w:sz w:val="20"/>
                <w:szCs w:val="20"/>
                <w:lang w:val="en-US" w:eastAsia="zh-CN"/>
              </w:rPr>
            </w:pPr>
            <w:r>
              <w:rPr>
                <w:rFonts w:hint="eastAsia" w:ascii="宋体" w:hAnsi="宋体" w:eastAsia="宋体" w:cs="宋体"/>
                <w:kern w:val="2"/>
                <w:sz w:val="20"/>
                <w:szCs w:val="20"/>
                <w:lang w:val="en-US" w:eastAsia="zh-CN" w:bidi="ar-SA"/>
              </w:rPr>
              <w:t>1、</w:t>
            </w:r>
            <w:r>
              <w:rPr>
                <w:rFonts w:hint="eastAsia" w:ascii="宋体" w:hAnsi="宋体" w:eastAsia="宋体" w:cs="宋体"/>
                <w:sz w:val="20"/>
                <w:szCs w:val="20"/>
                <w:lang w:val="en-US" w:eastAsia="zh-CN"/>
              </w:rPr>
              <w:t>按照《财政部工业和信息化部关于印发&lt;政府采购促进中小企业发展管理办法&gt;的通知》（财库〔2020〕46号）的规定，落实促进中小企业发展政策,本项目专门面向中小企业。企业划型标准执行工信部联企业（2011）300号文。</w:t>
            </w:r>
          </w:p>
          <w:p>
            <w:pPr>
              <w:pStyle w:val="29"/>
              <w:numPr>
                <w:ilvl w:val="0"/>
                <w:numId w:val="0"/>
              </w:numPr>
              <w:rPr>
                <w:rFonts w:hint="eastAsia" w:ascii="宋体" w:hAnsi="宋体" w:eastAsia="宋体" w:cs="宋体"/>
                <w:sz w:val="20"/>
                <w:szCs w:val="20"/>
                <w:lang w:val="en-US" w:eastAsia="zh-CN"/>
              </w:rPr>
            </w:pPr>
            <w:r>
              <w:rPr>
                <w:rFonts w:hint="eastAsia" w:ascii="宋体" w:hAnsi="宋体" w:eastAsia="宋体" w:cs="宋体"/>
                <w:b w:val="0"/>
                <w:bCs w:val="0"/>
                <w:color w:val="000000" w:themeColor="text1"/>
                <w:spacing w:val="-4"/>
                <w:kern w:val="2"/>
                <w:sz w:val="20"/>
                <w:szCs w:val="20"/>
                <w:highlight w:val="none"/>
                <w:lang w:val="en-US" w:eastAsia="zh-CN" w:bidi="ar-SA"/>
                <w14:textFill>
                  <w14:solidFill>
                    <w14:schemeClr w14:val="tx1"/>
                  </w14:solidFill>
                </w14:textFill>
              </w:rPr>
              <w:t>2、监狱企业、残疾人福利性单位，视同为小型和微型企业。供应商若为监狱企业、残疾人福利性单位，须在投标文件中提供《监狱企业声明函》、《残疾人福利性单位声明函》。供应商须对其声明的真实性负责，若与事实不符的，将依照《中华人民共和国政府采购法》第七十七条第一款的规定追究法律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kern w:val="2"/>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lang w:val="en-US" w:eastAsia="zh-CN"/>
                <w14:textFill>
                  <w14:solidFill>
                    <w14:schemeClr w14:val="tx1"/>
                  </w14:solidFill>
                </w14:textFill>
              </w:rPr>
              <w:t>24</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4"/>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pacing w:val="-4"/>
                <w:kern w:val="2"/>
                <w:sz w:val="20"/>
                <w:szCs w:val="20"/>
                <w:highlight w:val="none"/>
                <w:lang w:val="en-US" w:eastAsia="zh-CN" w:bidi="ar-SA"/>
                <w14:textFill>
                  <w14:solidFill>
                    <w14:schemeClr w14:val="tx1"/>
                  </w14:solidFill>
                </w14:textFill>
              </w:rPr>
              <w:t>中小企业</w:t>
            </w:r>
          </w:p>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4"/>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pacing w:val="-4"/>
                <w:kern w:val="2"/>
                <w:sz w:val="20"/>
                <w:szCs w:val="20"/>
                <w:highlight w:val="none"/>
                <w:lang w:val="en-US" w:eastAsia="zh-CN" w:bidi="ar-SA"/>
                <w14:textFill>
                  <w14:solidFill>
                    <w14:schemeClr w14:val="tx1"/>
                  </w14:solidFill>
                </w14:textFill>
              </w:rPr>
              <w:t>所属行业</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themeColor="text1"/>
                <w:spacing w:val="-4"/>
                <w:kern w:val="2"/>
                <w:sz w:val="20"/>
                <w:szCs w:val="20"/>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4"/>
                <w:kern w:val="2"/>
                <w:sz w:val="20"/>
                <w:szCs w:val="20"/>
                <w:highlight w:val="none"/>
                <w:lang w:val="en-US" w:eastAsia="zh-CN"/>
                <w14:textFill>
                  <w14:solidFill>
                    <w14:schemeClr w14:val="tx1"/>
                  </w14:solidFill>
                </w14:textFill>
              </w:rPr>
              <w:t>本项目采购标的对应的中小企业划分标准所属行业：工业。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0"/>
                <w:szCs w:val="20"/>
                <w:lang w:val="en-US" w:eastAsia="zh-CN"/>
                <w14:textFill>
                  <w14:solidFill>
                    <w14:schemeClr w14:val="tx1"/>
                  </w14:solidFill>
                </w14:textFill>
              </w:rPr>
            </w:pPr>
            <w:r>
              <w:rPr>
                <w:rFonts w:hint="eastAsia" w:ascii="宋体" w:hAnsi="宋体" w:eastAsia="宋体" w:cs="宋体"/>
                <w:bCs/>
                <w:color w:val="000000" w:themeColor="text1"/>
                <w:sz w:val="20"/>
                <w:szCs w:val="20"/>
                <w:lang w:val="en-US" w:eastAsia="zh-CN"/>
                <w14:textFill>
                  <w14:solidFill>
                    <w14:schemeClr w14:val="tx1"/>
                  </w14:solidFill>
                </w14:textFill>
              </w:rPr>
              <w:t>25</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4"/>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pacing w:val="-4"/>
                <w:kern w:val="2"/>
                <w:sz w:val="20"/>
                <w:szCs w:val="20"/>
                <w:highlight w:val="none"/>
                <w:lang w:val="en-US" w:eastAsia="zh-CN" w:bidi="ar-SA"/>
                <w14:textFill>
                  <w14:solidFill>
                    <w14:schemeClr w14:val="tx1"/>
                  </w14:solidFill>
                </w14:textFill>
              </w:rPr>
              <w:t>中标人确定</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themeColor="text1"/>
                <w:spacing w:val="-4"/>
                <w:kern w:val="2"/>
                <w:sz w:val="20"/>
                <w:szCs w:val="20"/>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4"/>
                <w:kern w:val="2"/>
                <w:sz w:val="20"/>
                <w:szCs w:val="20"/>
                <w:highlight w:val="none"/>
                <w:lang w:val="en-US" w:eastAsia="zh-CN"/>
                <w14:textFill>
                  <w14:solidFill>
                    <w14:schemeClr w14:val="tx1"/>
                  </w14:solidFill>
                </w14:textFill>
              </w:rPr>
              <w:t>本项目由评标委员会推荐中标候选人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kern w:val="2"/>
                <w:sz w:val="20"/>
                <w:szCs w:val="20"/>
                <w:lang w:val="en-US" w:eastAsia="zh-CN" w:bidi="ar-SA"/>
                <w14:textFill>
                  <w14:solidFill>
                    <w14:schemeClr w14:val="tx1"/>
                  </w14:solidFill>
                </w14:textFill>
              </w:rPr>
            </w:pPr>
            <w:r>
              <w:rPr>
                <w:rFonts w:hint="eastAsia" w:ascii="宋体" w:hAnsi="宋体" w:eastAsia="宋体" w:cs="宋体"/>
                <w:bCs/>
                <w:color w:val="000000" w:themeColor="text1"/>
                <w:sz w:val="20"/>
                <w:szCs w:val="20"/>
                <w:lang w:val="en-US" w:eastAsia="zh-CN"/>
                <w14:textFill>
                  <w14:solidFill>
                    <w14:schemeClr w14:val="tx1"/>
                  </w14:solidFill>
                </w14:textFill>
              </w:rPr>
              <w:t>26</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4"/>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pacing w:val="-4"/>
                <w:kern w:val="2"/>
                <w:sz w:val="20"/>
                <w:szCs w:val="20"/>
                <w:highlight w:val="none"/>
                <w:lang w:val="en-US" w:eastAsia="zh-CN" w:bidi="ar-SA"/>
                <w14:textFill>
                  <w14:solidFill>
                    <w14:schemeClr w14:val="tx1"/>
                  </w14:solidFill>
                </w14:textFill>
              </w:rPr>
              <w:t>其他</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color w:val="000000" w:themeColor="text1"/>
                <w:sz w:val="20"/>
                <w:szCs w:val="20"/>
                <w:lang w:val="en-US" w:eastAsia="zh-CN"/>
                <w14:textFill>
                  <w14:solidFill>
                    <w14:schemeClr w14:val="tx1"/>
                  </w14:solidFill>
                </w14:textFill>
              </w:rPr>
              <w:t>除法律、法规和规章规定外，招标文件中用“拒绝”“不接受”“无效”“不得”“必须”“应当”等文字规定的条款为实质性要求条款（即重要条款），对其中任何一条偏离的，在评标时将其视为无效投标。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901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000000" w:themeColor="text1"/>
                <w:sz w:val="20"/>
                <w:szCs w:val="20"/>
                <w:lang w:val="en-US" w:eastAsia="zh-CN"/>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备注：</w:t>
            </w:r>
          </w:p>
          <w:p>
            <w:pPr>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lang w:val="en-US" w:eastAsia="zh-CN"/>
                <w14:textFill>
                  <w14:solidFill>
                    <w14:schemeClr w14:val="tx1"/>
                  </w14:solidFill>
                </w14:textFill>
              </w:rPr>
              <w:t>1、</w:t>
            </w:r>
            <w:r>
              <w:rPr>
                <w:rFonts w:hint="eastAsia" w:ascii="宋体" w:hAnsi="宋体" w:eastAsia="宋体" w:cs="宋体"/>
                <w:b/>
                <w:bCs/>
                <w:color w:val="000000" w:themeColor="text1"/>
                <w:sz w:val="20"/>
                <w:szCs w:val="20"/>
                <w14:textFill>
                  <w14:solidFill>
                    <w14:schemeClr w14:val="tx1"/>
                  </w14:solidFill>
                </w14:textFill>
              </w:rPr>
              <w:t>本投标人须知前附表是对</w:t>
            </w:r>
            <w:r>
              <w:rPr>
                <w:rFonts w:hint="eastAsia" w:ascii="宋体" w:hAnsi="宋体" w:eastAsia="宋体" w:cs="宋体"/>
                <w:b/>
                <w:bCs/>
                <w:color w:val="000000" w:themeColor="text1"/>
                <w:sz w:val="20"/>
                <w:szCs w:val="20"/>
                <w:lang w:eastAsia="zh-CN"/>
                <w14:textFill>
                  <w14:solidFill>
                    <w14:schemeClr w14:val="tx1"/>
                  </w14:solidFill>
                </w14:textFill>
              </w:rPr>
              <w:t>招标文件</w:t>
            </w:r>
            <w:r>
              <w:rPr>
                <w:rFonts w:hint="eastAsia" w:ascii="宋体" w:hAnsi="宋体" w:eastAsia="宋体" w:cs="宋体"/>
                <w:b/>
                <w:bCs/>
                <w:color w:val="000000" w:themeColor="text1"/>
                <w:sz w:val="20"/>
                <w:szCs w:val="20"/>
                <w14:textFill>
                  <w14:solidFill>
                    <w14:schemeClr w14:val="tx1"/>
                  </w14:solidFill>
                </w14:textFill>
              </w:rPr>
              <w:t>中的重要内容进行罗列；如与</w:t>
            </w:r>
            <w:r>
              <w:rPr>
                <w:rFonts w:hint="eastAsia" w:ascii="宋体" w:hAnsi="宋体" w:eastAsia="宋体" w:cs="宋体"/>
                <w:b/>
                <w:bCs/>
                <w:color w:val="000000" w:themeColor="text1"/>
                <w:sz w:val="20"/>
                <w:szCs w:val="20"/>
                <w:lang w:eastAsia="zh-CN"/>
                <w14:textFill>
                  <w14:solidFill>
                    <w14:schemeClr w14:val="tx1"/>
                  </w14:solidFill>
                </w14:textFill>
              </w:rPr>
              <w:t>招标文件</w:t>
            </w:r>
            <w:r>
              <w:rPr>
                <w:rFonts w:hint="eastAsia" w:ascii="宋体" w:hAnsi="宋体" w:eastAsia="宋体" w:cs="宋体"/>
                <w:b/>
                <w:bCs/>
                <w:color w:val="000000" w:themeColor="text1"/>
                <w:sz w:val="20"/>
                <w:szCs w:val="20"/>
                <w14:textFill>
                  <w14:solidFill>
                    <w14:schemeClr w14:val="tx1"/>
                  </w14:solidFill>
                </w14:textFill>
              </w:rPr>
              <w:t>不符，应以本表为准。</w:t>
            </w:r>
          </w:p>
          <w:p>
            <w:pPr>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lang w:val="en-US" w:eastAsia="zh-CN"/>
                <w14:textFill>
                  <w14:solidFill>
                    <w14:schemeClr w14:val="tx1"/>
                  </w14:solidFill>
                </w14:textFill>
              </w:rPr>
              <w:t>2、</w:t>
            </w:r>
            <w:r>
              <w:rPr>
                <w:rFonts w:hint="eastAsia" w:ascii="宋体" w:hAnsi="宋体" w:eastAsia="宋体" w:cs="宋体"/>
                <w:b/>
                <w:bCs/>
                <w:color w:val="000000" w:themeColor="text1"/>
                <w:sz w:val="20"/>
                <w:szCs w:val="20"/>
                <w14:textFill>
                  <w14:solidFill>
                    <w14:schemeClr w14:val="tx1"/>
                  </w14:solidFill>
                </w14:textFill>
              </w:rPr>
              <w:t>高压线路、变压器及低压输电线路工程施工工艺符合电力行业的验收标准，需通过当地供电公司验收。</w:t>
            </w:r>
          </w:p>
        </w:tc>
      </w:tr>
    </w:tbl>
    <w:p>
      <w:pPr>
        <w:rPr>
          <w:rFonts w:hint="eastAsia"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End w:id="0"/>
      <w:bookmarkEnd w:id="1"/>
      <w:bookmarkEnd w:id="2"/>
      <w:bookmarkEnd w:id="3"/>
      <w:bookmarkEnd w:id="4"/>
      <w:bookmarkEnd w:id="5"/>
      <w:bookmarkEnd w:id="6"/>
      <w:bookmarkEnd w:id="7"/>
      <w:bookmarkEnd w:id="11"/>
      <w:bookmarkEnd w:id="12"/>
      <w:bookmarkStart w:id="55" w:name="_Toc534725597"/>
      <w:bookmarkStart w:id="56" w:name="_Toc120614211"/>
      <w:bookmarkStart w:id="57" w:name="_Toc120614221"/>
      <w:bookmarkStart w:id="58" w:name="_Toc20823314"/>
      <w:bookmarkStart w:id="59" w:name="_Toc494375079"/>
      <w:bookmarkStart w:id="60" w:name="_Toc513029242"/>
      <w:bookmarkStart w:id="61" w:name="_Toc16938558"/>
      <w:bookmarkStart w:id="62" w:name="_Toc479757207"/>
    </w:p>
    <w:bookmarkEnd w:id="55"/>
    <w:bookmarkEnd w:id="56"/>
    <w:p>
      <w:pPr>
        <w:pStyle w:val="3"/>
        <w:bidi w:val="0"/>
        <w:jc w:val="center"/>
        <w:rPr>
          <w:rFonts w:hint="eastAsia" w:ascii="宋体" w:hAnsi="宋体" w:eastAsia="宋体" w:cs="宋体"/>
          <w:color w:val="000000" w:themeColor="text1"/>
          <w14:textFill>
            <w14:solidFill>
              <w14:schemeClr w14:val="tx1"/>
            </w14:solidFill>
          </w14:textFill>
        </w:rPr>
      </w:pPr>
      <w:bookmarkStart w:id="63" w:name="_Toc19352"/>
      <w:bookmarkStart w:id="64" w:name="_Toc21065"/>
      <w:bookmarkStart w:id="65" w:name="_Toc534725606"/>
      <w:r>
        <w:rPr>
          <w:rFonts w:hint="eastAsia" w:ascii="宋体" w:hAnsi="宋体" w:eastAsia="宋体" w:cs="宋体"/>
          <w:color w:val="000000" w:themeColor="text1"/>
          <w14:textFill>
            <w14:solidFill>
              <w14:schemeClr w14:val="tx1"/>
            </w14:solidFill>
          </w14:textFill>
        </w:rPr>
        <w:t xml:space="preserve">一、总  </w:t>
      </w:r>
      <w:bookmarkStart w:id="66" w:name="_Toc9510635"/>
      <w:r>
        <w:rPr>
          <w:rFonts w:hint="eastAsia" w:ascii="宋体" w:hAnsi="宋体" w:eastAsia="宋体" w:cs="宋体"/>
          <w:color w:val="000000" w:themeColor="text1"/>
          <w14:textFill>
            <w14:solidFill>
              <w14:schemeClr w14:val="tx1"/>
            </w14:solidFill>
          </w14:textFill>
        </w:rPr>
        <w:t>则</w:t>
      </w:r>
      <w:bookmarkEnd w:id="63"/>
      <w:bookmarkEnd w:id="64"/>
    </w:p>
    <w:p>
      <w:pPr>
        <w:pStyle w:val="4"/>
        <w:bidi w:val="0"/>
        <w:jc w:val="left"/>
        <w:rPr>
          <w:rFonts w:hint="eastAsia" w:ascii="宋体" w:hAnsi="宋体" w:eastAsia="宋体" w:cs="宋体"/>
          <w:color w:val="000000" w:themeColor="text1"/>
          <w14:textFill>
            <w14:solidFill>
              <w14:schemeClr w14:val="tx1"/>
            </w14:solidFill>
          </w14:textFill>
        </w:rPr>
      </w:pPr>
      <w:bookmarkStart w:id="67" w:name="_Toc26214"/>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适用</w:t>
      </w:r>
      <w:bookmarkEnd w:id="66"/>
      <w:r>
        <w:rPr>
          <w:rFonts w:hint="eastAsia" w:ascii="宋体" w:hAnsi="宋体" w:eastAsia="宋体" w:cs="宋体"/>
          <w:color w:val="000000" w:themeColor="text1"/>
          <w14:textFill>
            <w14:solidFill>
              <w14:schemeClr w14:val="tx1"/>
            </w14:solidFill>
          </w14:textFill>
        </w:rPr>
        <w:t>范围</w:t>
      </w:r>
      <w:bookmarkEnd w:id="6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适用于</w:t>
      </w:r>
      <w:r>
        <w:rPr>
          <w:rFonts w:hint="eastAsia" w:ascii="宋体" w:hAnsi="宋体" w:eastAsia="宋体" w:cs="宋体"/>
          <w:bCs/>
          <w:color w:val="000000" w:themeColor="text1"/>
          <w:sz w:val="24"/>
          <w:szCs w:val="24"/>
          <w:highlight w:val="none"/>
          <w14:textFill>
            <w14:solidFill>
              <w14:schemeClr w14:val="tx1"/>
            </w14:solidFill>
          </w14:textFill>
        </w:rPr>
        <w:t>本次采购项目</w:t>
      </w:r>
      <w:r>
        <w:rPr>
          <w:rFonts w:hint="eastAsia" w:ascii="宋体" w:hAnsi="宋体" w:eastAsia="宋体" w:cs="宋体"/>
          <w:color w:val="000000" w:themeColor="text1"/>
          <w:sz w:val="24"/>
          <w:szCs w:val="24"/>
          <w:highlight w:val="none"/>
          <w14:textFill>
            <w14:solidFill>
              <w14:schemeClr w14:val="tx1"/>
            </w14:solidFill>
          </w14:textFill>
        </w:rPr>
        <w:t>的招标、投标、评标、定标、验收、合同履约、付款等行为（法律、法规另有规定的，从其规定）。</w:t>
      </w:r>
    </w:p>
    <w:p>
      <w:pPr>
        <w:pStyle w:val="4"/>
        <w:numPr>
          <w:ilvl w:val="0"/>
          <w:numId w:val="7"/>
        </w:numPr>
        <w:bidi w:val="0"/>
        <w:rPr>
          <w:rFonts w:hint="eastAsia"/>
        </w:rPr>
      </w:pPr>
      <w:bookmarkStart w:id="68" w:name="_Toc24800"/>
      <w:r>
        <w:rPr>
          <w:rFonts w:hint="eastAsia" w:ascii="宋体" w:hAnsi="宋体" w:eastAsia="宋体" w:cs="宋体"/>
          <w:color w:val="000000" w:themeColor="text1"/>
          <w14:textFill>
            <w14:solidFill>
              <w14:schemeClr w14:val="tx1"/>
            </w14:solidFill>
          </w14:textFill>
        </w:rPr>
        <w:t>定义</w:t>
      </w:r>
      <w:bookmarkEnd w:id="6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 招标采购单位（采购人）系指采购单位。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“投标人”系指向采购方提交投标文件的法人、其他组织或者自然人。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 “产品”系指供方按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规定，须向采购人提供的一切设备、保险、税金、备品备件、工具、手册及其它有关技术资料和材料。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 “服务”系指</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规定投标人须承担的安装、调试、技术协助、校准、培训、技术指导以及其他类似的义务。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 “项目”系指投标人按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规定向采购人提供的产品和服务。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 “书面形式”包括信函、传真、电子邮件等。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2.7实质性响应:系指投标文件符合</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规定的实质性内容、条件和规定。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2.8重大偏离或保留：系指将会影响到</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规定的服务范围、质量标准，或会给合同中规定的招标人的权利和投标人的责任造成实质性限制，而纠正这些偏离或保留将对其他提交了实质性响应的投标文件的投标人产生不公平影响的。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 细微偏离：系指投标文件对</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的非实质性内容存在不完全响应或不响应。</w:t>
      </w:r>
    </w:p>
    <w:p>
      <w:pPr>
        <w:pStyle w:val="4"/>
        <w:bidi w:val="0"/>
        <w:rPr>
          <w:rFonts w:hint="eastAsia" w:ascii="宋体" w:hAnsi="宋体" w:eastAsia="宋体" w:cs="宋体"/>
          <w:color w:val="000000" w:themeColor="text1"/>
          <w14:textFill>
            <w14:solidFill>
              <w14:schemeClr w14:val="tx1"/>
            </w14:solidFill>
          </w14:textFill>
        </w:rPr>
      </w:pPr>
      <w:bookmarkStart w:id="69" w:name="_Toc17392"/>
      <w:r>
        <w:rPr>
          <w:rFonts w:hint="eastAsia" w:ascii="宋体" w:hAnsi="宋体" w:eastAsia="宋体" w:cs="宋体"/>
          <w:color w:val="000000" w:themeColor="text1"/>
          <w14:textFill>
            <w14:solidFill>
              <w14:schemeClr w14:val="tx1"/>
            </w14:solidFill>
          </w14:textFill>
        </w:rPr>
        <w:t>3、招标方式</w:t>
      </w:r>
      <w:bookmarkEnd w:id="69"/>
    </w:p>
    <w:p>
      <w:pPr>
        <w:keepNext w:val="0"/>
        <w:keepLines w:val="0"/>
        <w:pageBreakBefore w:val="0"/>
        <w:widowControl w:val="0"/>
        <w:kinsoku/>
        <w:wordWrap/>
        <w:overflowPunct/>
        <w:topLinePunct w:val="0"/>
        <w:bidi w:val="0"/>
        <w:adjustRightInd w:val="0"/>
        <w:snapToGrid w:val="0"/>
        <w:spacing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本项目采用公开招标方式进行。</w:t>
      </w:r>
    </w:p>
    <w:p>
      <w:pPr>
        <w:pStyle w:val="4"/>
        <w:bidi w:val="0"/>
        <w:rPr>
          <w:rFonts w:hint="eastAsia" w:ascii="宋体" w:hAnsi="宋体" w:eastAsia="宋体" w:cs="宋体"/>
          <w:color w:val="000000" w:themeColor="text1"/>
          <w14:textFill>
            <w14:solidFill>
              <w14:schemeClr w14:val="tx1"/>
            </w14:solidFill>
          </w14:textFill>
        </w:rPr>
      </w:pPr>
      <w:bookmarkStart w:id="70" w:name="_Toc32376"/>
      <w:r>
        <w:rPr>
          <w:rFonts w:hint="eastAsia" w:ascii="宋体" w:hAnsi="宋体" w:eastAsia="宋体" w:cs="宋体"/>
          <w:color w:val="000000" w:themeColor="text1"/>
          <w14:textFill>
            <w14:solidFill>
              <w14:schemeClr w14:val="tx1"/>
            </w14:solidFill>
          </w14:textFill>
        </w:rPr>
        <w:t>4</w:t>
      </w:r>
      <w:bookmarkEnd w:id="70"/>
      <w:bookmarkStart w:id="71" w:name="_Toc21031"/>
      <w:r>
        <w:rPr>
          <w:rFonts w:hint="eastAsia" w:ascii="宋体" w:hAnsi="宋体" w:eastAsia="宋体" w:cs="宋体"/>
          <w:color w:val="000000" w:themeColor="text1"/>
          <w14:textFill>
            <w14:solidFill>
              <w14:schemeClr w14:val="tx1"/>
            </w14:solidFill>
          </w14:textFill>
        </w:rPr>
        <w:t>、投标费用</w:t>
      </w:r>
      <w:bookmarkEnd w:id="71"/>
    </w:p>
    <w:p>
      <w:pPr>
        <w:keepNext w:val="0"/>
        <w:keepLines w:val="0"/>
        <w:pageBreakBefore w:val="0"/>
        <w:widowControl w:val="0"/>
        <w:kinsoku/>
        <w:wordWrap/>
        <w:overflowPunct/>
        <w:topLinePunct w:val="0"/>
        <w:bidi w:val="0"/>
        <w:adjustRightInd w:val="0"/>
        <w:snapToGrid w:val="0"/>
        <w:spacing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不论投标结果如何，投标人均应自行承担所有与投标有关的全部费用。</w:t>
      </w:r>
    </w:p>
    <w:p>
      <w:pPr>
        <w:pStyle w:val="4"/>
        <w:bidi w:val="0"/>
        <w:rPr>
          <w:rFonts w:hint="eastAsia" w:ascii="宋体" w:hAnsi="宋体" w:eastAsia="宋体" w:cs="宋体"/>
          <w:color w:val="000000" w:themeColor="text1"/>
          <w14:textFill>
            <w14:solidFill>
              <w14:schemeClr w14:val="tx1"/>
            </w14:solidFill>
          </w14:textFill>
        </w:rPr>
      </w:pPr>
      <w:bookmarkStart w:id="72" w:name="_Toc505"/>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分包</w:t>
      </w:r>
      <w:r>
        <w:rPr>
          <w:rFonts w:hint="eastAsia" w:ascii="宋体" w:hAnsi="宋体" w:eastAsia="宋体" w:cs="宋体"/>
          <w:color w:val="000000" w:themeColor="text1"/>
          <w14:textFill>
            <w14:solidFill>
              <w14:schemeClr w14:val="tx1"/>
            </w14:solidFill>
          </w14:textFill>
        </w:rPr>
        <w:t>转包</w:t>
      </w:r>
      <w:bookmarkEnd w:id="72"/>
    </w:p>
    <w:p>
      <w:pPr>
        <w:keepNext w:val="0"/>
        <w:keepLines w:val="0"/>
        <w:pageBreakBefore w:val="0"/>
        <w:widowControl w:val="0"/>
        <w:kinsoku/>
        <w:wordWrap/>
        <w:overflowPunct/>
        <w:topLinePunct w:val="0"/>
        <w:bidi w:val="0"/>
        <w:adjustRightInd w:val="0"/>
        <w:snapToGrid w:val="0"/>
        <w:spacing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本项目不允许转包</w:t>
      </w:r>
      <w:r>
        <w:rPr>
          <w:rFonts w:hint="eastAsia" w:ascii="宋体" w:hAnsi="宋体" w:cs="宋体"/>
          <w:color w:val="000000" w:themeColor="text1"/>
          <w:sz w:val="24"/>
          <w:szCs w:val="24"/>
          <w:highlight w:val="none"/>
          <w:lang w:eastAsia="zh-CN"/>
          <w14:textFill>
            <w14:solidFill>
              <w14:schemeClr w14:val="tx1"/>
            </w14:solidFill>
          </w14:textFill>
        </w:rPr>
        <w:t>和违法</w:t>
      </w:r>
      <w:r>
        <w:rPr>
          <w:rFonts w:hint="eastAsia" w:ascii="宋体" w:hAnsi="宋体" w:eastAsia="宋体" w:cs="宋体"/>
          <w:color w:val="000000" w:themeColor="text1"/>
          <w:sz w:val="24"/>
          <w:szCs w:val="24"/>
          <w:highlight w:val="none"/>
          <w:lang w:eastAsia="zh-CN"/>
          <w14:textFill>
            <w14:solidFill>
              <w14:schemeClr w14:val="tx1"/>
            </w14:solidFill>
          </w14:textFill>
        </w:rPr>
        <w:t>分包</w:t>
      </w:r>
      <w:r>
        <w:rPr>
          <w:rFonts w:hint="eastAsia" w:ascii="宋体" w:hAnsi="宋体" w:eastAsia="宋体" w:cs="宋体"/>
          <w:color w:val="000000" w:themeColor="text1"/>
          <w:sz w:val="24"/>
          <w:szCs w:val="24"/>
          <w:highlight w:val="none"/>
          <w14:textFill>
            <w14:solidFill>
              <w14:schemeClr w14:val="tx1"/>
            </w14:solidFill>
          </w14:textFill>
        </w:rPr>
        <w:t>。</w:t>
      </w:r>
    </w:p>
    <w:p>
      <w:pPr>
        <w:pStyle w:val="4"/>
        <w:bidi w:val="0"/>
        <w:rPr>
          <w:rFonts w:hint="eastAsia" w:ascii="宋体" w:hAnsi="宋体" w:eastAsia="宋体" w:cs="宋体"/>
          <w:color w:val="000000" w:themeColor="text1"/>
          <w14:textFill>
            <w14:solidFill>
              <w14:schemeClr w14:val="tx1"/>
            </w14:solidFill>
          </w14:textFill>
        </w:rPr>
      </w:pPr>
      <w:bookmarkStart w:id="73" w:name="_Toc5076"/>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、提供相同品牌产品处理</w:t>
      </w:r>
      <w:bookmarkEnd w:id="73"/>
    </w:p>
    <w:p>
      <w:pPr>
        <w:keepNext w:val="0"/>
        <w:keepLines w:val="0"/>
        <w:pageBreakBefore w:val="0"/>
        <w:widowControl w:val="0"/>
        <w:kinsoku/>
        <w:wordWrap/>
        <w:overflowPunct/>
        <w:topLinePunct w:val="0"/>
        <w:autoSpaceDE/>
        <w:autoSpaceDN/>
        <w:bidi w:val="0"/>
        <w:adjustRightInd w:val="0"/>
        <w:snapToGrid w:val="0"/>
        <w:spacing w:line="500" w:lineRule="exact"/>
        <w:ind w:firstLine="470" w:firstLineChars="19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87号令第三十一条：使用综合评分法的采购项目，提供相同品牌产品且通过资格审查、符合性审查的不同投标人参加同一合同项下投标的，按一家投标人计算，评审后得分最高的同品牌投标人获得中标人推荐资格</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70" w:firstLineChars="19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非单一产品采购项目，采购人应当根据采购项目技术构成、产品价格比重等合理确定核心产品，并在</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中载明。多家投标人提供的任一核心产品品牌相同的，按前款规定处理。</w:t>
      </w:r>
    </w:p>
    <w:p>
      <w:pPr>
        <w:pStyle w:val="4"/>
        <w:bidi w:val="0"/>
        <w:rPr>
          <w:rFonts w:hint="eastAsia" w:ascii="宋体" w:hAnsi="宋体" w:eastAsia="宋体" w:cs="宋体"/>
          <w:color w:val="000000" w:themeColor="text1"/>
          <w14:textFill>
            <w14:solidFill>
              <w14:schemeClr w14:val="tx1"/>
            </w14:solidFill>
          </w14:textFill>
        </w:rPr>
      </w:pPr>
      <w:bookmarkStart w:id="74" w:name="_Toc21631"/>
      <w:r>
        <w:rPr>
          <w:rFonts w:hint="eastAsia" w:ascii="宋体" w:hAnsi="宋体" w:eastAsia="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、特别说明：</w:t>
      </w:r>
      <w:bookmarkEnd w:id="74"/>
    </w:p>
    <w:p>
      <w:pPr>
        <w:keepNext w:val="0"/>
        <w:keepLines w:val="0"/>
        <w:pageBreakBefore w:val="0"/>
        <w:widowControl w:val="0"/>
        <w:kinsoku/>
        <w:wordWrap/>
        <w:overflowPunct/>
        <w:topLinePunct w:val="0"/>
        <w:autoSpaceDE/>
        <w:autoSpaceDN/>
        <w:bidi w:val="0"/>
        <w:adjustRightInd w:val="0"/>
        <w:snapToGrid w:val="0"/>
        <w:spacing w:line="500" w:lineRule="exact"/>
        <w:ind w:firstLine="470" w:firstLineChars="196"/>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投标人投标所使用的资格、信誉、荣誉、业绩与认证</w:t>
      </w:r>
      <w:r>
        <w:rPr>
          <w:rFonts w:hint="eastAsia" w:ascii="宋体" w:hAnsi="宋体" w:eastAsia="宋体" w:cs="宋体"/>
          <w:color w:val="auto"/>
          <w:sz w:val="24"/>
          <w:szCs w:val="24"/>
          <w:highlight w:val="none"/>
          <w:lang w:val="en-US" w:eastAsia="zh-CN"/>
        </w:rPr>
        <w:t>证书</w:t>
      </w:r>
      <w:r>
        <w:rPr>
          <w:rFonts w:hint="eastAsia" w:ascii="宋体" w:hAnsi="宋体" w:eastAsia="宋体" w:cs="宋体"/>
          <w:color w:val="auto"/>
          <w:sz w:val="24"/>
          <w:szCs w:val="24"/>
          <w:highlight w:val="none"/>
        </w:rPr>
        <w:t>必须为本</w:t>
      </w:r>
      <w:r>
        <w:rPr>
          <w:rFonts w:hint="eastAsia" w:ascii="宋体" w:hAnsi="宋体" w:eastAsia="宋体" w:cs="宋体"/>
          <w:color w:val="auto"/>
          <w:sz w:val="24"/>
          <w:szCs w:val="24"/>
          <w:highlight w:val="none"/>
          <w:lang w:val="en-US" w:eastAsia="zh-CN"/>
        </w:rPr>
        <w:t>法人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其他组织、个人</w:t>
      </w:r>
      <w:r>
        <w:rPr>
          <w:rFonts w:hint="eastAsia" w:ascii="宋体" w:hAnsi="宋体" w:eastAsia="宋体" w:cs="宋体"/>
          <w:color w:val="auto"/>
          <w:sz w:val="24"/>
          <w:szCs w:val="24"/>
          <w:highlight w:val="none"/>
        </w:rPr>
        <w:t>）所拥有。投标人投标所使用的项目实施人员必须为本法人（</w:t>
      </w:r>
      <w:r>
        <w:rPr>
          <w:rFonts w:hint="eastAsia" w:ascii="宋体" w:hAnsi="宋体" w:eastAsia="宋体" w:cs="宋体"/>
          <w:color w:val="auto"/>
          <w:sz w:val="24"/>
          <w:szCs w:val="24"/>
          <w:highlight w:val="none"/>
          <w:lang w:val="en-US" w:eastAsia="zh-CN"/>
        </w:rPr>
        <w:t>其他组织</w:t>
      </w:r>
      <w:r>
        <w:rPr>
          <w:rFonts w:hint="eastAsia" w:ascii="宋体" w:hAnsi="宋体" w:eastAsia="宋体" w:cs="宋体"/>
          <w:color w:val="auto"/>
          <w:sz w:val="24"/>
          <w:szCs w:val="24"/>
          <w:highlight w:val="none"/>
        </w:rPr>
        <w:t>）或控股</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正式员工（提供社保证明）。</w:t>
      </w:r>
    </w:p>
    <w:p>
      <w:pPr>
        <w:keepNext w:val="0"/>
        <w:keepLines w:val="0"/>
        <w:pageBreakBefore w:val="0"/>
        <w:widowControl w:val="0"/>
        <w:kinsoku/>
        <w:wordWrap/>
        <w:overflowPunct/>
        <w:topLinePunct w:val="0"/>
        <w:autoSpaceDE/>
        <w:autoSpaceDN/>
        <w:bidi w:val="0"/>
        <w:adjustRightInd w:val="0"/>
        <w:snapToGrid w:val="0"/>
        <w:spacing w:line="500" w:lineRule="exact"/>
        <w:ind w:left="2" w:leftChars="1"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投标人应仔细阅读</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的所有内容，按照</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的要求提交投标文件，并对所提供的全部资料的真实性承担法律责任。</w:t>
      </w:r>
    </w:p>
    <w:p>
      <w:pPr>
        <w:keepNext w:val="0"/>
        <w:keepLines w:val="0"/>
        <w:pageBreakBefore w:val="0"/>
        <w:widowControl w:val="0"/>
        <w:kinsoku/>
        <w:wordWrap/>
        <w:overflowPunct/>
        <w:topLinePunct w:val="0"/>
        <w:autoSpaceDE/>
        <w:autoSpaceDN/>
        <w:bidi w:val="0"/>
        <w:adjustRightInd w:val="0"/>
        <w:snapToGrid w:val="0"/>
        <w:spacing w:line="500" w:lineRule="exact"/>
        <w:ind w:left="2" w:leftChars="1"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pStyle w:val="4"/>
        <w:bidi w:val="0"/>
        <w:rPr>
          <w:rFonts w:hint="eastAsia" w:ascii="宋体" w:hAnsi="宋体" w:eastAsia="宋体" w:cs="宋体"/>
          <w:color w:val="000000" w:themeColor="text1"/>
          <w14:textFill>
            <w14:solidFill>
              <w14:schemeClr w14:val="tx1"/>
            </w14:solidFill>
          </w14:textFill>
        </w:rPr>
      </w:pPr>
      <w:bookmarkStart w:id="75" w:name="_Toc24888"/>
      <w:r>
        <w:rPr>
          <w:rFonts w:hint="eastAsia" w:ascii="宋体" w:hAnsi="宋体" w:eastAsia="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、质疑</w:t>
      </w:r>
      <w:bookmarkEnd w:id="7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投标单位</w:t>
      </w:r>
      <w:r>
        <w:rPr>
          <w:rFonts w:hint="eastAsia" w:ascii="宋体" w:hAnsi="宋体" w:eastAsia="宋体" w:cs="宋体"/>
          <w:color w:val="000000" w:themeColor="text1"/>
          <w:sz w:val="24"/>
          <w:szCs w:val="24"/>
          <w:highlight w:val="none"/>
          <w14:textFill>
            <w14:solidFill>
              <w14:schemeClr w14:val="tx1"/>
            </w14:solidFill>
          </w14:textFill>
        </w:rPr>
        <w:t>认为</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、采购过程和中标、</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结果使自己的权益受到损害的，可以在知道或者应知其权益受到损害之日起七个工作日内，以书面形式向采购人提出质疑。质疑</w:t>
      </w:r>
      <w:r>
        <w:rPr>
          <w:rFonts w:hint="eastAsia" w:ascii="宋体" w:hAnsi="宋体" w:eastAsia="宋体" w:cs="宋体"/>
          <w:color w:val="000000" w:themeColor="text1"/>
          <w:sz w:val="24"/>
          <w:szCs w:val="24"/>
          <w:highlight w:val="none"/>
          <w:lang w:eastAsia="zh-CN"/>
          <w14:textFill>
            <w14:solidFill>
              <w14:schemeClr w14:val="tx1"/>
            </w14:solidFill>
          </w14:textFill>
        </w:rPr>
        <w:t>投标单位</w:t>
      </w:r>
      <w:r>
        <w:rPr>
          <w:rFonts w:hint="eastAsia" w:ascii="宋体" w:hAnsi="宋体" w:eastAsia="宋体" w:cs="宋体"/>
          <w:color w:val="000000" w:themeColor="text1"/>
          <w:sz w:val="24"/>
          <w:szCs w:val="24"/>
          <w:highlight w:val="none"/>
          <w14:textFill>
            <w14:solidFill>
              <w14:schemeClr w14:val="tx1"/>
            </w14:solidFill>
          </w14:textFill>
        </w:rPr>
        <w:t>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14:textFill>
            <w14:solidFill>
              <w14:schemeClr w14:val="tx1"/>
            </w14:solidFill>
          </w14:textFill>
        </w:rPr>
        <w:t>.2 质疑、投诉应当采用书面形式，质疑书、投诉书均应明确阐述</w:t>
      </w:r>
      <w:r>
        <w:rPr>
          <w:rFonts w:hint="eastAsia" w:ascii="宋体" w:hAnsi="宋体" w:eastAsia="宋体" w:cs="宋体"/>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szCs w:val="24"/>
          <w:highlight w:val="none"/>
          <w14:textFill>
            <w14:solidFill>
              <w14:schemeClr w14:val="tx1"/>
            </w14:solidFill>
          </w14:textFill>
        </w:rPr>
        <w:t>、招标过程或中标结果中使自己合法权益受到损害的实质性内容，提供相关事实、依据和证据及其来源或线索，便于有关单位调查、答复和处理。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.3质疑（投诉）书应载明质疑（投诉）人全称、地址、邮编、传真、联系人、联系电话，电子邮箱</w:t>
      </w:r>
      <w:r>
        <w:rPr>
          <w:rFonts w:hint="eastAsia" w:ascii="宋体" w:hAnsi="宋体" w:eastAsia="宋体" w:cs="宋体"/>
          <w:bCs/>
          <w:color w:val="auto"/>
          <w:sz w:val="24"/>
          <w:szCs w:val="24"/>
          <w:highlight w:val="none"/>
          <w:lang w:eastAsia="zh-CN"/>
        </w:rPr>
        <w:t>。投标单位可以委托代理人进行质疑和投诉，其授权委托书应当载明代理人的姓名或者名称、代理事项、具体权限、期限和相关事项。投标单位为自然人的，应当由本人签字；投标单位为法人或者其他组织的，应当由法定代表人、主要负责人签字或者盖章，并加盖公章。</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投标单位委托代理人提出质疑（投诉），应当提交投标单位签署的授权委托书。质疑（投诉）书必须有联系人署名。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8.4 投标单位应在法定质疑期内一次性提出针对同一采购程序环节的质疑。</w:t>
      </w:r>
    </w:p>
    <w:p>
      <w:pPr>
        <w:pStyle w:val="3"/>
        <w:bidi w:val="0"/>
        <w:rPr>
          <w:rFonts w:hint="eastAsia" w:ascii="宋体" w:hAnsi="宋体" w:eastAsia="宋体" w:cs="宋体"/>
          <w:color w:val="000000" w:themeColor="text1"/>
          <w:lang w:eastAsia="zh-CN"/>
          <w14:textFill>
            <w14:solidFill>
              <w14:schemeClr w14:val="tx1"/>
            </w14:solidFill>
          </w14:textFill>
        </w:rPr>
      </w:pPr>
      <w:bookmarkStart w:id="76" w:name="_Toc12925"/>
      <w:bookmarkStart w:id="77" w:name="_Toc31383"/>
      <w:r>
        <w:rPr>
          <w:rFonts w:hint="eastAsia" w:ascii="宋体" w:hAnsi="宋体" w:eastAsia="宋体" w:cs="宋体"/>
          <w:color w:val="000000" w:themeColor="text1"/>
          <w14:textFill>
            <w14:solidFill>
              <w14:schemeClr w14:val="tx1"/>
            </w14:solidFill>
          </w14:textFill>
        </w:rPr>
        <w:t>二、</w:t>
      </w:r>
      <w:bookmarkEnd w:id="76"/>
      <w:bookmarkEnd w:id="77"/>
      <w:bookmarkStart w:id="78" w:name="_Toc9510636"/>
      <w:r>
        <w:rPr>
          <w:rFonts w:hint="eastAsia" w:ascii="宋体" w:hAnsi="宋体" w:eastAsia="宋体" w:cs="宋体"/>
          <w:color w:val="000000" w:themeColor="text1"/>
          <w:lang w:eastAsia="zh-CN"/>
          <w14:textFill>
            <w14:solidFill>
              <w14:schemeClr w14:val="tx1"/>
            </w14:solidFill>
          </w14:textFill>
        </w:rPr>
        <w:t>招标文件</w:t>
      </w:r>
    </w:p>
    <w:p>
      <w:pPr>
        <w:pStyle w:val="4"/>
        <w:bidi w:val="0"/>
        <w:rPr>
          <w:rFonts w:hint="eastAsia" w:ascii="宋体" w:hAnsi="宋体" w:eastAsia="宋体" w:cs="宋体"/>
          <w:color w:val="000000" w:themeColor="text1"/>
          <w:lang w:eastAsia="zh-CN"/>
          <w14:textFill>
            <w14:solidFill>
              <w14:schemeClr w14:val="tx1"/>
            </w14:solidFill>
          </w14:textFill>
        </w:rPr>
      </w:pPr>
      <w:bookmarkStart w:id="79" w:name="_Toc11465"/>
      <w:r>
        <w:rPr>
          <w:rFonts w:hint="eastAsia" w:ascii="宋体" w:hAnsi="宋体" w:eastAsia="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w:t>
      </w:r>
      <w:bookmarkEnd w:id="78"/>
      <w:r>
        <w:rPr>
          <w:rFonts w:hint="eastAsia" w:ascii="宋体" w:hAnsi="宋体" w:eastAsia="宋体" w:cs="宋体"/>
          <w:color w:val="000000" w:themeColor="text1"/>
          <w:lang w:eastAsia="zh-CN"/>
          <w14:textFill>
            <w14:solidFill>
              <w14:schemeClr w14:val="tx1"/>
            </w14:solidFill>
          </w14:textFill>
        </w:rPr>
        <w:t>招标文件</w:t>
      </w:r>
      <w:r>
        <w:rPr>
          <w:rFonts w:hint="eastAsia" w:ascii="宋体" w:hAnsi="宋体" w:eastAsia="宋体" w:cs="宋体"/>
          <w:color w:val="000000" w:themeColor="text1"/>
          <w14:textFill>
            <w14:solidFill>
              <w14:schemeClr w14:val="tx1"/>
            </w14:solidFill>
          </w14:textFill>
        </w:rPr>
        <w:t>的构成</w:t>
      </w:r>
      <w:bookmarkEnd w:id="79"/>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（详见本招标文件目录明细）</w:t>
      </w:r>
    </w:p>
    <w:p>
      <w:pPr>
        <w:pStyle w:val="4"/>
        <w:bidi w:val="0"/>
        <w:rPr>
          <w:rFonts w:hint="eastAsia" w:ascii="宋体" w:hAnsi="宋体" w:eastAsia="宋体" w:cs="宋体"/>
          <w:color w:val="000000" w:themeColor="text1"/>
          <w14:textFill>
            <w14:solidFill>
              <w14:schemeClr w14:val="tx1"/>
            </w14:solidFill>
          </w14:textFill>
        </w:rPr>
      </w:pPr>
      <w:bookmarkStart w:id="80" w:name="_Toc9329"/>
      <w:r>
        <w:rPr>
          <w:rFonts w:hint="eastAsia" w:ascii="宋体" w:hAnsi="宋体" w:eastAsia="宋体" w:cs="宋体"/>
          <w:color w:val="000000" w:themeColor="text1"/>
          <w:lang w:val="en-US" w:eastAsia="zh-CN"/>
          <w14:textFill>
            <w14:solidFill>
              <w14:schemeClr w14:val="tx1"/>
            </w14:solidFill>
          </w14:textFill>
        </w:rPr>
        <w:t>10</w:t>
      </w:r>
      <w:r>
        <w:rPr>
          <w:rFonts w:hint="eastAsia" w:ascii="宋体" w:hAnsi="宋体" w:eastAsia="宋体" w:cs="宋体"/>
          <w:color w:val="000000" w:themeColor="text1"/>
          <w14:textFill>
            <w14:solidFill>
              <w14:schemeClr w14:val="tx1"/>
            </w14:solidFill>
          </w14:textFill>
        </w:rPr>
        <w:t>、投标人的风险</w:t>
      </w:r>
      <w:bookmarkEnd w:id="8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投标人没有按照</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要求提供全部资料，或者投标人没有对</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在各方面作出实质性响应是投标人的风险，并可能导致其投标被拒绝。</w:t>
      </w:r>
    </w:p>
    <w:p>
      <w:pPr>
        <w:pStyle w:val="4"/>
        <w:bidi w:val="0"/>
        <w:rPr>
          <w:rFonts w:hint="eastAsia" w:ascii="宋体" w:hAnsi="宋体" w:eastAsia="宋体" w:cs="宋体"/>
          <w:color w:val="000000" w:themeColor="text1"/>
          <w14:textFill>
            <w14:solidFill>
              <w14:schemeClr w14:val="tx1"/>
            </w14:solidFill>
          </w14:textFill>
        </w:rPr>
      </w:pPr>
      <w:bookmarkStart w:id="81" w:name="_Toc14128"/>
      <w:bookmarkStart w:id="82" w:name="_Toc9510637"/>
      <w:r>
        <w:rPr>
          <w:rFonts w:hint="eastAsia" w:ascii="宋体" w:hAnsi="宋体" w:eastAsia="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招标文件</w:t>
      </w:r>
      <w:r>
        <w:rPr>
          <w:rFonts w:hint="eastAsia" w:ascii="宋体" w:hAnsi="宋体" w:eastAsia="宋体" w:cs="宋体"/>
          <w:color w:val="000000" w:themeColor="text1"/>
          <w14:textFill>
            <w14:solidFill>
              <w14:schemeClr w14:val="tx1"/>
            </w14:solidFill>
          </w14:textFill>
        </w:rPr>
        <w:t>的澄清与修改</w:t>
      </w:r>
      <w:bookmarkEnd w:id="81"/>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.1采购人或采购代理机构对已发出的</w:t>
      </w:r>
      <w:r>
        <w:rPr>
          <w:rFonts w:hint="eastAsia" w:ascii="宋体" w:hAnsi="宋体" w:eastAsia="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进行必要澄清或者修改的，应当在投标人须知前附表规定的提交投标文件截止时间15日前，在原刊登招标公告的媒体上发布更正公告，并以书面形式通知所有</w:t>
      </w:r>
      <w:r>
        <w:rPr>
          <w:rFonts w:hint="eastAsia" w:ascii="宋体" w:hAnsi="宋体" w:eastAsia="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收受人。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.2澄清或者修改的内容可能影响投标文件编制的，采购人或者采购代理机构应当在投标截止时间至少15日前，以书面形式通知所有获取</w:t>
      </w:r>
      <w:r>
        <w:rPr>
          <w:rFonts w:hint="eastAsia" w:ascii="宋体" w:hAnsi="宋体" w:eastAsia="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的潜在投标人；不足15日的，采购人或者采购代理机构应当顺延提交投标文件的截止时间。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.3澄清或者修改内容为</w:t>
      </w:r>
      <w:r>
        <w:rPr>
          <w:rFonts w:hint="eastAsia" w:ascii="宋体" w:hAnsi="宋体" w:eastAsia="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的组成部分，对所有领取了</w:t>
      </w:r>
      <w:r>
        <w:rPr>
          <w:rFonts w:hint="eastAsia" w:ascii="宋体" w:hAnsi="宋体" w:eastAsia="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的潜在投标人均具有约束力。</w:t>
      </w:r>
    </w:p>
    <w:p>
      <w:pPr>
        <w:pStyle w:val="3"/>
        <w:bidi w:val="0"/>
        <w:rPr>
          <w:rFonts w:hint="eastAsia" w:ascii="宋体" w:hAnsi="宋体" w:eastAsia="宋体" w:cs="宋体"/>
          <w:color w:val="000000" w:themeColor="text1"/>
          <w14:textFill>
            <w14:solidFill>
              <w14:schemeClr w14:val="tx1"/>
            </w14:solidFill>
          </w14:textFill>
        </w:rPr>
      </w:pPr>
      <w:bookmarkStart w:id="83" w:name="_Toc25731"/>
      <w:bookmarkStart w:id="84" w:name="_Toc3009"/>
      <w:r>
        <w:rPr>
          <w:rFonts w:hint="eastAsia" w:ascii="宋体" w:hAnsi="宋体" w:eastAsia="宋体" w:cs="宋体"/>
          <w:color w:val="000000" w:themeColor="text1"/>
          <w14:textFill>
            <w14:solidFill>
              <w14:schemeClr w14:val="tx1"/>
            </w14:solidFill>
          </w14:textFill>
        </w:rPr>
        <w:t>三、投标文件的编制</w:t>
      </w:r>
      <w:bookmarkEnd w:id="83"/>
      <w:bookmarkEnd w:id="84"/>
    </w:p>
    <w:bookmarkEnd w:id="82"/>
    <w:p>
      <w:pPr>
        <w:keepNext w:val="0"/>
        <w:keepLines w:val="0"/>
        <w:pageBreakBefore w:val="0"/>
        <w:widowControl w:val="0"/>
        <w:kinsoku/>
        <w:wordWrap/>
        <w:overflowPunct/>
        <w:topLinePunct w:val="0"/>
        <w:autoSpaceDE/>
        <w:autoSpaceDN/>
        <w:bidi w:val="0"/>
        <w:adjustRightInd w:val="0"/>
        <w:snapToGrid w:val="0"/>
        <w:spacing w:line="500" w:lineRule="exact"/>
        <w:ind w:firstLine="472" w:firstLineChars="196"/>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投标人应认真阅读</w:t>
      </w:r>
      <w:r>
        <w:rPr>
          <w:rFonts w:hint="eastAsia" w:ascii="宋体" w:hAnsi="宋体" w:eastAsia="宋体" w:cs="宋体"/>
          <w:b/>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
          <w:color w:val="000000" w:themeColor="text1"/>
          <w:sz w:val="24"/>
          <w:szCs w:val="24"/>
          <w:highlight w:val="none"/>
          <w14:textFill>
            <w14:solidFill>
              <w14:schemeClr w14:val="tx1"/>
            </w14:solidFill>
          </w14:textFill>
        </w:rPr>
        <w:t>中所有的事项、格式、条款和技术要求等内容。如果投标人没有按照</w:t>
      </w:r>
      <w:r>
        <w:rPr>
          <w:rFonts w:hint="eastAsia" w:ascii="宋体" w:hAnsi="宋体" w:eastAsia="宋体" w:cs="宋体"/>
          <w:b/>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
          <w:color w:val="000000" w:themeColor="text1"/>
          <w:sz w:val="24"/>
          <w:szCs w:val="24"/>
          <w:highlight w:val="none"/>
          <w14:textFill>
            <w14:solidFill>
              <w14:schemeClr w14:val="tx1"/>
            </w14:solidFill>
          </w14:textFill>
        </w:rPr>
        <w:t>的要求和规定编制投标文件及提交全部资料，或者投标文件没有对</w:t>
      </w:r>
      <w:r>
        <w:rPr>
          <w:rFonts w:hint="eastAsia" w:ascii="宋体" w:hAnsi="宋体" w:eastAsia="宋体" w:cs="宋体"/>
          <w:b/>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
          <w:color w:val="000000" w:themeColor="text1"/>
          <w:sz w:val="24"/>
          <w:szCs w:val="24"/>
          <w:highlight w:val="none"/>
          <w14:textFill>
            <w14:solidFill>
              <w14:schemeClr w14:val="tx1"/>
            </w14:solidFill>
          </w14:textFill>
        </w:rPr>
        <w:t>中的各方面作出实质性响应，其风险应由投标人承担。投标文件应按照每包的要求编制并独立密封，不得混装，否则视为无效标。</w:t>
      </w:r>
    </w:p>
    <w:p>
      <w:pPr>
        <w:pStyle w:val="4"/>
        <w:bidi w:val="0"/>
        <w:rPr>
          <w:rFonts w:hint="eastAsia" w:ascii="宋体" w:hAnsi="宋体" w:eastAsia="宋体" w:cs="宋体"/>
          <w:color w:val="000000" w:themeColor="text1"/>
          <w14:textFill>
            <w14:solidFill>
              <w14:schemeClr w14:val="tx1"/>
            </w14:solidFill>
          </w14:textFill>
        </w:rPr>
      </w:pPr>
      <w:bookmarkStart w:id="85" w:name="_Toc29638"/>
      <w:bookmarkStart w:id="86" w:name="_Toc26745"/>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、投标文件的组成</w:t>
      </w:r>
      <w:bookmarkEnd w:id="85"/>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投标文件由报价</w:t>
      </w:r>
      <w:r>
        <w:rPr>
          <w:rFonts w:hint="eastAsia" w:ascii="宋体" w:hAnsi="宋体" w:eastAsia="宋体" w:cs="宋体"/>
          <w:b/>
          <w:color w:val="000000" w:themeColor="text1"/>
          <w:sz w:val="24"/>
          <w:szCs w:val="24"/>
          <w:highlight w:val="none"/>
          <w:lang w:eastAsia="zh-CN"/>
          <w14:textFill>
            <w14:solidFill>
              <w14:schemeClr w14:val="tx1"/>
            </w14:solidFill>
          </w14:textFill>
        </w:rPr>
        <w:t>部分</w:t>
      </w:r>
      <w:r>
        <w:rPr>
          <w:rFonts w:hint="eastAsia" w:ascii="宋体" w:hAnsi="宋体" w:eastAsia="宋体" w:cs="宋体"/>
          <w:b/>
          <w:color w:val="000000" w:themeColor="text1"/>
          <w:sz w:val="24"/>
          <w:szCs w:val="24"/>
          <w:highlight w:val="none"/>
          <w14:textFill>
            <w14:solidFill>
              <w14:schemeClr w14:val="tx1"/>
            </w14:solidFill>
          </w14:textFill>
        </w:rPr>
        <w:t>、商务</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和</w:t>
      </w:r>
      <w:r>
        <w:rPr>
          <w:rFonts w:hint="eastAsia" w:ascii="宋体" w:hAnsi="宋体" w:eastAsia="宋体" w:cs="宋体"/>
          <w:b/>
          <w:color w:val="000000" w:themeColor="text1"/>
          <w:sz w:val="24"/>
          <w:szCs w:val="24"/>
          <w:highlight w:val="none"/>
          <w14:textFill>
            <w14:solidFill>
              <w14:schemeClr w14:val="tx1"/>
            </w14:solidFill>
          </w14:textFill>
        </w:rPr>
        <w:t>技术</w:t>
      </w:r>
      <w:r>
        <w:rPr>
          <w:rFonts w:hint="eastAsia" w:ascii="宋体" w:hAnsi="宋体" w:eastAsia="宋体" w:cs="宋体"/>
          <w:b/>
          <w:color w:val="000000" w:themeColor="text1"/>
          <w:sz w:val="24"/>
          <w:szCs w:val="24"/>
          <w:highlight w:val="none"/>
          <w:lang w:eastAsia="zh-CN"/>
          <w14:textFill>
            <w14:solidFill>
              <w14:schemeClr w14:val="tx1"/>
            </w14:solidFill>
          </w14:textFill>
        </w:rPr>
        <w:t>部分</w:t>
      </w:r>
      <w:r>
        <w:rPr>
          <w:rFonts w:hint="eastAsia" w:ascii="宋体" w:hAnsi="宋体" w:eastAsia="宋体" w:cs="宋体"/>
          <w:b/>
          <w:color w:val="000000" w:themeColor="text1"/>
          <w:sz w:val="24"/>
          <w:szCs w:val="24"/>
          <w:highlight w:val="none"/>
          <w14:textFill>
            <w14:solidFill>
              <w14:schemeClr w14:val="tx1"/>
            </w14:solidFill>
          </w14:textFill>
        </w:rPr>
        <w:t>组成</w:t>
      </w:r>
      <w:r>
        <w:rPr>
          <w:rFonts w:hint="eastAsia" w:ascii="宋体" w:hAnsi="宋体" w:eastAsia="宋体" w:cs="宋体"/>
          <w:b/>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.1 报价</w:t>
      </w:r>
      <w:r>
        <w:rPr>
          <w:rFonts w:hint="eastAsia" w:ascii="宋体" w:hAnsi="宋体" w:eastAsia="宋体" w:cs="宋体"/>
          <w:b/>
          <w:color w:val="000000" w:themeColor="text1"/>
          <w:sz w:val="24"/>
          <w:szCs w:val="24"/>
          <w:highlight w:val="none"/>
          <w:lang w:eastAsia="zh-CN"/>
          <w14:textFill>
            <w14:solidFill>
              <w14:schemeClr w14:val="tx1"/>
            </w14:solidFill>
          </w14:textFill>
        </w:rPr>
        <w:t>部分</w:t>
      </w:r>
    </w:p>
    <w:p>
      <w:pPr>
        <w:keepNext w:val="0"/>
        <w:keepLines w:val="0"/>
        <w:pageBreakBefore w:val="0"/>
        <w:widowControl w:val="0"/>
        <w:tabs>
          <w:tab w:val="left" w:pos="3870"/>
          <w:tab w:val="left" w:pos="4085"/>
        </w:tabs>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（1）投标函（格式见附件）；</w:t>
      </w:r>
    </w:p>
    <w:p>
      <w:pPr>
        <w:keepNext w:val="0"/>
        <w:keepLines w:val="0"/>
        <w:pageBreakBefore w:val="0"/>
        <w:widowControl w:val="0"/>
        <w:tabs>
          <w:tab w:val="left" w:pos="3870"/>
          <w:tab w:val="left" w:pos="4085"/>
        </w:tabs>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（2）投标报价（格式见附件）；</w:t>
      </w:r>
    </w:p>
    <w:p>
      <w:pPr>
        <w:keepNext w:val="0"/>
        <w:keepLines w:val="0"/>
        <w:pageBreakBefore w:val="0"/>
        <w:widowControl w:val="0"/>
        <w:tabs>
          <w:tab w:val="left" w:pos="3870"/>
          <w:tab w:val="left" w:pos="4085"/>
        </w:tabs>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（3）投标保证金</w:t>
      </w:r>
      <w:r>
        <w:rPr>
          <w:rFonts w:hint="eastAsia" w:ascii="宋体" w:hAnsi="宋体" w:eastAsia="宋体" w:cs="宋体"/>
          <w:color w:val="000000" w:themeColor="text1"/>
          <w:sz w:val="24"/>
          <w:szCs w:val="24"/>
          <w:highlight w:val="none"/>
          <w:lang w:eastAsia="zh-CN"/>
          <w14:textFill>
            <w14:solidFill>
              <w14:schemeClr w14:val="tx1"/>
            </w14:solidFill>
          </w14:textFill>
        </w:rPr>
        <w:t>收据</w:t>
      </w:r>
      <w:r>
        <w:rPr>
          <w:rFonts w:hint="eastAsia" w:ascii="宋体" w:hAnsi="宋体" w:eastAsia="宋体" w:cs="宋体"/>
          <w:color w:val="000000" w:themeColor="text1"/>
          <w:sz w:val="24"/>
          <w:szCs w:val="24"/>
          <w:highlight w:val="none"/>
          <w14:textFill>
            <w14:solidFill>
              <w14:schemeClr w14:val="tx1"/>
            </w14:solidFill>
          </w14:textFill>
        </w:rPr>
        <w:t>复印件；</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宋体" w:hAnsi="宋体" w:eastAsia="宋体" w:cs="宋体"/>
          <w:b/>
          <w:color w:val="0000FF"/>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.2商务</w:t>
      </w:r>
      <w:r>
        <w:rPr>
          <w:rFonts w:hint="eastAsia" w:ascii="宋体" w:hAnsi="宋体" w:eastAsia="宋体" w:cs="宋体"/>
          <w:b/>
          <w:color w:val="auto"/>
          <w:sz w:val="24"/>
          <w:szCs w:val="24"/>
          <w:highlight w:val="none"/>
          <w:lang w:val="en-US" w:eastAsia="zh-CN"/>
        </w:rPr>
        <w:t>部分</w:t>
      </w:r>
    </w:p>
    <w:p>
      <w:pPr>
        <w:keepNext w:val="0"/>
        <w:keepLines w:val="0"/>
        <w:pageBreakBefore w:val="0"/>
        <w:widowControl w:val="0"/>
        <w:kinsoku/>
        <w:wordWrap/>
        <w:overflowPunct/>
        <w:topLinePunct w:val="0"/>
        <w:bidi w:val="0"/>
        <w:adjustRightInd w:val="0"/>
        <w:snapToGrid w:val="0"/>
        <w:spacing w:line="500" w:lineRule="exact"/>
        <w:ind w:firstLine="470" w:firstLineChars="19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（1）投标声明书(格式见附件)；</w:t>
      </w:r>
    </w:p>
    <w:p>
      <w:pPr>
        <w:keepNext w:val="0"/>
        <w:keepLines w:val="0"/>
        <w:pageBreakBefore w:val="0"/>
        <w:widowControl w:val="0"/>
        <w:kinsoku/>
        <w:wordWrap/>
        <w:overflowPunct/>
        <w:topLinePunct w:val="0"/>
        <w:bidi w:val="0"/>
        <w:adjustRightInd w:val="0"/>
        <w:snapToGrid w:val="0"/>
        <w:spacing w:line="500" w:lineRule="exact"/>
        <w:ind w:firstLine="470" w:firstLineChars="196"/>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（2）授权委托书(格式见附件)；</w:t>
      </w:r>
    </w:p>
    <w:p>
      <w:pPr>
        <w:keepNext w:val="0"/>
        <w:keepLines w:val="0"/>
        <w:pageBreakBefore w:val="0"/>
        <w:widowControl w:val="0"/>
        <w:kinsoku/>
        <w:wordWrap/>
        <w:overflowPunct/>
        <w:topLinePunct w:val="0"/>
        <w:bidi w:val="0"/>
        <w:adjustRightInd w:val="0"/>
        <w:snapToGrid w:val="0"/>
        <w:spacing w:line="500" w:lineRule="exact"/>
        <w:ind w:firstLine="470" w:firstLineChars="19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2020-2022年</w:t>
      </w:r>
      <w:r>
        <w:rPr>
          <w:rFonts w:hint="eastAsia" w:ascii="宋体" w:hAnsi="宋体" w:eastAsia="宋体" w:cs="宋体"/>
          <w:color w:val="auto"/>
          <w:sz w:val="24"/>
          <w:szCs w:val="24"/>
          <w:highlight w:val="none"/>
        </w:rPr>
        <w:t>经审计的财务报表</w:t>
      </w:r>
      <w:r>
        <w:rPr>
          <w:rFonts w:hint="eastAsia" w:ascii="宋体" w:hAnsi="宋体" w:eastAsia="宋体" w:cs="宋体"/>
          <w:color w:val="000000" w:themeColor="text1"/>
          <w:sz w:val="24"/>
          <w:szCs w:val="24"/>
          <w:highlight w:val="none"/>
          <w14:textFill>
            <w14:solidFill>
              <w14:schemeClr w14:val="tx1"/>
            </w14:solidFill>
          </w14:textFill>
        </w:rPr>
        <w:t>或银行出具的资信证明</w:t>
      </w:r>
      <w:r>
        <w:rPr>
          <w:rFonts w:hint="eastAsia" w:ascii="宋体" w:hAnsi="宋体" w:eastAsia="宋体" w:cs="宋体"/>
          <w:color w:val="auto"/>
          <w:sz w:val="24"/>
          <w:szCs w:val="24"/>
          <w:highlight w:val="none"/>
        </w:rPr>
        <w:t>及开标前6个月内（至少提供1个月）缴纳税收的凭据（税费凭证复印件，或者依法缴纳税费或依法免缴税费的证明）；</w:t>
      </w:r>
    </w:p>
    <w:p>
      <w:pPr>
        <w:keepNext w:val="0"/>
        <w:keepLines w:val="0"/>
        <w:pageBreakBefore w:val="0"/>
        <w:widowControl w:val="0"/>
        <w:kinsoku/>
        <w:wordWrap/>
        <w:overflowPunct/>
        <w:topLinePunct w:val="0"/>
        <w:bidi w:val="0"/>
        <w:adjustRightInd w:val="0"/>
        <w:snapToGrid w:val="0"/>
        <w:spacing w:line="500" w:lineRule="exact"/>
        <w:ind w:firstLine="470" w:firstLineChars="19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auto"/>
          <w:sz w:val="24"/>
          <w:szCs w:val="24"/>
          <w:highlight w:val="none"/>
        </w:rPr>
        <w:t>（4）</w:t>
      </w:r>
      <w:r>
        <w:rPr>
          <w:rFonts w:hint="eastAsia" w:ascii="宋体" w:hAnsi="宋体" w:eastAsia="宋体" w:cs="宋体"/>
          <w:color w:val="000000" w:themeColor="text1"/>
          <w:sz w:val="24"/>
          <w:szCs w:val="24"/>
          <w:highlight w:val="none"/>
          <w14:textFill>
            <w14:solidFill>
              <w14:schemeClr w14:val="tx1"/>
            </w14:solidFill>
          </w14:textFill>
        </w:rPr>
        <w:t>投标人已取得的各种有效的认证证书、银行资信、政府部门（企业）或第三方权威鉴定机构出具的信用等级证书或证明复印件 (如有)；</w:t>
      </w:r>
    </w:p>
    <w:p>
      <w:pPr>
        <w:keepNext w:val="0"/>
        <w:keepLines w:val="0"/>
        <w:pageBreakBefore w:val="0"/>
        <w:widowControl w:val="0"/>
        <w:kinsoku/>
        <w:wordWrap/>
        <w:overflowPunct/>
        <w:topLinePunct w:val="0"/>
        <w:bidi w:val="0"/>
        <w:adjustRightInd w:val="0"/>
        <w:snapToGrid w:val="0"/>
        <w:spacing w:line="500" w:lineRule="exact"/>
        <w:ind w:firstLine="470" w:firstLineChars="19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）20</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01</w:t>
      </w:r>
      <w:r>
        <w:rPr>
          <w:rFonts w:hint="eastAsia" w:ascii="宋体" w:hAnsi="宋体" w:eastAsia="宋体" w:cs="宋体"/>
          <w:color w:val="000000" w:themeColor="text1"/>
          <w:sz w:val="24"/>
          <w:szCs w:val="24"/>
          <w:highlight w:val="none"/>
          <w14:textFill>
            <w14:solidFill>
              <w14:schemeClr w14:val="tx1"/>
            </w14:solidFill>
          </w14:textFill>
        </w:rPr>
        <w:t>日以来</w:t>
      </w:r>
      <w:r>
        <w:rPr>
          <w:rFonts w:hint="eastAsia" w:ascii="宋体" w:hAnsi="宋体" w:eastAsia="宋体" w:cs="宋体"/>
          <w:color w:val="000000" w:themeColor="text1"/>
          <w:sz w:val="24"/>
          <w:szCs w:val="24"/>
          <w:highlight w:val="none"/>
          <w:lang w:val="en-US" w:eastAsia="zh-CN"/>
          <w14:textFill>
            <w14:solidFill>
              <w14:schemeClr w14:val="tx1"/>
            </w14:solidFill>
          </w14:textFill>
        </w:rPr>
        <w:t>的类似</w:t>
      </w:r>
      <w:r>
        <w:rPr>
          <w:rFonts w:hint="eastAsia" w:ascii="宋体" w:hAnsi="宋体" w:eastAsia="宋体" w:cs="宋体"/>
          <w:color w:val="000000" w:themeColor="text1"/>
          <w:sz w:val="24"/>
          <w:szCs w:val="24"/>
          <w:highlight w:val="none"/>
          <w14:textFill>
            <w14:solidFill>
              <w14:schemeClr w14:val="tx1"/>
            </w14:solidFill>
          </w14:textFill>
        </w:rPr>
        <w:t>成功业绩（</w:t>
      </w:r>
      <w:r>
        <w:rPr>
          <w:rFonts w:hint="eastAsia" w:ascii="宋体" w:hAnsi="宋体" w:eastAsia="宋体" w:cs="宋体"/>
          <w:color w:val="000000" w:themeColor="text1"/>
          <w:sz w:val="24"/>
          <w:szCs w:val="24"/>
          <w:highlight w:val="none"/>
          <w:lang w:val="en-US" w:eastAsia="zh-CN"/>
          <w14:textFill>
            <w14:solidFill>
              <w14:schemeClr w14:val="tx1"/>
            </w14:solidFill>
          </w14:textFill>
        </w:rPr>
        <w:t>详见评分细则</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同时</w:t>
      </w:r>
      <w:r>
        <w:rPr>
          <w:rFonts w:hint="eastAsia" w:ascii="宋体" w:hAnsi="宋体" w:eastAsia="宋体" w:cs="宋体"/>
          <w:color w:val="000000" w:themeColor="text1"/>
          <w:sz w:val="24"/>
          <w:szCs w:val="24"/>
          <w:highlight w:val="none"/>
          <w14:textFill>
            <w14:solidFill>
              <w14:schemeClr w14:val="tx1"/>
            </w14:solidFill>
          </w14:textFill>
        </w:rPr>
        <w:t>需提供与合同</w:t>
      </w:r>
      <w:r>
        <w:rPr>
          <w:rFonts w:hint="eastAsia" w:ascii="宋体" w:hAnsi="宋体" w:cs="宋体"/>
          <w:color w:val="000000" w:themeColor="text1"/>
          <w:sz w:val="24"/>
          <w:szCs w:val="24"/>
          <w:highlight w:val="none"/>
          <w:lang w:eastAsia="zh-CN"/>
          <w14:textFill>
            <w14:solidFill>
              <w14:schemeClr w14:val="tx1"/>
            </w14:solidFill>
          </w14:textFill>
        </w:rPr>
        <w:t>或</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lang w:val="en-US" w:eastAsia="zh-CN"/>
          <w14:textFill>
            <w14:solidFill>
              <w14:schemeClr w14:val="tx1"/>
            </w14:solidFill>
          </w14:textFill>
        </w:rPr>
        <w:t>通知书等资料</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zh-CN"/>
          <w14:textFill>
            <w14:solidFill>
              <w14:schemeClr w14:val="tx1"/>
            </w14:solidFill>
          </w14:textFill>
        </w:rPr>
        <w:t>复印件并加盖公章，</w:t>
      </w:r>
      <w:r>
        <w:rPr>
          <w:rFonts w:hint="eastAsia" w:ascii="宋体" w:hAnsi="宋体" w:eastAsia="宋体" w:cs="宋体"/>
          <w:color w:val="000000" w:themeColor="text1"/>
          <w:sz w:val="24"/>
          <w:szCs w:val="24"/>
          <w:highlight w:val="none"/>
          <w14:textFill>
            <w14:solidFill>
              <w14:schemeClr w14:val="tx1"/>
            </w14:solidFill>
          </w14:textFill>
        </w:rPr>
        <w:t>如出现与事实不符等情况，将根据有关规定以“提供虚假材料谋取中标”予以处罚）；</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）投标人情况介绍（格式见附件）；</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）政府采购政策扶持证明材料；</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）商务响应表（格式见附件）；</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）近三年在经营活动中没有重大违法记录的书面声明；</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.3 技术</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部分</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（1）针对本项目的详细实施计划：包括产品供货、验货、安装、调试、</w:t>
      </w:r>
      <w:r>
        <w:rPr>
          <w:rFonts w:hint="eastAsia" w:ascii="宋体" w:hAnsi="宋体" w:eastAsia="宋体" w:cs="宋体"/>
          <w:color w:val="000000" w:themeColor="text1"/>
          <w:sz w:val="24"/>
          <w:szCs w:val="24"/>
          <w:highlight w:val="none"/>
          <w:lang w:eastAsia="zh-CN"/>
          <w14:textFill>
            <w14:solidFill>
              <w14:schemeClr w14:val="tx1"/>
            </w14:solidFill>
          </w14:textFill>
        </w:rPr>
        <w:t>后期维护</w:t>
      </w:r>
      <w:r>
        <w:rPr>
          <w:rFonts w:hint="eastAsia" w:ascii="宋体" w:hAnsi="宋体" w:eastAsia="宋体" w:cs="宋体"/>
          <w:color w:val="000000" w:themeColor="text1"/>
          <w:sz w:val="24"/>
          <w:szCs w:val="24"/>
          <w:highlight w:val="none"/>
          <w14:textFill>
            <w14:solidFill>
              <w14:schemeClr w14:val="tx1"/>
            </w14:solidFill>
          </w14:textFill>
        </w:rPr>
        <w:t>等内容；</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（2）针对本项目的详细实施组织方案：包括（但不限于）组织机构、工作时间进度表、工作程序和步骤、管理和协调方法；</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（3）货物说明；</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（4）产品详细配置和技术性能指标；</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（5）技术偏离表； </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（6）产品验收清单，验收标准和验收方法（应说明验收方法和验收条件、安装验收需用的环境及配套条件）；</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针对本项目的售后服务方案：包括售后服务机构及人员等情况等、以书面形式完整准确地表述制造厂家的标准售后服务承诺（范围、标准及期限等）、培训计划（每项注明具体内容及是否需要费用）、投标人可能增加的服务承诺等，并明示服务承诺可能涉及的前提设定和费用，否则将被认为是无条件和免费的；</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（8）备品备件清单及供应保障（包括其供货渠道及价格）（如有）；</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（9）其他优惠条件（如有）：投标人承诺给予采购人的各种优惠条件，包括备品备件、专用耗材等；</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（10）投标人需要提供的其他文件或资料（如有）。</w:t>
      </w:r>
    </w:p>
    <w:p>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szCs w:val="24"/>
          <w:highlight w:val="none"/>
        </w:rPr>
        <w:t>注：授权委托书、投标声明书、投标函、开标一览表必须由法定代表人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负责人、自然人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或其授权代表签名（按格式要求）并加盖单位公章。</w:t>
      </w:r>
    </w:p>
    <w:p>
      <w:pPr>
        <w:pStyle w:val="4"/>
        <w:bidi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、投标文件的语言及计量</w:t>
      </w:r>
      <w:bookmarkEnd w:id="86"/>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.1 投标文件以及投标方与招标方就有关投标事宜的所有来往函电，均应以中文汉语书写。除签名、盖章、专用名称等特殊情形外，以中文汉语以外的文字表述的投标文件视同未提供。</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.2 投标计量单位，</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已有明确规定的，使用</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规定的计量单位；</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没有规定的，应采用中华人民共和国法定计量单位（货币单位：人民币元），否则视同未响应。</w:t>
      </w:r>
    </w:p>
    <w:p>
      <w:pPr>
        <w:pStyle w:val="4"/>
        <w:bidi w:val="0"/>
        <w:rPr>
          <w:rFonts w:hint="eastAsia" w:ascii="宋体" w:hAnsi="宋体" w:eastAsia="宋体" w:cs="宋体"/>
          <w:color w:val="000000" w:themeColor="text1"/>
          <w14:textFill>
            <w14:solidFill>
              <w14:schemeClr w14:val="tx1"/>
            </w14:solidFill>
          </w14:textFill>
        </w:rPr>
      </w:pPr>
      <w:bookmarkStart w:id="87" w:name="_Toc10847"/>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、投标报价</w:t>
      </w:r>
      <w:bookmarkEnd w:id="87"/>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投标报价按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中相关附表格式填写，应为所投</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的产品的单价报价，每个产品只允许一个报价。</w:t>
      </w:r>
      <w:r>
        <w:rPr>
          <w:rFonts w:hint="eastAsia" w:ascii="宋体" w:hAnsi="宋体" w:eastAsia="宋体" w:cs="宋体"/>
          <w:bCs/>
          <w:color w:val="000000" w:themeColor="text1"/>
          <w:sz w:val="24"/>
          <w:szCs w:val="24"/>
          <w:highlight w:val="none"/>
          <w14:textFill>
            <w14:solidFill>
              <w14:schemeClr w14:val="tx1"/>
            </w14:solidFill>
          </w14:textFill>
        </w:rPr>
        <w:t>同型号产品参与投标的，则其报价必须相同，否则视为有选择性报价，按无效标处理</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投标报价应包括货款、标准附件、备品备件、专用工具、包装、运输、装卸、保险、税金、货到就位以及安装、调试、培训、保修等一切税金和费用。</w:t>
      </w:r>
    </w:p>
    <w:p>
      <w:pPr>
        <w:keepNext w:val="0"/>
        <w:keepLines w:val="0"/>
        <w:pageBreakBefore w:val="0"/>
        <w:widowControl w:val="0"/>
        <w:tabs>
          <w:tab w:val="left" w:pos="525"/>
        </w:tabs>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每种货物只允许有一个报价，有选择的或有条件的报价将不予接受。</w:t>
      </w:r>
    </w:p>
    <w:p>
      <w:pPr>
        <w:pStyle w:val="4"/>
        <w:bidi w:val="0"/>
        <w:rPr>
          <w:rFonts w:hint="eastAsia" w:ascii="宋体" w:hAnsi="宋体" w:eastAsia="宋体" w:cs="宋体"/>
          <w:color w:val="000000" w:themeColor="text1"/>
          <w14:textFill>
            <w14:solidFill>
              <w14:schemeClr w14:val="tx1"/>
            </w14:solidFill>
          </w14:textFill>
        </w:rPr>
      </w:pPr>
      <w:bookmarkStart w:id="88" w:name="_Toc11872"/>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、投标文件的有效期</w:t>
      </w:r>
      <w:bookmarkEnd w:id="88"/>
    </w:p>
    <w:p>
      <w:pPr>
        <w:keepNext w:val="0"/>
        <w:keepLines w:val="0"/>
        <w:pageBreakBefore w:val="0"/>
        <w:widowControl w:val="0"/>
        <w:tabs>
          <w:tab w:val="left" w:pos="454"/>
          <w:tab w:val="left" w:pos="720"/>
        </w:tabs>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.1 自投标截止日起</w:t>
      </w:r>
      <w:r>
        <w:rPr>
          <w:rFonts w:hint="eastAsia" w:ascii="宋体" w:hAnsi="宋体" w:eastAsia="宋体" w:cs="宋体"/>
          <w:color w:val="000000" w:themeColor="text1"/>
          <w:kern w:val="0"/>
          <w:sz w:val="24"/>
          <w:szCs w:val="24"/>
          <w:highlight w:val="none"/>
          <w:u w:val="single"/>
          <w14:textFill>
            <w14:solidFill>
              <w14:schemeClr w14:val="tx1"/>
            </w14:solidFill>
          </w14:textFill>
        </w:rPr>
        <w:t>90</w:t>
      </w:r>
      <w:r>
        <w:rPr>
          <w:rFonts w:hint="eastAsia" w:ascii="宋体" w:hAnsi="宋体" w:eastAsia="宋体" w:cs="宋体"/>
          <w:color w:val="000000" w:themeColor="text1"/>
          <w:kern w:val="0"/>
          <w:sz w:val="24"/>
          <w:szCs w:val="24"/>
          <w:highlight w:val="none"/>
          <w14:textFill>
            <w14:solidFill>
              <w14:schemeClr w14:val="tx1"/>
            </w14:solidFill>
          </w14:textFill>
        </w:rPr>
        <w:t>天投标文件应保持有效。</w:t>
      </w:r>
    </w:p>
    <w:p>
      <w:pPr>
        <w:keepNext w:val="0"/>
        <w:keepLines w:val="0"/>
        <w:pageBreakBefore w:val="0"/>
        <w:widowControl w:val="0"/>
        <w:tabs>
          <w:tab w:val="left" w:pos="454"/>
          <w:tab w:val="left" w:pos="720"/>
        </w:tabs>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.2 在特殊情况下，采购人可与投标人协商延长投标书的有效期，这种要求和答复均以书面形式进行。</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 投标人可拒绝接受延期要求而不会导致投标保证金被没收。同意延长有效期的投标人需要相应延长投标保证金的有效期，但不能修改投标文件。</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 中标人的投标文件自开标之日起至合同履行完毕止均应保持有效。</w:t>
      </w:r>
    </w:p>
    <w:p>
      <w:pPr>
        <w:pStyle w:val="4"/>
        <w:bidi w:val="0"/>
        <w:rPr>
          <w:rFonts w:hint="eastAsia" w:ascii="宋体" w:hAnsi="宋体" w:eastAsia="宋体" w:cs="宋体"/>
          <w:color w:val="000000" w:themeColor="text1"/>
          <w14:textFill>
            <w14:solidFill>
              <w14:schemeClr w14:val="tx1"/>
            </w14:solidFill>
          </w14:textFill>
        </w:rPr>
      </w:pPr>
      <w:bookmarkStart w:id="89" w:name="_Toc2098"/>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、投标保证金</w:t>
      </w:r>
      <w:bookmarkEnd w:id="89"/>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投标人须按规定提交投标保证金。否则，其投标将被拒绝。</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保证金形式：从投标人基本账户以支票、汇票、本票、或者金融机构、担保机构出具的保函等非现金提交。</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.3 退还保证金时，投标人提供</w:t>
      </w:r>
      <w:r>
        <w:rPr>
          <w:rFonts w:hint="eastAsia" w:ascii="宋体" w:hAnsi="宋体" w:eastAsia="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保证金收据和单位账户信息。</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cya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.4 采购代理机构应当自中标通知书发出之日起5个工作日内退还未中标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的投标保证金，自政府采购合同签订之日起 5 个工作日内退还中标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的投标保证金。但因投标人自身原因导致无法及时退还的除外。</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.5 投标人有下列情形之一的，投标保证金将不予退还：</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（1）投标人在投标有效期内撤回投标文件的；</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（2）投标人在投标过程中弄虚作假，提供虚假材料的；</w:t>
      </w:r>
    </w:p>
    <w:p>
      <w:pPr>
        <w:keepNext w:val="0"/>
        <w:keepLines w:val="0"/>
        <w:pageBreakBefore w:val="0"/>
        <w:widowControl w:val="0"/>
        <w:kinsoku/>
        <w:wordWrap/>
        <w:overflowPunct/>
        <w:topLinePunct w:val="0"/>
        <w:bidi w:val="0"/>
        <w:adjustRightInd w:val="0"/>
        <w:snapToGrid w:val="0"/>
        <w:spacing w:line="500" w:lineRule="exact"/>
        <w:ind w:firstLine="472" w:firstLineChars="19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（3）中标人无正当理由不与采购人签订合同的；</w:t>
      </w:r>
    </w:p>
    <w:p>
      <w:pPr>
        <w:keepNext w:val="0"/>
        <w:keepLines w:val="0"/>
        <w:pageBreakBefore w:val="0"/>
        <w:widowControl w:val="0"/>
        <w:kinsoku/>
        <w:wordWrap/>
        <w:overflowPunct/>
        <w:topLinePunct w:val="0"/>
        <w:bidi w:val="0"/>
        <w:adjustRightInd w:val="0"/>
        <w:snapToGrid w:val="0"/>
        <w:spacing w:line="500" w:lineRule="exact"/>
        <w:ind w:firstLine="472" w:firstLineChars="19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（4）</w:t>
      </w:r>
      <w:r>
        <w:rPr>
          <w:rFonts w:hint="eastAsia" w:ascii="宋体" w:hAnsi="宋体" w:eastAsia="宋体" w:cs="宋体"/>
          <w:b/>
          <w:bCs/>
          <w:color w:val="000000" w:themeColor="text1"/>
          <w:sz w:val="24"/>
          <w:szCs w:val="24"/>
          <w:highlight w:val="none"/>
          <w14:textFill>
            <w14:solidFill>
              <w14:schemeClr w14:val="tx1"/>
            </w14:solidFill>
          </w14:textFill>
        </w:rPr>
        <w:t>将中标项目转让给他人或者在投标文件中未说明且未经招标采购单位同意，将项目分包给他人的；</w:t>
      </w:r>
    </w:p>
    <w:p>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（5）拒绝履行合同义务的；</w:t>
      </w:r>
    </w:p>
    <w:p>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（6）其他严重扰乱招投标程序的。</w:t>
      </w:r>
    </w:p>
    <w:p>
      <w:pPr>
        <w:pStyle w:val="4"/>
        <w:bidi w:val="0"/>
        <w:rPr>
          <w:rFonts w:hint="eastAsia" w:ascii="宋体" w:hAnsi="宋体" w:eastAsia="宋体" w:cs="宋体"/>
          <w:b/>
          <w:color w:val="000000" w:themeColor="text1"/>
          <w:sz w:val="24"/>
          <w:szCs w:val="24"/>
          <w:highlight w:val="none"/>
          <w:lang w:eastAsia="zh-CN"/>
          <w14:textFill>
            <w14:solidFill>
              <w14:schemeClr w14:val="tx1"/>
            </w14:solidFill>
          </w14:textFill>
        </w:rPr>
      </w:pPr>
      <w:bookmarkStart w:id="90" w:name="_Toc16494"/>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、投标文件</w:t>
      </w:r>
      <w:r>
        <w:rPr>
          <w:rStyle w:val="85"/>
          <w:rFonts w:hint="eastAsia" w:ascii="宋体" w:hAnsi="宋体" w:eastAsia="宋体" w:cs="宋体"/>
          <w:b/>
          <w:bCs/>
          <w:color w:val="000000" w:themeColor="text1"/>
          <w14:textFill>
            <w14:solidFill>
              <w14:schemeClr w14:val="tx1"/>
            </w14:solidFill>
          </w14:textFill>
        </w:rPr>
        <w:t>的</w:t>
      </w:r>
      <w:r>
        <w:rPr>
          <w:rFonts w:hint="eastAsia" w:ascii="宋体" w:hAnsi="宋体" w:eastAsia="宋体" w:cs="宋体"/>
          <w:b/>
          <w:color w:val="000000" w:themeColor="text1"/>
          <w:sz w:val="24"/>
          <w:szCs w:val="24"/>
          <w:highlight w:val="none"/>
          <w14:textFill>
            <w14:solidFill>
              <w14:schemeClr w14:val="tx1"/>
            </w14:solidFill>
          </w14:textFill>
        </w:rPr>
        <w:t>签署和</w:t>
      </w:r>
      <w:bookmarkEnd w:id="90"/>
      <w:r>
        <w:rPr>
          <w:rFonts w:hint="eastAsia" w:ascii="宋体" w:hAnsi="宋体" w:eastAsia="宋体" w:cs="宋体"/>
          <w:b/>
          <w:color w:val="000000" w:themeColor="text1"/>
          <w:sz w:val="24"/>
          <w:szCs w:val="24"/>
          <w:highlight w:val="none"/>
          <w:lang w:eastAsia="zh-CN"/>
          <w14:textFill>
            <w14:solidFill>
              <w14:schemeClr w14:val="tx1"/>
            </w14:solidFill>
          </w14:textFill>
        </w:rPr>
        <w:t>递交</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投标人应按本</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规定的格式和顺序编制、装订投标文件并标注页码，投标文件内容不完整、编排混乱导致投标文件被误读、漏读或者查找不到相关内容的，是投标人的责任。</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投标人应</w:t>
      </w:r>
      <w:r>
        <w:rPr>
          <w:rFonts w:hint="eastAsia" w:ascii="宋体" w:hAnsi="宋体" w:eastAsia="宋体" w:cs="宋体"/>
          <w:color w:val="000000" w:themeColor="text1"/>
          <w:sz w:val="24"/>
          <w:szCs w:val="24"/>
          <w:highlight w:val="none"/>
          <w:lang w:eastAsia="zh-CN"/>
          <w14:textFill>
            <w14:solidFill>
              <w14:schemeClr w14:val="tx1"/>
            </w14:solidFill>
          </w14:textFill>
        </w:rPr>
        <w:t>开标时间截止</w:t>
      </w:r>
      <w:r>
        <w:rPr>
          <w:rFonts w:hint="eastAsia" w:ascii="宋体" w:hAnsi="宋体" w:eastAsia="宋体" w:cs="宋体"/>
          <w:color w:val="000000" w:themeColor="text1"/>
          <w:sz w:val="24"/>
          <w:szCs w:val="24"/>
          <w:highlight w:val="none"/>
          <w14:textFill>
            <w14:solidFill>
              <w14:schemeClr w14:val="tx1"/>
            </w14:solidFill>
          </w14:textFill>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宋体" w:hAnsi="宋体" w:cs="宋体"/>
          <w:color w:val="000000" w:themeColor="text1"/>
          <w:sz w:val="24"/>
          <w:szCs w:val="24"/>
          <w:highlight w:val="none"/>
          <w:lang w:val="en-US" w:eastAsia="zh-CN"/>
          <w14:textFill>
            <w14:solidFill>
              <w14:schemeClr w14:val="tx1"/>
            </w14:solidFill>
          </w14:textFill>
        </w:rPr>
        <w:t>95763</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投标文件须由投标人在规定位置盖章并由法定代表人或法定代表人的授权委托人签署，投标人应写全称。</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17.4 </w:t>
      </w:r>
      <w:r>
        <w:rPr>
          <w:rFonts w:hint="eastAsia" w:ascii="宋体" w:hAnsi="宋体" w:eastAsia="宋体" w:cs="宋体"/>
          <w:color w:val="000000" w:themeColor="text1"/>
          <w:sz w:val="24"/>
          <w:szCs w:val="24"/>
          <w:highlight w:val="none"/>
          <w14:textFill>
            <w14:solidFill>
              <w14:schemeClr w14:val="tx1"/>
            </w14:solidFill>
          </w14:textFill>
        </w:rPr>
        <w:t>投标文件因字迹潦草或表达不清所引起的后果由投标人负责</w:t>
      </w:r>
    </w:p>
    <w:p>
      <w:pPr>
        <w:pStyle w:val="4"/>
        <w:bidi w:val="0"/>
        <w:rPr>
          <w:rFonts w:hint="eastAsia" w:ascii="宋体" w:hAnsi="宋体" w:eastAsia="宋体" w:cs="宋体"/>
          <w:color w:val="000000" w:themeColor="text1"/>
          <w:kern w:val="2"/>
          <w:sz w:val="24"/>
          <w:szCs w:val="24"/>
          <w:highlight w:val="none"/>
          <w14:textFill>
            <w14:solidFill>
              <w14:schemeClr w14:val="tx1"/>
            </w14:solidFill>
          </w14:textFill>
        </w:rPr>
      </w:pPr>
      <w:bookmarkStart w:id="91" w:name="_Toc8464"/>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w:t>
      </w:r>
      <w:bookmarkEnd w:id="91"/>
      <w:r>
        <w:rPr>
          <w:rFonts w:hint="eastAsia" w:ascii="宋体" w:hAnsi="宋体" w:eastAsia="宋体" w:cs="宋体"/>
          <w:color w:val="000000" w:themeColor="text1"/>
          <w:kern w:val="2"/>
          <w:sz w:val="24"/>
          <w:szCs w:val="24"/>
          <w:highlight w:val="none"/>
          <w14:textFill>
            <w14:solidFill>
              <w14:schemeClr w14:val="tx1"/>
            </w14:solidFill>
          </w14:textFill>
        </w:rPr>
        <w:t>投标文件的准备和解密时间要求</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1、本项目实行网上投标，采用电子投标文件。若供应商参与投标，自行承担投标一切费用。</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2、各供应商应在开标前应确保成为新疆政府采购网正式注册入库供应商，并完成CA数字证书申领。因未注册入库、未办理CA数字证书等原因造成无法投标或投标失败等后果由供应商自行承担。</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3、本项目为电子招投标，投标人需要使用CA加密设备，凡参加本项目须下载附件并填齐相关企业信息，然后发送至政采云公司指定邮箱（xjzcyca@163.com），进行申领CA加密设备。</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cs="宋体"/>
          <w:color w:val="000000" w:themeColor="text1"/>
          <w:sz w:val="24"/>
          <w:szCs w:val="24"/>
          <w:highlight w:val="none"/>
          <w:lang w:val="en-US" w:eastAsia="zh-CN"/>
          <w14:textFill>
            <w14:solidFill>
              <w14:schemeClr w14:val="tx1"/>
            </w14:solidFill>
          </w14:textFill>
        </w:rPr>
        <w:t>95763</w:t>
      </w:r>
      <w:r>
        <w:rPr>
          <w:rFonts w:hint="eastAsia" w:ascii="宋体" w:hAnsi="宋体" w:eastAsia="宋体" w:cs="宋体"/>
          <w:color w:val="000000" w:themeColor="text1"/>
          <w:kern w:val="2"/>
          <w:sz w:val="24"/>
          <w:szCs w:val="24"/>
          <w:highlight w:val="none"/>
          <w14:textFill>
            <w14:solidFill>
              <w14:schemeClr w14:val="tx1"/>
            </w14:solidFill>
          </w14:textFill>
        </w:rPr>
        <w:t>进行咨询。</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5、开标时间后30分钟内供应商可以登录“政采云”平台，用“项目采购-开标评标”功能进行解密投标文件。若供应商在规定时间内（未按时解密的，视为投标文件撤回。</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6、开标时报价签字确认时段不得超过20分钟。</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7、投标无效的情形</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扫描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4"/>
        <w:bidi w:val="0"/>
        <w:rPr>
          <w:rFonts w:hint="eastAsia" w:ascii="宋体" w:hAnsi="宋体" w:eastAsia="宋体" w:cs="宋体"/>
          <w:color w:val="000000" w:themeColor="text1"/>
          <w14:textFill>
            <w14:solidFill>
              <w14:schemeClr w14:val="tx1"/>
            </w14:solidFill>
          </w14:textFill>
        </w:rPr>
      </w:pPr>
      <w:bookmarkStart w:id="92" w:name="_Toc5085"/>
      <w:r>
        <w:rPr>
          <w:rFonts w:hint="eastAsia" w:ascii="宋体" w:hAnsi="宋体" w:eastAsia="宋体" w:cs="宋体"/>
          <w:color w:val="000000" w:themeColor="text1"/>
          <w:lang w:val="en-US" w:eastAsia="zh-CN"/>
          <w14:textFill>
            <w14:solidFill>
              <w14:schemeClr w14:val="tx1"/>
            </w14:solidFill>
          </w14:textFill>
        </w:rPr>
        <w:t>19</w:t>
      </w:r>
      <w:r>
        <w:rPr>
          <w:rFonts w:hint="eastAsia" w:ascii="宋体" w:hAnsi="宋体" w:eastAsia="宋体" w:cs="宋体"/>
          <w:color w:val="000000" w:themeColor="text1"/>
          <w14:textFill>
            <w14:solidFill>
              <w14:schemeClr w14:val="tx1"/>
            </w14:solidFill>
          </w14:textFill>
        </w:rPr>
        <w:t>、投标截止期</w:t>
      </w:r>
      <w:bookmarkEnd w:id="92"/>
    </w:p>
    <w:p>
      <w:pPr>
        <w:keepNext w:val="0"/>
        <w:keepLines w:val="0"/>
        <w:pageBreakBefore w:val="0"/>
        <w:widowControl w:val="0"/>
        <w:kinsoku/>
        <w:wordWrap/>
        <w:overflowPunct/>
        <w:topLinePunct w:val="0"/>
        <w:bidi w:val="0"/>
        <w:adjustRightInd w:val="0"/>
        <w:snapToGrid w:val="0"/>
        <w:spacing w:line="500" w:lineRule="exact"/>
        <w:ind w:firstLine="42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.1 投标人应按照前附表规定的日期、时间和地点递交投标文件。</w:t>
      </w:r>
    </w:p>
    <w:p>
      <w:pPr>
        <w:keepNext w:val="0"/>
        <w:keepLines w:val="0"/>
        <w:pageBreakBefore w:val="0"/>
        <w:widowControl w:val="0"/>
        <w:kinsoku/>
        <w:wordWrap/>
        <w:overflowPunct/>
        <w:topLinePunct w:val="0"/>
        <w:bidi w:val="0"/>
        <w:adjustRightInd w:val="0"/>
        <w:snapToGrid w:val="0"/>
        <w:spacing w:line="500" w:lineRule="exact"/>
        <w:ind w:firstLine="42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.2 采购人将拒绝并原封退回在前附表中规定的截止时间后收到的投标文件。</w:t>
      </w:r>
    </w:p>
    <w:p>
      <w:pPr>
        <w:keepNext w:val="0"/>
        <w:keepLines w:val="0"/>
        <w:pageBreakBefore w:val="0"/>
        <w:widowControl w:val="0"/>
        <w:kinsoku/>
        <w:wordWrap/>
        <w:overflowPunct/>
        <w:topLinePunct w:val="0"/>
        <w:bidi w:val="0"/>
        <w:adjustRightInd w:val="0"/>
        <w:snapToGrid w:val="0"/>
        <w:spacing w:line="500" w:lineRule="exact"/>
        <w:ind w:firstLine="42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.3 采购人可以按本须知第</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条的规定，通过修改</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适当延长投标截止时间。如投标截止时间有延长的，采购人和投标人受投标截止期制约的所有权利和义务均应延长至新的截止期。</w:t>
      </w:r>
    </w:p>
    <w:p>
      <w:pPr>
        <w:pStyle w:val="4"/>
        <w:bidi w:val="0"/>
        <w:rPr>
          <w:rFonts w:hint="eastAsia" w:ascii="宋体" w:hAnsi="宋体" w:eastAsia="宋体" w:cs="宋体"/>
          <w:color w:val="000000" w:themeColor="text1"/>
          <w14:textFill>
            <w14:solidFill>
              <w14:schemeClr w14:val="tx1"/>
            </w14:solidFill>
          </w14:textFill>
        </w:rPr>
      </w:pPr>
      <w:bookmarkStart w:id="93" w:name="_Toc11084"/>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lang w:val="en-US" w:eastAsia="zh-CN"/>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、投标无效的情形</w:t>
      </w:r>
      <w:bookmarkEnd w:id="93"/>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实质上没有响应</w:t>
      </w:r>
      <w:r>
        <w:rPr>
          <w:rFonts w:hint="eastAsia" w:ascii="宋体" w:hAnsi="宋体" w:eastAsia="宋体" w:cs="宋体"/>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szCs w:val="24"/>
          <w:highlight w:val="none"/>
          <w14:textFill>
            <w14:solidFill>
              <w14:schemeClr w14:val="tx1"/>
            </w14:solidFill>
          </w14:textFill>
        </w:rPr>
        <w:t>要求的投标将被视为无效投标。投标人不得通过修正或撤销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w:t>
      </w:r>
      <w:r>
        <w:rPr>
          <w:rFonts w:hint="eastAsia" w:ascii="宋体" w:hAnsi="宋体" w:eastAsia="宋体" w:cs="宋体"/>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szCs w:val="24"/>
          <w:highlight w:val="none"/>
          <w14:textFill>
            <w14:solidFill>
              <w14:schemeClr w14:val="tx1"/>
            </w14:solidFill>
          </w14:textFill>
        </w:rPr>
        <w:t>要求的，应认定其投标无效。投标人修改、补正投标文件后，不影响评标委员会对其投标文件所作的评价和评分结果。</w:t>
      </w:r>
    </w:p>
    <w:p>
      <w:pPr>
        <w:keepNext w:val="0"/>
        <w:keepLines w:val="0"/>
        <w:pageBreakBefore w:val="0"/>
        <w:widowControl w:val="0"/>
        <w:kinsoku/>
        <w:wordWrap/>
        <w:overflowPunct/>
        <w:topLinePunct w:val="0"/>
        <w:bidi w:val="0"/>
        <w:adjustRightInd w:val="0"/>
        <w:snapToGrid w:val="0"/>
        <w:spacing w:line="500" w:lineRule="exact"/>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在评审时，如发现下列情形之一的，投标文件将被视为无效：</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投标方未能提供合格的投标文件；</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.2未采用人民币报价或未按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标明的币种或计量单位报价的；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.3投标文件有采购人不能接受的附加条件的；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.4有重大偏离的投标文件；</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.5未提供或未如实提供投标货物产品的技术参数；投标文件标明的商务、技术响应或偏离与事实不符或虚假投标的；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以赠送方式投标的、对一个</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提供两个投标方案或两个报价的；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投标文件应盖公章而未盖公章或盖非公司公章、内容字迹严重模糊辨认不清的、未有效授权</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未缴纳投标保证金的；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 投标报价超出预算的；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投标人不能在规定时间内提供原件核实或提供相关证明材料；</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不符合法律、法规和本</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明确规定的其他实质性要求的。</w:t>
      </w:r>
    </w:p>
    <w:p>
      <w:pPr>
        <w:pStyle w:val="3"/>
        <w:bidi w:val="0"/>
        <w:rPr>
          <w:rFonts w:hint="eastAsia" w:ascii="宋体" w:hAnsi="宋体" w:eastAsia="宋体" w:cs="宋体"/>
          <w:color w:val="000000" w:themeColor="text1"/>
          <w14:textFill>
            <w14:solidFill>
              <w14:schemeClr w14:val="tx1"/>
            </w14:solidFill>
          </w14:textFill>
        </w:rPr>
      </w:pPr>
      <w:bookmarkStart w:id="94" w:name="_Toc12370"/>
      <w:bookmarkStart w:id="95" w:name="_Toc19368"/>
      <w:r>
        <w:rPr>
          <w:rFonts w:hint="eastAsia" w:ascii="宋体" w:hAnsi="宋体" w:eastAsia="宋体" w:cs="宋体"/>
          <w:color w:val="000000" w:themeColor="text1"/>
          <w14:textFill>
            <w14:solidFill>
              <w14:schemeClr w14:val="tx1"/>
            </w14:solidFill>
          </w14:textFill>
        </w:rPr>
        <w:t>四、开标</w:t>
      </w:r>
      <w:bookmarkEnd w:id="94"/>
      <w:bookmarkEnd w:id="95"/>
    </w:p>
    <w:p>
      <w:pPr>
        <w:pStyle w:val="4"/>
        <w:bidi w:val="0"/>
        <w:rPr>
          <w:rFonts w:hint="eastAsia" w:ascii="宋体" w:hAnsi="宋体" w:eastAsia="宋体" w:cs="宋体"/>
          <w:color w:val="000000" w:themeColor="text1"/>
          <w14:textFill>
            <w14:solidFill>
              <w14:schemeClr w14:val="tx1"/>
            </w14:solidFill>
          </w14:textFill>
        </w:rPr>
      </w:pPr>
      <w:bookmarkStart w:id="96" w:name="_Toc21515"/>
      <w:bookmarkStart w:id="97" w:name="_Toc9510638"/>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w:t>
      </w:r>
      <w:bookmarkEnd w:id="96"/>
      <w:bookmarkEnd w:id="97"/>
      <w:r>
        <w:rPr>
          <w:rFonts w:hint="eastAsia" w:ascii="宋体" w:hAnsi="宋体" w:eastAsia="宋体" w:cs="宋体"/>
          <w:color w:val="000000" w:themeColor="text1"/>
          <w14:textFill>
            <w14:solidFill>
              <w14:schemeClr w14:val="tx1"/>
            </w14:solidFill>
          </w14:textFill>
        </w:rPr>
        <w:t>开标及开标程序</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（一）开标准备</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招标代理机构将在规定的时间和地点进行开标。（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cs="宋体"/>
          <w:color w:val="000000" w:themeColor="text1"/>
          <w:sz w:val="24"/>
          <w:szCs w:val="24"/>
          <w:highlight w:val="none"/>
          <w:lang w:val="en-US" w:eastAsia="zh-CN"/>
          <w14:textFill>
            <w14:solidFill>
              <w14:schemeClr w14:val="tx1"/>
            </w14:solidFill>
          </w14:textFill>
        </w:rPr>
        <w:t>95763</w:t>
      </w:r>
      <w:r>
        <w:rPr>
          <w:rFonts w:hint="eastAsia" w:ascii="宋体" w:hAnsi="宋体" w:eastAsia="宋体" w:cs="宋体"/>
          <w:bCs/>
          <w:color w:val="000000" w:themeColor="text1"/>
          <w:sz w:val="24"/>
          <w:szCs w:val="24"/>
          <w:highlight w:val="none"/>
          <w14:textFill>
            <w14:solidFill>
              <w14:schemeClr w14:val="tx1"/>
            </w14:solidFill>
          </w14:textFill>
        </w:rPr>
        <w:t>进行咨询。）</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（二）开标程序：</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1.开标会由招标代理机构主持；</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2.投标截止时间招标代理点击开始解密，供应商开始解密，解密时限为30分钟，超出解密时限默认供应商放弃投标；</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3.结束解密后代理机构开启供应商投标报价文件，公布报价后供应商对报价开标记录表进行电子签章时限为20分钟。</w:t>
      </w:r>
    </w:p>
    <w:p>
      <w:pPr>
        <w:pStyle w:val="4"/>
        <w:bidi w:val="0"/>
        <w:rPr>
          <w:rFonts w:hint="eastAsia" w:ascii="宋体" w:hAnsi="宋体" w:eastAsia="宋体" w:cs="宋体"/>
          <w:b/>
          <w:sz w:val="24"/>
          <w:szCs w:val="24"/>
          <w:highlight w:val="none"/>
        </w:rPr>
      </w:pPr>
      <w:bookmarkStart w:id="98" w:name="_Toc14026"/>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、资格审查</w:t>
      </w:r>
      <w:bookmarkEnd w:id="98"/>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.1公开招标采购项目开标结束后，采购人或者采购代理机构应当依法对投标人的资格进行审查。合格投标人不足3家的，不得评标。</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有下列情形之一的，应在资格审查时按照无效投标处理：</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(1)投标人未按照</w:t>
      </w:r>
      <w:r>
        <w:rPr>
          <w:rFonts w:hint="eastAsia" w:ascii="宋体" w:hAnsi="宋体" w:eastAsia="宋体" w:cs="宋体"/>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szCs w:val="24"/>
          <w:highlight w:val="none"/>
          <w14:textFill>
            <w14:solidFill>
              <w14:schemeClr w14:val="tx1"/>
            </w14:solidFill>
          </w14:textFill>
        </w:rPr>
        <w:t>规定提交投标保证金的；</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(2)投标人不具备</w:t>
      </w:r>
      <w:r>
        <w:rPr>
          <w:rFonts w:hint="eastAsia" w:ascii="宋体" w:hAnsi="宋体" w:eastAsia="宋体" w:cs="宋体"/>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szCs w:val="24"/>
          <w:highlight w:val="none"/>
          <w14:textFill>
            <w14:solidFill>
              <w14:schemeClr w14:val="tx1"/>
            </w14:solidFill>
          </w14:textFill>
        </w:rPr>
        <w:t>规定的投标人资格条件的。</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sz w:val="24"/>
          <w:szCs w:val="24"/>
          <w:highlight w:val="none"/>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.2已经进行资格预审的，可以不再对</w:t>
      </w:r>
      <w:r>
        <w:rPr>
          <w:rFonts w:hint="eastAsia" w:ascii="宋体" w:hAnsi="宋体" w:eastAsia="宋体" w:cs="宋体"/>
          <w:bCs/>
          <w:color w:val="000000" w:themeColor="text1"/>
          <w:sz w:val="24"/>
          <w:szCs w:val="24"/>
          <w:highlight w:val="none"/>
          <w:lang w:eastAsia="zh-CN"/>
          <w14:textFill>
            <w14:solidFill>
              <w14:schemeClr w14:val="tx1"/>
            </w14:solidFill>
          </w14:textFill>
        </w:rPr>
        <w:t>投标单位</w:t>
      </w:r>
      <w:r>
        <w:rPr>
          <w:rFonts w:hint="eastAsia" w:ascii="宋体" w:hAnsi="宋体" w:eastAsia="宋体" w:cs="宋体"/>
          <w:bCs/>
          <w:color w:val="000000" w:themeColor="text1"/>
          <w:sz w:val="24"/>
          <w:szCs w:val="24"/>
          <w:highlight w:val="none"/>
          <w14:textFill>
            <w14:solidFill>
              <w14:schemeClr w14:val="tx1"/>
            </w14:solidFill>
          </w14:textFill>
        </w:rPr>
        <w:t>资格进行审查，资格预审合格的</w:t>
      </w:r>
      <w:r>
        <w:rPr>
          <w:rFonts w:hint="eastAsia" w:ascii="宋体" w:hAnsi="宋体" w:eastAsia="宋体" w:cs="宋体"/>
          <w:bCs/>
          <w:color w:val="000000" w:themeColor="text1"/>
          <w:sz w:val="24"/>
          <w:szCs w:val="24"/>
          <w:highlight w:val="none"/>
          <w:lang w:eastAsia="zh-CN"/>
          <w14:textFill>
            <w14:solidFill>
              <w14:schemeClr w14:val="tx1"/>
            </w14:solidFill>
          </w14:textFill>
        </w:rPr>
        <w:t>投标单位</w:t>
      </w:r>
      <w:r>
        <w:rPr>
          <w:rFonts w:hint="eastAsia" w:ascii="宋体" w:hAnsi="宋体" w:eastAsia="宋体" w:cs="宋体"/>
          <w:bCs/>
          <w:sz w:val="24"/>
          <w:szCs w:val="24"/>
          <w:highlight w:val="none"/>
        </w:rPr>
        <w:t>在评审阶段资格发生变化的，应当通知采购人和采购代理机构。</w:t>
      </w:r>
      <w:bookmarkStart w:id="99" w:name="_Toc25332"/>
      <w:bookmarkStart w:id="100" w:name="_Toc21778"/>
    </w:p>
    <w:p>
      <w:pPr>
        <w:pStyle w:val="3"/>
        <w:bidi w:val="0"/>
        <w:rPr>
          <w:rFonts w:hint="eastAsia" w:ascii="宋体" w:hAnsi="宋体" w:eastAsia="宋体" w:cs="宋体"/>
        </w:rPr>
      </w:pPr>
      <w:r>
        <w:rPr>
          <w:rFonts w:hint="eastAsia" w:ascii="宋体" w:hAnsi="宋体" w:eastAsia="宋体" w:cs="宋体"/>
        </w:rPr>
        <w:t>五、评标</w:t>
      </w:r>
      <w:bookmarkEnd w:id="99"/>
      <w:bookmarkEnd w:id="100"/>
    </w:p>
    <w:p>
      <w:pPr>
        <w:pStyle w:val="4"/>
        <w:bidi w:val="0"/>
        <w:rPr>
          <w:rFonts w:hint="eastAsia" w:ascii="宋体" w:hAnsi="宋体" w:eastAsia="宋体" w:cs="宋体"/>
          <w:color w:val="000000" w:themeColor="text1"/>
          <w14:textFill>
            <w14:solidFill>
              <w14:schemeClr w14:val="tx1"/>
            </w14:solidFill>
          </w14:textFill>
        </w:rPr>
      </w:pPr>
      <w:bookmarkStart w:id="101" w:name="_Toc9510639"/>
      <w:bookmarkStart w:id="102" w:name="_Toc6750"/>
      <w:r>
        <w:rPr>
          <w:rFonts w:hint="eastAsia" w:ascii="宋体" w:hAnsi="宋体" w:eastAsia="宋体" w:cs="宋体"/>
          <w:color w:val="000000" w:themeColor="text1"/>
          <w:lang w:val="en-US" w:eastAsia="zh-CN"/>
          <w14:textFill>
            <w14:solidFill>
              <w14:schemeClr w14:val="tx1"/>
            </w14:solidFill>
          </w14:textFill>
        </w:rPr>
        <w:t>23</w:t>
      </w:r>
      <w:r>
        <w:rPr>
          <w:rFonts w:hint="eastAsia" w:ascii="宋体" w:hAnsi="宋体" w:eastAsia="宋体" w:cs="宋体"/>
          <w:color w:val="000000" w:themeColor="text1"/>
          <w14:textFill>
            <w14:solidFill>
              <w14:schemeClr w14:val="tx1"/>
            </w14:solidFill>
          </w14:textFill>
        </w:rPr>
        <w:t>、组</w:t>
      </w:r>
      <w:bookmarkEnd w:id="101"/>
      <w:r>
        <w:rPr>
          <w:rFonts w:hint="eastAsia" w:ascii="宋体" w:hAnsi="宋体" w:eastAsia="宋体" w:cs="宋体"/>
          <w:color w:val="000000" w:themeColor="text1"/>
          <w14:textFill>
            <w14:solidFill>
              <w14:schemeClr w14:val="tx1"/>
            </w14:solidFill>
          </w14:textFill>
        </w:rPr>
        <w:t>建评标委员会</w:t>
      </w:r>
      <w:bookmarkEnd w:id="102"/>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按《中华人民共和国政府采购法》相关要求，评标委员会由</w:t>
      </w:r>
      <w:r>
        <w:rPr>
          <w:rFonts w:hint="eastAsia" w:ascii="宋体" w:hAnsi="宋体" w:eastAsia="宋体" w:cs="宋体"/>
          <w:color w:val="auto"/>
          <w:sz w:val="24"/>
          <w:szCs w:val="24"/>
          <w:highlight w:val="none"/>
          <w:lang w:eastAsia="zh-CN"/>
        </w:rPr>
        <w:t>新疆政府采购网</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专家库随机抽取专家，其中随机抽取</w:t>
      </w:r>
      <w:r>
        <w:rPr>
          <w:rFonts w:hint="eastAsia" w:ascii="宋体" w:hAnsi="宋体" w:eastAsia="宋体" w:cs="宋体"/>
          <w:color w:val="auto"/>
          <w:sz w:val="24"/>
          <w:szCs w:val="24"/>
          <w:highlight w:val="none"/>
          <w:lang w:eastAsia="zh-CN"/>
        </w:rPr>
        <w:t>地方</w:t>
      </w:r>
      <w:r>
        <w:rPr>
          <w:rFonts w:hint="eastAsia" w:ascii="宋体" w:hAnsi="宋体" w:eastAsia="宋体" w:cs="宋体"/>
          <w:color w:val="auto"/>
          <w:sz w:val="24"/>
          <w:szCs w:val="24"/>
          <w:highlight w:val="none"/>
        </w:rPr>
        <w:t>专家人数不少于成员总数的三分之二。</w:t>
      </w:r>
      <w:r>
        <w:rPr>
          <w:rFonts w:hint="eastAsia" w:ascii="宋体" w:hAnsi="宋体" w:eastAsia="宋体" w:cs="宋体"/>
          <w:color w:val="auto"/>
          <w:sz w:val="24"/>
          <w:szCs w:val="24"/>
          <w:highlight w:val="none"/>
          <w:lang w:val="en-US" w:eastAsia="zh-CN"/>
        </w:rPr>
        <w:t>本项目评标委员会由随机抽取的5名地方专家组成。</w:t>
      </w:r>
    </w:p>
    <w:p>
      <w:pPr>
        <w:pStyle w:val="4"/>
        <w:bidi w:val="0"/>
        <w:rPr>
          <w:rFonts w:hint="eastAsia" w:ascii="宋体" w:hAnsi="宋体" w:eastAsia="宋体" w:cs="宋体"/>
        </w:rPr>
      </w:pPr>
      <w:r>
        <w:rPr>
          <w:rFonts w:hint="eastAsia" w:ascii="宋体" w:hAnsi="宋体" w:eastAsia="宋体" w:cs="宋体"/>
          <w:lang w:val="en-US" w:eastAsia="zh-CN"/>
        </w:rPr>
        <w:t>24、</w:t>
      </w:r>
      <w:r>
        <w:rPr>
          <w:rFonts w:hint="eastAsia" w:ascii="宋体" w:hAnsi="宋体" w:eastAsia="宋体" w:cs="宋体"/>
        </w:rPr>
        <w:t>评标纪律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1．评标是招标工作的重要环节，评标工作在评标委员会内独立进行。评标委员会将按照评标原则的要求，公正、平等地对待所有投标人。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2．所有评标人员应忠于职守、廉洁自律、秉公办事、不徇私情。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3．评标人员不得接受或参加投标人或与投标有关的单位、组织或个人的有碍公务的宴请、娱乐活动等，不得以任何形式弄虚作假。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4．评标期间，评标人员不得随意出入评标地点、与外界通讯、会客等。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5．在投标文件的审查、澄清、评价和比较以及授予合同的过程中，投标人对采购人、采购代理机构人员及评标委员会成员施加影响的任何行为，都将导致被取消投标资格。</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6．为保证评标的公正性，在评标过程中，评标委员会成员不得与投标人或与中标结果有利害关系的人进行私下接触。在评标工作结束后，凡与评标情况有接触的任何人，不得将评标情况扩散出评标委员会以外。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7．评标过程中，评标专家对投标人的优劣情况，以及认为差异较大的情况，应以书面意见作出真实、专业、诚恳负责的表述，不得违背客观、公正的原则。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8．评标结束后，各评标人员应将全部资料整理上交采购代理机构，严禁将评标过程中的任何资料带出评标现场向投标人或其他单位提供。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9．在中标结果公布前应对评标委员会成员名单予以保密。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10．评标委员会对各投标人的商业秘密予以保密。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11．评标委员会成员应当客观、公正地履行职责，遵守职业道德，对所提出的评审意见承担个人责任。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12．在整个评标过程中，投标人企图影响招标结果的任何活动，可能导致其投标失败。如有违法行为，将依法追究其法律责任。</w:t>
      </w:r>
    </w:p>
    <w:p>
      <w:pPr>
        <w:rPr>
          <w:rFonts w:hint="eastAsia" w:ascii="宋体" w:hAnsi="宋体" w:eastAsia="宋体" w:cs="宋体"/>
          <w:lang w:val="en-US"/>
        </w:rPr>
      </w:pPr>
      <w:r>
        <w:rPr>
          <w:rFonts w:hint="eastAsia" w:ascii="宋体" w:hAnsi="宋体" w:eastAsia="宋体" w:cs="宋体"/>
          <w:lang w:val="en-US"/>
        </w:rPr>
        <w:br w:type="page"/>
      </w:r>
    </w:p>
    <w:p>
      <w:pPr>
        <w:pStyle w:val="4"/>
        <w:bidi w:val="0"/>
        <w:rPr>
          <w:rFonts w:hint="eastAsia" w:ascii="宋体" w:hAnsi="宋体" w:eastAsia="宋体" w:cs="宋体"/>
          <w:color w:val="000000" w:themeColor="text1"/>
          <w14:textFill>
            <w14:solidFill>
              <w14:schemeClr w14:val="tx1"/>
            </w14:solidFill>
          </w14:textFill>
        </w:rPr>
      </w:pPr>
      <w:bookmarkStart w:id="103" w:name="_Toc14527"/>
      <w:r>
        <w:rPr>
          <w:rFonts w:hint="eastAsia" w:ascii="宋体" w:hAnsi="宋体" w:eastAsia="宋体" w:cs="宋体"/>
          <w:color w:val="000000" w:themeColor="text1"/>
          <w:lang w:val="en-US" w:eastAsia="zh-CN"/>
          <w14:textFill>
            <w14:solidFill>
              <w14:schemeClr w14:val="tx1"/>
            </w14:solidFill>
          </w14:textFill>
        </w:rPr>
        <w:t>25</w:t>
      </w:r>
      <w:r>
        <w:rPr>
          <w:rFonts w:hint="eastAsia" w:ascii="宋体" w:hAnsi="宋体" w:eastAsia="宋体" w:cs="宋体"/>
          <w:color w:val="000000" w:themeColor="text1"/>
          <w14:textFill>
            <w14:solidFill>
              <w14:schemeClr w14:val="tx1"/>
            </w14:solidFill>
          </w14:textFill>
        </w:rPr>
        <w:t>、评标程序</w:t>
      </w:r>
      <w:bookmarkEnd w:id="103"/>
    </w:p>
    <w:p>
      <w:pPr>
        <w:keepNext w:val="0"/>
        <w:keepLines w:val="0"/>
        <w:pageBreakBefore w:val="0"/>
        <w:widowControl w:val="0"/>
        <w:kinsoku/>
        <w:wordWrap/>
        <w:overflowPunct/>
        <w:topLinePunct w:val="0"/>
        <w:bidi w:val="0"/>
        <w:adjustRightInd w:val="0"/>
        <w:snapToGrid w:val="0"/>
        <w:spacing w:line="400" w:lineRule="exact"/>
        <w:ind w:firstLine="472" w:firstLineChars="196"/>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资格性</w:t>
      </w:r>
      <w:r>
        <w:rPr>
          <w:rFonts w:hint="eastAsia" w:ascii="宋体" w:hAnsi="宋体" w:eastAsia="宋体" w:cs="宋体"/>
          <w:b/>
          <w:bCs/>
          <w:color w:val="000000" w:themeColor="text1"/>
          <w:sz w:val="24"/>
          <w:szCs w:val="24"/>
          <w:highlight w:val="none"/>
          <w14:textFill>
            <w14:solidFill>
              <w14:schemeClr w14:val="tx1"/>
            </w14:solidFill>
          </w14:textFill>
        </w:rPr>
        <w:t>审查</w:t>
      </w:r>
    </w:p>
    <w:p>
      <w:pPr>
        <w:pStyle w:val="5"/>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bl>
      <w:tblPr>
        <w:tblStyle w:val="37"/>
        <w:tblW w:w="8696"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89"/>
        <w:gridCol w:w="780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6" w:hRule="atLeast"/>
          <w:jc w:val="center"/>
        </w:trPr>
        <w:tc>
          <w:tcPr>
            <w:tcW w:w="88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7807"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审查</w:t>
            </w:r>
            <w:r>
              <w:rPr>
                <w:rFonts w:hint="eastAsia" w:ascii="宋体" w:hAnsi="宋体" w:eastAsia="宋体" w:cs="宋体"/>
                <w:bCs/>
                <w:color w:val="000000" w:themeColor="text1"/>
                <w:sz w:val="24"/>
                <w:szCs w:val="24"/>
                <w:highlight w:val="none"/>
                <w14:textFill>
                  <w14:solidFill>
                    <w14:schemeClr w14:val="tx1"/>
                  </w14:solidFill>
                </w14:textFill>
              </w:rPr>
              <w:t>内容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4" w:hRule="atLeast"/>
          <w:jc w:val="center"/>
        </w:trPr>
        <w:tc>
          <w:tcPr>
            <w:tcW w:w="88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7807"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rPr>
              <w:t>具备独立法人资格，具有有效的营业执照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6" w:hRule="atLeast"/>
          <w:jc w:val="center"/>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00" w:lineRule="exact"/>
              <w:ind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lang w:val="en-US" w:eastAsia="zh-CN"/>
              </w:rPr>
              <w:t>2</w:t>
            </w:r>
          </w:p>
        </w:tc>
        <w:tc>
          <w:tcPr>
            <w:tcW w:w="7807" w:type="dxa"/>
            <w:tcBorders>
              <w:top w:val="nil"/>
              <w:left w:val="nil"/>
              <w:bottom w:val="single" w:color="auto" w:sz="8" w:space="0"/>
              <w:right w:val="single" w:color="auto" w:sz="8" w:space="0"/>
            </w:tcBorders>
            <w:tcMar>
              <w:left w:w="108" w:type="dxa"/>
              <w:right w:w="108" w:type="dxa"/>
            </w:tcMar>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rPr>
              <w:t>经信用中国（www.creditchina.gov.cn）、中国政府采购网（www.ccgp.gov.cn）等渠道查询后，列入失信被执行人、重大税收违法案件当事人名单、政府采购严重违法失信行为记录名单的，取消投标资格。（提供“信用中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“中国政府采购网”网站无任何不良记录的查询截图，查询时间不能早于本项目采购公告发布之日）。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4" w:hRule="atLeast"/>
          <w:jc w:val="center"/>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00" w:lineRule="exact"/>
              <w:ind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lang w:val="en-US" w:eastAsia="zh-CN"/>
              </w:rPr>
              <w:t>3</w:t>
            </w:r>
          </w:p>
        </w:tc>
        <w:tc>
          <w:tcPr>
            <w:tcW w:w="7807" w:type="dxa"/>
            <w:tcBorders>
              <w:top w:val="nil"/>
              <w:left w:val="nil"/>
              <w:bottom w:val="single" w:color="auto" w:sz="8" w:space="0"/>
              <w:right w:val="single" w:color="auto" w:sz="8" w:space="0"/>
            </w:tcBorders>
            <w:tcMar>
              <w:left w:w="108" w:type="dxa"/>
              <w:right w:w="108" w:type="dxa"/>
            </w:tcMar>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rPr>
              <w:t>授权委托人需提供《法定代表人授权委托书》复印件、法定代表人身份证复印件、被委托人身份证复印件；（其法定代表人前来的请提供《法定代表人身份证明书》复印件和法定代表人身份证复印件）；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4" w:hRule="atLeast"/>
          <w:jc w:val="center"/>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780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要求缴纳了投标</w:t>
            </w:r>
            <w:r>
              <w:rPr>
                <w:rFonts w:hint="eastAsia" w:ascii="宋体" w:hAnsi="宋体" w:eastAsia="宋体" w:cs="宋体"/>
                <w:color w:val="000000" w:themeColor="text1"/>
                <w:sz w:val="24"/>
                <w:szCs w:val="24"/>
                <w:highlight w:val="none"/>
                <w:lang w:eastAsia="zh-CN"/>
                <w14:textFill>
                  <w14:solidFill>
                    <w14:schemeClr w14:val="tx1"/>
                  </w14:solidFill>
                </w14:textFill>
              </w:rPr>
              <w:t>担保</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4" w:hRule="atLeast"/>
          <w:jc w:val="center"/>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p>
        </w:tc>
        <w:tc>
          <w:tcPr>
            <w:tcW w:w="780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供应商应为中小企业</w:t>
            </w:r>
            <w:r>
              <w:rPr>
                <w:rFonts w:hint="eastAsia" w:ascii="宋体" w:hAnsi="宋体" w:cs="宋体"/>
                <w:color w:val="000000" w:themeColor="text1"/>
                <w:sz w:val="24"/>
                <w:szCs w:val="24"/>
                <w:highlight w:val="none"/>
                <w:lang w:eastAsia="zh-CN"/>
                <w14:textFill>
                  <w14:solidFill>
                    <w14:schemeClr w14:val="tx1"/>
                  </w14:solidFill>
                </w14:textFill>
              </w:rPr>
              <w:t>，按照招标文件要求提供中小企业声明函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1" w:hRule="atLeast"/>
          <w:jc w:val="center"/>
        </w:trPr>
        <w:tc>
          <w:tcPr>
            <w:tcW w:w="8696" w:type="dxa"/>
            <w:gridSpan w:val="2"/>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备注：如果资格评审中有一项不满足审查标准的，将认定该投标人不通过资格审查，不得进入下一阶段评审。</w:t>
            </w:r>
          </w:p>
        </w:tc>
      </w:tr>
    </w:tbl>
    <w:p>
      <w:pPr>
        <w:pStyle w:val="5"/>
        <w:keepNext w:val="0"/>
        <w:keepLines w:val="0"/>
        <w:pageBreakBefore w:val="0"/>
        <w:widowControl w:val="0"/>
        <w:kinsoku/>
        <w:wordWrap/>
        <w:overflowPunct/>
        <w:topLinePunct w:val="0"/>
        <w:bidi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400" w:lineRule="exact"/>
        <w:ind w:firstLine="472" w:firstLineChars="196"/>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lang w:eastAsia="zh-CN"/>
          <w14:textFill>
            <w14:solidFill>
              <w14:schemeClr w14:val="tx1"/>
            </w14:solidFill>
          </w14:textFill>
        </w:rPr>
        <w:t>符合性</w:t>
      </w:r>
      <w:r>
        <w:rPr>
          <w:rFonts w:hint="eastAsia" w:ascii="宋体" w:hAnsi="宋体" w:eastAsia="宋体" w:cs="宋体"/>
          <w:b/>
          <w:bCs/>
          <w:color w:val="000000" w:themeColor="text1"/>
          <w:sz w:val="24"/>
          <w:szCs w:val="24"/>
          <w:highlight w:val="none"/>
          <w14:textFill>
            <w14:solidFill>
              <w14:schemeClr w14:val="tx1"/>
            </w14:solidFill>
          </w14:textFill>
        </w:rPr>
        <w:t>审查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采购人代表和采购代理机构工作人员协助评标委员会对投标人的资格和投标文件的完整性、合法性等进行审查。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下列有一项未通过审查</w:t>
      </w:r>
      <w:r>
        <w:rPr>
          <w:rFonts w:hint="eastAsia" w:ascii="宋体" w:hAnsi="宋体" w:eastAsia="宋体" w:cs="宋体"/>
          <w:bCs/>
          <w:color w:val="000000" w:themeColor="text1"/>
          <w:sz w:val="24"/>
          <w:szCs w:val="24"/>
          <w:highlight w:val="none"/>
          <w14:textFill>
            <w14:solidFill>
              <w14:schemeClr w14:val="tx1"/>
            </w14:solidFill>
          </w14:textFill>
        </w:rPr>
        <w:t>内容</w:t>
      </w:r>
      <w:r>
        <w:rPr>
          <w:rFonts w:hint="eastAsia" w:ascii="宋体" w:hAnsi="宋体" w:eastAsia="宋体" w:cs="宋体"/>
          <w:color w:val="000000" w:themeColor="text1"/>
          <w:sz w:val="24"/>
          <w:szCs w:val="24"/>
          <w:highlight w:val="none"/>
          <w14:textFill>
            <w14:solidFill>
              <w14:schemeClr w14:val="tx1"/>
            </w14:solidFill>
          </w14:textFill>
        </w:rPr>
        <w:t>的，应在符合性审查时按照无效投标处理：</w:t>
      </w:r>
    </w:p>
    <w:tbl>
      <w:tblPr>
        <w:tblStyle w:val="37"/>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50" w:type="dxa"/>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序号</w:t>
            </w:r>
          </w:p>
        </w:tc>
        <w:tc>
          <w:tcPr>
            <w:tcW w:w="7832" w:type="dxa"/>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审查</w:t>
            </w:r>
            <w:r>
              <w:rPr>
                <w:rFonts w:hint="eastAsia" w:ascii="宋体" w:hAnsi="宋体" w:eastAsia="宋体" w:cs="宋体"/>
                <w:bCs/>
                <w:color w:val="000000" w:themeColor="text1"/>
                <w:sz w:val="24"/>
                <w:szCs w:val="24"/>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50" w:type="dxa"/>
            <w:vMerge w:val="restart"/>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商务</w:t>
            </w:r>
          </w:p>
        </w:tc>
        <w:tc>
          <w:tcPr>
            <w:tcW w:w="7832" w:type="dxa"/>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rPr>
              <w:t>所有</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lang w:val="en-US" w:eastAsia="zh-CN"/>
              </w:rPr>
              <w:t>均已经加盖</w:t>
            </w:r>
            <w:r>
              <w:rPr>
                <w:rFonts w:hint="eastAsia" w:ascii="宋体" w:hAnsi="宋体" w:eastAsia="宋体" w:cs="宋体"/>
                <w:color w:val="auto"/>
                <w:sz w:val="24"/>
                <w:szCs w:val="24"/>
              </w:rPr>
              <w:t>单位</w:t>
            </w:r>
            <w:r>
              <w:rPr>
                <w:rFonts w:hint="eastAsia" w:ascii="宋体" w:hAnsi="宋体" w:eastAsia="宋体" w:cs="宋体"/>
                <w:color w:val="auto"/>
                <w:sz w:val="24"/>
                <w:szCs w:val="24"/>
                <w:lang w:val="en-US" w:eastAsia="zh-CN"/>
              </w:rPr>
              <w:t>公</w:t>
            </w:r>
            <w:r>
              <w:rPr>
                <w:rFonts w:hint="eastAsia" w:ascii="宋体" w:hAnsi="宋体" w:eastAsia="宋体" w:cs="宋体"/>
                <w:color w:val="auto"/>
                <w:sz w:val="24"/>
                <w:szCs w:val="24"/>
              </w:rPr>
              <w:t>章及法定代表人或法定代表人授权的代理人签字</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lang w:val="en-US" w:eastAsia="zh-CN"/>
              </w:rPr>
              <w:t>盖章</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50" w:type="dxa"/>
            <w:vMerge w:val="continue"/>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7832" w:type="dxa"/>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rPr>
              <w:t>投标有效期满足</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50" w:type="dxa"/>
            <w:vMerge w:val="continue"/>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7832" w:type="dxa"/>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lang w:val="en-US" w:eastAsia="zh-CN"/>
              </w:rPr>
              <w:t>完全</w:t>
            </w:r>
            <w:r>
              <w:rPr>
                <w:rFonts w:hint="eastAsia" w:ascii="宋体" w:hAnsi="宋体" w:eastAsia="宋体" w:cs="宋体"/>
                <w:color w:val="auto"/>
                <w:sz w:val="24"/>
                <w:szCs w:val="24"/>
              </w:rPr>
              <w:t>按照</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要求编写、标示、装订、内容完整；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0" w:type="dxa"/>
            <w:vMerge w:val="continue"/>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7832" w:type="dxa"/>
            <w:vAlign w:val="center"/>
          </w:tcPr>
          <w:p>
            <w:pPr>
              <w:widowControl/>
              <w:adjustRightInd w:val="0"/>
              <w:snapToGrid w:val="0"/>
              <w:spacing w:line="400" w:lineRule="exact"/>
              <w:ind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投标文件未</w:t>
            </w:r>
            <w:r>
              <w:rPr>
                <w:rFonts w:hint="eastAsia" w:ascii="宋体" w:hAnsi="宋体" w:eastAsia="宋体" w:cs="宋体"/>
                <w:color w:val="auto"/>
                <w:sz w:val="24"/>
                <w:szCs w:val="24"/>
              </w:rPr>
              <w:t>附有招标人不能接受的条件</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50" w:type="dxa"/>
            <w:vMerge w:val="continue"/>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7832" w:type="dxa"/>
            <w:vAlign w:val="center"/>
          </w:tcPr>
          <w:p>
            <w:pPr>
              <w:widowControl/>
              <w:adjustRightInd w:val="0"/>
              <w:snapToGrid w:val="0"/>
              <w:spacing w:line="400" w:lineRule="exact"/>
              <w:ind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000000" w:themeColor="text1"/>
                <w:sz w:val="24"/>
                <w:szCs w:val="24"/>
                <w:highlight w:val="none"/>
                <w14:textFill>
                  <w14:solidFill>
                    <w14:schemeClr w14:val="tx1"/>
                  </w14:solidFill>
                </w14:textFill>
              </w:rPr>
              <w:t>不存在其他无效情形的，如不符合法律、法规和</w:t>
            </w:r>
            <w:r>
              <w:rPr>
                <w:rFonts w:hint="eastAsia" w:ascii="宋体" w:hAnsi="宋体" w:eastAsia="宋体" w:cs="宋体"/>
                <w:color w:val="auto"/>
                <w:sz w:val="24"/>
                <w:szCs w:val="24"/>
                <w:lang w:eastAsia="zh-CN"/>
              </w:rPr>
              <w:t>招标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规定的</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0" w:type="dxa"/>
            <w:vMerge w:val="restart"/>
            <w:vAlign w:val="center"/>
          </w:tcPr>
          <w:p>
            <w:pPr>
              <w:adjustRightInd w:val="0"/>
              <w:snapToGrid w:val="0"/>
              <w:spacing w:line="400" w:lineRule="exact"/>
              <w:ind w:firstLine="0" w:firstLineChars="0"/>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技</w:t>
            </w:r>
          </w:p>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cs="宋体"/>
                <w:color w:val="auto"/>
                <w:sz w:val="24"/>
                <w:szCs w:val="24"/>
                <w:lang w:val="en-US" w:eastAsia="zh-CN"/>
              </w:rPr>
              <w:t>术</w:t>
            </w:r>
          </w:p>
        </w:tc>
        <w:tc>
          <w:tcPr>
            <w:tcW w:w="7832" w:type="dxa"/>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lang w:eastAsia="zh-CN"/>
              </w:rPr>
              <w:t>投标工期满足招标文件要求；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50" w:type="dxa"/>
            <w:vMerge w:val="continue"/>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7832" w:type="dxa"/>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提出的技术和质量要求</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50" w:type="dxa"/>
            <w:vMerge w:val="restart"/>
            <w:vAlign w:val="center"/>
          </w:tcPr>
          <w:p>
            <w:pPr>
              <w:adjustRightInd w:val="0"/>
              <w:snapToGrid w:val="0"/>
              <w:spacing w:line="400" w:lineRule="exact"/>
              <w:ind w:firstLine="240" w:firstLineChars="100"/>
              <w:jc w:val="both"/>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报</w:t>
            </w:r>
          </w:p>
          <w:p>
            <w:pPr>
              <w:adjustRightInd w:val="0"/>
              <w:snapToGrid w:val="0"/>
              <w:spacing w:line="400" w:lineRule="exact"/>
              <w:ind w:firstLine="240" w:firstLineChars="100"/>
              <w:jc w:val="both"/>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auto"/>
                <w:sz w:val="24"/>
                <w:szCs w:val="24"/>
                <w:lang w:val="en-US" w:eastAsia="zh-CN"/>
              </w:rPr>
              <w:t>价</w:t>
            </w:r>
          </w:p>
        </w:tc>
        <w:tc>
          <w:tcPr>
            <w:tcW w:w="7832" w:type="dxa"/>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lang w:eastAsia="zh-CN"/>
              </w:rPr>
              <w:t>对投标报价的完整性作出响应</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0" w:type="dxa"/>
            <w:vMerge w:val="continue"/>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7832" w:type="dxa"/>
            <w:vAlign w:val="top"/>
          </w:tcPr>
          <w:p>
            <w:pPr>
              <w:widowControl/>
              <w:adjustRightInd w:val="0"/>
              <w:snapToGrid w:val="0"/>
              <w:spacing w:line="400" w:lineRule="exact"/>
              <w:ind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lang w:eastAsia="zh-CN"/>
              </w:rPr>
              <w:t>供应商没有</w:t>
            </w:r>
            <w:r>
              <w:rPr>
                <w:rFonts w:hint="eastAsia" w:ascii="宋体" w:hAnsi="宋体" w:eastAsia="宋体" w:cs="宋体"/>
                <w:color w:val="auto"/>
                <w:sz w:val="24"/>
                <w:szCs w:val="24"/>
              </w:rPr>
              <w:t>对同一招标项目做出两个以上报价而未明确效力</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82" w:type="dxa"/>
            <w:gridSpan w:val="2"/>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pacing w:val="-2"/>
                <w:sz w:val="24"/>
                <w:szCs w:val="24"/>
              </w:rPr>
              <w:t>结论：是否通过评审</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72" w:firstLineChars="196"/>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 xml:space="preserve"> 实质审查与比较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.1评标委员会审查投标文件的实质性内容是否符合</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的实质性要求。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.2评标委员会将根据投标人的投标文件进行审查、核对,如有疑问,将对投标人进行询标,投标人要向评标委员会澄清有关问题,并最终以书面形式进行答复。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投标人拒绝澄清或者澄清的内容改变了投标文件的实质性内容的，评标委员会有权对该投标文件作出不利于投标人的评判。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.3各投标人的</w:t>
      </w:r>
      <w:r>
        <w:rPr>
          <w:rFonts w:hint="eastAsia" w:ascii="宋体" w:hAnsi="宋体" w:eastAsia="宋体" w:cs="宋体"/>
          <w:color w:val="000000" w:themeColor="text1"/>
          <w:sz w:val="24"/>
          <w:szCs w:val="24"/>
          <w:highlight w:val="none"/>
          <w:lang w:eastAsia="zh-CN"/>
          <w14:textFill>
            <w14:solidFill>
              <w14:schemeClr w14:val="tx1"/>
            </w14:solidFill>
          </w14:textFill>
        </w:rPr>
        <w:t>实质性要求通过后，</w:t>
      </w:r>
      <w:r>
        <w:rPr>
          <w:rFonts w:hint="eastAsia" w:ascii="宋体" w:hAnsi="宋体" w:eastAsia="宋体" w:cs="宋体"/>
          <w:color w:val="000000" w:themeColor="text1"/>
          <w:sz w:val="24"/>
          <w:szCs w:val="24"/>
          <w:highlight w:val="none"/>
          <w14:textFill>
            <w14:solidFill>
              <w14:schemeClr w14:val="tx1"/>
            </w14:solidFill>
          </w14:textFill>
        </w:rPr>
        <w:t>评标委员会按评标原则推荐中标候选人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同时起草评标报告。</w:t>
      </w:r>
    </w:p>
    <w:p>
      <w:pPr>
        <w:pStyle w:val="4"/>
        <w:bidi w:val="0"/>
        <w:rPr>
          <w:rFonts w:hint="eastAsia" w:ascii="宋体" w:hAnsi="宋体" w:eastAsia="宋体" w:cs="宋体"/>
          <w:color w:val="000000" w:themeColor="text1"/>
          <w14:textFill>
            <w14:solidFill>
              <w14:schemeClr w14:val="tx1"/>
            </w14:solidFill>
          </w14:textFill>
        </w:rPr>
      </w:pPr>
      <w:bookmarkStart w:id="104" w:name="_Toc26304"/>
      <w:r>
        <w:rPr>
          <w:rFonts w:hint="eastAsia" w:ascii="宋体" w:hAnsi="宋体" w:eastAsia="宋体" w:cs="宋体"/>
          <w:color w:val="000000" w:themeColor="text1"/>
          <w:lang w:val="en-US" w:eastAsia="zh-CN"/>
          <w14:textFill>
            <w14:solidFill>
              <w14:schemeClr w14:val="tx1"/>
            </w14:solidFill>
          </w14:textFill>
        </w:rPr>
        <w:t>26</w:t>
      </w:r>
      <w:r>
        <w:rPr>
          <w:rFonts w:hint="eastAsia" w:ascii="宋体" w:hAnsi="宋体" w:eastAsia="宋体" w:cs="宋体"/>
          <w:color w:val="000000" w:themeColor="text1"/>
          <w14:textFill>
            <w14:solidFill>
              <w14:schemeClr w14:val="tx1"/>
            </w14:solidFill>
          </w14:textFill>
        </w:rPr>
        <w:t>、澄清问题的形式</w:t>
      </w:r>
      <w:bookmarkEnd w:id="10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4"/>
        <w:bidi w:val="0"/>
        <w:rPr>
          <w:rFonts w:hint="eastAsia" w:ascii="宋体" w:hAnsi="宋体" w:eastAsia="宋体" w:cs="宋体"/>
          <w:color w:val="000000" w:themeColor="text1"/>
          <w14:textFill>
            <w14:solidFill>
              <w14:schemeClr w14:val="tx1"/>
            </w14:solidFill>
          </w14:textFill>
        </w:rPr>
      </w:pPr>
      <w:bookmarkStart w:id="105" w:name="_Toc1409"/>
      <w:r>
        <w:rPr>
          <w:rFonts w:hint="eastAsia" w:ascii="宋体" w:hAnsi="宋体" w:eastAsia="宋体" w:cs="宋体"/>
          <w:color w:val="000000" w:themeColor="text1"/>
          <w:lang w:val="en-US" w:eastAsia="zh-CN"/>
          <w14:textFill>
            <w14:solidFill>
              <w14:schemeClr w14:val="tx1"/>
            </w14:solidFill>
          </w14:textFill>
        </w:rPr>
        <w:t>27</w:t>
      </w:r>
      <w:r>
        <w:rPr>
          <w:rFonts w:hint="eastAsia" w:ascii="宋体" w:hAnsi="宋体" w:eastAsia="宋体" w:cs="宋体"/>
          <w:color w:val="000000" w:themeColor="text1"/>
          <w14:textFill>
            <w14:solidFill>
              <w14:schemeClr w14:val="tx1"/>
            </w14:solidFill>
          </w14:textFill>
        </w:rPr>
        <w:t>、错误修正</w:t>
      </w:r>
      <w:bookmarkEnd w:id="105"/>
    </w:p>
    <w:p>
      <w:pPr>
        <w:keepNext w:val="0"/>
        <w:keepLines w:val="0"/>
        <w:pageBreakBefore w:val="0"/>
        <w:widowControl w:val="0"/>
        <w:kinsoku/>
        <w:wordWrap/>
        <w:overflowPunct/>
        <w:topLinePunct w:val="0"/>
        <w:autoSpaceDE/>
        <w:autoSpaceDN/>
        <w:bidi w:val="0"/>
        <w:adjustRightInd w:val="0"/>
        <w:snapToGrid w:val="0"/>
        <w:spacing w:line="500" w:lineRule="exact"/>
        <w:ind w:left="719" w:leftChars="228" w:hanging="240" w:hanging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投标文件如果出现计算或表达上的错误，修正错误的原则如下：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color w:val="000000" w:themeColor="text1"/>
          <w:sz w:val="24"/>
          <w:szCs w:val="24"/>
          <w:highlight w:val="none"/>
          <w14:textFill>
            <w14:solidFill>
              <w14:schemeClr w14:val="tx1"/>
            </w14:solidFill>
          </w14:textFill>
        </w:rPr>
        <w:t>.1 开标一览表总价与投标报价明细表汇总数不一致的，</w:t>
      </w:r>
      <w:r>
        <w:rPr>
          <w:rFonts w:hint="eastAsia" w:ascii="宋体" w:hAnsi="宋体" w:eastAsia="宋体" w:cs="宋体"/>
          <w:color w:val="000000" w:themeColor="text1"/>
          <w:kern w:val="0"/>
          <w:sz w:val="24"/>
          <w:szCs w:val="24"/>
          <w:highlight w:val="none"/>
          <w14:textFill>
            <w14:solidFill>
              <w14:schemeClr w14:val="tx1"/>
            </w14:solidFill>
          </w14:textFill>
        </w:rPr>
        <w:t>以开标一览表为准；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投标文件的大写金额和小写金额不一致的，以大写金额为准；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.4 对不同文字文本投标文件的解释发生异议的，以中文文本为准。</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4"/>
        <w:bidi w:val="0"/>
        <w:rPr>
          <w:rFonts w:hint="eastAsia" w:ascii="宋体" w:hAnsi="宋体" w:eastAsia="宋体" w:cs="宋体"/>
          <w:color w:val="000000" w:themeColor="text1"/>
          <w14:textFill>
            <w14:solidFill>
              <w14:schemeClr w14:val="tx1"/>
            </w14:solidFill>
          </w14:textFill>
        </w:rPr>
      </w:pPr>
      <w:bookmarkStart w:id="106" w:name="_Toc8797"/>
      <w:r>
        <w:rPr>
          <w:rFonts w:hint="eastAsia" w:ascii="宋体" w:hAnsi="宋体" w:eastAsia="宋体" w:cs="宋体"/>
          <w:color w:val="000000" w:themeColor="text1"/>
          <w:lang w:val="en-US" w:eastAsia="zh-CN"/>
          <w14:textFill>
            <w14:solidFill>
              <w14:schemeClr w14:val="tx1"/>
            </w14:solidFill>
          </w14:textFill>
        </w:rPr>
        <w:t>28</w:t>
      </w:r>
      <w:r>
        <w:rPr>
          <w:rFonts w:hint="eastAsia" w:ascii="宋体" w:hAnsi="宋体" w:eastAsia="宋体" w:cs="宋体"/>
          <w:color w:val="000000" w:themeColor="text1"/>
          <w14:textFill>
            <w14:solidFill>
              <w14:schemeClr w14:val="tx1"/>
            </w14:solidFill>
          </w14:textFill>
        </w:rPr>
        <w:t>、评标原则和评标办法</w:t>
      </w:r>
      <w:bookmarkEnd w:id="10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t>.1 评标原则。评标委员会必须公平、公正、客观，不带任何倾向性和启发性；不得向外界透露任何与评标有关的内容；任何单位和个人不得干扰、影响评标的正常进行；评标委员会及有关工作人员不得私下与投标人接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t>.2 评标办法。本项目评标办法是</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lang w:eastAsia="zh-CN"/>
          <w14:textFill>
            <w14:solidFill>
              <w14:schemeClr w14:val="tx1"/>
            </w14:solidFill>
          </w14:textFill>
        </w:rPr>
        <w:t>综合评分法</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具体评标内容及评分标准等详见《第三章 评分办法及评分标准》</w:t>
      </w:r>
      <w:r>
        <w:rPr>
          <w:rFonts w:hint="eastAsia" w:ascii="宋体" w:hAnsi="宋体" w:eastAsia="宋体" w:cs="宋体"/>
          <w:b w:val="0"/>
          <w:bCs/>
          <w:color w:val="000000" w:themeColor="text1"/>
          <w:sz w:val="24"/>
          <w:szCs w:val="24"/>
          <w:highlight w:val="none"/>
          <w14:textFill>
            <w14:solidFill>
              <w14:schemeClr w14:val="tx1"/>
            </w14:solidFill>
          </w14:textFill>
        </w:rPr>
        <w:t>。</w:t>
      </w:r>
    </w:p>
    <w:p>
      <w:pPr>
        <w:pStyle w:val="1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28</w:t>
      </w:r>
      <w:r>
        <w:rPr>
          <w:rFonts w:hint="eastAsia" w:ascii="宋体" w:hAnsi="宋体" w:eastAsia="宋体" w:cs="宋体"/>
          <w:color w:val="000000" w:themeColor="text1"/>
          <w:spacing w:val="0"/>
          <w:sz w:val="24"/>
          <w:szCs w:val="24"/>
          <w:highlight w:val="none"/>
          <w14:textFill>
            <w14:solidFill>
              <w14:schemeClr w14:val="tx1"/>
            </w14:solidFill>
          </w14:textFill>
        </w:rPr>
        <w:t>.3废标</w:t>
      </w:r>
    </w:p>
    <w:p>
      <w:pPr>
        <w:pStyle w:val="1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在采购中，出现下列情形之一的，本项目应予废标：</w:t>
      </w:r>
    </w:p>
    <w:p>
      <w:pPr>
        <w:pStyle w:val="17"/>
        <w:keepNext w:val="0"/>
        <w:keepLines w:val="0"/>
        <w:pageBreakBefore w:val="0"/>
        <w:widowControl w:val="0"/>
        <w:kinsoku/>
        <w:wordWrap/>
        <w:overflowPunct/>
        <w:topLinePunct w:val="0"/>
        <w:autoSpaceDE/>
        <w:autoSpaceDN/>
        <w:bidi w:val="0"/>
        <w:adjustRightInd w:val="0"/>
        <w:snapToGrid w:val="0"/>
        <w:spacing w:line="500" w:lineRule="exact"/>
        <w:ind w:firstLine="420" w:firstLineChars="175"/>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出现影响采购公正的违法、违规行为的；</w:t>
      </w:r>
    </w:p>
    <w:p>
      <w:pPr>
        <w:pStyle w:val="17"/>
        <w:keepNext w:val="0"/>
        <w:keepLines w:val="0"/>
        <w:pageBreakBefore w:val="0"/>
        <w:widowControl w:val="0"/>
        <w:kinsoku/>
        <w:wordWrap/>
        <w:overflowPunct/>
        <w:topLinePunct w:val="0"/>
        <w:autoSpaceDE/>
        <w:autoSpaceDN/>
        <w:bidi w:val="0"/>
        <w:adjustRightInd w:val="0"/>
        <w:snapToGrid w:val="0"/>
        <w:spacing w:line="500" w:lineRule="exact"/>
        <w:ind w:firstLine="420" w:firstLineChars="175"/>
        <w:textAlignment w:val="auto"/>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有效投标单位不足三家的；</w:t>
      </w:r>
    </w:p>
    <w:p>
      <w:pPr>
        <w:pStyle w:val="17"/>
        <w:keepNext w:val="0"/>
        <w:keepLines w:val="0"/>
        <w:pageBreakBefore w:val="0"/>
        <w:widowControl w:val="0"/>
        <w:kinsoku/>
        <w:wordWrap/>
        <w:overflowPunct/>
        <w:topLinePunct w:val="0"/>
        <w:autoSpaceDE/>
        <w:autoSpaceDN/>
        <w:bidi w:val="0"/>
        <w:adjustRightInd w:val="0"/>
        <w:snapToGrid w:val="0"/>
        <w:spacing w:line="500" w:lineRule="exact"/>
        <w:ind w:firstLine="420" w:firstLineChars="175"/>
        <w:textAlignment w:val="auto"/>
        <w:rPr>
          <w:rFonts w:hint="eastAsia" w:ascii="宋体" w:hAnsi="宋体" w:eastAsia="宋体" w:cs="宋体"/>
        </w:rPr>
      </w:pPr>
      <w:r>
        <w:rPr>
          <w:rFonts w:hint="eastAsia" w:ascii="宋体" w:hAnsi="宋体" w:eastAsia="宋体" w:cs="宋体"/>
          <w:color w:val="000000" w:themeColor="text1"/>
          <w:spacing w:val="0"/>
          <w:sz w:val="24"/>
          <w:szCs w:val="24"/>
          <w:highlight w:val="none"/>
          <w14:textFill>
            <w14:solidFill>
              <w14:schemeClr w14:val="tx1"/>
            </w14:solidFill>
          </w14:textFill>
        </w:rPr>
        <w:t>(3</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因重大变故，采购任务取消的。</w:t>
      </w:r>
    </w:p>
    <w:p>
      <w:pPr>
        <w:pStyle w:val="3"/>
        <w:bidi w:val="0"/>
        <w:rPr>
          <w:rFonts w:hint="eastAsia" w:ascii="宋体" w:hAnsi="宋体" w:eastAsia="宋体" w:cs="宋体"/>
          <w:color w:val="000000" w:themeColor="text1"/>
          <w14:textFill>
            <w14:solidFill>
              <w14:schemeClr w14:val="tx1"/>
            </w14:solidFill>
          </w14:textFill>
        </w:rPr>
      </w:pPr>
      <w:bookmarkStart w:id="107" w:name="_Toc17951"/>
      <w:bookmarkStart w:id="108" w:name="_Toc5562"/>
      <w:r>
        <w:rPr>
          <w:rFonts w:hint="eastAsia" w:ascii="宋体" w:hAnsi="宋体" w:eastAsia="宋体" w:cs="宋体"/>
          <w:color w:val="000000" w:themeColor="text1"/>
          <w14:textFill>
            <w14:solidFill>
              <w14:schemeClr w14:val="tx1"/>
            </w14:solidFill>
          </w14:textFill>
        </w:rPr>
        <w:t>六、定标及</w:t>
      </w:r>
      <w:bookmarkStart w:id="109" w:name="_Toc9510640"/>
      <w:r>
        <w:rPr>
          <w:rFonts w:hint="eastAsia" w:ascii="宋体" w:hAnsi="宋体" w:eastAsia="宋体" w:cs="宋体"/>
          <w:color w:val="000000" w:themeColor="text1"/>
          <w14:textFill>
            <w14:solidFill>
              <w14:schemeClr w14:val="tx1"/>
            </w14:solidFill>
          </w14:textFill>
        </w:rPr>
        <w:t>合同授予</w:t>
      </w:r>
      <w:bookmarkEnd w:id="107"/>
      <w:bookmarkEnd w:id="108"/>
    </w:p>
    <w:p>
      <w:pPr>
        <w:pStyle w:val="4"/>
        <w:bidi w:val="0"/>
        <w:rPr>
          <w:rFonts w:hint="eastAsia" w:ascii="宋体" w:hAnsi="宋体" w:eastAsia="宋体" w:cs="宋体"/>
          <w:color w:val="000000" w:themeColor="text1"/>
          <w14:textFill>
            <w14:solidFill>
              <w14:schemeClr w14:val="tx1"/>
            </w14:solidFill>
          </w14:textFill>
        </w:rPr>
      </w:pPr>
      <w:bookmarkStart w:id="110" w:name="_Toc31428"/>
      <w:r>
        <w:rPr>
          <w:rFonts w:hint="eastAsia" w:ascii="宋体" w:hAnsi="宋体" w:eastAsia="宋体" w:cs="宋体"/>
          <w:color w:val="000000" w:themeColor="text1"/>
          <w:lang w:val="en-US" w:eastAsia="zh-CN"/>
          <w14:textFill>
            <w14:solidFill>
              <w14:schemeClr w14:val="tx1"/>
            </w14:solidFill>
          </w14:textFill>
        </w:rPr>
        <w:t>29</w:t>
      </w:r>
      <w:r>
        <w:rPr>
          <w:rFonts w:hint="eastAsia" w:ascii="宋体" w:hAnsi="宋体" w:eastAsia="宋体" w:cs="宋体"/>
          <w:color w:val="000000" w:themeColor="text1"/>
          <w14:textFill>
            <w14:solidFill>
              <w14:schemeClr w14:val="tx1"/>
            </w14:solidFill>
          </w14:textFill>
        </w:rPr>
        <w:t>、确</w:t>
      </w:r>
      <w:bookmarkEnd w:id="109"/>
      <w:r>
        <w:rPr>
          <w:rFonts w:hint="eastAsia" w:ascii="宋体" w:hAnsi="宋体" w:eastAsia="宋体" w:cs="宋体"/>
          <w:color w:val="000000" w:themeColor="text1"/>
          <w14:textFill>
            <w14:solidFill>
              <w14:schemeClr w14:val="tx1"/>
            </w14:solidFill>
          </w14:textFill>
        </w:rPr>
        <w:t>定中标人</w:t>
      </w:r>
      <w:bookmarkEnd w:id="110"/>
    </w:p>
    <w:p>
      <w:pPr>
        <w:keepNext w:val="0"/>
        <w:keepLines w:val="0"/>
        <w:pageBreakBefore w:val="0"/>
        <w:widowControl w:val="0"/>
        <w:kinsoku/>
        <w:wordWrap/>
        <w:overflowPunct/>
        <w:topLinePunct w:val="0"/>
        <w:autoSpaceDE/>
        <w:autoSpaceDN/>
        <w:bidi w:val="0"/>
        <w:adjustRightInd w:val="0"/>
        <w:snapToGrid w:val="0"/>
        <w:spacing w:line="500" w:lineRule="exact"/>
        <w:ind w:firstLine="470" w:firstLineChars="19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14:textFill>
            <w14:solidFill>
              <w14:schemeClr w14:val="tx1"/>
            </w14:solidFill>
          </w14:textFill>
        </w:rPr>
        <w:t>.1本项目由评标委员会以打分的方法，以得分高低先后顺序，原则上选定综合得分最高的为中标人。如排名第一</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投标人因不可抗力或者自身原因不能履行合同的，根据相关办法规定，可以确定排名第二的</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候选人为中标人，或认定</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无效，</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无效的重新组织招标。</w:t>
      </w:r>
    </w:p>
    <w:p>
      <w:pPr>
        <w:keepNext w:val="0"/>
        <w:keepLines w:val="0"/>
        <w:pageBreakBefore w:val="0"/>
        <w:widowControl w:val="0"/>
        <w:kinsoku/>
        <w:wordWrap/>
        <w:overflowPunct/>
        <w:topLinePunct w:val="0"/>
        <w:autoSpaceDE/>
        <w:autoSpaceDN/>
        <w:bidi w:val="0"/>
        <w:adjustRightInd w:val="0"/>
        <w:snapToGrid w:val="0"/>
        <w:spacing w:line="500" w:lineRule="exact"/>
        <w:ind w:firstLine="470" w:firstLineChars="19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14:textFill>
            <w14:solidFill>
              <w14:schemeClr w14:val="tx1"/>
            </w14:solidFill>
          </w14:textFill>
        </w:rPr>
        <w:t>.2中标人确定之日起2个工作日内，采购人或者采购代理机构应将中标结果在规定的公告媒体上公布。投标人如对评审结果有质疑的，按照《中华人民共和国政府采购法》、《中华人民共和国政府采购法实施条例》等有关程序办理。</w:t>
      </w:r>
    </w:p>
    <w:p>
      <w:pPr>
        <w:pStyle w:val="4"/>
        <w:bidi w:val="0"/>
        <w:rPr>
          <w:rFonts w:hint="eastAsia" w:ascii="宋体" w:hAnsi="宋体" w:eastAsia="宋体" w:cs="宋体"/>
          <w:color w:val="000000" w:themeColor="text1"/>
          <w14:textFill>
            <w14:solidFill>
              <w14:schemeClr w14:val="tx1"/>
            </w14:solidFill>
          </w14:textFill>
        </w:rPr>
      </w:pPr>
      <w:bookmarkStart w:id="111" w:name="_Toc4164"/>
      <w:r>
        <w:rPr>
          <w:rFonts w:hint="eastAsia" w:ascii="宋体" w:hAnsi="宋体" w:eastAsia="宋体" w:cs="宋体"/>
          <w:color w:val="000000" w:themeColor="text1"/>
          <w:lang w:val="en-US" w:eastAsia="zh-CN"/>
          <w14:textFill>
            <w14:solidFill>
              <w14:schemeClr w14:val="tx1"/>
            </w14:solidFill>
          </w14:textFill>
        </w:rPr>
        <w:t>30</w:t>
      </w:r>
      <w:r>
        <w:rPr>
          <w:rFonts w:hint="eastAsia" w:ascii="宋体" w:hAnsi="宋体" w:eastAsia="宋体" w:cs="宋体"/>
          <w:color w:val="000000" w:themeColor="text1"/>
          <w14:textFill>
            <w14:solidFill>
              <w14:schemeClr w14:val="tx1"/>
            </w14:solidFill>
          </w14:textFill>
        </w:rPr>
        <w:t>、签订合同</w:t>
      </w:r>
      <w:bookmarkEnd w:id="11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和中标人的投标文件均为签订采购合同的依据。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.2中标人应当在中标通知书发出之日起30日内，与采购人签订采购合同。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.3采购人不得与中标投标人订立背离</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确定的合同文本以及采购标的、规格型</w:t>
      </w:r>
      <w:r>
        <w:rPr>
          <w:rFonts w:hint="eastAsia" w:ascii="宋体" w:hAnsi="宋体" w:eastAsia="宋体" w:cs="宋体"/>
          <w:color w:val="auto"/>
          <w:sz w:val="24"/>
          <w:szCs w:val="24"/>
          <w:highlight w:val="none"/>
        </w:rPr>
        <w:t>号、采购金额、采购数量、技术和服务要求等实质性内容的协议。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.4自政府采购合同签订之日起2个工作日内，本项目政府采购合同在投标人须知</w:t>
      </w:r>
      <w:r>
        <w:rPr>
          <w:rFonts w:hint="eastAsia" w:ascii="宋体" w:hAnsi="宋体" w:eastAsia="宋体" w:cs="宋体"/>
          <w:color w:val="auto"/>
          <w:sz w:val="24"/>
          <w:szCs w:val="24"/>
          <w:highlight w:val="none"/>
          <w:lang w:val="en-US" w:eastAsia="zh-CN"/>
        </w:rPr>
        <w:t>前附表规定的媒体上公告，但政府采购合同中涉及国家秘密、商业秘密的内容除外。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30.5中标或者中标投标单位拒绝与采购人签订合同的，采购人可以按照评审报告推荐的中标或者中标候选人名单排序，确定下一候选人为中标或者中标投标单位，也可以重新开展政府采购活动。</w:t>
      </w:r>
    </w:p>
    <w:p>
      <w:pPr>
        <w:pStyle w:val="4"/>
        <w:bidi w:val="0"/>
        <w:rPr>
          <w:rFonts w:hint="eastAsia" w:ascii="宋体" w:hAnsi="宋体" w:eastAsia="宋体" w:cs="宋体"/>
          <w:color w:val="000000" w:themeColor="text1"/>
          <w14:textFill>
            <w14:solidFill>
              <w14:schemeClr w14:val="tx1"/>
            </w14:solidFill>
          </w14:textFill>
        </w:rPr>
      </w:pPr>
      <w:bookmarkStart w:id="112" w:name="_Toc15336"/>
      <w:r>
        <w:rPr>
          <w:rFonts w:hint="eastAsia"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、其他说明</w:t>
      </w:r>
      <w:bookmarkEnd w:id="11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保密要求：在合同期内或合同终止后，未征得有关方同意，不得泄露与本项目、本合同业务有关的保密资料。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本</w:t>
      </w:r>
      <w:r>
        <w:rPr>
          <w:rFonts w:hint="eastAsia" w:ascii="宋体" w:hAnsi="宋体" w:eastAsia="宋体" w:cs="宋体"/>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szCs w:val="24"/>
          <w:highlight w:val="none"/>
          <w14:textFill>
            <w14:solidFill>
              <w14:schemeClr w14:val="tx1"/>
            </w14:solidFill>
          </w14:textFill>
        </w:rPr>
        <w:t>未尽事宜按现行招标投标的有关法律法规和规定执行。</w:t>
      </w:r>
    </w:p>
    <w:p>
      <w:pP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br w:type="page"/>
      </w:r>
    </w:p>
    <w:p>
      <w:pPr>
        <w:pStyle w:val="2"/>
        <w:rPr>
          <w:rFonts w:hint="eastAsia" w:ascii="宋体" w:hAnsi="宋体" w:eastAsia="宋体" w:cs="宋体"/>
          <w:color w:val="000000" w:themeColor="text1"/>
          <w14:textFill>
            <w14:solidFill>
              <w14:schemeClr w14:val="tx1"/>
            </w14:solidFill>
          </w14:textFill>
        </w:rPr>
      </w:pPr>
      <w:bookmarkStart w:id="113" w:name="_Toc23127"/>
      <w:bookmarkStart w:id="114" w:name="_Toc8515"/>
      <w:bookmarkStart w:id="115" w:name="_Toc30905"/>
      <w:bookmarkStart w:id="116" w:name="_Toc9497"/>
      <w:r>
        <w:rPr>
          <w:rFonts w:hint="eastAsia" w:ascii="宋体" w:hAnsi="宋体" w:eastAsia="宋体" w:cs="宋体"/>
          <w:color w:val="000000" w:themeColor="text1"/>
          <w14:textFill>
            <w14:solidFill>
              <w14:schemeClr w14:val="tx1"/>
            </w14:solidFill>
          </w14:textFill>
        </w:rPr>
        <w:t>第三章 评分</w:t>
      </w:r>
      <w:bookmarkEnd w:id="113"/>
      <w:bookmarkEnd w:id="114"/>
      <w:r>
        <w:rPr>
          <w:rFonts w:hint="eastAsia" w:ascii="宋体" w:hAnsi="宋体" w:eastAsia="宋体" w:cs="宋体"/>
          <w:color w:val="000000" w:themeColor="text1"/>
          <w14:textFill>
            <w14:solidFill>
              <w14:schemeClr w14:val="tx1"/>
            </w14:solidFill>
          </w14:textFill>
        </w:rPr>
        <w:t>办法及评分标准</w:t>
      </w:r>
      <w:bookmarkEnd w:id="115"/>
      <w:bookmarkEnd w:id="116"/>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为公正、公平、科学地选择中标人，根据有关法律法规的规定，并结合本项目的实际情况，制定本办法。</w:t>
      </w:r>
    </w:p>
    <w:p>
      <w:pPr>
        <w:pStyle w:val="3"/>
        <w:rPr>
          <w:rFonts w:hint="eastAsia" w:ascii="宋体" w:hAnsi="宋体" w:eastAsia="宋体" w:cs="宋体"/>
          <w:color w:val="000000" w:themeColor="text1"/>
          <w14:textFill>
            <w14:solidFill>
              <w14:schemeClr w14:val="tx1"/>
            </w14:solidFill>
          </w14:textFill>
        </w:rPr>
      </w:pPr>
      <w:bookmarkStart w:id="117" w:name="_Toc32479"/>
      <w:bookmarkStart w:id="118" w:name="_Toc29264"/>
      <w:r>
        <w:rPr>
          <w:rFonts w:hint="eastAsia" w:ascii="宋体" w:hAnsi="宋体" w:eastAsia="宋体" w:cs="宋体"/>
          <w:color w:val="000000" w:themeColor="text1"/>
          <w14:textFill>
            <w14:solidFill>
              <w14:schemeClr w14:val="tx1"/>
            </w14:solidFill>
          </w14:textFill>
        </w:rPr>
        <w:t>一、评标组织</w:t>
      </w:r>
      <w:bookmarkEnd w:id="117"/>
      <w:bookmarkEnd w:id="118"/>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119" w:name="_Toc249760792"/>
      <w:bookmarkStart w:id="120" w:name="_Toc251566663"/>
      <w:bookmarkStart w:id="121" w:name="_Toc405213814"/>
      <w:r>
        <w:rPr>
          <w:rFonts w:hint="eastAsia" w:ascii="宋体" w:hAnsi="宋体" w:eastAsia="宋体" w:cs="宋体"/>
          <w:color w:val="000000" w:themeColor="text1"/>
          <w:sz w:val="24"/>
          <w:szCs w:val="24"/>
          <w14:textFill>
            <w14:solidFill>
              <w14:schemeClr w14:val="tx1"/>
            </w14:solidFill>
          </w14:textFill>
        </w:rPr>
        <w:t>评标工作</w:t>
      </w:r>
      <w:bookmarkEnd w:id="119"/>
      <w:bookmarkEnd w:id="120"/>
      <w:bookmarkEnd w:id="121"/>
      <w:r>
        <w:rPr>
          <w:rFonts w:hint="eastAsia" w:ascii="宋体" w:hAnsi="宋体" w:eastAsia="宋体" w:cs="宋体"/>
          <w:color w:val="000000" w:themeColor="text1"/>
          <w:sz w:val="24"/>
          <w:szCs w:val="24"/>
          <w14:textFill>
            <w14:solidFill>
              <w14:schemeClr w14:val="tx1"/>
            </w14:solidFill>
          </w14:textFill>
        </w:rPr>
        <w:t>由</w:t>
      </w:r>
      <w:bookmarkStart w:id="122" w:name="_Toc251566664"/>
      <w:bookmarkStart w:id="123" w:name="_Toc405213815"/>
      <w:bookmarkStart w:id="124" w:name="_Toc249760793"/>
      <w:r>
        <w:rPr>
          <w:rFonts w:hint="eastAsia" w:ascii="宋体" w:hAnsi="宋体" w:eastAsia="宋体" w:cs="宋体"/>
          <w:color w:val="000000" w:themeColor="text1"/>
          <w:sz w:val="24"/>
          <w:szCs w:val="24"/>
          <w14:textFill>
            <w14:solidFill>
              <w14:schemeClr w14:val="tx1"/>
            </w14:solidFill>
          </w14:textFill>
        </w:rPr>
        <w:t>采购代理机构负责组织，具体评标事务由依法组建的评标委员会负责。</w:t>
      </w:r>
    </w:p>
    <w:p>
      <w:pPr>
        <w:pStyle w:val="3"/>
        <w:rPr>
          <w:rFonts w:hint="eastAsia" w:ascii="宋体" w:hAnsi="宋体" w:eastAsia="宋体" w:cs="宋体"/>
          <w:color w:val="000000" w:themeColor="text1"/>
          <w14:textFill>
            <w14:solidFill>
              <w14:schemeClr w14:val="tx1"/>
            </w14:solidFill>
          </w14:textFill>
        </w:rPr>
      </w:pPr>
      <w:bookmarkStart w:id="125" w:name="_Toc3581"/>
      <w:bookmarkStart w:id="126" w:name="_Toc24221"/>
      <w:r>
        <w:rPr>
          <w:rFonts w:hint="eastAsia" w:ascii="宋体" w:hAnsi="宋体" w:eastAsia="宋体" w:cs="宋体"/>
          <w:color w:val="000000" w:themeColor="text1"/>
          <w14:textFill>
            <w14:solidFill>
              <w14:schemeClr w14:val="tx1"/>
            </w14:solidFill>
          </w14:textFill>
        </w:rPr>
        <w:t>二、评标纪律</w:t>
      </w:r>
      <w:bookmarkEnd w:id="125"/>
      <w:bookmarkEnd w:id="126"/>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1．评标</w:t>
      </w:r>
      <w:bookmarkEnd w:id="122"/>
      <w:bookmarkEnd w:id="123"/>
      <w:bookmarkEnd w:id="124"/>
      <w:r>
        <w:rPr>
          <w:rFonts w:hint="eastAsia" w:ascii="宋体" w:hAnsi="宋体" w:eastAsia="宋体" w:cs="宋体"/>
          <w:color w:val="000000" w:themeColor="text1"/>
          <w:sz w:val="24"/>
          <w:szCs w:val="24"/>
          <w14:textFill>
            <w14:solidFill>
              <w14:schemeClr w14:val="tx1"/>
            </w14:solidFill>
          </w14:textFill>
        </w:rPr>
        <w:t>是招标工作的重要环节，评标工作在评标委员会内独立进行。评标委员会将按照评标原则的要求，公正、平等地对待所有投标人。</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2．所有评标人员应忠于职守、廉洁自律、秉公办事、不徇私情。</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3．评标人员不得接受或参加投标人或与投标有关的单位、组织或个人的有碍公务的宴请、娱乐活动等，不得以任何形式弄虚作假。</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4．评标期间，评标人员不得随意出入评标地点、与外界通讯、会客等。</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5．在投标文件的审查、澄清、评价和比较以及授予合同的过程中，投标人对采购人、采购代理机构人员及评标委员会成员施加影响的任何行为，都将导致被取消投标资格。</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6．为保证评标的公正性，在评标过程中，评标委员会成员不得与投标人或与中标结果有利害关系的人进行私下接触。在评标工作结束后，凡与评标情况有接触的任何人，不得将评标情况扩散出评标委员会以外。</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7．评标过程中，评标专家对投标人的优劣情况，以及认为差异较大的情况，应以书面意见作出真实、专业、诚恳负责的表述，不得违背客观、公正的原则。</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8．评标结束后，各评标人员应将全部资料整理上交采购代理机构，严禁将评标过程中的任何资料带出评标现场向投标人或其他单位提供。</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9．在中标结果公布前应对评标委员会成员名单予以保密。</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10．评标委员会对各投标人的商业秘密予以保密。</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11．评标委员会成员应当客观、公正地履行职责，遵守职业道德，对所提出的评审意见承担个人责任。</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12．在整个评标过程中，投标人企图影响招标结果的任何活动，可能导致其投标失败。如有违法行为，将依法追究其法律责任。</w:t>
      </w:r>
    </w:p>
    <w:p>
      <w:pPr>
        <w:pStyle w:val="3"/>
        <w:rPr>
          <w:rFonts w:hint="eastAsia" w:ascii="宋体" w:hAnsi="宋体" w:eastAsia="宋体" w:cs="宋体"/>
          <w:color w:val="000000" w:themeColor="text1"/>
          <w14:textFill>
            <w14:solidFill>
              <w14:schemeClr w14:val="tx1"/>
            </w14:solidFill>
          </w14:textFill>
        </w:rPr>
      </w:pPr>
      <w:bookmarkStart w:id="127" w:name="_Toc10772"/>
      <w:bookmarkStart w:id="128" w:name="_Toc6124"/>
      <w:r>
        <w:rPr>
          <w:rFonts w:hint="eastAsia" w:ascii="宋体" w:hAnsi="宋体" w:eastAsia="宋体" w:cs="宋体"/>
          <w:color w:val="000000" w:themeColor="text1"/>
          <w14:textFill>
            <w14:solidFill>
              <w14:schemeClr w14:val="tx1"/>
            </w14:solidFill>
          </w14:textFill>
        </w:rPr>
        <w:t>三、评分标准和细则</w:t>
      </w:r>
      <w:bookmarkEnd w:id="127"/>
      <w:bookmarkEnd w:id="128"/>
    </w:p>
    <w:p>
      <w:pPr>
        <w:spacing w:line="50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（一）评分标准：</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评标委员会根据招标文件对各投标文件技术内容充分审核、讨论、评议后，评标委员会按评分细则，进行评判，每人一张评分票，并记名；如某张评分票的一个项目评分超过规定的分值范围，则该张评分票无效；各供应商技术的最终评分值为评标委员会成员的有效评分票的算术平均值。</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2.评标委员会成员按评分细则对各供应商的最终报价进行统一计算评分，集体统一判定评分。</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3.供应商的综合评分为技术、商务和投标报价</w:t>
      </w:r>
      <w:r>
        <w:rPr>
          <w:rFonts w:hint="eastAsia" w:ascii="宋体" w:hAnsi="宋体" w:eastAsia="宋体" w:cs="宋体"/>
          <w:color w:val="000000" w:themeColor="text1"/>
          <w:sz w:val="24"/>
          <w:szCs w:val="24"/>
          <w:lang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部分的总计，由指定专人进行计算和复核。中标候选资格按评标得分由高到低顺序排列，得分相同的，按投标报价由低到高顺序排列；得分且投标报价相同的，按技术得分由高到低顺序排列。</w:t>
      </w:r>
    </w:p>
    <w:p>
      <w:pP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（二）评分细则：</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rPr>
      </w:pPr>
      <w:r>
        <w:rPr>
          <w:rFonts w:hint="eastAsia" w:ascii="宋体" w:hAnsi="宋体" w:eastAsia="宋体" w:cs="宋体"/>
          <w:b/>
          <w:bCs/>
          <w:color w:val="000000" w:themeColor="text1"/>
          <w:sz w:val="24"/>
          <w:szCs w:val="24"/>
          <w14:textFill>
            <w14:solidFill>
              <w14:schemeClr w14:val="tx1"/>
            </w14:solidFill>
          </w14:textFill>
        </w:rPr>
        <w:t>1、技术和商务分（70分）</w:t>
      </w:r>
    </w:p>
    <w:tbl>
      <w:tblPr>
        <w:tblStyle w:val="37"/>
        <w:tblW w:w="91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7"/>
        <w:gridCol w:w="1352"/>
        <w:gridCol w:w="6024"/>
        <w:gridCol w:w="6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jc w:val="center"/>
        </w:trPr>
        <w:tc>
          <w:tcPr>
            <w:tcW w:w="1097"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评分因素及权重</w:t>
            </w: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评标因素</w:t>
            </w:r>
          </w:p>
        </w:tc>
        <w:tc>
          <w:tcPr>
            <w:tcW w:w="6024"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评分标准</w:t>
            </w:r>
          </w:p>
        </w:tc>
        <w:tc>
          <w:tcPr>
            <w:tcW w:w="636"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jc w:val="center"/>
        </w:trPr>
        <w:tc>
          <w:tcPr>
            <w:tcW w:w="1097" w:type="dxa"/>
            <w:vMerge w:val="restart"/>
            <w:tcMar>
              <w:top w:w="15" w:type="dxa"/>
              <w:left w:w="15" w:type="dxa"/>
              <w:right w:w="15" w:type="dxa"/>
            </w:tcMar>
            <w:vAlign w:val="center"/>
          </w:tcPr>
          <w:p>
            <w:pPr>
              <w:widowControl/>
              <w:spacing w:line="400" w:lineRule="exact"/>
              <w:jc w:val="center"/>
              <w:textAlignment w:val="center"/>
              <w:rPr>
                <w:rFonts w:hint="eastAsia" w:ascii="宋体" w:hAnsi="宋体" w:eastAsia="宋体" w:cs="宋体"/>
                <w:lang w:val="en-US" w:eastAsia="zh-CN"/>
              </w:rPr>
            </w:pPr>
            <w:r>
              <w:rPr>
                <w:rFonts w:hint="eastAsia" w:ascii="宋体" w:hAnsi="宋体" w:eastAsia="宋体" w:cs="宋体"/>
                <w:lang w:val="en-US" w:eastAsia="zh-CN"/>
              </w:rPr>
              <w:t>商务评分</w:t>
            </w:r>
          </w:p>
          <w:p>
            <w:pPr>
              <w:pStyle w:val="5"/>
              <w:ind w:left="0" w:leftChars="0" w:firstLine="0" w:firstLineChars="0"/>
              <w:rPr>
                <w:rFonts w:hint="eastAsia" w:ascii="宋体" w:hAnsi="宋体" w:eastAsia="宋体" w:cs="宋体"/>
              </w:rPr>
            </w:pPr>
            <w:r>
              <w:rPr>
                <w:rFonts w:hint="eastAsia" w:ascii="宋体" w:hAnsi="宋体" w:eastAsia="宋体" w:cs="宋体"/>
                <w:b w:val="0"/>
                <w:bCs/>
                <w:kern w:val="0"/>
                <w:sz w:val="24"/>
                <w:szCs w:val="24"/>
                <w:highlight w:val="none"/>
                <w:lang w:val="en-US" w:eastAsia="zh-CN"/>
              </w:rPr>
              <w:t>（10分）</w:t>
            </w: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kern w:val="0"/>
                <w:sz w:val="24"/>
                <w:szCs w:val="24"/>
                <w:highlight w:val="none"/>
              </w:rPr>
              <w:t>技术服务人员配备情况</w:t>
            </w:r>
          </w:p>
        </w:tc>
        <w:tc>
          <w:tcPr>
            <w:tcW w:w="6024" w:type="dxa"/>
            <w:tcMar>
              <w:top w:w="15" w:type="dxa"/>
              <w:left w:w="15" w:type="dxa"/>
              <w:right w:w="15" w:type="dxa"/>
            </w:tcMar>
            <w:vAlign w:val="center"/>
          </w:tcPr>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投标人须提供设备作业人员证及作业岗位培训合格证书，每提供一个得2分，满分4分。 (同时提供项目组人员在投标单位签订的劳务合同、身份证、半年内社保缴纳证明等)</w:t>
            </w:r>
          </w:p>
        </w:tc>
        <w:tc>
          <w:tcPr>
            <w:tcW w:w="636"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6" w:hRule="atLeast"/>
          <w:jc w:val="center"/>
        </w:trPr>
        <w:tc>
          <w:tcPr>
            <w:tcW w:w="1097" w:type="dxa"/>
            <w:vMerge w:val="continue"/>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投标设备的业绩</w:t>
            </w:r>
          </w:p>
        </w:tc>
        <w:tc>
          <w:tcPr>
            <w:tcW w:w="6024" w:type="dxa"/>
            <w:tcMar>
              <w:top w:w="15" w:type="dxa"/>
              <w:left w:w="15" w:type="dxa"/>
              <w:right w:w="15" w:type="dxa"/>
            </w:tcMar>
            <w:vAlign w:val="center"/>
          </w:tcPr>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业绩证明材料,投标人须提供近三年内签订的类似项目中标（成交）通知书或合同协议书（复印件加盖公章，未提供者不得分。）每提供一份完整资料得 1分，最多得6分。（复印件加盖公章，未提供者不得分。）</w:t>
            </w:r>
          </w:p>
        </w:tc>
        <w:tc>
          <w:tcPr>
            <w:tcW w:w="636"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5" w:hRule="atLeast"/>
          <w:jc w:val="center"/>
        </w:trPr>
        <w:tc>
          <w:tcPr>
            <w:tcW w:w="1097" w:type="dxa"/>
            <w:vMerge w:val="restart"/>
            <w:tcMar>
              <w:top w:w="15" w:type="dxa"/>
              <w:left w:w="15" w:type="dxa"/>
              <w:right w:w="15" w:type="dxa"/>
            </w:tcMar>
            <w:vAlign w:val="center"/>
          </w:tcPr>
          <w:p>
            <w:pPr>
              <w:widowControl/>
              <w:spacing w:line="400" w:lineRule="exact"/>
              <w:jc w:val="left"/>
              <w:textAlignment w:val="center"/>
              <w:rPr>
                <w:rFonts w:hint="eastAsia" w:ascii="宋体" w:hAnsi="宋体" w:eastAsia="宋体" w:cs="宋体"/>
                <w:color w:val="auto"/>
                <w:lang w:eastAsia="zh-CN"/>
              </w:rPr>
            </w:pPr>
            <w:r>
              <w:rPr>
                <w:rFonts w:hint="eastAsia" w:ascii="宋体" w:hAnsi="宋体" w:eastAsia="宋体" w:cs="宋体"/>
                <w:color w:val="auto"/>
                <w:lang w:eastAsia="zh-CN"/>
              </w:rPr>
              <w:t>技术评分</w:t>
            </w:r>
          </w:p>
          <w:p>
            <w:pPr>
              <w:pStyle w:val="5"/>
              <w:ind w:left="0" w:leftChars="0" w:firstLine="0" w:firstLineChars="0"/>
              <w:rPr>
                <w:rFonts w:hint="eastAsia" w:ascii="宋体" w:hAnsi="宋体" w:eastAsia="宋体" w:cs="宋体"/>
              </w:rPr>
            </w:pPr>
            <w:r>
              <w:rPr>
                <w:rFonts w:hint="eastAsia" w:ascii="宋体" w:hAnsi="宋体" w:eastAsia="宋体" w:cs="宋体"/>
                <w:b w:val="0"/>
                <w:bCs/>
                <w:color w:val="auto"/>
                <w:kern w:val="0"/>
                <w:sz w:val="24"/>
                <w:szCs w:val="24"/>
                <w:highlight w:val="none"/>
                <w:lang w:val="en-US" w:eastAsia="zh-CN"/>
              </w:rPr>
              <w:t>（60分）</w:t>
            </w: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rPr>
              <w:t>对投标设备整体评价</w:t>
            </w:r>
          </w:p>
        </w:tc>
        <w:tc>
          <w:tcPr>
            <w:tcW w:w="6024" w:type="dxa"/>
            <w:tcMar>
              <w:top w:w="15" w:type="dxa"/>
              <w:left w:w="15" w:type="dxa"/>
              <w:right w:w="15" w:type="dxa"/>
            </w:tcMar>
            <w:vAlign w:val="center"/>
          </w:tcPr>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产品质量、性能满足设计及招标文件要求，产品性价比高，技术应答无偏离，得</w:t>
            </w:r>
            <w:r>
              <w:rPr>
                <w:rFonts w:hint="eastAsia" w:ascii="宋体" w:hAnsi="宋体" w:cs="宋体"/>
                <w:color w:val="000000" w:themeColor="text1"/>
                <w:kern w:val="0"/>
                <w:sz w:val="24"/>
                <w:szCs w:val="24"/>
                <w:lang w:val="en-US" w:eastAsia="zh-CN" w:bidi="ar-SA"/>
                <w14:textFill>
                  <w14:solidFill>
                    <w14:schemeClr w14:val="tx1"/>
                  </w14:solidFill>
                </w14:textFill>
              </w:rPr>
              <w:t>8</w:t>
            </w:r>
            <w:r>
              <w:rPr>
                <w:rFonts w:hint="eastAsia" w:ascii="宋体" w:hAnsi="宋体" w:eastAsia="宋体" w:cs="宋体"/>
                <w:color w:val="000000" w:themeColor="text1"/>
                <w:kern w:val="0"/>
                <w:sz w:val="24"/>
                <w:szCs w:val="24"/>
                <w:lang w:val="en-US" w:eastAsia="zh-CN" w:bidi="ar-SA"/>
                <w14:textFill>
                  <w14:solidFill>
                    <w14:schemeClr w14:val="tx1"/>
                  </w14:solidFill>
                </w14:textFill>
              </w:rPr>
              <w:t>分；产品质量、性能基本满足设计及招标文件要求，产品性价比一般，技术应答基本无偏离，得6分；产品质量、性能差、产品性价比差，技术应答有偏离，得2分。</w:t>
            </w:r>
          </w:p>
        </w:tc>
        <w:tc>
          <w:tcPr>
            <w:tcW w:w="636" w:type="dxa"/>
            <w:tcMar>
              <w:top w:w="15" w:type="dxa"/>
              <w:left w:w="15" w:type="dxa"/>
              <w:right w:w="15" w:type="dxa"/>
            </w:tcMar>
            <w:vAlign w:val="center"/>
          </w:tcPr>
          <w:p>
            <w:pPr>
              <w:snapToGrid w:val="0"/>
              <w:spacing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0" w:hRule="atLeast"/>
          <w:jc w:val="center"/>
        </w:trPr>
        <w:tc>
          <w:tcPr>
            <w:tcW w:w="1097" w:type="dxa"/>
            <w:vMerge w:val="continue"/>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1352" w:type="dxa"/>
            <w:tcBorders>
              <w:top w:val="single" w:color="auto" w:sz="4" w:space="0"/>
            </w:tcBorders>
            <w:tcMar>
              <w:top w:w="15" w:type="dxa"/>
              <w:left w:w="15" w:type="dxa"/>
              <w:right w:w="15" w:type="dxa"/>
            </w:tcMar>
            <w:vAlign w:val="center"/>
          </w:tcPr>
          <w:p>
            <w:pPr>
              <w:widowControl/>
              <w:spacing w:line="400" w:lineRule="exact"/>
              <w:jc w:val="center"/>
              <w:textAlignment w:val="center"/>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rPr>
              <w:t>投标设备技术性能指标的响应程度</w:t>
            </w:r>
          </w:p>
        </w:tc>
        <w:tc>
          <w:tcPr>
            <w:tcW w:w="6024" w:type="dxa"/>
            <w:tcMar>
              <w:top w:w="15" w:type="dxa"/>
              <w:left w:w="15" w:type="dxa"/>
              <w:right w:w="15" w:type="dxa"/>
            </w:tcMar>
            <w:vAlign w:val="center"/>
          </w:tcPr>
          <w:p>
            <w:pPr>
              <w:widowControl/>
              <w:spacing w:line="400" w:lineRule="exact"/>
              <w:textAlignment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&lt;1&gt;设备正常运转相关技术支持方案的可行性、合理性、稳定性、方便操作执行等结合项目实际情况对比，优：得 15 分；良：得10分；差或者不提供得0分。</w:t>
            </w:r>
          </w:p>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&lt;2&gt;设备必须附产品说明、彩页等技术文件的参数、指标、准确、清晰、详细完善的结合项目实际情况对比优：得 5 分；良：得2分；差或者不提供得0分。</w:t>
            </w:r>
          </w:p>
        </w:tc>
        <w:tc>
          <w:tcPr>
            <w:tcW w:w="636" w:type="dxa"/>
            <w:tcMar>
              <w:top w:w="15" w:type="dxa"/>
              <w:left w:w="15" w:type="dxa"/>
              <w:right w:w="15" w:type="dxa"/>
            </w:tcMar>
            <w:vAlign w:val="center"/>
          </w:tcPr>
          <w:p>
            <w:pPr>
              <w:snapToGrid w:val="0"/>
              <w:spacing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6" w:hRule="atLeast"/>
          <w:jc w:val="center"/>
        </w:trPr>
        <w:tc>
          <w:tcPr>
            <w:tcW w:w="1097" w:type="dxa"/>
            <w:vMerge w:val="continue"/>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拆除及更换实施方案</w:t>
            </w:r>
          </w:p>
        </w:tc>
        <w:tc>
          <w:tcPr>
            <w:tcW w:w="6024" w:type="dxa"/>
            <w:tcMar>
              <w:top w:w="15" w:type="dxa"/>
              <w:left w:w="15" w:type="dxa"/>
              <w:right w:w="15" w:type="dxa"/>
            </w:tcMar>
            <w:vAlign w:val="center"/>
          </w:tcPr>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投标方在施工过程中应充分替用户考虑，在拆除及更换过程中保证施工进度的同时满足用户相关工作正常且高效等方面的基本需求。施工方案应能符合工程实际情况，提高生产率、缩短工期、提高质量、降低消耗、减轻劳动强度提高进度提案；执行国家强制性条文等综合打分。实施方案内容全面、具体，得10分，每缺一项扣1分扣至0分为止</w:t>
            </w:r>
            <w:r>
              <w:rPr>
                <w:rFonts w:hint="eastAsia" w:ascii="宋体" w:hAnsi="宋体" w:cs="宋体"/>
                <w:color w:val="000000" w:themeColor="text1"/>
                <w:kern w:val="0"/>
                <w:sz w:val="24"/>
                <w:szCs w:val="24"/>
                <w:lang w:val="en-US" w:eastAsia="zh-CN" w:bidi="ar-SA"/>
                <w14:textFill>
                  <w14:solidFill>
                    <w14:schemeClr w14:val="tx1"/>
                  </w14:solidFill>
                </w14:textFill>
              </w:rPr>
              <w:t>。</w:t>
            </w:r>
          </w:p>
        </w:tc>
        <w:tc>
          <w:tcPr>
            <w:tcW w:w="636" w:type="dxa"/>
            <w:tcMar>
              <w:top w:w="15" w:type="dxa"/>
              <w:left w:w="15" w:type="dxa"/>
              <w:right w:w="15" w:type="dxa"/>
            </w:tcMar>
            <w:vAlign w:val="center"/>
          </w:tcPr>
          <w:p>
            <w:pPr>
              <w:snapToGrid w:val="0"/>
              <w:spacing w:line="4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6" w:hRule="atLeast"/>
          <w:jc w:val="center"/>
        </w:trPr>
        <w:tc>
          <w:tcPr>
            <w:tcW w:w="1097" w:type="dxa"/>
            <w:vMerge w:val="continue"/>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rPr>
              <w:t>对投标人技术服务和质保期服务能力的评价</w:t>
            </w:r>
          </w:p>
        </w:tc>
        <w:tc>
          <w:tcPr>
            <w:tcW w:w="6024" w:type="dxa"/>
            <w:tcMar>
              <w:top w:w="15" w:type="dxa"/>
              <w:left w:w="15" w:type="dxa"/>
              <w:right w:w="15" w:type="dxa"/>
            </w:tcMar>
            <w:vAlign w:val="center"/>
          </w:tcPr>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各阶段服务计划详尽，质保期、维护保养期服务（包括费用）承诺：有非常满意的服务计划、质保承诺和优惠条件，10 分；有较好的的服务计划、质保承诺和优惠条件，7 分；一般的服务计划、质保承诺较差、优惠条件一般，3分。</w:t>
            </w:r>
          </w:p>
        </w:tc>
        <w:tc>
          <w:tcPr>
            <w:tcW w:w="636" w:type="dxa"/>
            <w:tcMar>
              <w:top w:w="15" w:type="dxa"/>
              <w:left w:w="15" w:type="dxa"/>
              <w:right w:w="15" w:type="dxa"/>
            </w:tcMar>
            <w:vAlign w:val="center"/>
          </w:tcPr>
          <w:p>
            <w:pPr>
              <w:snapToGrid w:val="0"/>
              <w:spacing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6" w:hRule="atLeast"/>
          <w:jc w:val="center"/>
        </w:trPr>
        <w:tc>
          <w:tcPr>
            <w:tcW w:w="1097" w:type="dxa"/>
            <w:vMerge w:val="continue"/>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安装调试方案</w:t>
            </w:r>
          </w:p>
        </w:tc>
        <w:tc>
          <w:tcPr>
            <w:tcW w:w="6024" w:type="dxa"/>
            <w:tcMar>
              <w:top w:w="15" w:type="dxa"/>
              <w:left w:w="15" w:type="dxa"/>
              <w:right w:w="15" w:type="dxa"/>
            </w:tcMar>
            <w:vAlign w:val="center"/>
          </w:tcPr>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对投标人响应的设备安装、调试、试运行、产品/系统质量承诺的完整性、合理性、可靠性进行评价，其中：</w:t>
            </w:r>
          </w:p>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1）能根据本项目实际情况提出方案，且安装调试方案科学、合理、安装程序与进度保障措施完善的得8分；</w:t>
            </w:r>
          </w:p>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 xml:space="preserve">2）安装调试方案基本可行、具备安装程序与进度保障措施的得6分； </w:t>
            </w:r>
          </w:p>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3）安装调试方案不完善、安装程序与进度保障措施考虑不周全的得 2 分。</w:t>
            </w:r>
          </w:p>
        </w:tc>
        <w:tc>
          <w:tcPr>
            <w:tcW w:w="636" w:type="dxa"/>
            <w:tcMar>
              <w:top w:w="15" w:type="dxa"/>
              <w:left w:w="15" w:type="dxa"/>
              <w:right w:w="15" w:type="dxa"/>
            </w:tcMar>
            <w:vAlign w:val="center"/>
          </w:tcPr>
          <w:p>
            <w:pPr>
              <w:snapToGrid w:val="0"/>
              <w:spacing w:line="40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6" w:hRule="atLeast"/>
          <w:jc w:val="center"/>
        </w:trPr>
        <w:tc>
          <w:tcPr>
            <w:tcW w:w="1097" w:type="dxa"/>
            <w:vMerge w:val="continue"/>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培训计划及保障能力</w:t>
            </w:r>
          </w:p>
        </w:tc>
        <w:tc>
          <w:tcPr>
            <w:tcW w:w="6024" w:type="dxa"/>
            <w:tcMar>
              <w:top w:w="15" w:type="dxa"/>
              <w:left w:w="15" w:type="dxa"/>
              <w:right w:w="15" w:type="dxa"/>
            </w:tcMar>
            <w:vAlign w:val="center"/>
          </w:tcPr>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根据投标商提供的培训计划，结合项目实际情况,具体特点及实际需求针对管理人员、设备使用人员制定详细的设备使用培训计划，包括培训团队（培训人员须提供特种设备作业人员证或特种作业岗位培训合格证书）、管理制度、培训次数、培训时长等内容，完全满足且优于招标文件要求得4分。基本满足招标文件要求得1分，与招标文件有重大偏差的不得分。</w:t>
            </w:r>
          </w:p>
        </w:tc>
        <w:tc>
          <w:tcPr>
            <w:tcW w:w="636"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9109" w:type="dxa"/>
            <w:gridSpan w:val="4"/>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val="en-US" w:eastAsia="zh-CN"/>
                <w14:textFill>
                  <w14:solidFill>
                    <w14:schemeClr w14:val="tx1"/>
                  </w14:solidFill>
                </w14:textFill>
              </w:rPr>
              <w:t>70</w:t>
            </w:r>
            <w:r>
              <w:rPr>
                <w:rFonts w:hint="eastAsia" w:ascii="宋体" w:hAnsi="宋体" w:eastAsia="宋体" w:cs="宋体"/>
                <w:color w:val="000000" w:themeColor="text1"/>
                <w:kern w:val="0"/>
                <w:sz w:val="24"/>
                <w:szCs w:val="24"/>
                <w14:textFill>
                  <w14:solidFill>
                    <w14:schemeClr w14:val="tx1"/>
                  </w14:solidFill>
                </w14:textFill>
              </w:rPr>
              <w:t>分</w:t>
            </w:r>
          </w:p>
        </w:tc>
      </w:tr>
    </w:tbl>
    <w:p>
      <w:pPr>
        <w:ind w:firstLine="482" w:firstLineChars="200"/>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2、报价分（30分）</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投标价格的合理性</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zh-CN"/>
          <w14:textFill>
            <w14:solidFill>
              <w14:schemeClr w14:val="tx1"/>
            </w14:solidFill>
          </w14:textFill>
        </w:rPr>
        <w:t>分析总报价及各个分项报价是否合理，报价范围是否完整，有否重大错漏项</w:t>
      </w:r>
      <w:r>
        <w:rPr>
          <w:rFonts w:hint="eastAsia" w:ascii="宋体" w:hAnsi="宋体" w:eastAsia="宋体" w:cs="宋体"/>
          <w:color w:val="000000" w:themeColor="text1"/>
          <w:sz w:val="24"/>
          <w14:textFill>
            <w14:solidFill>
              <w14:schemeClr w14:val="tx1"/>
            </w14:solidFill>
          </w14:textFill>
        </w:rPr>
        <w:t>，评标委员会认为投标报价出现异常时，有权要求投标人在评标期间对投标报价的详细组成和投标设备的供应渠道等事项作出解释和澄清，并确认其投标报价是否有效</w:t>
      </w:r>
      <w:r>
        <w:rPr>
          <w:rFonts w:hint="eastAsia" w:ascii="宋体" w:hAnsi="宋体" w:eastAsia="宋体" w:cs="宋体"/>
          <w:color w:val="000000" w:themeColor="text1"/>
          <w:sz w:val="24"/>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报价评分应在投标报价产品响应招标文件要求的配置基础上，取所有有效投标报价的最低价作为评标基准价，其价格分为满分。其他投标人的价格分统一按照下列公式计算：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投标报价得分=（评标基准价/</w:t>
      </w:r>
      <w:r>
        <w:rPr>
          <w:rFonts w:hint="eastAsia" w:ascii="宋体" w:hAnsi="宋体" w:eastAsia="宋体" w:cs="宋体"/>
          <w:color w:val="000000" w:themeColor="text1"/>
          <w:sz w:val="24"/>
          <w:lang w:eastAsia="zh-CN"/>
          <w14:textFill>
            <w14:solidFill>
              <w14:schemeClr w14:val="tx1"/>
            </w14:solidFill>
          </w14:textFill>
        </w:rPr>
        <w:t>有效</w:t>
      </w:r>
      <w:r>
        <w:rPr>
          <w:rFonts w:hint="eastAsia" w:ascii="宋体" w:hAnsi="宋体" w:eastAsia="宋体" w:cs="宋体"/>
          <w:color w:val="000000" w:themeColor="text1"/>
          <w:sz w:val="24"/>
          <w14:textFill>
            <w14:solidFill>
              <w14:schemeClr w14:val="tx1"/>
            </w14:solidFill>
          </w14:textFill>
        </w:rPr>
        <w:t>投标报价）×价格分值</w:t>
      </w:r>
    </w:p>
    <w:p>
      <w:pPr>
        <w:keepNext w:val="0"/>
        <w:keepLines w:val="0"/>
        <w:pageBreakBefore w:val="0"/>
        <w:widowControl w:val="0"/>
        <w:kinsoku/>
        <w:wordWrap/>
        <w:overflowPunct/>
        <w:topLinePunct w:val="0"/>
        <w:autoSpaceDE/>
        <w:autoSpaceDN/>
        <w:bidi w:val="0"/>
        <w:spacing w:line="500" w:lineRule="exact"/>
        <w:ind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最低报价不是中标的保证。评标委员会根据得分排序推荐中标人。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注：1、计算评分值时四舍五入保留小数点后两位。</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以上评分细则中要求的各种证书、证件、证明资料如是复印件，须在复印件上加盖有效公章，原件备查。采购人及采购代理机构在项目评审直至合同签订、履约期间，有权要求投标人出具投标文件中的主要证明材料原件：如合同或用户验收报告等，予以确认其的真实性和有效性，如出现与事实不符等情况，将根据有关规定以“提供虚假材料谋取中标”予以处罚；如投标人提供的合同复印件等实施项目证明材料与投标主体无关或违规转包分包的，评标委员会将进行扣分直至认定投标无效。</w:t>
      </w:r>
      <w:r>
        <w:rPr>
          <w:rFonts w:hint="eastAsia" w:ascii="宋体" w:hAnsi="宋体" w:eastAsia="宋体" w:cs="宋体"/>
          <w:bCs/>
          <w:color w:val="000000" w:themeColor="text1"/>
          <w:sz w:val="24"/>
          <w:szCs w:val="24"/>
          <w:highlight w:val="none"/>
          <w14:textFill>
            <w14:solidFill>
              <w14:schemeClr w14:val="tx1"/>
            </w14:solidFill>
          </w14:textFill>
        </w:rPr>
        <w:br w:type="page"/>
      </w:r>
    </w:p>
    <w:bookmarkEnd w:id="57"/>
    <w:bookmarkEnd w:id="58"/>
    <w:bookmarkEnd w:id="59"/>
    <w:bookmarkEnd w:id="60"/>
    <w:bookmarkEnd w:id="61"/>
    <w:bookmarkEnd w:id="62"/>
    <w:bookmarkEnd w:id="65"/>
    <w:p>
      <w:pPr>
        <w:pStyle w:val="2"/>
        <w:bidi w:val="0"/>
        <w:jc w:val="center"/>
        <w:rPr>
          <w:rFonts w:hint="eastAsia" w:ascii="宋体" w:hAnsi="宋体" w:eastAsia="宋体" w:cs="宋体"/>
          <w:color w:val="000000" w:themeColor="text1"/>
          <w:lang w:val="en-US" w:eastAsia="zh-CN"/>
          <w14:textFill>
            <w14:solidFill>
              <w14:schemeClr w14:val="tx1"/>
            </w14:solidFill>
          </w14:textFill>
        </w:rPr>
      </w:pPr>
      <w:bookmarkStart w:id="129" w:name="_Toc12223"/>
      <w:bookmarkStart w:id="130" w:name="_Toc26728"/>
      <w:bookmarkStart w:id="131" w:name="_Toc23542"/>
      <w:r>
        <w:rPr>
          <w:rFonts w:hint="eastAsia" w:ascii="宋体" w:hAnsi="宋体" w:eastAsia="宋体" w:cs="宋体"/>
          <w:color w:val="000000" w:themeColor="text1"/>
          <w:lang w:val="en-US" w:eastAsia="zh-CN"/>
          <w14:textFill>
            <w14:solidFill>
              <w14:schemeClr w14:val="tx1"/>
            </w14:solidFill>
          </w14:textFill>
        </w:rPr>
        <w:t xml:space="preserve">第四章 </w:t>
      </w:r>
      <w:r>
        <w:rPr>
          <w:rFonts w:hint="eastAsia" w:ascii="宋体" w:hAnsi="宋体" w:eastAsia="宋体" w:cs="宋体"/>
          <w:color w:val="000000" w:themeColor="text1"/>
          <w:lang w:val="en-US" w:eastAsia="en-US"/>
          <w14:textFill>
            <w14:solidFill>
              <w14:schemeClr w14:val="tx1"/>
            </w14:solidFill>
          </w14:textFill>
        </w:rPr>
        <w:t>拟订立的合同样本</w:t>
      </w:r>
      <w:bookmarkEnd w:id="129"/>
      <w:bookmarkEnd w:id="130"/>
      <w:bookmarkEnd w:id="131"/>
    </w:p>
    <w:p>
      <w:pPr>
        <w:widowControl/>
        <w:spacing w:line="200" w:lineRule="atLeast"/>
        <w:ind w:left="0" w:leftChars="0" w:firstLine="0" w:firstLineChars="0"/>
        <w:jc w:val="center"/>
        <w:rPr>
          <w:rFonts w:hint="eastAsia" w:ascii="宋体" w:hAnsi="宋体" w:eastAsia="宋体" w:cs="宋体"/>
          <w:b/>
          <w:bCs/>
          <w:color w:val="auto"/>
          <w:sz w:val="36"/>
          <w:szCs w:val="36"/>
        </w:rPr>
      </w:pPr>
      <w:bookmarkStart w:id="132" w:name="_Toc5156"/>
      <w:bookmarkStart w:id="133" w:name="_Toc31151"/>
      <w:bookmarkStart w:id="134" w:name="_Toc9411"/>
      <w:r>
        <w:rPr>
          <w:rFonts w:hint="eastAsia" w:ascii="宋体" w:hAnsi="宋体" w:eastAsia="宋体" w:cs="宋体"/>
          <w:b/>
          <w:bCs/>
          <w:color w:val="auto"/>
          <w:sz w:val="36"/>
          <w:szCs w:val="36"/>
          <w:lang w:eastAsia="zh-CN"/>
        </w:rPr>
        <w:t>货物采购</w:t>
      </w:r>
      <w:r>
        <w:rPr>
          <w:rFonts w:hint="eastAsia" w:ascii="宋体" w:hAnsi="宋体" w:eastAsia="宋体" w:cs="宋体"/>
          <w:b/>
          <w:bCs/>
          <w:color w:val="auto"/>
          <w:sz w:val="36"/>
          <w:szCs w:val="36"/>
        </w:rPr>
        <w:t>合同</w:t>
      </w:r>
    </w:p>
    <w:p>
      <w:pPr>
        <w:widowControl/>
        <w:spacing w:line="200" w:lineRule="atLeast"/>
        <w:jc w:val="center"/>
        <w:rPr>
          <w:rFonts w:hint="eastAsia" w:ascii="宋体" w:hAnsi="宋体" w:eastAsia="宋体" w:cs="宋体"/>
          <w:b/>
          <w:bCs/>
          <w:color w:val="auto"/>
          <w:sz w:val="36"/>
          <w:szCs w:val="36"/>
        </w:rPr>
      </w:pPr>
    </w:p>
    <w:p>
      <w:pPr>
        <w:widowControl/>
        <w:spacing w:line="200" w:lineRule="atLeast"/>
        <w:ind w:left="0" w:leftChars="0" w:firstLine="0" w:firstLineChars="0"/>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（参考本）</w:t>
      </w:r>
    </w:p>
    <w:p>
      <w:pPr>
        <w:widowControl/>
        <w:spacing w:before="100" w:beforeAutospacing="1" w:after="100" w:afterAutospacing="1" w:line="200" w:lineRule="atLeast"/>
        <w:rPr>
          <w:rFonts w:hint="eastAsia" w:ascii="宋体" w:hAnsi="宋体" w:eastAsia="宋体" w:cs="宋体"/>
          <w:b/>
          <w:bCs/>
          <w:color w:val="auto"/>
          <w:sz w:val="24"/>
        </w:rPr>
      </w:pPr>
      <w:r>
        <w:rPr>
          <w:rFonts w:hint="eastAsia" w:ascii="宋体" w:hAnsi="宋体" w:eastAsia="宋体" w:cs="宋体"/>
          <w:b/>
          <w:bCs/>
          <w:color w:val="auto"/>
          <w:sz w:val="24"/>
        </w:rPr>
        <w:t xml:space="preserve">         </w:t>
      </w:r>
    </w:p>
    <w:p>
      <w:pPr>
        <w:widowControl/>
        <w:spacing w:line="200" w:lineRule="atLeast"/>
        <w:rPr>
          <w:rFonts w:hint="eastAsia" w:ascii="宋体" w:hAnsi="宋体" w:eastAsia="宋体" w:cs="宋体"/>
          <w:b/>
          <w:bCs/>
          <w:color w:val="auto"/>
          <w:sz w:val="24"/>
        </w:rPr>
      </w:pPr>
      <w:r>
        <w:rPr>
          <w:rFonts w:hint="eastAsia" w:ascii="宋体" w:hAnsi="宋体" w:eastAsia="宋体" w:cs="宋体"/>
          <w:b/>
          <w:bCs/>
          <w:color w:val="auto"/>
          <w:sz w:val="24"/>
        </w:rPr>
        <w:t xml:space="preserve">                   合同编号：</w:t>
      </w:r>
      <w:r>
        <w:rPr>
          <w:rFonts w:hint="eastAsia" w:ascii="宋体" w:hAnsi="宋体" w:eastAsia="宋体" w:cs="宋体"/>
          <w:b/>
          <w:bCs/>
          <w:color w:val="auto"/>
          <w:sz w:val="24"/>
          <w:u w:val="single"/>
        </w:rPr>
        <w:t xml:space="preserve">                         </w:t>
      </w:r>
    </w:p>
    <w:p>
      <w:pPr>
        <w:widowControl/>
        <w:spacing w:before="100" w:beforeAutospacing="1" w:after="100" w:afterAutospacing="1" w:line="200" w:lineRule="atLeast"/>
        <w:rPr>
          <w:rFonts w:hint="eastAsia" w:ascii="宋体" w:hAnsi="宋体" w:eastAsia="宋体" w:cs="宋体"/>
          <w:b/>
          <w:bCs/>
          <w:color w:val="auto"/>
          <w:sz w:val="24"/>
        </w:rPr>
      </w:pPr>
    </w:p>
    <w:p>
      <w:pPr>
        <w:widowControl/>
        <w:spacing w:before="100" w:beforeAutospacing="1" w:after="100" w:afterAutospacing="1" w:line="200" w:lineRule="atLeast"/>
        <w:ind w:left="0" w:leftChars="0" w:firstLine="0" w:firstLineChars="0"/>
        <w:rPr>
          <w:rFonts w:hint="eastAsia" w:ascii="宋体" w:hAnsi="宋体" w:eastAsia="宋体" w:cs="宋体"/>
          <w:b/>
          <w:bCs/>
          <w:color w:val="auto"/>
          <w:sz w:val="28"/>
        </w:rPr>
      </w:pPr>
    </w:p>
    <w:p>
      <w:pPr>
        <w:widowControl/>
        <w:spacing w:before="100" w:beforeAutospacing="1" w:after="100" w:afterAutospacing="1" w:line="200" w:lineRule="atLeast"/>
        <w:ind w:firstLine="2530" w:firstLineChars="900"/>
        <w:rPr>
          <w:rFonts w:hint="eastAsia" w:ascii="宋体" w:hAnsi="宋体" w:eastAsia="宋体" w:cs="宋体"/>
          <w:b/>
          <w:bCs/>
          <w:color w:val="auto"/>
          <w:sz w:val="28"/>
        </w:rPr>
      </w:pPr>
      <w:r>
        <w:rPr>
          <w:rFonts w:hint="eastAsia" w:ascii="宋体" w:hAnsi="宋体" w:eastAsia="宋体" w:cs="宋体"/>
          <w:b/>
          <w:bCs/>
          <w:color w:val="auto"/>
          <w:sz w:val="28"/>
        </w:rPr>
        <w:t xml:space="preserve">甲方：          </w:t>
      </w:r>
    </w:p>
    <w:p>
      <w:pPr>
        <w:widowControl/>
        <w:spacing w:before="100" w:beforeAutospacing="1" w:after="100" w:afterAutospacing="1" w:line="200" w:lineRule="atLeast"/>
        <w:ind w:firstLine="2530" w:firstLineChars="900"/>
        <w:rPr>
          <w:rFonts w:hint="eastAsia" w:ascii="宋体" w:hAnsi="宋体" w:eastAsia="宋体" w:cs="宋体"/>
          <w:b/>
          <w:bCs/>
          <w:color w:val="auto"/>
          <w:sz w:val="28"/>
        </w:rPr>
      </w:pPr>
      <w:r>
        <w:rPr>
          <w:rFonts w:hint="eastAsia" w:ascii="宋体" w:hAnsi="宋体" w:eastAsia="宋体" w:cs="宋体"/>
          <w:b/>
          <w:bCs/>
          <w:color w:val="auto"/>
          <w:sz w:val="28"/>
        </w:rPr>
        <w:t>乙方：</w:t>
      </w:r>
    </w:p>
    <w:p>
      <w:pPr>
        <w:rPr>
          <w:rFonts w:hint="eastAsia" w:ascii="宋体" w:hAnsi="宋体" w:eastAsia="宋体" w:cs="宋体"/>
          <w:b/>
          <w:bCs/>
          <w:color w:val="auto"/>
          <w:sz w:val="28"/>
        </w:rPr>
      </w:pPr>
    </w:p>
    <w:p>
      <w:pPr>
        <w:ind w:firstLine="1968" w:firstLineChars="700"/>
        <w:rPr>
          <w:rFonts w:hint="eastAsia" w:ascii="宋体" w:hAnsi="宋体" w:eastAsia="宋体" w:cs="宋体"/>
          <w:color w:val="auto"/>
          <w:sz w:val="28"/>
          <w:szCs w:val="28"/>
        </w:rPr>
      </w:pPr>
      <w:r>
        <w:rPr>
          <w:rFonts w:hint="eastAsia" w:ascii="宋体" w:hAnsi="宋体" w:eastAsia="宋体" w:cs="宋体"/>
          <w:b/>
          <w:bCs/>
          <w:color w:val="auto"/>
          <w:sz w:val="28"/>
        </w:rPr>
        <w:t>签订时间：</w:t>
      </w:r>
      <w:r>
        <w:rPr>
          <w:rFonts w:hint="eastAsia" w:ascii="宋体" w:hAnsi="宋体" w:eastAsia="宋体" w:cs="宋体"/>
          <w:b/>
          <w:bCs/>
          <w:color w:val="auto"/>
          <w:sz w:val="28"/>
          <w:u w:val="single"/>
        </w:rPr>
        <w:t xml:space="preserve">         </w:t>
      </w:r>
      <w:r>
        <w:rPr>
          <w:rFonts w:hint="eastAsia" w:ascii="宋体" w:hAnsi="宋体" w:eastAsia="宋体" w:cs="宋体"/>
          <w:b/>
          <w:bCs/>
          <w:color w:val="auto"/>
          <w:sz w:val="28"/>
        </w:rPr>
        <w:t>年</w:t>
      </w:r>
      <w:r>
        <w:rPr>
          <w:rFonts w:hint="eastAsia" w:ascii="宋体" w:hAnsi="宋体" w:eastAsia="宋体" w:cs="宋体"/>
          <w:b/>
          <w:bCs/>
          <w:color w:val="auto"/>
          <w:sz w:val="28"/>
          <w:u w:val="single"/>
        </w:rPr>
        <w:t xml:space="preserve">     </w:t>
      </w:r>
      <w:r>
        <w:rPr>
          <w:rFonts w:hint="eastAsia" w:ascii="宋体" w:hAnsi="宋体" w:eastAsia="宋体" w:cs="宋体"/>
          <w:b/>
          <w:bCs/>
          <w:color w:val="auto"/>
          <w:sz w:val="28"/>
        </w:rPr>
        <w:t>月</w:t>
      </w:r>
      <w:r>
        <w:rPr>
          <w:rFonts w:hint="eastAsia" w:ascii="宋体" w:hAnsi="宋体" w:eastAsia="宋体" w:cs="宋体"/>
          <w:b/>
          <w:bCs/>
          <w:color w:val="auto"/>
          <w:sz w:val="28"/>
          <w:u w:val="single"/>
        </w:rPr>
        <w:t xml:space="preserve">    </w:t>
      </w:r>
      <w:r>
        <w:rPr>
          <w:rFonts w:hint="eastAsia" w:ascii="宋体" w:hAnsi="宋体" w:eastAsia="宋体" w:cs="宋体"/>
          <w:b/>
          <w:bCs/>
          <w:color w:val="auto"/>
          <w:sz w:val="28"/>
        </w:rPr>
        <w:t>日</w:t>
      </w:r>
    </w:p>
    <w:p>
      <w:pPr>
        <w:spacing w:line="360" w:lineRule="auto"/>
        <w:ind w:firstLine="562" w:firstLineChars="200"/>
        <w:jc w:val="center"/>
        <w:rPr>
          <w:rFonts w:hint="eastAsia" w:ascii="宋体" w:hAnsi="宋体" w:eastAsia="宋体" w:cs="宋体"/>
          <w:b/>
          <w:bCs/>
          <w:color w:val="auto"/>
          <w:sz w:val="28"/>
          <w:szCs w:val="28"/>
        </w:rPr>
      </w:pPr>
    </w:p>
    <w:p>
      <w:pPr>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注：仅供参考，实际以和采购人签订的合同为主。</w:t>
      </w:r>
    </w:p>
    <w:p>
      <w:pPr>
        <w:pStyle w:val="3"/>
        <w:outlineLvl w:val="9"/>
        <w:rPr>
          <w:rFonts w:hint="eastAsia" w:ascii="宋体" w:hAnsi="宋体" w:eastAsia="宋体" w:cs="宋体"/>
          <w:color w:val="auto"/>
          <w:sz w:val="28"/>
          <w:szCs w:val="28"/>
        </w:rPr>
      </w:pPr>
    </w:p>
    <w:p>
      <w:pPr>
        <w:pStyle w:val="5"/>
        <w:rPr>
          <w:rFonts w:hint="eastAsia" w:ascii="宋体" w:hAnsi="宋体" w:eastAsia="宋体" w:cs="宋体"/>
        </w:rPr>
      </w:pP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pPr>
        <w:numPr>
          <w:ilvl w:val="0"/>
          <w:numId w:val="8"/>
        </w:numPr>
        <w:spacing w:line="360" w:lineRule="auto"/>
        <w:ind w:firstLine="562" w:firstLineChars="2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合同协议书</w:t>
      </w:r>
    </w:p>
    <w:p>
      <w:pPr>
        <w:spacing w:line="360" w:lineRule="auto"/>
        <w:rPr>
          <w:rFonts w:hint="eastAsia" w:ascii="宋体" w:hAnsi="宋体" w:eastAsia="宋体" w:cs="宋体"/>
          <w:b w:val="0"/>
          <w:bCs w:val="0"/>
          <w:color w:val="auto"/>
          <w:sz w:val="28"/>
          <w:szCs w:val="28"/>
        </w:rPr>
      </w:pP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根据《中华人民共和国政府采购法》、《中华人民共和国民法典》及</w:t>
      </w:r>
      <w:r>
        <w:rPr>
          <w:rFonts w:hint="eastAsia" w:ascii="宋体" w:hAnsi="宋体" w:eastAsia="宋体" w:cs="宋体"/>
          <w:b w:val="0"/>
          <w:color w:val="auto"/>
          <w:sz w:val="24"/>
          <w:szCs w:val="24"/>
          <w:highlight w:val="none"/>
          <w:lang w:eastAsia="zh-CN"/>
        </w:rPr>
        <w:t>项目名称：</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（项目编号：</w:t>
      </w:r>
      <w:r>
        <w:rPr>
          <w:rFonts w:hint="eastAsia" w:ascii="宋体" w:hAnsi="宋体" w:eastAsia="宋体" w:cs="宋体"/>
          <w:b w:val="0"/>
          <w:i w:val="0"/>
          <w:color w:val="auto"/>
          <w:kern w:val="2"/>
          <w:sz w:val="24"/>
          <w:szCs w:val="24"/>
          <w:highlight w:val="none"/>
          <w:lang w:val="en-US" w:eastAsia="zh-CN" w:bidi="ar-SA"/>
        </w:rPr>
        <w:t xml:space="preserve">     </w:t>
      </w:r>
      <w:r>
        <w:rPr>
          <w:rFonts w:hint="eastAsia" w:ascii="宋体" w:hAnsi="宋体" w:eastAsia="宋体" w:cs="宋体"/>
          <w:b w:val="0"/>
          <w:color w:val="auto"/>
          <w:sz w:val="24"/>
          <w:szCs w:val="24"/>
          <w:highlight w:val="none"/>
        </w:rPr>
        <w:t>）的《</w:t>
      </w:r>
      <w:r>
        <w:rPr>
          <w:rFonts w:hint="eastAsia" w:ascii="宋体" w:hAnsi="宋体" w:cs="宋体"/>
          <w:b w:val="0"/>
          <w:color w:val="auto"/>
          <w:sz w:val="24"/>
          <w:szCs w:val="24"/>
          <w:highlight w:val="none"/>
          <w:lang w:eastAsia="zh-CN"/>
        </w:rPr>
        <w:t>招标</w:t>
      </w:r>
      <w:r>
        <w:rPr>
          <w:rFonts w:hint="eastAsia" w:ascii="宋体" w:hAnsi="宋体" w:eastAsia="宋体" w:cs="宋体"/>
          <w:b w:val="0"/>
          <w:color w:val="auto"/>
          <w:sz w:val="24"/>
          <w:szCs w:val="24"/>
          <w:highlight w:val="none"/>
        </w:rPr>
        <w:t>文件》、乙方的《</w:t>
      </w:r>
      <w:r>
        <w:rPr>
          <w:rFonts w:hint="eastAsia" w:ascii="宋体" w:hAnsi="宋体" w:cs="宋体"/>
          <w:b w:val="0"/>
          <w:color w:val="auto"/>
          <w:sz w:val="24"/>
          <w:szCs w:val="24"/>
          <w:highlight w:val="none"/>
          <w:lang w:eastAsia="zh-CN"/>
        </w:rPr>
        <w:t>投标</w:t>
      </w:r>
      <w:r>
        <w:rPr>
          <w:rFonts w:hint="eastAsia" w:ascii="宋体" w:hAnsi="宋体" w:eastAsia="宋体" w:cs="宋体"/>
          <w:b w:val="0"/>
          <w:color w:val="auto"/>
          <w:sz w:val="24"/>
          <w:szCs w:val="24"/>
          <w:highlight w:val="none"/>
        </w:rPr>
        <w:t>文件》及《</w:t>
      </w:r>
      <w:r>
        <w:rPr>
          <w:rFonts w:hint="eastAsia" w:ascii="宋体" w:hAnsi="宋体" w:cs="宋体"/>
          <w:b w:val="0"/>
          <w:color w:val="auto"/>
          <w:sz w:val="24"/>
          <w:szCs w:val="24"/>
          <w:highlight w:val="none"/>
          <w:lang w:eastAsia="zh-CN"/>
        </w:rPr>
        <w:t>中标</w:t>
      </w:r>
      <w:r>
        <w:rPr>
          <w:rFonts w:hint="eastAsia" w:ascii="宋体" w:hAnsi="宋体" w:eastAsia="宋体" w:cs="宋体"/>
          <w:b w:val="0"/>
          <w:color w:val="auto"/>
          <w:sz w:val="24"/>
          <w:szCs w:val="24"/>
          <w:highlight w:val="none"/>
        </w:rPr>
        <w:t>通知书》，甲、乙双方同意签订本合同。详细技术说明及其他有关合同项目的特定信息由合同附件予以说明，合同附件及本项目的</w:t>
      </w:r>
      <w:r>
        <w:rPr>
          <w:rFonts w:hint="eastAsia" w:ascii="宋体" w:hAnsi="宋体" w:cs="宋体"/>
          <w:b w:val="0"/>
          <w:color w:val="auto"/>
          <w:sz w:val="24"/>
          <w:szCs w:val="24"/>
          <w:highlight w:val="none"/>
          <w:lang w:eastAsia="zh-CN"/>
        </w:rPr>
        <w:t>招标</w:t>
      </w:r>
      <w:r>
        <w:rPr>
          <w:rFonts w:hint="eastAsia" w:ascii="宋体" w:hAnsi="宋体" w:eastAsia="宋体" w:cs="宋体"/>
          <w:b w:val="0"/>
          <w:color w:val="auto"/>
          <w:sz w:val="24"/>
          <w:szCs w:val="24"/>
          <w:highlight w:val="none"/>
        </w:rPr>
        <w:t>文件、</w:t>
      </w:r>
      <w:r>
        <w:rPr>
          <w:rFonts w:hint="eastAsia" w:ascii="宋体" w:hAnsi="宋体" w:cs="宋体"/>
          <w:b w:val="0"/>
          <w:color w:val="auto"/>
          <w:sz w:val="24"/>
          <w:szCs w:val="24"/>
          <w:highlight w:val="none"/>
          <w:lang w:eastAsia="zh-CN"/>
        </w:rPr>
        <w:t>投标</w:t>
      </w:r>
      <w:r>
        <w:rPr>
          <w:rFonts w:hint="eastAsia" w:ascii="宋体" w:hAnsi="宋体" w:eastAsia="宋体" w:cs="宋体"/>
          <w:b w:val="0"/>
          <w:color w:val="auto"/>
          <w:sz w:val="24"/>
          <w:szCs w:val="24"/>
          <w:highlight w:val="none"/>
        </w:rPr>
        <w:t>文件、《</w:t>
      </w:r>
      <w:r>
        <w:rPr>
          <w:rFonts w:hint="eastAsia" w:ascii="宋体" w:hAnsi="宋体" w:cs="宋体"/>
          <w:b w:val="0"/>
          <w:color w:val="auto"/>
          <w:sz w:val="24"/>
          <w:szCs w:val="24"/>
          <w:highlight w:val="none"/>
          <w:lang w:eastAsia="zh-CN"/>
        </w:rPr>
        <w:t>中标</w:t>
      </w:r>
      <w:r>
        <w:rPr>
          <w:rFonts w:hint="eastAsia" w:ascii="宋体" w:hAnsi="宋体" w:eastAsia="宋体" w:cs="宋体"/>
          <w:b w:val="0"/>
          <w:color w:val="auto"/>
          <w:sz w:val="24"/>
          <w:szCs w:val="24"/>
          <w:highlight w:val="none"/>
        </w:rPr>
        <w:t>通知书》等均为本合同不可分割的部分。双方同意共同遵守如下条款：</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一、供货一览表（下列表格参考适合，可根据实际需求变更）</w:t>
      </w:r>
    </w:p>
    <w:tbl>
      <w:tblPr>
        <w:tblStyle w:val="37"/>
        <w:tblW w:w="9287" w:type="dxa"/>
        <w:tblInd w:w="0" w:type="dxa"/>
        <w:tblLayout w:type="fixed"/>
        <w:tblCellMar>
          <w:top w:w="0" w:type="dxa"/>
          <w:left w:w="108" w:type="dxa"/>
          <w:bottom w:w="0" w:type="dxa"/>
          <w:right w:w="108" w:type="dxa"/>
        </w:tblCellMar>
      </w:tblPr>
      <w:tblGrid>
        <w:gridCol w:w="793"/>
        <w:gridCol w:w="1195"/>
        <w:gridCol w:w="1308"/>
        <w:gridCol w:w="1235"/>
        <w:gridCol w:w="1001"/>
        <w:gridCol w:w="940"/>
        <w:gridCol w:w="940"/>
        <w:gridCol w:w="951"/>
        <w:gridCol w:w="924"/>
      </w:tblGrid>
      <w:tr>
        <w:tblPrEx>
          <w:tblCellMar>
            <w:top w:w="0" w:type="dxa"/>
            <w:left w:w="108" w:type="dxa"/>
            <w:bottom w:w="0" w:type="dxa"/>
            <w:right w:w="108" w:type="dxa"/>
          </w:tblCellMar>
        </w:tblPrEx>
        <w:trPr>
          <w:trHeight w:val="495" w:hRule="atLeast"/>
        </w:trPr>
        <w:tc>
          <w:tcPr>
            <w:tcW w:w="79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序号</w:t>
            </w:r>
          </w:p>
        </w:tc>
        <w:tc>
          <w:tcPr>
            <w:tcW w:w="11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货物品名</w:t>
            </w:r>
          </w:p>
        </w:tc>
        <w:tc>
          <w:tcPr>
            <w:tcW w:w="130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规格型号</w:t>
            </w:r>
          </w:p>
        </w:tc>
        <w:tc>
          <w:tcPr>
            <w:tcW w:w="123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制造厂商</w:t>
            </w:r>
          </w:p>
        </w:tc>
        <w:tc>
          <w:tcPr>
            <w:tcW w:w="10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单位</w:t>
            </w:r>
          </w:p>
        </w:tc>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数量</w:t>
            </w:r>
          </w:p>
        </w:tc>
        <w:tc>
          <w:tcPr>
            <w:tcW w:w="940"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单价（元）</w:t>
            </w:r>
          </w:p>
        </w:tc>
        <w:tc>
          <w:tcPr>
            <w:tcW w:w="951"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总价（元）</w:t>
            </w: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备注</w:t>
            </w:r>
          </w:p>
        </w:tc>
      </w:tr>
      <w:tr>
        <w:tblPrEx>
          <w:tblCellMar>
            <w:top w:w="0" w:type="dxa"/>
            <w:left w:w="108" w:type="dxa"/>
            <w:bottom w:w="0" w:type="dxa"/>
            <w:right w:w="108" w:type="dxa"/>
          </w:tblCellMar>
        </w:tblPrEx>
        <w:trPr>
          <w:trHeight w:val="495" w:hRule="atLeast"/>
        </w:trPr>
        <w:tc>
          <w:tcPr>
            <w:tcW w:w="7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11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130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12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10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940"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951"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r>
      <w:tr>
        <w:tblPrEx>
          <w:tblCellMar>
            <w:top w:w="0" w:type="dxa"/>
            <w:left w:w="108" w:type="dxa"/>
            <w:bottom w:w="0" w:type="dxa"/>
            <w:right w:w="108" w:type="dxa"/>
          </w:tblCellMar>
        </w:tblPrEx>
        <w:trPr>
          <w:trHeight w:val="495" w:hRule="atLeast"/>
        </w:trPr>
        <w:tc>
          <w:tcPr>
            <w:tcW w:w="7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0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r>
      <w:tr>
        <w:tblPrEx>
          <w:tblCellMar>
            <w:top w:w="0" w:type="dxa"/>
            <w:left w:w="108" w:type="dxa"/>
            <w:bottom w:w="0" w:type="dxa"/>
            <w:right w:w="108" w:type="dxa"/>
          </w:tblCellMar>
        </w:tblPrEx>
        <w:trPr>
          <w:trHeight w:val="495" w:hRule="atLeast"/>
        </w:trPr>
        <w:tc>
          <w:tcPr>
            <w:tcW w:w="7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0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r>
      <w:tr>
        <w:tblPrEx>
          <w:tblCellMar>
            <w:top w:w="0" w:type="dxa"/>
            <w:left w:w="108" w:type="dxa"/>
            <w:bottom w:w="0" w:type="dxa"/>
            <w:right w:w="108" w:type="dxa"/>
          </w:tblCellMar>
        </w:tblPrEx>
        <w:trPr>
          <w:trHeight w:val="495" w:hRule="atLeast"/>
        </w:trPr>
        <w:tc>
          <w:tcPr>
            <w:tcW w:w="7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合计</w:t>
            </w:r>
          </w:p>
        </w:tc>
        <w:tc>
          <w:tcPr>
            <w:tcW w:w="637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r>
    </w:tbl>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二、合同总金额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本合同项下货物总金额：￥</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大写：</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 xml:space="preserve">元。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分项价款在《供货一览表》中明确规定。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本合同总价款包括货物、软件、标准附件、备品备件、专用工具、图纸资料、技术服务，包装、运输、装卸、保险、税金，货到就位以及安装、调试、培训、保修等验收合格之前和质保期内的售后服务一切税金和费用。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本合同执行期间合同总价款不变，甲方无须另向乙方支付本合同规定之外的其他任何费用。</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三、权利和质量保证 </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（一）甲方的权利和义务</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（签订合同时自行补充)</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（二）乙方的权利和义务</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1．乙方应保证甲方在使用该货物或其任何一部分时不存在侵犯第三人知识产权的情况且不存在任何权利瑕疵。一旦出现上述侵权、索赔或诉讼，乙方应承担全部责任并赔偿所有损失。</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2．乙方保证货物是全新的、未使用过的，完全符合国家规范及甲乙双方确认的投标文件、本合同关于货物数量、质量的要求。货物符合实行国家“三包”规定的，应执行“三包”规定。</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本项目质保期</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年，保修期</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年</w:t>
      </w:r>
      <w:r>
        <w:rPr>
          <w:rFonts w:hint="eastAsia" w:ascii="宋体" w:hAnsi="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变压器质保期为一年、其他部件（电暖气、配电箱、配件）3年免费更换、5年免费维修（不含成本费）。</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3．乙方提交的货物应符合</w:t>
      </w:r>
      <w:r>
        <w:rPr>
          <w:rFonts w:hint="eastAsia" w:ascii="宋体" w:hAnsi="宋体" w:cs="宋体"/>
          <w:b w:val="0"/>
          <w:color w:val="auto"/>
          <w:sz w:val="24"/>
          <w:szCs w:val="24"/>
          <w:highlight w:val="none"/>
          <w:lang w:eastAsia="zh-CN"/>
        </w:rPr>
        <w:t>招标</w:t>
      </w:r>
      <w:r>
        <w:rPr>
          <w:rFonts w:hint="eastAsia" w:ascii="宋体" w:hAnsi="宋体" w:eastAsia="宋体" w:cs="宋体"/>
          <w:b w:val="0"/>
          <w:color w:val="auto"/>
          <w:sz w:val="24"/>
          <w:szCs w:val="24"/>
          <w:highlight w:val="none"/>
        </w:rPr>
        <w:t>文件中所记载的详细配置、技术参数、参数及性能，并应附有此类货物完整、详细的技术资料和说明等相应文件。</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4．乙方提交的货物必须按照招标文件的要求和</w:t>
      </w:r>
      <w:r>
        <w:rPr>
          <w:rFonts w:hint="eastAsia" w:ascii="宋体" w:hAnsi="宋体" w:cs="宋体"/>
          <w:b w:val="0"/>
          <w:color w:val="auto"/>
          <w:sz w:val="24"/>
          <w:szCs w:val="24"/>
          <w:highlight w:val="none"/>
          <w:lang w:eastAsia="zh-CN"/>
        </w:rPr>
        <w:t>中标</w:t>
      </w:r>
      <w:r>
        <w:rPr>
          <w:rFonts w:hint="eastAsia" w:ascii="宋体" w:hAnsi="宋体" w:eastAsia="宋体" w:cs="宋体"/>
          <w:b w:val="0"/>
          <w:color w:val="auto"/>
          <w:sz w:val="24"/>
          <w:szCs w:val="24"/>
          <w:highlight w:val="none"/>
        </w:rPr>
        <w:t>人</w:t>
      </w:r>
      <w:r>
        <w:rPr>
          <w:rFonts w:hint="eastAsia" w:ascii="宋体" w:hAnsi="宋体" w:cs="宋体"/>
          <w:b w:val="0"/>
          <w:color w:val="auto"/>
          <w:sz w:val="24"/>
          <w:szCs w:val="24"/>
          <w:highlight w:val="none"/>
          <w:lang w:eastAsia="zh-CN"/>
        </w:rPr>
        <w:t>投标</w:t>
      </w:r>
      <w:r>
        <w:rPr>
          <w:rFonts w:hint="eastAsia" w:ascii="宋体" w:hAnsi="宋体" w:eastAsia="宋体" w:cs="宋体"/>
          <w:b w:val="0"/>
          <w:color w:val="auto"/>
          <w:sz w:val="24"/>
          <w:szCs w:val="24"/>
          <w:highlight w:val="none"/>
        </w:rPr>
        <w:t>文件的承诺，以约定标准进行制造、安装；经政府采购管理部门批准采购的进口产品应执行原产地国家有关部门最新颁布的相应正式标准并提供国家商检、海关报关等手续。</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5．乙方应保证将货物按照国家或专业标准包装、确保货物安全无损运抵合同规定的交货地点，并进行安装、试运行。</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6．乙方保证货物不存在危及人身及财产安全的产品缺陷，否则应承担全部法律责任。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7.高压线路、变压器及低压输电线路工程施工工艺符合电力行业的验收标准，需通过当地供电公司验收。</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8.工程中所用主要部件、套件（变压器、电缆、电线、供暖设备、空开、配电箱），要符合国家标准并提供产品合格证明材料。</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四、付款方式</w:t>
      </w:r>
    </w:p>
    <w:p>
      <w:pPr>
        <w:keepNext w:val="0"/>
        <w:keepLines w:val="0"/>
        <w:pageBreakBefore w:val="0"/>
        <w:kinsoku/>
        <w:wordWrap/>
        <w:overflowPunct/>
        <w:topLinePunct w:val="0"/>
        <w:autoSpaceDE/>
        <w:autoSpaceDN/>
        <w:bidi w:val="0"/>
        <w:adjustRightInd/>
        <w:snapToGrid/>
        <w:spacing w:line="360" w:lineRule="auto"/>
        <w:ind w:left="0" w:leftChars="0" w:firstLine="120" w:firstLineChars="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1．付款条件：乙方向甲方提交下列文件材料，经甲方审核无误后支付采购资金：（1）合法有效等额并经甲方确认的发票；</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（2）经甲乙双方确认签署的《验收报告》（或按项目进度阶段性《验收报告》）；</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（3）其他付款所需的凭证材料。</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2．付款进度：</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（1）在本合同签订生效后</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日内，乙方应向甲方发出付款书面申请和付款所需票据凭证资料，</w:t>
      </w:r>
      <w:r>
        <w:rPr>
          <w:rFonts w:hint="eastAsia" w:ascii="宋体" w:hAnsi="宋体" w:eastAsia="宋体" w:cs="宋体"/>
          <w:b w:val="0"/>
          <w:color w:val="000000" w:themeColor="text1"/>
          <w:sz w:val="24"/>
          <w:szCs w:val="24"/>
          <w:highlight w:val="none"/>
          <w14:textFill>
            <w14:solidFill>
              <w14:schemeClr w14:val="tx1"/>
            </w14:solidFill>
          </w14:textFill>
        </w:rPr>
        <w:t>并由乙方支付给甲方合同履约保证金（按合同总</w:t>
      </w:r>
      <w:r>
        <w:rPr>
          <w:rFonts w:hint="eastAsia" w:ascii="宋体" w:hAnsi="宋体" w:eastAsia="宋体" w:cs="宋体"/>
          <w:b w:val="0"/>
          <w:color w:val="auto"/>
          <w:sz w:val="24"/>
          <w:szCs w:val="24"/>
          <w:highlight w:val="none"/>
        </w:rPr>
        <w:t>价的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%计算的款额￥</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元，人民币大写：</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元整）。甲方在收到书面申请和票据凭证资料、履约保证金后的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日内通过银行转账向乙方支付合同金额</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%的价款；（根据招标文件要求）。</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（2）全部货物安装调试完毕并验收合格之</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日起，甲方接到乙方书面申请与付款所需票据凭证资料以后的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日内，提交支付凭证资料给财政国库支付执行机构办理财政国库支付手续，在手续办结以后</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日内由甲方向乙方核拨合同总价的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%的款项：￥</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元，人民币大写</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元整。</w:t>
      </w:r>
    </w:p>
    <w:p>
      <w:pPr>
        <w:keepNext w:val="0"/>
        <w:keepLines w:val="0"/>
        <w:pageBreakBefore w:val="0"/>
        <w:kinsoku/>
        <w:wordWrap/>
        <w:overflowPunct/>
        <w:topLinePunct w:val="0"/>
        <w:autoSpaceDE/>
        <w:autoSpaceDN/>
        <w:bidi w:val="0"/>
        <w:adjustRightInd/>
        <w:snapToGrid/>
        <w:spacing w:line="360" w:lineRule="auto"/>
        <w:ind w:left="0" w:leftChars="0" w:firstLine="480" w:firstLineChars="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3．乙方未按照前述规定按时发出书面申请、提供付款所需票据凭证资料或按时足额支付合同履约保证金的，甲方有权暂不支付货款。</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五、履约保证金</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1．乙方应在签订本合同之日起</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内，向甲方提交合同履约保证金人民币</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元（履约保证金的数额不得超过政府采购合同金额的10%）。如乙方逾期或未足额缴纳保证金的，视为放弃中标资格。</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2．合同履约保证金退还：在货物验收合格后，甲方财务部门在接到乙方书面申请和由甲方确认的《验收报告》后</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日内，通过银行转账向乙方退还履约保证金￥</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 人民币大写：</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元整；（根据招标文件要求）</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合同履行期间，甲方有权从履约保证金中扣除乙方应付款项，包括但不限于违约金、赔偿金等。甲方扣除应付款项后，乙方应按照甲方的要求按时补足履约保证金，若逾期未补足的，甲方有权单方面无条件解除本合同。</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六、交货和验收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1．乙方交货期限为合同签订生效后的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日内，在合同签订生效之日起  天内交货到甲方指定地点。（交货地点为</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在甲方签字确认收货后，需要安装调试的，乙方须在</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日内全部完成安装调试（如由于甲方的原因造成合同延迟签订或验收的，时间顺延）。乙方交货验收时须提供产品质检部门从同类产品中抽样检查合格的检测报告。</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2．乙方应对提供的货物作全面自查和整理，并列出清单，作为甲方验收和使用的技术条件依据，清单应随提供的验收资料交给甲方。</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3．乙方提供的货物应包括本合同规定的全部货物及其附（辅）件、资料。</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4．甲方在到货后的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个工作日内对货物进行验收。货物验收时，甲乙双方必须同时在场，双方共同确认货物与本合同规定的生产厂家产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5．需要乙方对货物（包括软件）或系统进行安装调试的，甲乙双方应在货物安装调试完毕后的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a．重新调试直至合格为止；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b．要求乙方对货物进行免费更换，然后重新调试直至合格为止。</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因上述原因所产生的所有费用均由乙方负担。</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6．验收合格的，由双方共同签署《验收报告》。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7．甲方可以视项目规模或复杂情况聘请专业人员参与验收，大型或复杂项目，以及特种货物应当邀请国家认可的第三方质量检测机构参与验收。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8．货物验收包括：货物包装是否完好，产地生产厂家名称、品牌、型号、规格、数量、外观质量、配置、内在质量，以及调试运行是否达到本合同规定的效果。乙方应将所提供货物的装箱清单、产品合格证、用户使用手册、原厂保修卡、随机资料及备品备件、易损件、专用工具等交付给甲方；乙方不能完整交付货物、附（辅）件和资料的，视为未按合同约定交货，乙方负责补齐，因此导致逾期交付的，由乙方承担相关的违约责任。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9．其他未尽事宜应严格按照</w:t>
      </w:r>
      <w:r>
        <w:rPr>
          <w:rFonts w:hint="eastAsia" w:ascii="宋体" w:hAnsi="宋体" w:eastAsia="宋体" w:cs="宋体"/>
          <w:b w:val="0"/>
          <w:color w:val="auto"/>
          <w:sz w:val="24"/>
          <w:szCs w:val="24"/>
          <w:highlight w:val="none"/>
          <w:lang w:val="en-US"/>
        </w:rPr>
        <w:t>《财政部关于进一步加强政府采购需求和履约验收管理的指导意见》（财库[2016]205号）的要求进行</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2"/>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七、项目管理服务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乙方应指定不少于一人全权全程负责本项目的商务服务，以及货物安装、调试、咨询、培训和售后等技术服务工作。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项目负责人姓名：</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联系电话：</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身份证号码：</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乙方变更负责人信息的，应当提前</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日书面通知甲方，若因乙方未及时通知所产生的一切责任和损失由乙方承担。</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八、售后服务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1．质量保证期为自货物通过最终验收之日起</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 xml:space="preserve">月/年）。若国家有明确规定的质量保证期高于此质量保证期的，执行国家规定。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2．在货物质保期内，乙方应对由于设计、工艺、质量（含环保节能要求）、材料等缺陷而发生的任何不足或故障负责，并解决存在的问题。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3．对不符合本合同第三条规定要求的货物应立即进行调换，调换本身并不影响甲方就其损失向乙方索赔的权利。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4．货物安装调试完成后，乙方应继续向甲方提供良好的技术支持。应当由专门队伍从事此项工作，并提供全天候的热线技术支持服务，应当对甲方所反映的任何问题在</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小时之内做出及时响应，在</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小时之内赶到现场实地解决问题，</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小时内完成维修或更换。并承担维修调换所引起的费用。</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若问题、故障在检修</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工作日（小时）后仍无法解决，乙方应在</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小时内免费提供不低于故障货物规格型号档次的备用货物供甲方使用，直至故障货物修复。如果乙方逾期未提供，甲方有权自行使用替代货物，所产生的费用由乙方承担。</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5．乙方应当建立健全售后服务体系，确保货物正常运行。乙方应当遵守甲方的有关管理制度、操作规程。对于乙方违规操作造成甲方损失的，由乙方按照本合同第十条的约定承担赔偿责任。</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6．乙方应负责货物及主要部件、配件维修更换。质保期内，乙方对货物（人为故意损坏除外）提供全免费保修或免费更换；质保期后，收取维修成本费（备品备件乙方应以投标文件承诺的优惠价格提供）。</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九、分包</w:t>
      </w:r>
    </w:p>
    <w:p>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除投标文件事先说明、且经甲方事先书面同意外，乙方不得分包其应履行的合同义务。</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十、违约责任</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1．甲方违约责任</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（1）甲方无正当理由拒收货物、拒付货款的，甲方应向乙方偿付拒付货款</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％的违约金。</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（2）甲方未按合同规定的期限向乙方支付货款的，每逾期1天甲方向乙方偿付欠款总额的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‰违约金，但累计违约金总额不超过欠款总额的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2．乙方违约责任</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（1）乙方所交付的货物不符合本合同规定的，甲方有权拒收，同时乙方应向甲方支付合同总价</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％的违约金。乙方应在得到甲方通知之日起    个工作日内采取补救措施。若乙方上述期限内所提供的货物仍不符合规定，乙方应向甲方另行支付合同总价</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%的违约金，同时甲方有权单方面无条件解除合同。</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（2）乙方无正当理由逾期交付货物的，每逾期1天，乙方向甲方偿付逾期交货部分货款总金额的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%的违约金。如乙方逾期交货达</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天，甲方有权解除合同，甲方解除合同的通知自到达乙方时生效。在此情况下，乙方给甲方造成的实际损失高于违约金的，对高出违约金的部分乙方应予以赔偿。</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（3）在乙方承诺的或国家规定的质量保证期内（取两者中最长的期限），如经乙方</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次维修，货物仍不能达到合同约定的质量标准、运行效果的，甲方有权要求乙方更换为全新合格货物并按本条第1款处理，同时，乙方还须赔偿甲方因此遭受的损失。</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（4）乙方保证本合同货物的权利无瑕疵，包括货物所有权及知识产权等权利无瑕疵。如产生了任何的纠纷、索赔或诉讼等，乙方除应向甲方返还已收款项外，还应另按合同总价的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%向甲方支付违约金并赔偿因此给甲方造成的一切损失。</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3．一方偿付的违约金不足以弥补另一方损失的，还应按另一方损失尚未弥补的部分，支付赔偿金给另一方。</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十一、合同的生效</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1．本合同经甲乙双方授权代表签字并加盖公章后生效。</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2．生效后，除《政府采购法》第49条、第50条第二款规定的情形外，甲乙双方不得擅自变更、中止或终止合同。</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十二、不可抗力</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甲、乙方中任何一方，因不可抗力不能按时或完全履行合同的，应及时通知对方，并在</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个工作日内提供相应证明。未履行完合同部分是否继续履行、如何履行等问题，可由双方初步协商，并向主管部门和政府采购管理部门报告。确定为不可抗力原因造成的损失，免予承担责任。</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十三、争议的解决方式</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1．因货物的质量问题发生争议的，应当邀请国家认可的质量检测机构对货物质量进行鉴定。货物符合标准的，鉴定费由甲方承担；货物不符合质量标准的，鉴定费由乙方承担。</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2．在解释或者执行本合同的过程中发生争议时，双方应通过协商方式解决。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3．经协商不能解决的争议，双方可选择以下第</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种方式解决：</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（1）向甲方所在地有管辖权的法院提起诉讼；</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（2）向仲裁委员会提出仲裁。</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4．在法院审理和仲裁期间，除有争议部分外，本合同其他部分可以履行的仍应按合同条款继续履行。</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十四、其他</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1．本合同所有附件、</w:t>
      </w:r>
      <w:r>
        <w:rPr>
          <w:rFonts w:hint="eastAsia" w:ascii="宋体" w:hAnsi="宋体" w:cs="宋体"/>
          <w:b w:val="0"/>
          <w:color w:val="auto"/>
          <w:sz w:val="24"/>
          <w:szCs w:val="24"/>
          <w:highlight w:val="none"/>
          <w:lang w:eastAsia="zh-CN"/>
        </w:rPr>
        <w:t>招标</w:t>
      </w:r>
      <w:r>
        <w:rPr>
          <w:rFonts w:hint="eastAsia" w:ascii="宋体" w:hAnsi="宋体" w:eastAsia="宋体" w:cs="宋体"/>
          <w:b w:val="0"/>
          <w:color w:val="auto"/>
          <w:sz w:val="24"/>
          <w:szCs w:val="24"/>
          <w:highlight w:val="none"/>
        </w:rPr>
        <w:t>文件、</w:t>
      </w:r>
      <w:r>
        <w:rPr>
          <w:rFonts w:hint="eastAsia" w:ascii="宋体" w:hAnsi="宋体" w:cs="宋体"/>
          <w:b w:val="0"/>
          <w:color w:val="auto"/>
          <w:sz w:val="24"/>
          <w:szCs w:val="24"/>
          <w:highlight w:val="none"/>
          <w:lang w:eastAsia="zh-CN"/>
        </w:rPr>
        <w:t>投标</w:t>
      </w:r>
      <w:r>
        <w:rPr>
          <w:rFonts w:hint="eastAsia" w:ascii="宋体" w:hAnsi="宋体" w:eastAsia="宋体" w:cs="宋体"/>
          <w:b w:val="0"/>
          <w:color w:val="auto"/>
          <w:sz w:val="24"/>
          <w:szCs w:val="24"/>
          <w:highlight w:val="none"/>
        </w:rPr>
        <w:t>文件、中标/</w:t>
      </w:r>
      <w:r>
        <w:rPr>
          <w:rFonts w:hint="eastAsia" w:ascii="宋体" w:hAnsi="宋体" w:eastAsia="宋体" w:cs="宋体"/>
          <w:b w:val="0"/>
          <w:color w:val="auto"/>
          <w:sz w:val="24"/>
          <w:szCs w:val="24"/>
          <w:highlight w:val="none"/>
          <w:lang w:eastAsia="zh-CN"/>
        </w:rPr>
        <w:t>成交</w:t>
      </w:r>
      <w:r>
        <w:rPr>
          <w:rFonts w:hint="eastAsia" w:ascii="宋体" w:hAnsi="宋体" w:eastAsia="宋体" w:cs="宋体"/>
          <w:b w:val="0"/>
          <w:color w:val="auto"/>
          <w:sz w:val="24"/>
          <w:szCs w:val="24"/>
          <w:highlight w:val="none"/>
        </w:rPr>
        <w:t>通知书均为合同的有效组成部分，与本合同具有同等法律效力。</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2．本合同一式</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份，自双方签章之日起起效。甲方</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份，乙方</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份，政府采购代理机构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份，同级财政部门备案</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份，具有同等法律效力。</w:t>
      </w:r>
    </w:p>
    <w:p>
      <w:pPr>
        <w:ind w:firstLine="0" w:firstLineChars="0"/>
        <w:jc w:val="left"/>
        <w:rPr>
          <w:rFonts w:hint="eastAsia" w:ascii="宋体" w:hAnsi="宋体" w:eastAsia="宋体" w:cs="宋体"/>
          <w:b w:val="0"/>
          <w:color w:val="auto"/>
          <w:sz w:val="24"/>
          <w:szCs w:val="24"/>
          <w:highlight w:val="none"/>
        </w:rPr>
      </w:pPr>
    </w:p>
    <w:p>
      <w:pPr>
        <w:ind w:firstLine="0" w:firstLineChars="0"/>
        <w:jc w:val="left"/>
        <w:rPr>
          <w:rFonts w:hint="eastAsia" w:ascii="宋体" w:hAnsi="宋体" w:eastAsia="宋体" w:cs="宋体"/>
          <w:b w:val="0"/>
          <w:color w:val="auto"/>
          <w:sz w:val="24"/>
          <w:szCs w:val="24"/>
          <w:highlight w:val="none"/>
        </w:rPr>
      </w:pPr>
    </w:p>
    <w:p>
      <w:pPr>
        <w:ind w:firstLine="0" w:firstLineChars="0"/>
        <w:jc w:val="left"/>
        <w:rPr>
          <w:rFonts w:hint="eastAsia" w:ascii="宋体" w:hAnsi="宋体" w:eastAsia="宋体" w:cs="宋体"/>
          <w:b w:val="0"/>
          <w:color w:val="auto"/>
          <w:sz w:val="24"/>
          <w:szCs w:val="24"/>
          <w:highlight w:val="none"/>
        </w:rPr>
      </w:pPr>
    </w:p>
    <w:p>
      <w:pPr>
        <w:ind w:firstLine="0" w:firstLineChars="0"/>
        <w:jc w:val="left"/>
        <w:rPr>
          <w:rFonts w:hint="eastAsia" w:ascii="宋体" w:hAnsi="宋体" w:eastAsia="宋体" w:cs="宋体"/>
          <w:color w:val="auto"/>
          <w:sz w:val="24"/>
          <w:szCs w:val="24"/>
        </w:rPr>
      </w:pPr>
      <w:r>
        <w:rPr>
          <w:rFonts w:hint="eastAsia" w:ascii="宋体" w:hAnsi="宋体" w:eastAsia="宋体" w:cs="宋体"/>
          <w:b w:val="0"/>
          <w:color w:val="auto"/>
          <w:sz w:val="24"/>
          <w:szCs w:val="24"/>
          <w:highlight w:val="none"/>
        </w:rPr>
        <w:t>（本页为签字页）</w:t>
      </w:r>
    </w:p>
    <w:p>
      <w:pPr>
        <w:bidi w:val="0"/>
        <w:spacing w:line="480" w:lineRule="auto"/>
        <w:rPr>
          <w:rFonts w:hint="eastAsia" w:ascii="宋体" w:hAnsi="宋体" w:eastAsia="宋体" w:cs="宋体"/>
          <w:lang w:val="en-US" w:eastAsia="zh-CN"/>
        </w:rPr>
      </w:pPr>
      <w:bookmarkStart w:id="135" w:name="_bookmark6"/>
      <w:bookmarkEnd w:id="135"/>
      <w:r>
        <w:rPr>
          <w:rFonts w:hint="eastAsia" w:ascii="宋体" w:hAnsi="宋体" w:eastAsia="宋体" w:cs="宋体"/>
          <w:lang w:val="en-US" w:eastAsia="zh-CN"/>
        </w:rPr>
        <w:t>甲方：                          乙方：</w:t>
      </w:r>
    </w:p>
    <w:p>
      <w:pPr>
        <w:bidi w:val="0"/>
        <w:spacing w:line="480" w:lineRule="auto"/>
        <w:rPr>
          <w:rFonts w:hint="eastAsia" w:ascii="宋体" w:hAnsi="宋体" w:eastAsia="宋体" w:cs="宋体"/>
          <w:lang w:val="en-US" w:eastAsia="zh-CN"/>
        </w:rPr>
      </w:pPr>
      <w:r>
        <w:rPr>
          <w:rFonts w:hint="eastAsia" w:ascii="宋体" w:hAnsi="宋体" w:eastAsia="宋体" w:cs="宋体"/>
          <w:lang w:val="en-US" w:eastAsia="zh-CN"/>
        </w:rPr>
        <w:t>法定代表人：                    法定代表人：</w:t>
      </w:r>
    </w:p>
    <w:p>
      <w:pPr>
        <w:bidi w:val="0"/>
        <w:spacing w:line="480" w:lineRule="auto"/>
        <w:rPr>
          <w:rFonts w:hint="eastAsia" w:ascii="宋体" w:hAnsi="宋体" w:eastAsia="宋体" w:cs="宋体"/>
          <w:lang w:val="en-US" w:eastAsia="zh-CN"/>
        </w:rPr>
      </w:pPr>
      <w:r>
        <w:rPr>
          <w:rFonts w:hint="eastAsia" w:ascii="宋体" w:hAnsi="宋体" w:eastAsia="宋体" w:cs="宋体"/>
          <w:lang w:val="en-US" w:eastAsia="zh-CN"/>
        </w:rPr>
        <w:t>委托代理人：                    委托代理人：</w:t>
      </w:r>
    </w:p>
    <w:p>
      <w:pPr>
        <w:bidi w:val="0"/>
        <w:spacing w:line="480" w:lineRule="auto"/>
        <w:rPr>
          <w:rFonts w:hint="eastAsia" w:ascii="宋体" w:hAnsi="宋体" w:eastAsia="宋体" w:cs="宋体"/>
          <w:lang w:val="en-US" w:eastAsia="zh-CN"/>
        </w:rPr>
      </w:pPr>
      <w:r>
        <w:rPr>
          <w:rFonts w:hint="eastAsia" w:ascii="宋体" w:hAnsi="宋体" w:eastAsia="宋体" w:cs="宋体"/>
          <w:lang w:val="en-US" w:eastAsia="zh-CN"/>
        </w:rPr>
        <w:t>电话 ：                          电话：</w:t>
      </w:r>
    </w:p>
    <w:p>
      <w:pPr>
        <w:bidi w:val="0"/>
        <w:rPr>
          <w:rFonts w:hint="eastAsia" w:ascii="宋体" w:hAnsi="宋体" w:eastAsia="宋体" w:cs="宋体"/>
          <w:lang w:val="en-US" w:eastAsia="zh-CN"/>
        </w:rPr>
      </w:pPr>
    </w:p>
    <w:p>
      <w:pPr>
        <w:pStyle w:val="2"/>
        <w:bidi w:val="0"/>
        <w:rPr>
          <w:rFonts w:hint="eastAsia" w:ascii="宋体" w:hAnsi="宋体" w:eastAsia="宋体" w:cs="宋体"/>
          <w:color w:val="000000" w:themeColor="text1"/>
          <w14:textFill>
            <w14:solidFill>
              <w14:schemeClr w14:val="tx1"/>
            </w14:solidFill>
          </w14:textFill>
        </w:rPr>
      </w:pPr>
    </w:p>
    <w:p>
      <w:pPr>
        <w:pStyle w:val="2"/>
        <w:bidi w:val="0"/>
        <w:jc w:val="both"/>
        <w:rPr>
          <w:rFonts w:hint="eastAsia" w:ascii="宋体" w:hAnsi="宋体" w:eastAsia="宋体" w:cs="宋体"/>
          <w:color w:val="000000" w:themeColor="text1"/>
          <w14:textFill>
            <w14:solidFill>
              <w14:schemeClr w14:val="tx1"/>
            </w14:solidFill>
          </w14:textFill>
        </w:rPr>
      </w:pPr>
    </w:p>
    <w:p>
      <w:pPr>
        <w:pStyle w:val="2"/>
        <w:bidi w:val="0"/>
        <w:jc w:val="both"/>
        <w:rPr>
          <w:rFonts w:hint="eastAsia" w:ascii="宋体" w:hAnsi="宋体" w:eastAsia="宋体" w:cs="宋体"/>
          <w:color w:val="000000" w:themeColor="text1"/>
          <w14:textFill>
            <w14:solidFill>
              <w14:schemeClr w14:val="tx1"/>
            </w14:solidFill>
          </w14:textFill>
        </w:rPr>
      </w:pPr>
    </w:p>
    <w:p>
      <w:pPr>
        <w:pStyle w:val="2"/>
        <w:bidi w:val="0"/>
        <w:jc w:val="both"/>
        <w:rPr>
          <w:rFonts w:hint="eastAsia" w:ascii="宋体" w:hAnsi="宋体" w:eastAsia="宋体" w:cs="宋体"/>
          <w:color w:val="000000" w:themeColor="text1"/>
          <w14:textFill>
            <w14:solidFill>
              <w14:schemeClr w14:val="tx1"/>
            </w14:solidFill>
          </w14:textFill>
        </w:rPr>
      </w:pPr>
    </w:p>
    <w:p>
      <w:pPr>
        <w:rPr>
          <w:rFonts w:hint="eastAsia"/>
        </w:rPr>
      </w:pPr>
    </w:p>
    <w:p>
      <w:pPr>
        <w:pStyle w:val="2"/>
        <w:bidi w:val="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w:t>
      </w:r>
      <w:bookmarkStart w:id="136" w:name="_Toc9510643"/>
      <w:r>
        <w:rPr>
          <w:rFonts w:hint="eastAsia" w:ascii="宋体" w:hAnsi="宋体" w:eastAsia="宋体" w:cs="宋体"/>
          <w:color w:val="000000" w:themeColor="text1"/>
          <w:lang w:eastAsia="zh-CN"/>
          <w14:textFill>
            <w14:solidFill>
              <w14:schemeClr w14:val="tx1"/>
            </w14:solidFill>
          </w14:textFill>
        </w:rPr>
        <w:t>五</w:t>
      </w:r>
      <w:r>
        <w:rPr>
          <w:rFonts w:hint="eastAsia" w:ascii="宋体" w:hAnsi="宋体" w:eastAsia="宋体" w:cs="宋体"/>
          <w:color w:val="000000" w:themeColor="text1"/>
          <w:lang w:val="en-US" w:eastAsia="zh-CN"/>
          <w14:textFill>
            <w14:solidFill>
              <w14:schemeClr w14:val="tx1"/>
            </w14:solidFill>
          </w14:textFill>
        </w:rPr>
        <w:t>章</w:t>
      </w:r>
      <w:r>
        <w:rPr>
          <w:rFonts w:hint="eastAsia" w:ascii="宋体" w:hAnsi="宋体" w:eastAsia="宋体" w:cs="宋体"/>
          <w:color w:val="000000" w:themeColor="text1"/>
          <w14:textFill>
            <w14:solidFill>
              <w14:schemeClr w14:val="tx1"/>
            </w14:solidFill>
          </w14:textFill>
        </w:rPr>
        <w:t xml:space="preserve"> 投标文件格式</w:t>
      </w:r>
      <w:bookmarkEnd w:id="132"/>
      <w:bookmarkEnd w:id="133"/>
      <w:bookmarkEnd w:id="134"/>
    </w:p>
    <w:p>
      <w:pPr>
        <w:adjustRightInd w:val="0"/>
        <w:snapToGrid w:val="0"/>
        <w:spacing w:line="360" w:lineRule="auto"/>
        <w:jc w:val="center"/>
        <w:rPr>
          <w:rFonts w:hint="eastAsia" w:ascii="宋体" w:hAnsi="宋体" w:eastAsia="宋体" w:cs="宋体"/>
          <w:color w:val="000000" w:themeColor="text1"/>
          <w:szCs w:val="24"/>
          <w:highlight w:val="none"/>
          <w14:textFill>
            <w14:solidFill>
              <w14:schemeClr w14:val="tx1"/>
            </w14:solidFill>
          </w14:textFill>
        </w:rPr>
      </w:pPr>
    </w:p>
    <w:bookmarkEnd w:id="136"/>
    <w:p>
      <w:pPr>
        <w:adjustRightInd w:val="0"/>
        <w:snapToGrid w:val="0"/>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投标文件封面</w:t>
      </w:r>
    </w:p>
    <w:p>
      <w:pPr>
        <w:snapToGrid w:val="0"/>
        <w:spacing w:line="360" w:lineRule="auto"/>
        <w:jc w:val="center"/>
        <w:rPr>
          <w:rFonts w:hint="eastAsia" w:ascii="宋体" w:hAnsi="宋体" w:eastAsia="宋体" w:cs="宋体"/>
          <w:color w:val="000000" w:themeColor="text1"/>
          <w:sz w:val="40"/>
          <w:szCs w:val="20"/>
          <w:highlight w:val="none"/>
          <w14:textFill>
            <w14:solidFill>
              <w14:schemeClr w14:val="tx1"/>
            </w14:solidFill>
          </w14:textFill>
        </w:rPr>
      </w:pPr>
      <w:r>
        <w:rPr>
          <w:rFonts w:hint="eastAsia" w:ascii="宋体" w:hAnsi="宋体" w:eastAsia="宋体" w:cs="宋体"/>
          <w:color w:val="000000" w:themeColor="text1"/>
          <w:sz w:val="40"/>
          <w:szCs w:val="20"/>
          <w:highlight w:val="none"/>
          <w14:textFill>
            <w14:solidFill>
              <w14:schemeClr w14:val="tx1"/>
            </w14:solidFill>
          </w14:textFill>
        </w:rPr>
        <w:t>正（副）本</w:t>
      </w:r>
    </w:p>
    <w:p>
      <w:pPr>
        <w:snapToGrid w:val="0"/>
        <w:spacing w:line="360" w:lineRule="auto"/>
        <w:jc w:val="center"/>
        <w:rPr>
          <w:rFonts w:hint="eastAsia" w:ascii="宋体" w:hAnsi="宋体" w:eastAsia="宋体" w:cs="宋体"/>
          <w:color w:val="000000" w:themeColor="text1"/>
          <w:sz w:val="56"/>
          <w:szCs w:val="20"/>
          <w:highlight w:val="none"/>
          <w14:textFill>
            <w14:solidFill>
              <w14:schemeClr w14:val="tx1"/>
            </w14:solidFill>
          </w14:textFill>
        </w:rPr>
      </w:pPr>
    </w:p>
    <w:p>
      <w:pPr>
        <w:snapToGrid w:val="0"/>
        <w:spacing w:line="360" w:lineRule="auto"/>
        <w:jc w:val="center"/>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t>(项目名称)项目</w:t>
      </w:r>
    </w:p>
    <w:p>
      <w:pPr>
        <w:snapToGrid w:val="0"/>
        <w:spacing w:line="360" w:lineRule="auto"/>
        <w:jc w:val="center"/>
        <w:rPr>
          <w:rFonts w:hint="eastAsia" w:ascii="宋体" w:hAnsi="宋体" w:eastAsia="宋体" w:cs="宋体"/>
          <w:color w:val="000000" w:themeColor="text1"/>
          <w:sz w:val="28"/>
          <w:szCs w:val="20"/>
          <w:highlight w:val="none"/>
          <w14:textFill>
            <w14:solidFill>
              <w14:schemeClr w14:val="tx1"/>
            </w14:solidFill>
          </w14:textFill>
        </w:rPr>
      </w:pPr>
      <w:r>
        <w:rPr>
          <w:rFonts w:hint="eastAsia" w:ascii="宋体" w:hAnsi="宋体" w:eastAsia="宋体" w:cs="宋体"/>
          <w:color w:val="000000" w:themeColor="text1"/>
          <w:sz w:val="28"/>
          <w:szCs w:val="20"/>
          <w:highlight w:val="none"/>
          <w:lang w:eastAsia="zh-CN"/>
          <w14:textFill>
            <w14:solidFill>
              <w14:schemeClr w14:val="tx1"/>
            </w14:solidFill>
          </w14:textFill>
        </w:rPr>
        <w:t>项目</w:t>
      </w:r>
      <w:r>
        <w:rPr>
          <w:rFonts w:hint="eastAsia" w:ascii="宋体" w:hAnsi="宋体" w:eastAsia="宋体" w:cs="宋体"/>
          <w:color w:val="000000" w:themeColor="text1"/>
          <w:sz w:val="28"/>
          <w:szCs w:val="20"/>
          <w:highlight w:val="none"/>
          <w14:textFill>
            <w14:solidFill>
              <w14:schemeClr w14:val="tx1"/>
            </w14:solidFill>
          </w14:textFill>
        </w:rPr>
        <w:t>编号：</w:t>
      </w:r>
    </w:p>
    <w:p>
      <w:pPr>
        <w:snapToGrid w:val="0"/>
        <w:spacing w:line="360" w:lineRule="auto"/>
        <w:jc w:val="center"/>
        <w:rPr>
          <w:rFonts w:hint="eastAsia" w:ascii="宋体" w:hAnsi="宋体" w:eastAsia="宋体" w:cs="宋体"/>
          <w:color w:val="000000" w:themeColor="text1"/>
          <w:sz w:val="28"/>
          <w:szCs w:val="20"/>
          <w:highlight w:val="none"/>
          <w14:textFill>
            <w14:solidFill>
              <w14:schemeClr w14:val="tx1"/>
            </w14:solidFill>
          </w14:textFill>
        </w:rPr>
      </w:pPr>
    </w:p>
    <w:p>
      <w:pPr>
        <w:snapToGrid w:val="0"/>
        <w:spacing w:line="360" w:lineRule="auto"/>
        <w:jc w:val="center"/>
        <w:rPr>
          <w:rFonts w:hint="eastAsia" w:ascii="宋体" w:hAnsi="宋体" w:eastAsia="宋体" w:cs="宋体"/>
          <w:color w:val="000000" w:themeColor="text1"/>
          <w:sz w:val="28"/>
          <w:szCs w:val="20"/>
          <w:highlight w:val="none"/>
          <w14:textFill>
            <w14:solidFill>
              <w14:schemeClr w14:val="tx1"/>
            </w14:solidFill>
          </w14:textFill>
        </w:rPr>
      </w:pPr>
    </w:p>
    <w:p>
      <w:pPr>
        <w:snapToGrid w:val="0"/>
        <w:spacing w:line="360" w:lineRule="auto"/>
        <w:jc w:val="center"/>
        <w:rPr>
          <w:rFonts w:hint="eastAsia" w:ascii="宋体" w:hAnsi="宋体" w:eastAsia="宋体" w:cs="宋体"/>
          <w:color w:val="000000" w:themeColor="text1"/>
          <w:sz w:val="28"/>
          <w:szCs w:val="20"/>
          <w:highlight w:val="none"/>
          <w14:textFill>
            <w14:solidFill>
              <w14:schemeClr w14:val="tx1"/>
            </w14:solidFill>
          </w14:textFill>
        </w:rPr>
      </w:pPr>
    </w:p>
    <w:p>
      <w:pPr>
        <w:snapToGrid w:val="0"/>
        <w:spacing w:line="360" w:lineRule="auto"/>
        <w:jc w:val="center"/>
        <w:rPr>
          <w:rFonts w:hint="eastAsia" w:ascii="宋体" w:hAnsi="宋体" w:eastAsia="宋体" w:cs="宋体"/>
          <w:color w:val="000000" w:themeColor="text1"/>
          <w:sz w:val="56"/>
          <w:szCs w:val="20"/>
          <w:highlight w:val="none"/>
          <w14:textFill>
            <w14:solidFill>
              <w14:schemeClr w14:val="tx1"/>
            </w14:solidFill>
          </w14:textFill>
        </w:rPr>
      </w:pPr>
      <w:r>
        <w:rPr>
          <w:rFonts w:hint="eastAsia" w:ascii="宋体" w:hAnsi="宋体" w:eastAsia="宋体" w:cs="宋体"/>
          <w:color w:val="000000" w:themeColor="text1"/>
          <w:sz w:val="56"/>
          <w:szCs w:val="20"/>
          <w:highlight w:val="none"/>
          <w:lang w:eastAsia="zh-CN"/>
          <w14:textFill>
            <w14:solidFill>
              <w14:schemeClr w14:val="tx1"/>
            </w14:solidFill>
          </w14:textFill>
        </w:rPr>
        <w:t>投标</w:t>
      </w:r>
      <w:r>
        <w:rPr>
          <w:rFonts w:hint="eastAsia" w:ascii="宋体" w:hAnsi="宋体" w:eastAsia="宋体" w:cs="宋体"/>
          <w:color w:val="000000" w:themeColor="text1"/>
          <w:sz w:val="56"/>
          <w:szCs w:val="20"/>
          <w:highlight w:val="none"/>
          <w14:textFill>
            <w14:solidFill>
              <w14:schemeClr w14:val="tx1"/>
            </w14:solidFill>
          </w14:textFill>
        </w:rPr>
        <w:t>文件</w:t>
      </w:r>
    </w:p>
    <w:p>
      <w:pPr>
        <w:snapToGrid w:val="0"/>
        <w:spacing w:line="360" w:lineRule="auto"/>
        <w:rPr>
          <w:rFonts w:hint="eastAsia" w:ascii="宋体" w:hAnsi="宋体" w:eastAsia="宋体" w:cs="宋体"/>
          <w:color w:val="000000" w:themeColor="text1"/>
          <w:sz w:val="28"/>
          <w:szCs w:val="20"/>
          <w:highlight w:val="none"/>
          <w14:textFill>
            <w14:solidFill>
              <w14:schemeClr w14:val="tx1"/>
            </w14:solidFill>
          </w14:textFill>
        </w:rPr>
      </w:pPr>
    </w:p>
    <w:p>
      <w:pPr>
        <w:pStyle w:val="29"/>
        <w:rPr>
          <w:rFonts w:hint="eastAsia" w:ascii="宋体" w:hAnsi="宋体" w:eastAsia="宋体" w:cs="宋体"/>
          <w:color w:val="000000" w:themeColor="text1"/>
          <w:sz w:val="28"/>
          <w:szCs w:val="20"/>
          <w:highlight w:val="none"/>
          <w14:textFill>
            <w14:solidFill>
              <w14:schemeClr w14:val="tx1"/>
            </w14:solidFill>
          </w14:textFill>
        </w:rPr>
      </w:pPr>
    </w:p>
    <w:p>
      <w:pPr>
        <w:pStyle w:val="29"/>
        <w:rPr>
          <w:rFonts w:hint="eastAsia" w:ascii="宋体" w:hAnsi="宋体" w:eastAsia="宋体" w:cs="宋体"/>
          <w:color w:val="000000" w:themeColor="text1"/>
          <w:sz w:val="28"/>
          <w:szCs w:val="20"/>
          <w:highlight w:val="none"/>
          <w14:textFill>
            <w14:solidFill>
              <w14:schemeClr w14:val="tx1"/>
            </w14:solidFill>
          </w14:textFill>
        </w:rPr>
      </w:pPr>
    </w:p>
    <w:p>
      <w:pPr>
        <w:pStyle w:val="29"/>
        <w:rPr>
          <w:rFonts w:hint="eastAsia" w:ascii="宋体" w:hAnsi="宋体" w:eastAsia="宋体" w:cs="宋体"/>
          <w:color w:val="000000" w:themeColor="text1"/>
          <w:sz w:val="28"/>
          <w:szCs w:val="20"/>
          <w:highlight w:val="none"/>
          <w14:textFill>
            <w14:solidFill>
              <w14:schemeClr w14:val="tx1"/>
            </w14:solidFill>
          </w14:textFill>
        </w:rPr>
      </w:pPr>
    </w:p>
    <w:p>
      <w:pPr>
        <w:pStyle w:val="29"/>
        <w:rPr>
          <w:rFonts w:hint="eastAsia" w:ascii="宋体" w:hAnsi="宋体" w:eastAsia="宋体" w:cs="宋体"/>
          <w:color w:val="000000" w:themeColor="text1"/>
          <w:sz w:val="28"/>
          <w:szCs w:val="20"/>
          <w:highlight w:val="none"/>
          <w14:textFill>
            <w14:solidFill>
              <w14:schemeClr w14:val="tx1"/>
            </w14:solidFill>
          </w14:textFill>
        </w:rPr>
      </w:pPr>
    </w:p>
    <w:p>
      <w:pPr>
        <w:pStyle w:val="29"/>
        <w:rPr>
          <w:rFonts w:hint="eastAsia" w:ascii="宋体" w:hAnsi="宋体" w:eastAsia="宋体" w:cs="宋体"/>
          <w:color w:val="000000" w:themeColor="text1"/>
          <w:sz w:val="28"/>
          <w:szCs w:val="20"/>
          <w:highlight w:val="none"/>
          <w14:textFill>
            <w14:solidFill>
              <w14:schemeClr w14:val="tx1"/>
            </w14:solidFill>
          </w14:textFill>
        </w:rPr>
      </w:pPr>
    </w:p>
    <w:p>
      <w:pPr>
        <w:snapToGrid w:val="0"/>
        <w:spacing w:line="360" w:lineRule="auto"/>
        <w:rPr>
          <w:rFonts w:hint="eastAsia" w:ascii="宋体" w:hAnsi="宋体" w:eastAsia="宋体" w:cs="宋体"/>
          <w:color w:val="000000" w:themeColor="text1"/>
          <w:sz w:val="28"/>
          <w:szCs w:val="20"/>
          <w:highlight w:val="none"/>
          <w14:textFill>
            <w14:solidFill>
              <w14:schemeClr w14:val="tx1"/>
            </w14:solidFill>
          </w14:textFill>
        </w:rPr>
      </w:pPr>
      <w:r>
        <w:rPr>
          <w:rFonts w:hint="eastAsia" w:ascii="宋体" w:hAnsi="宋体" w:eastAsia="宋体" w:cs="宋体"/>
          <w:color w:val="000000" w:themeColor="text1"/>
          <w:sz w:val="28"/>
          <w:szCs w:val="20"/>
          <w:highlight w:val="none"/>
          <w14:textFill>
            <w14:solidFill>
              <w14:schemeClr w14:val="tx1"/>
            </w14:solidFill>
          </w14:textFill>
        </w:rPr>
        <w:t>投标单位名称：（加盖单位公章）</w:t>
      </w:r>
    </w:p>
    <w:p>
      <w:pPr>
        <w:snapToGrid w:val="0"/>
        <w:spacing w:line="360" w:lineRule="auto"/>
        <w:rPr>
          <w:rFonts w:hint="eastAsia" w:ascii="宋体" w:hAnsi="宋体" w:eastAsia="宋体" w:cs="宋体"/>
          <w:color w:val="000000" w:themeColor="text1"/>
          <w:sz w:val="28"/>
          <w:szCs w:val="20"/>
          <w:highlight w:val="none"/>
          <w14:textFill>
            <w14:solidFill>
              <w14:schemeClr w14:val="tx1"/>
            </w14:solidFill>
          </w14:textFill>
        </w:rPr>
      </w:pPr>
      <w:r>
        <w:rPr>
          <w:rFonts w:hint="eastAsia" w:ascii="宋体" w:hAnsi="宋体" w:eastAsia="宋体" w:cs="宋体"/>
          <w:color w:val="000000" w:themeColor="text1"/>
          <w:sz w:val="28"/>
          <w:szCs w:val="20"/>
          <w:highlight w:val="none"/>
          <w14:textFill>
            <w14:solidFill>
              <w14:schemeClr w14:val="tx1"/>
            </w14:solidFill>
          </w14:textFill>
        </w:rPr>
        <w:t>投标单位地址：</w:t>
      </w:r>
    </w:p>
    <w:p>
      <w:pPr>
        <w:snapToGrid w:val="0"/>
        <w:spacing w:line="360" w:lineRule="auto"/>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投标单位法定代表人</w:t>
      </w:r>
      <w:r>
        <w:rPr>
          <w:rFonts w:hint="eastAsia" w:ascii="宋体" w:hAnsi="宋体" w:eastAsia="宋体" w:cs="宋体"/>
          <w:color w:val="auto"/>
          <w:sz w:val="28"/>
          <w:szCs w:val="20"/>
          <w:highlight w:val="none"/>
          <w:lang w:eastAsia="zh-CN"/>
        </w:rPr>
        <w:t>（</w:t>
      </w:r>
      <w:r>
        <w:rPr>
          <w:rFonts w:hint="eastAsia" w:ascii="宋体" w:hAnsi="宋体" w:eastAsia="宋体" w:cs="宋体"/>
          <w:color w:val="auto"/>
          <w:sz w:val="28"/>
          <w:szCs w:val="20"/>
          <w:highlight w:val="none"/>
          <w:lang w:val="en-US" w:eastAsia="zh-CN"/>
        </w:rPr>
        <w:t>负责人、自然人</w:t>
      </w:r>
      <w:r>
        <w:rPr>
          <w:rFonts w:hint="eastAsia" w:ascii="宋体" w:hAnsi="宋体" w:eastAsia="宋体" w:cs="宋体"/>
          <w:color w:val="auto"/>
          <w:sz w:val="28"/>
          <w:szCs w:val="20"/>
          <w:highlight w:val="none"/>
          <w:lang w:eastAsia="zh-CN"/>
        </w:rPr>
        <w:t>）</w:t>
      </w:r>
      <w:r>
        <w:rPr>
          <w:rFonts w:hint="eastAsia" w:ascii="宋体" w:hAnsi="宋体" w:eastAsia="宋体" w:cs="宋体"/>
          <w:color w:val="auto"/>
          <w:sz w:val="28"/>
          <w:szCs w:val="20"/>
          <w:highlight w:val="none"/>
        </w:rPr>
        <w:t>或授权代表姓名：（签字或盖章）</w:t>
      </w:r>
    </w:p>
    <w:p>
      <w:pPr>
        <w:snapToGrid w:val="0"/>
        <w:spacing w:line="360" w:lineRule="auto"/>
        <w:rPr>
          <w:rFonts w:hint="eastAsia" w:ascii="宋体" w:hAnsi="宋体" w:eastAsia="宋体" w:cs="宋体"/>
          <w:color w:val="000000" w:themeColor="text1"/>
          <w:sz w:val="28"/>
          <w:szCs w:val="20"/>
          <w:highlight w:val="none"/>
          <w14:textFill>
            <w14:solidFill>
              <w14:schemeClr w14:val="tx1"/>
            </w14:solidFill>
          </w14:textFill>
        </w:rPr>
      </w:pPr>
      <w:r>
        <w:rPr>
          <w:rFonts w:hint="eastAsia" w:ascii="宋体" w:hAnsi="宋体" w:eastAsia="宋体" w:cs="宋体"/>
          <w:color w:val="000000" w:themeColor="text1"/>
          <w:sz w:val="28"/>
          <w:szCs w:val="20"/>
          <w:highlight w:val="none"/>
          <w14:textFill>
            <w14:solidFill>
              <w14:schemeClr w14:val="tx1"/>
            </w14:solidFill>
          </w14:textFill>
        </w:rPr>
        <w:t>投标单位联系方式：</w:t>
      </w:r>
    </w:p>
    <w:p>
      <w:pPr>
        <w:snapToGrid w:val="0"/>
        <w:spacing w:line="360" w:lineRule="auto"/>
        <w:rPr>
          <w:rFonts w:hint="eastAsia" w:ascii="宋体" w:hAnsi="宋体" w:eastAsia="宋体" w:cs="宋体"/>
          <w:color w:val="000000" w:themeColor="text1"/>
          <w:sz w:val="20"/>
          <w:szCs w:val="20"/>
          <w:highlight w:val="none"/>
          <w14:textFill>
            <w14:solidFill>
              <w14:schemeClr w14:val="tx1"/>
            </w14:solidFill>
          </w14:textFill>
        </w:rPr>
      </w:pPr>
    </w:p>
    <w:p>
      <w:pPr>
        <w:adjustRightInd w:val="0"/>
        <w:snapToGrid w:val="0"/>
        <w:spacing w:before="50" w:after="50"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月  日</w:t>
      </w:r>
    </w:p>
    <w:p>
      <w:pP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br w:type="page"/>
      </w:r>
    </w:p>
    <w:p>
      <w:pPr>
        <w:adjustRightInd w:val="0"/>
        <w:snapToGrid w:val="0"/>
        <w:spacing w:before="50" w:after="50" w:line="40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1、投标函格式：</w:t>
      </w:r>
    </w:p>
    <w:p>
      <w:pPr>
        <w:adjustRightInd w:val="0"/>
        <w:snapToGrid w:val="0"/>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 标 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根据贵方项目（项目编号：）招标公告/投标邀请书，签字代表（全名）经正式授权并代表投标人（投标人名称）提交投标文件。</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据此函，签字代表宣布同意如下：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1、投标人已详细审查全部“</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”，包括补充文件（如有）以及全部参考资料和有关附件，已经了解我方对于</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、采购过程、采购结果有依法进行询问、质疑、投诉的权利及相关渠道和要求。</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2、投标人在投标之前已经与贵方进行了充分的沟通，完全理解并接受</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的各项规定和要求，对</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的合理性、合法性不再有异议。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3、本投标有效期自</w:t>
      </w:r>
      <w:r>
        <w:rPr>
          <w:rFonts w:hint="eastAsia" w:ascii="宋体" w:hAnsi="宋体" w:eastAsia="宋体" w:cs="宋体"/>
          <w:color w:val="000000" w:themeColor="text1"/>
          <w:sz w:val="24"/>
          <w:szCs w:val="24"/>
          <w:highlight w:val="none"/>
          <w:lang w:val="en-US" w:eastAsia="zh-CN"/>
          <w14:textFill>
            <w14:solidFill>
              <w14:schemeClr w14:val="tx1"/>
            </w14:solidFill>
          </w14:textFill>
        </w:rPr>
        <w:t>递交投标文件截止之日</w:t>
      </w:r>
      <w:r>
        <w:rPr>
          <w:rFonts w:hint="eastAsia" w:ascii="宋体" w:hAnsi="宋体" w:eastAsia="宋体" w:cs="宋体"/>
          <w:color w:val="000000" w:themeColor="text1"/>
          <w:sz w:val="24"/>
          <w:szCs w:val="24"/>
          <w:highlight w:val="none"/>
          <w14:textFill>
            <w14:solidFill>
              <w14:schemeClr w14:val="tx1"/>
            </w14:solidFill>
          </w14:textFill>
        </w:rPr>
        <w:t>起</w:t>
      </w:r>
      <w:r>
        <w:rPr>
          <w:rFonts w:hint="eastAsia" w:ascii="宋体" w:hAnsi="宋体" w:eastAsia="宋体" w:cs="宋体"/>
          <w:color w:val="000000" w:themeColor="text1"/>
          <w:sz w:val="24"/>
          <w:szCs w:val="24"/>
          <w:highlight w:val="none"/>
          <w:u w:val="single"/>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4、如中标，本投标文件至本项目合同履行完毕止均保持有效，本投标人将按“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”及政府采购法律、法规的规定履行合同责任和义务。</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5、投标人同意按照贵方要求提供与投标有关的一切数据或资料，完全理解采购人不一定接受最低价的投标或收到的任何投标。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6、与本投标有关的一切正式往来信函请寄：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  邮编：     电话：</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   投标人代表姓名：  职务：</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投标人名称(公章):</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    银行帐号：</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法定代表人或授权代表（签字或加盖印鉴）:</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日期：年月日</w:t>
      </w:r>
    </w:p>
    <w:p>
      <w:pPr>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400" w:lineRule="exact"/>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14:textFill>
            <w14:solidFill>
              <w14:schemeClr w14:val="tx1"/>
            </w14:solidFill>
          </w14:textFill>
        </w:rPr>
        <w:t>2、开标一览表</w:t>
      </w:r>
    </w:p>
    <w:p>
      <w:pPr>
        <w:adjustRightInd w:val="0"/>
        <w:snapToGrid w:val="0"/>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开标一览表</w:t>
      </w:r>
    </w:p>
    <w:p>
      <w:pPr>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项目名称：      </w:t>
      </w:r>
    </w:p>
    <w:p>
      <w:pPr>
        <w:adjustRightInd w:val="0"/>
        <w:snapToGrid w:val="0"/>
        <w:spacing w:line="400" w:lineRule="exact"/>
        <w:ind w:firstLine="4800" w:firstLineChars="20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单位：元</w:t>
      </w:r>
    </w:p>
    <w:tbl>
      <w:tblPr>
        <w:tblStyle w:val="37"/>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270"/>
        <w:gridCol w:w="1177"/>
        <w:gridCol w:w="709"/>
        <w:gridCol w:w="1417"/>
        <w:gridCol w:w="993"/>
        <w:gridCol w:w="1275"/>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38"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270"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产品</w:t>
            </w:r>
            <w:r>
              <w:rPr>
                <w:rFonts w:hint="eastAsia" w:ascii="宋体" w:hAnsi="宋体" w:eastAsia="宋体" w:cs="宋体"/>
                <w:color w:val="000000" w:themeColor="text1"/>
                <w:sz w:val="24"/>
                <w:szCs w:val="24"/>
                <w:highlight w:val="none"/>
                <w14:textFill>
                  <w14:solidFill>
                    <w14:schemeClr w14:val="tx1"/>
                  </w14:solidFill>
                </w14:textFill>
              </w:rPr>
              <w:t>名称</w:t>
            </w:r>
          </w:p>
        </w:tc>
        <w:tc>
          <w:tcPr>
            <w:tcW w:w="1177"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品牌</w:t>
            </w:r>
          </w:p>
        </w:tc>
        <w:tc>
          <w:tcPr>
            <w:tcW w:w="709"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产地</w:t>
            </w:r>
          </w:p>
        </w:tc>
        <w:tc>
          <w:tcPr>
            <w:tcW w:w="1417"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规格型号</w:t>
            </w:r>
          </w:p>
        </w:tc>
        <w:tc>
          <w:tcPr>
            <w:tcW w:w="993"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1275"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单价（元）</w:t>
            </w:r>
          </w:p>
        </w:tc>
        <w:tc>
          <w:tcPr>
            <w:tcW w:w="1276"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合计（元）</w:t>
            </w:r>
          </w:p>
        </w:tc>
        <w:tc>
          <w:tcPr>
            <w:tcW w:w="992"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38"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70"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7"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17"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75" w:type="dxa"/>
            <w:vAlign w:val="center"/>
          </w:tcPr>
          <w:p>
            <w:pPr>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76"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38"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70"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7"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17"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75" w:type="dxa"/>
            <w:vAlign w:val="center"/>
          </w:tcPr>
          <w:p>
            <w:pPr>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76"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08" w:type="dxa"/>
            <w:gridSpan w:val="2"/>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投标总价（元）</w:t>
            </w:r>
          </w:p>
        </w:tc>
        <w:tc>
          <w:tcPr>
            <w:tcW w:w="7839" w:type="dxa"/>
            <w:gridSpan w:val="7"/>
            <w:vAlign w:val="center"/>
          </w:tcPr>
          <w:p>
            <w:pPr>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08" w:type="dxa"/>
            <w:gridSpan w:val="2"/>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交货时间</w:t>
            </w:r>
          </w:p>
        </w:tc>
        <w:tc>
          <w:tcPr>
            <w:tcW w:w="7839" w:type="dxa"/>
            <w:gridSpan w:val="7"/>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08" w:type="dxa"/>
            <w:gridSpan w:val="2"/>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质保期</w:t>
            </w:r>
          </w:p>
        </w:tc>
        <w:tc>
          <w:tcPr>
            <w:tcW w:w="7839" w:type="dxa"/>
            <w:gridSpan w:val="7"/>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 1、投标报价包括项目实施所需的货款、人工费、服务费、运输费、安装调试费、税金及其他一切费用。</w:t>
      </w:r>
    </w:p>
    <w:p>
      <w:pPr>
        <w:adjustRightInd w:val="0"/>
        <w:snapToGrid w:val="0"/>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pPr>
        <w:pStyle w:val="29"/>
        <w:rPr>
          <w:rFonts w:hint="eastAsia" w:ascii="宋体" w:hAnsi="宋体" w:eastAsia="宋体" w:cs="宋体"/>
        </w:rPr>
      </w:pP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投标人名称（盖章）：</w:t>
      </w: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法定代表人或授权代表（签字或加盖印鉴）：</w:t>
      </w:r>
    </w:p>
    <w:p>
      <w:pPr>
        <w:adjustRightInd w:val="0"/>
        <w:snapToGrid w:val="0"/>
        <w:spacing w:line="400" w:lineRule="exact"/>
        <w:ind w:left="-2" w:leftChars="-1"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rPr>
          <w:rFonts w:hint="eastAsia" w:ascii="宋体" w:hAnsi="宋体" w:eastAsia="宋体" w:cs="宋体"/>
          <w:color w:val="000000" w:themeColor="text1"/>
          <w:spacing w:val="20"/>
          <w:sz w:val="24"/>
          <w:szCs w:val="24"/>
          <w:highlight w:val="none"/>
          <w:u w:val="single"/>
          <w14:textFill>
            <w14:solidFill>
              <w14:schemeClr w14:val="tx1"/>
            </w14:solidFill>
          </w14:textFill>
        </w:rPr>
      </w:pPr>
      <w:r>
        <w:rPr>
          <w:rFonts w:hint="eastAsia" w:ascii="宋体" w:hAnsi="宋体" w:eastAsia="宋体" w:cs="宋体"/>
          <w:color w:val="000000" w:themeColor="text1"/>
          <w:spacing w:val="20"/>
          <w:sz w:val="24"/>
          <w:szCs w:val="24"/>
          <w:highlight w:val="none"/>
          <w:u w:val="single"/>
          <w14:textFill>
            <w14:solidFill>
              <w14:schemeClr w14:val="tx1"/>
            </w14:solidFill>
          </w14:textFill>
        </w:rPr>
        <w:br w:type="page"/>
      </w:r>
    </w:p>
    <w:p>
      <w:pPr>
        <w:adjustRightInd w:val="0"/>
        <w:snapToGrid w:val="0"/>
        <w:spacing w:before="50" w:after="50" w:line="40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、投标保证金</w:t>
      </w:r>
      <w:r>
        <w:rPr>
          <w:rFonts w:hint="eastAsia" w:ascii="宋体" w:hAnsi="宋体" w:eastAsia="宋体" w:cs="宋体"/>
          <w:b/>
          <w:color w:val="000000" w:themeColor="text1"/>
          <w:sz w:val="24"/>
          <w:szCs w:val="24"/>
          <w:highlight w:val="none"/>
          <w:lang w:eastAsia="zh-CN"/>
          <w14:textFill>
            <w14:solidFill>
              <w14:schemeClr w14:val="tx1"/>
            </w14:solidFill>
          </w14:textFill>
        </w:rPr>
        <w:t>收据</w:t>
      </w:r>
      <w:r>
        <w:rPr>
          <w:rFonts w:hint="eastAsia" w:ascii="宋体" w:hAnsi="宋体" w:eastAsia="宋体" w:cs="宋体"/>
          <w:b/>
          <w:color w:val="000000" w:themeColor="text1"/>
          <w:sz w:val="24"/>
          <w:szCs w:val="24"/>
          <w:highlight w:val="none"/>
          <w14:textFill>
            <w14:solidFill>
              <w14:schemeClr w14:val="tx1"/>
            </w14:solidFill>
          </w14:textFill>
        </w:rPr>
        <w:t>复印件</w:t>
      </w:r>
    </w:p>
    <w:p>
      <w:pPr>
        <w:adjustRightInd w:val="0"/>
        <w:snapToGrid w:val="0"/>
        <w:spacing w:before="50" w:after="50" w:line="400" w:lineRule="exact"/>
        <w:rPr>
          <w:rFonts w:hint="eastAsia" w:ascii="宋体" w:hAnsi="宋体" w:eastAsia="宋体" w:cs="宋体"/>
          <w:b/>
          <w:color w:val="000000" w:themeColor="text1"/>
          <w:sz w:val="24"/>
          <w:szCs w:val="24"/>
          <w:highlight w:val="none"/>
          <w14:textFill>
            <w14:solidFill>
              <w14:schemeClr w14:val="tx1"/>
            </w14:solidFill>
          </w14:textFill>
        </w:rPr>
      </w:pPr>
    </w:p>
    <w:p>
      <w:pPr>
        <w:rPr>
          <w:rFonts w:hint="eastAsia" w:ascii="宋体" w:hAnsi="宋体" w:eastAsia="宋体" w:cs="宋体"/>
          <w:b/>
          <w:color w:val="000000" w:themeColor="text1"/>
          <w:sz w:val="28"/>
          <w:szCs w:val="28"/>
          <w:highlight w:val="none"/>
          <w14:textFill>
            <w14:solidFill>
              <w14:schemeClr w14:val="tx1"/>
            </w14:solidFill>
          </w14:textFill>
        </w:rPr>
      </w:pPr>
    </w:p>
    <w:p>
      <w:pPr>
        <w:adjustRightInd w:val="0"/>
        <w:snapToGrid w:val="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、投标声明书格式：</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投标声明书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（投标人名称）系中华人民共和国合法企业</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其他组织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，经营地址</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我（姓名）系（投标人名称）的法定代表人（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负责人</w:t>
      </w:r>
      <w:r>
        <w:rPr>
          <w:rFonts w:hint="eastAsia" w:ascii="宋体" w:hAnsi="宋体" w:eastAsia="宋体" w:cs="宋体"/>
          <w:color w:val="000000" w:themeColor="text1"/>
          <w:sz w:val="24"/>
          <w:szCs w:val="24"/>
          <w:highlight w:val="none"/>
          <w14:textFill>
            <w14:solidFill>
              <w14:schemeClr w14:val="tx1"/>
            </w14:solidFill>
          </w14:textFill>
        </w:rPr>
        <w:t>），我方愿意参加贵方组织的项目（项目编号：）的投标，为便于贵方公正、择优地确定中标人及其投标产品和服务，我方就本次投标有关事项郑重声明如下：</w:t>
      </w:r>
    </w:p>
    <w:p>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投标方已详细审查全部</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，同意</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的各项要求。</w:t>
      </w:r>
    </w:p>
    <w:p>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我方向贵方提交的所有投标文件、资料都是准确的和真实的。</w:t>
      </w:r>
    </w:p>
    <w:p>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若中标，我方将按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规定履行合同责任和义务。</w:t>
      </w:r>
    </w:p>
    <w:p>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我方郑重承诺：我</w:t>
      </w:r>
      <w:r>
        <w:rPr>
          <w:rFonts w:hint="eastAsia" w:ascii="宋体" w:hAnsi="宋体" w:eastAsia="宋体" w:cs="宋体"/>
          <w:color w:val="000000" w:themeColor="text1"/>
          <w:sz w:val="24"/>
          <w:szCs w:val="24"/>
          <w:highlight w:val="none"/>
          <w:lang w:val="en-US" w:eastAsia="zh-CN"/>
          <w14:textFill>
            <w14:solidFill>
              <w14:schemeClr w14:val="tx1"/>
            </w14:solidFill>
          </w14:textFill>
        </w:rPr>
        <w:t>方</w:t>
      </w:r>
      <w:r>
        <w:rPr>
          <w:rFonts w:hint="eastAsia" w:ascii="宋体" w:hAnsi="宋体" w:eastAsia="宋体" w:cs="宋体"/>
          <w:color w:val="000000" w:themeColor="text1"/>
          <w:sz w:val="24"/>
          <w:szCs w:val="24"/>
          <w:highlight w:val="none"/>
          <w14:textFill>
            <w14:solidFill>
              <w14:schemeClr w14:val="tx1"/>
            </w14:solidFill>
          </w14:textFill>
        </w:rPr>
        <w:t>所投产品及其任何一部分，免受第三方提出的侵犯其专利权、商标权、著作权或其它知识产权的起诉。我</w:t>
      </w:r>
      <w:r>
        <w:rPr>
          <w:rFonts w:hint="eastAsia" w:ascii="宋体" w:hAnsi="宋体" w:eastAsia="宋体" w:cs="宋体"/>
          <w:color w:val="000000" w:themeColor="text1"/>
          <w:sz w:val="24"/>
          <w:szCs w:val="24"/>
          <w:highlight w:val="none"/>
          <w:lang w:val="en-US" w:eastAsia="zh-CN"/>
          <w14:textFill>
            <w14:solidFill>
              <w14:schemeClr w14:val="tx1"/>
            </w14:solidFill>
          </w14:textFill>
        </w:rPr>
        <w:t>方</w:t>
      </w:r>
      <w:r>
        <w:rPr>
          <w:rFonts w:hint="eastAsia" w:ascii="宋体" w:hAnsi="宋体" w:eastAsia="宋体" w:cs="宋体"/>
          <w:color w:val="000000" w:themeColor="text1"/>
          <w:sz w:val="24"/>
          <w:szCs w:val="24"/>
          <w:highlight w:val="none"/>
          <w14:textFill>
            <w14:solidFill>
              <w14:schemeClr w14:val="tx1"/>
            </w14:solidFill>
          </w14:textFill>
        </w:rPr>
        <w:t>承担由此可能产生的一切法律责任和费用。</w:t>
      </w:r>
    </w:p>
    <w:p>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我方不是采购人的附属机构；在获知本项目采购信息后，与采购人聘请的为此项目提供咨询服务的公司及其附属机构没有任何联系。</w:t>
      </w:r>
    </w:p>
    <w:p>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投标书自开标日起有效期为日。以上事项如有虚假或隐瞒，我方愿意承担一切后果，并不再寻求任何旨在减轻或免除法律责任的辩解。</w:t>
      </w:r>
    </w:p>
    <w:p>
      <w:pPr>
        <w:keepNext w:val="0"/>
        <w:keepLines w:val="0"/>
        <w:pageBreakBefore w:val="0"/>
        <w:widowControl w:val="0"/>
        <w:kinsoku/>
        <w:wordWrap/>
        <w:overflowPunct/>
        <w:topLinePunct w:val="0"/>
        <w:autoSpaceDE/>
        <w:autoSpaceDN/>
        <w:bidi w:val="0"/>
        <w:adjustRightInd w:val="0"/>
        <w:snapToGrid w:val="0"/>
        <w:spacing w:line="400" w:lineRule="exact"/>
        <w:ind w:left="-4" w:leftChars="-2" w:right="-817" w:rightChars="-389" w:firstLine="2"/>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00" w:lineRule="exact"/>
        <w:ind w:left="-4" w:leftChars="-2" w:right="-817" w:rightChars="-389" w:firstLine="2"/>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00" w:lineRule="exact"/>
        <w:ind w:left="-4" w:leftChars="-2" w:right="-817" w:rightChars="-389" w:firstLine="2"/>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00" w:lineRule="exact"/>
        <w:ind w:left="-4" w:leftChars="-2" w:right="-817" w:rightChars="-389" w:firstLine="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投标人名称（盖章）：</w:t>
      </w:r>
    </w:p>
    <w:p>
      <w:pPr>
        <w:keepNext w:val="0"/>
        <w:keepLines w:val="0"/>
        <w:pageBreakBefore w:val="0"/>
        <w:widowControl w:val="0"/>
        <w:kinsoku/>
        <w:wordWrap/>
        <w:overflowPunct/>
        <w:topLinePunct w:val="0"/>
        <w:autoSpaceDE/>
        <w:autoSpaceDN/>
        <w:bidi w:val="0"/>
        <w:adjustRightInd w:val="0"/>
        <w:snapToGrid w:val="0"/>
        <w:spacing w:line="400" w:lineRule="exact"/>
        <w:ind w:left="-4" w:leftChars="-2" w:right="-817" w:rightChars="-389" w:firstLine="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法定代表人或授权代表（签字或加盖印鉴）：</w:t>
      </w:r>
    </w:p>
    <w:p>
      <w:pPr>
        <w:keepNext w:val="0"/>
        <w:keepLines w:val="0"/>
        <w:pageBreakBefore w:val="0"/>
        <w:widowControl w:val="0"/>
        <w:kinsoku/>
        <w:wordWrap/>
        <w:overflowPunct/>
        <w:topLinePunct w:val="0"/>
        <w:autoSpaceDE/>
        <w:autoSpaceDN/>
        <w:bidi w:val="0"/>
        <w:adjustRightInd w:val="0"/>
        <w:snapToGrid w:val="0"/>
        <w:spacing w:line="400" w:lineRule="exact"/>
        <w:ind w:left="-2" w:leftChars="-1" w:right="-817" w:rightChars="-389" w:firstLine="2"/>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14:textFill>
            <w14:solidFill>
              <w14:schemeClr w14:val="tx1"/>
            </w14:solidFill>
          </w14:textFill>
        </w:rPr>
        <w:t>、授权委托书格式：</w:t>
      </w:r>
    </w:p>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授权委托书</w:t>
      </w:r>
    </w:p>
    <w:p>
      <w:pPr>
        <w:adjustRightInd w:val="0"/>
        <w:snapToGrid w:val="0"/>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w:t>
      </w:r>
    </w:p>
    <w:p>
      <w:pPr>
        <w:adjustRightInd w:val="0"/>
        <w:snapToGrid w:val="0"/>
        <w:spacing w:line="360" w:lineRule="auto"/>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我（姓名）系（投标人名称）的法定代表人（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负责人、自然人</w:t>
      </w:r>
      <w:r>
        <w:rPr>
          <w:rFonts w:hint="eastAsia" w:ascii="宋体" w:hAnsi="宋体" w:eastAsia="宋体" w:cs="宋体"/>
          <w:color w:val="000000" w:themeColor="text1"/>
          <w:sz w:val="24"/>
          <w:szCs w:val="24"/>
          <w:highlight w:val="none"/>
          <w14:textFill>
            <w14:solidFill>
              <w14:schemeClr w14:val="tx1"/>
            </w14:solidFill>
          </w14:textFill>
        </w:rPr>
        <w:t>），现授权委托本单位在职职工 （姓名）以我方的名义参加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项目（项目编号：        ）</w:t>
      </w:r>
      <w:r>
        <w:rPr>
          <w:rFonts w:hint="eastAsia" w:ascii="宋体" w:hAnsi="宋体" w:eastAsia="宋体" w:cs="宋体"/>
          <w:color w:val="000000" w:themeColor="text1"/>
          <w:sz w:val="24"/>
          <w:szCs w:val="24"/>
          <w:highlight w:val="none"/>
          <w14:textFill>
            <w14:solidFill>
              <w14:schemeClr w14:val="tx1"/>
            </w14:solidFill>
          </w14:textFill>
        </w:rPr>
        <w:t>的投标活动，并代表我方全权办理针对上述项目的投标、开标、评标、签约等具体事务和签署相关文件。</w:t>
      </w:r>
    </w:p>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我方对被授权人的签名事项负全部责任。</w:t>
      </w:r>
    </w:p>
    <w:p>
      <w:pPr>
        <w:adjustRightInd w:val="0"/>
        <w:snapToGrid w:val="0"/>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在撤销授权的书面通知以前，本授权书一直有效。</w:t>
      </w:r>
      <w:r>
        <w:rPr>
          <w:rFonts w:hint="eastAsia" w:ascii="宋体" w:hAnsi="宋体" w:eastAsia="宋体" w:cs="宋体"/>
          <w:color w:val="000000" w:themeColor="text1"/>
          <w:sz w:val="24"/>
          <w:szCs w:val="24"/>
          <w:highlight w:val="none"/>
          <w14:textFill>
            <w14:solidFill>
              <w14:schemeClr w14:val="tx1"/>
            </w14:solidFill>
          </w14:textFill>
        </w:rPr>
        <w:t>被授权人在授权书有效期内签署的所有文件不因授权的撤销而失效。</w:t>
      </w:r>
    </w:p>
    <w:p>
      <w:pPr>
        <w:adjustRightInd w:val="0"/>
        <w:snapToGrid w:val="0"/>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被授权人无转委托权，特此委托。</w:t>
      </w:r>
    </w:p>
    <w:p>
      <w:pPr>
        <w:adjustRightInd w:val="0"/>
        <w:snapToGrid w:val="0"/>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授权代表签名：                      </w:t>
      </w:r>
      <w:r>
        <w:rPr>
          <w:rFonts w:hint="eastAsia" w:ascii="宋体" w:hAnsi="宋体" w:eastAsia="宋体" w:cs="宋体"/>
          <w:color w:val="000000" w:themeColor="text1"/>
          <w:sz w:val="24"/>
          <w:szCs w:val="24"/>
          <w:highlight w:val="none"/>
          <w:lang w:val="en-US" w:eastAsia="zh-CN"/>
          <w14:textFill>
            <w14:solidFill>
              <w14:schemeClr w14:val="tx1"/>
            </w14:solidFill>
          </w14:textFill>
        </w:rPr>
        <w:t>授权</w:t>
      </w:r>
      <w:r>
        <w:rPr>
          <w:rFonts w:hint="eastAsia" w:ascii="宋体" w:hAnsi="宋体" w:eastAsia="宋体" w:cs="宋体"/>
          <w:color w:val="000000" w:themeColor="text1"/>
          <w:sz w:val="24"/>
          <w:szCs w:val="24"/>
          <w:highlight w:val="none"/>
          <w14:textFill>
            <w14:solidFill>
              <w14:schemeClr w14:val="tx1"/>
            </w14:solidFill>
          </w14:textFill>
        </w:rPr>
        <w:t>人签名：</w:t>
      </w:r>
    </w:p>
    <w:p>
      <w:pPr>
        <w:adjustRightInd w:val="0"/>
        <w:snapToGrid w:val="0"/>
        <w:spacing w:line="360" w:lineRule="auto"/>
        <w:ind w:firstLine="960" w:firstLineChars="4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职务：                      职务：</w:t>
      </w:r>
    </w:p>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授权代表身份证号码：</w:t>
      </w:r>
    </w:p>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bl>
      <w:tblPr>
        <w:tblStyle w:val="37"/>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0"/>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4780" w:type="dxa"/>
            <w:vAlign w:val="center"/>
          </w:tcPr>
          <w:p>
            <w:pPr>
              <w:adjustRightInd w:val="0"/>
              <w:snapToGrid w:val="0"/>
              <w:spacing w:line="360" w:lineRule="auto"/>
              <w:ind w:right="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授权</w:t>
            </w:r>
            <w:r>
              <w:rPr>
                <w:rFonts w:hint="eastAsia" w:ascii="宋体" w:hAnsi="宋体" w:eastAsia="宋体" w:cs="宋体"/>
                <w:color w:val="000000" w:themeColor="text1"/>
                <w:sz w:val="24"/>
                <w:szCs w:val="24"/>
                <w:highlight w:val="none"/>
                <w14:textFill>
                  <w14:solidFill>
                    <w14:schemeClr w14:val="tx1"/>
                  </w14:solidFill>
                </w14:textFill>
              </w:rPr>
              <w:t>人身份证正面</w:t>
            </w:r>
          </w:p>
        </w:tc>
        <w:tc>
          <w:tcPr>
            <w:tcW w:w="3878" w:type="dxa"/>
            <w:vAlign w:val="center"/>
          </w:tcPr>
          <w:p>
            <w:pPr>
              <w:adjustRightInd w:val="0"/>
              <w:snapToGrid w:val="0"/>
              <w:spacing w:line="360" w:lineRule="auto"/>
              <w:ind w:right="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4780" w:type="dxa"/>
            <w:vAlign w:val="center"/>
          </w:tcPr>
          <w:p>
            <w:pPr>
              <w:adjustRightInd w:val="0"/>
              <w:snapToGrid w:val="0"/>
              <w:spacing w:line="360" w:lineRule="auto"/>
              <w:ind w:right="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授权</w:t>
            </w:r>
            <w:r>
              <w:rPr>
                <w:rFonts w:hint="eastAsia" w:ascii="宋体" w:hAnsi="宋体" w:eastAsia="宋体" w:cs="宋体"/>
                <w:color w:val="000000" w:themeColor="text1"/>
                <w:sz w:val="24"/>
                <w:szCs w:val="24"/>
                <w:highlight w:val="none"/>
                <w14:textFill>
                  <w14:solidFill>
                    <w14:schemeClr w14:val="tx1"/>
                  </w14:solidFill>
                </w14:textFill>
              </w:rPr>
              <w:t>人身份证反面</w:t>
            </w:r>
          </w:p>
        </w:tc>
        <w:tc>
          <w:tcPr>
            <w:tcW w:w="3878" w:type="dxa"/>
            <w:vAlign w:val="center"/>
          </w:tcPr>
          <w:p>
            <w:pPr>
              <w:adjustRightInd w:val="0"/>
              <w:snapToGrid w:val="0"/>
              <w:spacing w:line="360" w:lineRule="auto"/>
              <w:ind w:right="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被授权人身份证反面</w:t>
            </w:r>
          </w:p>
        </w:tc>
      </w:tr>
    </w:tbl>
    <w:p>
      <w:pPr>
        <w:adjustRightInd w:val="0"/>
        <w:snapToGrid w:val="0"/>
        <w:spacing w:line="360" w:lineRule="auto"/>
        <w:ind w:right="480"/>
        <w:jc w:val="center"/>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360" w:lineRule="auto"/>
        <w:ind w:right="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投标人名称（盖章）：</w:t>
      </w:r>
    </w:p>
    <w:p>
      <w:pPr>
        <w:adjustRightInd w:val="0"/>
        <w:snapToGrid w:val="0"/>
        <w:spacing w:line="360" w:lineRule="auto"/>
        <w:ind w:right="36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adjustRightInd w:val="0"/>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、财务状况报告</w:t>
      </w: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依法缴纳税收的良好记录</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投标人是法人的，应提供本单位</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020-2022年经会计师事务所出具的审计报告复印件（报告中须包括资产负债表、利润表、现金流量表及财务报表附注），或银行出具的资信证明。银行资信证明可提供原件，也可提供银行在开标日前十二个月内开具资信证明的复印件，对于资信证明文件中写明“复印无效”的应提供原件。银行资信证明的抬头可以与采购人或采购代理机构名称不同。</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投标人是其他组织或自然人的，应提供银行出具的资信证明。</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银行资信证明应能说明该投标人与银行之间业务往来正常，无不良记录，企业信誉良好等。</w:t>
      </w:r>
    </w:p>
    <w:p>
      <w:pPr>
        <w:adjustRightInd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缴纳税收的证明材料，指投标人缴纳增值税和企业所得税两种缴纳凭据；本项目开标前6个月内（至少提供1个月）缴纳税收的凭据（完税证、缴款书、印花税票、银行代扣（代缴）转账凭证等均可）； </w:t>
      </w:r>
    </w:p>
    <w:p>
      <w:pPr>
        <w:adjustRightInd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投标人为其他组织或自然人的，也需要按此项规定提供缴纳税收的凭据和交纳社会保险的凭据。如投标人的社会保险为委托第三方代缴，还需同时提供</w:t>
      </w:r>
      <w:r>
        <w:rPr>
          <w:rFonts w:hint="eastAsia" w:ascii="宋体" w:hAnsi="宋体" w:eastAsia="宋体" w:cs="宋体"/>
          <w:color w:val="000000" w:themeColor="text1"/>
          <w:sz w:val="24"/>
          <w:szCs w:val="24"/>
          <w:highlight w:val="none"/>
          <w:lang w:eastAsia="zh-CN"/>
          <w14:textFill>
            <w14:solidFill>
              <w14:schemeClr w14:val="tx1"/>
            </w14:solidFill>
          </w14:textFill>
        </w:rPr>
        <w:t>投标单位</w:t>
      </w:r>
      <w:r>
        <w:rPr>
          <w:rFonts w:hint="eastAsia" w:ascii="宋体" w:hAnsi="宋体" w:eastAsia="宋体" w:cs="宋体"/>
          <w:color w:val="000000" w:themeColor="text1"/>
          <w:sz w:val="24"/>
          <w:szCs w:val="24"/>
          <w:highlight w:val="none"/>
          <w14:textFill>
            <w14:solidFill>
              <w14:schemeClr w14:val="tx1"/>
            </w14:solidFill>
          </w14:textFill>
        </w:rPr>
        <w:t>与第三方服务机构签署的服务合同（合同中应明确写明第三方为</w:t>
      </w:r>
      <w:r>
        <w:rPr>
          <w:rFonts w:hint="eastAsia" w:ascii="宋体" w:hAnsi="宋体" w:eastAsia="宋体" w:cs="宋体"/>
          <w:color w:val="000000" w:themeColor="text1"/>
          <w:sz w:val="24"/>
          <w:szCs w:val="24"/>
          <w:highlight w:val="none"/>
          <w:lang w:eastAsia="zh-CN"/>
          <w14:textFill>
            <w14:solidFill>
              <w14:schemeClr w14:val="tx1"/>
            </w14:solidFill>
          </w14:textFill>
        </w:rPr>
        <w:t>投标单位</w:t>
      </w:r>
      <w:r>
        <w:rPr>
          <w:rFonts w:hint="eastAsia" w:ascii="宋体" w:hAnsi="宋体" w:eastAsia="宋体" w:cs="宋体"/>
          <w:color w:val="000000" w:themeColor="text1"/>
          <w:sz w:val="24"/>
          <w:szCs w:val="24"/>
          <w:highlight w:val="none"/>
          <w14:textFill>
            <w14:solidFill>
              <w14:schemeClr w14:val="tx1"/>
            </w14:solidFill>
          </w14:textFill>
        </w:rPr>
        <w:t>代缴其社会保险）。</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、投标人须具有履行合同所必需的设备和专业技术能力，须附相关证明材料或声明：</w:t>
      </w:r>
    </w:p>
    <w:p>
      <w:pPr>
        <w:pStyle w:val="197"/>
        <w:autoSpaceDE w:val="0"/>
        <w:autoSpaceDN w:val="0"/>
        <w:adjustRightInd w:val="0"/>
        <w:snapToGrid w:val="0"/>
        <w:spacing w:line="400" w:lineRule="exact"/>
        <w:ind w:firstLine="120" w:firstLineChars="5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格式：</w:t>
      </w:r>
    </w:p>
    <w:p>
      <w:pPr>
        <w:pStyle w:val="197"/>
        <w:autoSpaceDE w:val="0"/>
        <w:autoSpaceDN w:val="0"/>
        <w:adjustRightInd w:val="0"/>
        <w:snapToGrid w:val="0"/>
        <w:spacing w:line="400" w:lineRule="exact"/>
        <w:ind w:firstLine="120" w:firstLineChars="5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本投标人郑重声明：</w:t>
      </w:r>
    </w:p>
    <w:p>
      <w:pPr>
        <w:pStyle w:val="197"/>
        <w:autoSpaceDE w:val="0"/>
        <w:autoSpaceDN w:val="0"/>
        <w:adjustRightInd w:val="0"/>
        <w:snapToGrid w:val="0"/>
        <w:spacing w:line="400" w:lineRule="exact"/>
        <w:ind w:firstLine="120" w:firstLine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本公司（或单位）具备本项目履行合同所必需的设备和专业技术能力，特此承诺。 </w:t>
      </w:r>
    </w:p>
    <w:p>
      <w:pPr>
        <w:pStyle w:val="197"/>
        <w:autoSpaceDE w:val="0"/>
        <w:autoSpaceDN w:val="0"/>
        <w:adjustRightInd w:val="0"/>
        <w:snapToGrid w:val="0"/>
        <w:spacing w:line="400" w:lineRule="exact"/>
        <w:ind w:firstLine="120" w:firstLine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法定代表人或授权代表（签字或加盖印鉴）： </w:t>
      </w:r>
    </w:p>
    <w:p>
      <w:pPr>
        <w:pStyle w:val="197"/>
        <w:autoSpaceDE w:val="0"/>
        <w:autoSpaceDN w:val="0"/>
        <w:adjustRightInd w:val="0"/>
        <w:snapToGrid w:val="0"/>
        <w:spacing w:line="400" w:lineRule="exact"/>
        <w:ind w:firstLine="120" w:firstLine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投标人名称（加盖公章）：</w:t>
      </w:r>
    </w:p>
    <w:p>
      <w:pPr>
        <w:pStyle w:val="197"/>
        <w:autoSpaceDE w:val="0"/>
        <w:autoSpaceDN w:val="0"/>
        <w:adjustRightInd w:val="0"/>
        <w:snapToGrid w:val="0"/>
        <w:spacing w:line="400" w:lineRule="exact"/>
        <w:ind w:firstLine="120" w:firstLine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年 月 日 </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br w:type="page"/>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color w:val="000000" w:themeColor="text1"/>
          <w:sz w:val="24"/>
          <w:szCs w:val="24"/>
          <w:highlight w:val="none"/>
          <w14:textFill>
            <w14:solidFill>
              <w14:schemeClr w14:val="tx1"/>
            </w14:solidFill>
          </w14:textFill>
        </w:rPr>
        <w:t>前三年内在经营活动中没有重大违法记录的书面声明：</w:t>
      </w:r>
    </w:p>
    <w:p>
      <w:pPr>
        <w:pStyle w:val="197"/>
        <w:adjustRightInd w:val="0"/>
        <w:snapToGrid w:val="0"/>
        <w:spacing w:line="400" w:lineRule="exac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格式：</w:t>
      </w:r>
    </w:p>
    <w:p>
      <w:pPr>
        <w:pStyle w:val="197"/>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（采购人）         </w:t>
      </w:r>
      <w:r>
        <w:rPr>
          <w:rFonts w:hint="eastAsia" w:ascii="宋体" w:hAnsi="宋体" w:eastAsia="宋体" w:cs="宋体"/>
          <w:color w:val="000000" w:themeColor="text1"/>
          <w:sz w:val="24"/>
          <w:szCs w:val="24"/>
          <w:highlight w:val="none"/>
          <w14:textFill>
            <w14:solidFill>
              <w14:schemeClr w14:val="tx1"/>
            </w14:solidFill>
          </w14:textFill>
        </w:rPr>
        <w:t>：</w:t>
      </w:r>
    </w:p>
    <w:p>
      <w:pPr>
        <w:pStyle w:val="197"/>
        <w:adjustRightInd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w:t>
      </w:r>
      <w:r>
        <w:rPr>
          <w:rFonts w:hint="eastAsia" w:ascii="宋体" w:hAnsi="宋体" w:eastAsia="宋体" w:cs="宋体"/>
          <w:color w:val="000000" w:themeColor="text1"/>
          <w:sz w:val="24"/>
          <w:szCs w:val="24"/>
          <w:highlight w:val="none"/>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参与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项目名称、编号）投标，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并</w:t>
      </w:r>
      <w:r>
        <w:rPr>
          <w:rFonts w:hint="eastAsia" w:ascii="宋体" w:hAnsi="宋体" w:eastAsia="宋体" w:cs="宋体"/>
          <w:color w:val="000000" w:themeColor="text1"/>
          <w:sz w:val="24"/>
          <w:szCs w:val="24"/>
          <w:highlight w:val="none"/>
          <w14:textFill>
            <w14:solidFill>
              <w14:schemeClr w14:val="tx1"/>
            </w14:solidFill>
          </w14:textFill>
        </w:rPr>
        <w:t>郑重声明，我方参加本项目政府采购活动前三年内无重大违法记录，符合《</w:t>
      </w:r>
      <w:r>
        <w:rPr>
          <w:rFonts w:hint="eastAsia" w:ascii="宋体" w:hAnsi="宋体" w:eastAsia="宋体" w:cs="宋体"/>
          <w:color w:val="000000" w:themeColor="text1"/>
          <w:sz w:val="24"/>
          <w:szCs w:val="24"/>
          <w:highlight w:val="none"/>
          <w:lang w:eastAsia="zh-CN"/>
          <w14:textFill>
            <w14:solidFill>
              <w14:schemeClr w14:val="tx1"/>
            </w14:solidFill>
          </w14:textFill>
        </w:rPr>
        <w:t>中华人民共和国政府采购法</w:t>
      </w:r>
      <w:r>
        <w:rPr>
          <w:rFonts w:hint="eastAsia" w:ascii="宋体" w:hAnsi="宋体" w:eastAsia="宋体" w:cs="宋体"/>
          <w:color w:val="000000" w:themeColor="text1"/>
          <w:sz w:val="24"/>
          <w:szCs w:val="24"/>
          <w:highlight w:val="none"/>
          <w14:textFill>
            <w14:solidFill>
              <w14:schemeClr w14:val="tx1"/>
            </w14:solidFill>
          </w14:textFill>
        </w:rPr>
        <w:t>》规定的投标人条件。若贵方在本项目采购过程中发现我方政府采购活动前三年内有重大违法记录，我</w:t>
      </w:r>
      <w:r>
        <w:rPr>
          <w:rFonts w:hint="eastAsia" w:ascii="宋体" w:hAnsi="宋体" w:eastAsia="宋体" w:cs="宋体"/>
          <w:color w:val="000000" w:themeColor="text1"/>
          <w:sz w:val="24"/>
          <w:szCs w:val="24"/>
          <w:highlight w:val="none"/>
          <w:lang w:val="en-US" w:eastAsia="zh-CN"/>
          <w14:textFill>
            <w14:solidFill>
              <w14:schemeClr w14:val="tx1"/>
            </w14:solidFill>
          </w14:textFill>
        </w:rPr>
        <w:t>方</w:t>
      </w:r>
      <w:r>
        <w:rPr>
          <w:rFonts w:hint="eastAsia" w:ascii="宋体" w:hAnsi="宋体" w:eastAsia="宋体" w:cs="宋体"/>
          <w:color w:val="000000" w:themeColor="text1"/>
          <w:sz w:val="24"/>
          <w:szCs w:val="24"/>
          <w:highlight w:val="none"/>
          <w14:textFill>
            <w14:solidFill>
              <w14:schemeClr w14:val="tx1"/>
            </w14:solidFill>
          </w14:textFill>
        </w:rPr>
        <w:t>将无条件退出本项目的投标，并承担因此引起的一切后果。我方对此声明负全部法律责任。</w:t>
      </w:r>
    </w:p>
    <w:p>
      <w:pPr>
        <w:pStyle w:val="197"/>
        <w:adjustRightInd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特此声明  </w:t>
      </w:r>
    </w:p>
    <w:p>
      <w:pPr>
        <w:pStyle w:val="197"/>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投标人（盖单位章）：</w:t>
      </w:r>
    </w:p>
    <w:p>
      <w:pPr>
        <w:pStyle w:val="197"/>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法定代表人或授权代表（签字或加盖印鉴）：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Style w:val="5"/>
        <w:snapToGrid w:val="0"/>
        <w:spacing w:line="400" w:lineRule="exact"/>
        <w:ind w:firstLine="0"/>
        <w:rPr>
          <w:rFonts w:hint="eastAsia" w:ascii="宋体" w:hAnsi="宋体" w:eastAsia="宋体" w:cs="宋体"/>
          <w:color w:val="000000" w:themeColor="text1"/>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color w:val="000000" w:themeColor="text1"/>
          <w:sz w:val="24"/>
          <w:szCs w:val="24"/>
          <w:highlight w:val="none"/>
          <w14:textFill>
            <w14:solidFill>
              <w14:schemeClr w14:val="tx1"/>
            </w14:solidFill>
          </w14:textFill>
        </w:rPr>
        <w:t>、拒绝列入失信被执行人、重大税收违法案件当事人名单、政府采购严重违法失信行为记录名单及及其他不符合规定条件的投标人；投标人未被列入“信用中国”网站(www.creditchina.gov.cn)“记录失信被执行人或重大 税收违法案件当事人名单或政府采购严重违法失信行为”记录名单；未处于中国政府采购 网(www.ccgp.gov.cn)“政府采购严重违法失信行为信息记录”中的禁止参加政府采购活动期间，如相关失信记录已失效，投标人需提供相关证明资料）。</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color w:val="000000" w:themeColor="text1"/>
          <w:sz w:val="24"/>
          <w:szCs w:val="24"/>
          <w:highlight w:val="none"/>
          <w14:textFill>
            <w14:solidFill>
              <w14:schemeClr w14:val="tx1"/>
            </w14:solidFill>
          </w14:textFill>
        </w:rPr>
        <w:t>、20</w:t>
      </w:r>
      <w:r>
        <w:rPr>
          <w:rFonts w:hint="eastAsia" w:ascii="宋体" w:hAnsi="宋体" w:eastAsia="宋体" w:cs="宋体"/>
          <w:b/>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color w:val="000000" w:themeColor="text1"/>
          <w:sz w:val="24"/>
          <w:szCs w:val="24"/>
          <w:highlight w:val="none"/>
          <w14:textFill>
            <w14:solidFill>
              <w14:schemeClr w14:val="tx1"/>
            </w14:solidFill>
          </w14:textFill>
        </w:rPr>
        <w:t>年</w:t>
      </w:r>
      <w:r>
        <w:rPr>
          <w:rFonts w:hint="eastAsia" w:ascii="宋体" w:hAnsi="宋体" w:cs="宋体"/>
          <w:b/>
          <w:color w:val="000000" w:themeColor="text1"/>
          <w:sz w:val="24"/>
          <w:szCs w:val="24"/>
          <w:highlight w:val="none"/>
          <w:lang w:val="en-US" w:eastAsia="zh-CN"/>
          <w14:textFill>
            <w14:solidFill>
              <w14:schemeClr w14:val="tx1"/>
            </w14:solidFill>
          </w14:textFill>
        </w:rPr>
        <w:t>07</w:t>
      </w:r>
      <w:r>
        <w:rPr>
          <w:rFonts w:hint="eastAsia" w:ascii="宋体" w:hAnsi="宋体" w:eastAsia="宋体" w:cs="宋体"/>
          <w:b/>
          <w:color w:val="000000" w:themeColor="text1"/>
          <w:sz w:val="24"/>
          <w:szCs w:val="24"/>
          <w:highlight w:val="none"/>
          <w14:textFill>
            <w14:solidFill>
              <w14:schemeClr w14:val="tx1"/>
            </w14:solidFill>
          </w14:textFill>
        </w:rPr>
        <w:t>月</w:t>
      </w:r>
      <w:r>
        <w:rPr>
          <w:rFonts w:hint="eastAsia" w:ascii="宋体" w:hAnsi="宋体" w:eastAsia="宋体" w:cs="宋体"/>
          <w:b/>
          <w:color w:val="000000" w:themeColor="text1"/>
          <w:sz w:val="24"/>
          <w:szCs w:val="24"/>
          <w:highlight w:val="none"/>
          <w:lang w:val="en-US" w:eastAsia="zh-CN"/>
          <w14:textFill>
            <w14:solidFill>
              <w14:schemeClr w14:val="tx1"/>
            </w14:solidFill>
          </w14:textFill>
        </w:rPr>
        <w:t>01</w:t>
      </w:r>
      <w:r>
        <w:rPr>
          <w:rFonts w:hint="eastAsia" w:ascii="宋体" w:hAnsi="宋体" w:eastAsia="宋体" w:cs="宋体"/>
          <w:b/>
          <w:color w:val="000000" w:themeColor="text1"/>
          <w:sz w:val="24"/>
          <w:szCs w:val="24"/>
          <w:highlight w:val="none"/>
          <w14:textFill>
            <w14:solidFill>
              <w14:schemeClr w14:val="tx1"/>
            </w14:solidFill>
          </w14:textFill>
        </w:rPr>
        <w:t>日以来</w:t>
      </w:r>
      <w:r>
        <w:rPr>
          <w:rFonts w:hint="eastAsia" w:ascii="宋体" w:hAnsi="宋体" w:eastAsia="宋体" w:cs="宋体"/>
          <w:b/>
          <w:color w:val="000000" w:themeColor="text1"/>
          <w:sz w:val="24"/>
          <w:szCs w:val="24"/>
          <w:highlight w:val="none"/>
          <w:lang w:val="en-US" w:eastAsia="zh-CN"/>
          <w14:textFill>
            <w14:solidFill>
              <w14:schemeClr w14:val="tx1"/>
            </w14:solidFill>
          </w14:textFill>
        </w:rPr>
        <w:t>类似</w:t>
      </w:r>
      <w:r>
        <w:rPr>
          <w:rFonts w:hint="eastAsia" w:ascii="宋体" w:hAnsi="宋体" w:eastAsia="宋体" w:cs="宋体"/>
          <w:b/>
          <w:color w:val="000000" w:themeColor="text1"/>
          <w:sz w:val="24"/>
          <w:szCs w:val="24"/>
          <w:highlight w:val="none"/>
          <w14:textFill>
            <w14:solidFill>
              <w14:schemeClr w14:val="tx1"/>
            </w14:solidFill>
          </w14:textFill>
        </w:rPr>
        <w:t>业绩</w:t>
      </w:r>
    </w:p>
    <w:p>
      <w:pPr>
        <w:adjustRightInd w:val="0"/>
        <w:snapToGrid w:val="0"/>
        <w:spacing w:line="400" w:lineRule="exact"/>
        <w:ind w:firstLine="470" w:firstLineChars="19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以签订合同时间为准，需提供与合同</w:t>
      </w:r>
      <w:r>
        <w:rPr>
          <w:rFonts w:hint="eastAsia" w:ascii="宋体" w:hAnsi="宋体" w:cs="宋体"/>
          <w:color w:val="000000" w:themeColor="text1"/>
          <w:sz w:val="24"/>
          <w:szCs w:val="24"/>
          <w:highlight w:val="none"/>
          <w:lang w:eastAsia="zh-CN"/>
          <w14:textFill>
            <w14:solidFill>
              <w14:schemeClr w14:val="tx1"/>
            </w14:solidFill>
          </w14:textFill>
        </w:rPr>
        <w:t>或</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lang w:val="en-US" w:eastAsia="zh-CN"/>
          <w14:textFill>
            <w14:solidFill>
              <w14:schemeClr w14:val="tx1"/>
            </w14:solidFill>
          </w14:textFill>
        </w:rPr>
        <w:t>通知书</w:t>
      </w:r>
      <w:r>
        <w:rPr>
          <w:rFonts w:hint="eastAsia" w:ascii="宋体" w:hAnsi="宋体" w:eastAsia="宋体" w:cs="宋体"/>
          <w:color w:val="000000" w:themeColor="text1"/>
          <w:sz w:val="24"/>
          <w:szCs w:val="24"/>
          <w:highlight w:val="none"/>
          <w14:textFill>
            <w14:solidFill>
              <w14:schemeClr w14:val="tx1"/>
            </w14:solidFill>
          </w14:textFill>
        </w:rPr>
        <w:t>，复印件并加盖公章，如出现与事实不符等情况，将根据有关规定以“提供虚假材料谋取中标”予以处罚。</w:t>
      </w:r>
    </w:p>
    <w:p>
      <w:pPr>
        <w:adjustRightInd w:val="0"/>
        <w:snapToGrid w:val="0"/>
        <w:spacing w:line="400" w:lineRule="exact"/>
        <w:ind w:firstLine="470" w:firstLineChars="196"/>
        <w:jc w:val="left"/>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b/>
          <w:color w:val="000000" w:themeColor="text1"/>
          <w:sz w:val="24"/>
          <w:szCs w:val="24"/>
          <w:highlight w:val="none"/>
          <w14:textFill>
            <w14:solidFill>
              <w14:schemeClr w14:val="tx1"/>
            </w14:solidFill>
          </w14:textFill>
        </w:rPr>
        <w:t>、投标人情况介绍格式：</w:t>
      </w:r>
    </w:p>
    <w:p>
      <w:pPr>
        <w:adjustRightInd w:val="0"/>
        <w:snapToGrid w:val="0"/>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投标人情况</w:t>
      </w:r>
    </w:p>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投标人名称:                                                   </w:t>
      </w:r>
    </w:p>
    <w:tbl>
      <w:tblPr>
        <w:tblStyle w:val="37"/>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053"/>
        <w:gridCol w:w="1469"/>
        <w:gridCol w:w="854"/>
        <w:gridCol w:w="1453"/>
        <w:gridCol w:w="76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w:t>
            </w:r>
          </w:p>
        </w:tc>
        <w:tc>
          <w:tcPr>
            <w:tcW w:w="6994" w:type="dxa"/>
            <w:gridSpan w:val="6"/>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注册地址</w:t>
            </w:r>
          </w:p>
        </w:tc>
        <w:tc>
          <w:tcPr>
            <w:tcW w:w="3376" w:type="dxa"/>
            <w:gridSpan w:val="3"/>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1453"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w:t>
            </w: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Merge w:val="restart"/>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p>
        </w:tc>
        <w:tc>
          <w:tcPr>
            <w:tcW w:w="1053"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tc>
        <w:tc>
          <w:tcPr>
            <w:tcW w:w="2323"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1453"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Merge w:val="continue"/>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1053"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 真</w:t>
            </w:r>
          </w:p>
        </w:tc>
        <w:tc>
          <w:tcPr>
            <w:tcW w:w="2323"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1453"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网址</w:t>
            </w: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tc>
        <w:tc>
          <w:tcPr>
            <w:tcW w:w="1053"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469"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854"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职称</w:t>
            </w:r>
          </w:p>
        </w:tc>
        <w:tc>
          <w:tcPr>
            <w:tcW w:w="1453"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765"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1400"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企业负责人</w:t>
            </w:r>
          </w:p>
        </w:tc>
        <w:tc>
          <w:tcPr>
            <w:tcW w:w="1053"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469"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854"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职称</w:t>
            </w:r>
          </w:p>
        </w:tc>
        <w:tc>
          <w:tcPr>
            <w:tcW w:w="1453"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765"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1400"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技术负责人</w:t>
            </w:r>
          </w:p>
        </w:tc>
        <w:tc>
          <w:tcPr>
            <w:tcW w:w="1053"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469"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854"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职称</w:t>
            </w:r>
          </w:p>
        </w:tc>
        <w:tc>
          <w:tcPr>
            <w:tcW w:w="1453"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765"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1400"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企业资质</w:t>
            </w:r>
          </w:p>
        </w:tc>
        <w:tc>
          <w:tcPr>
            <w:tcW w:w="2522"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2307" w:type="dxa"/>
            <w:gridSpan w:val="2"/>
            <w:vAlign w:val="center"/>
          </w:tcPr>
          <w:p>
            <w:pPr>
              <w:pStyle w:val="184"/>
              <w:numPr>
                <w:ilvl w:val="0"/>
                <w:numId w:val="0"/>
              </w:numPr>
              <w:spacing w:line="400" w:lineRule="exact"/>
              <w:ind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营业执照号</w:t>
            </w: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资信等级</w:t>
            </w:r>
          </w:p>
        </w:tc>
        <w:tc>
          <w:tcPr>
            <w:tcW w:w="6994" w:type="dxa"/>
            <w:gridSpan w:val="6"/>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环境管理体系认证</w:t>
            </w:r>
          </w:p>
        </w:tc>
        <w:tc>
          <w:tcPr>
            <w:tcW w:w="2522"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2307" w:type="dxa"/>
            <w:gridSpan w:val="2"/>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职业安全健康管理体系认证</w:t>
            </w: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注册资金</w:t>
            </w:r>
          </w:p>
        </w:tc>
        <w:tc>
          <w:tcPr>
            <w:tcW w:w="2522"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万元</w:t>
            </w:r>
          </w:p>
        </w:tc>
        <w:tc>
          <w:tcPr>
            <w:tcW w:w="2307" w:type="dxa"/>
            <w:gridSpan w:val="2"/>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固定资产净值</w:t>
            </w: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流动资产</w:t>
            </w:r>
          </w:p>
        </w:tc>
        <w:tc>
          <w:tcPr>
            <w:tcW w:w="2522"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万元</w:t>
            </w:r>
          </w:p>
        </w:tc>
        <w:tc>
          <w:tcPr>
            <w:tcW w:w="2307"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p>
        </w:tc>
        <w:tc>
          <w:tcPr>
            <w:tcW w:w="2522"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2307" w:type="dxa"/>
            <w:gridSpan w:val="2"/>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帐号</w:t>
            </w: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8652" w:type="dxa"/>
            <w:gridSpan w:val="7"/>
            <w:vAlign w:val="center"/>
          </w:tcPr>
          <w:p>
            <w:pPr>
              <w:pStyle w:val="184"/>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总人数人，其中：具有高级职称的人，中级职称的人。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658" w:type="dxa"/>
            <w:vAlign w:val="center"/>
          </w:tcPr>
          <w:p>
            <w:pPr>
              <w:pStyle w:val="184"/>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经营范围</w:t>
            </w:r>
          </w:p>
        </w:tc>
        <w:tc>
          <w:tcPr>
            <w:tcW w:w="6994" w:type="dxa"/>
            <w:gridSpan w:val="6"/>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58" w:type="dxa"/>
            <w:vAlign w:val="center"/>
          </w:tcPr>
          <w:p>
            <w:pPr>
              <w:pStyle w:val="184"/>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资质范围</w:t>
            </w:r>
          </w:p>
        </w:tc>
        <w:tc>
          <w:tcPr>
            <w:tcW w:w="6994" w:type="dxa"/>
            <w:gridSpan w:val="6"/>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58" w:type="dxa"/>
            <w:vAlign w:val="center"/>
          </w:tcPr>
          <w:p>
            <w:pPr>
              <w:pStyle w:val="184"/>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  注</w:t>
            </w:r>
          </w:p>
        </w:tc>
        <w:tc>
          <w:tcPr>
            <w:tcW w:w="6994" w:type="dxa"/>
            <w:gridSpan w:val="6"/>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bl>
    <w:p>
      <w:pPr>
        <w:adjustRightInd w:val="0"/>
        <w:snapToGrid w:val="0"/>
        <w:spacing w:line="40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auto"/>
          <w:sz w:val="24"/>
          <w:szCs w:val="24"/>
          <w:highlight w:val="none"/>
          <w:lang w:val="en-US" w:eastAsia="zh-CN"/>
        </w:rPr>
        <w:t>附：</w:t>
      </w:r>
      <w:r>
        <w:rPr>
          <w:rFonts w:hint="eastAsia" w:ascii="宋体" w:hAnsi="宋体" w:eastAsia="宋体" w:cs="宋体"/>
          <w:b/>
          <w:color w:val="auto"/>
          <w:sz w:val="24"/>
          <w:szCs w:val="24"/>
          <w:highlight w:val="none"/>
        </w:rPr>
        <w:t>有效的营业执照</w:t>
      </w:r>
      <w:r>
        <w:rPr>
          <w:rFonts w:hint="eastAsia" w:ascii="宋体" w:hAnsi="宋体" w:eastAsia="宋体" w:cs="宋体"/>
          <w:b/>
          <w:color w:val="auto"/>
          <w:sz w:val="24"/>
          <w:szCs w:val="24"/>
          <w:highlight w:val="none"/>
          <w:lang w:eastAsia="zh-CN"/>
        </w:rPr>
        <w:t>，投标人已取得的各种有效认证证书、政府部门（企业）或第三方权威鉴定机构出具的信用等级证书或证明复印件(如有)。</w:t>
      </w: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投标人名称（盖章）：</w:t>
      </w: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法定代表人或授权代表（签字或加盖印鉴）：</w:t>
      </w:r>
    </w:p>
    <w:p>
      <w:pPr>
        <w:adjustRightInd w:val="0"/>
        <w:snapToGrid w:val="0"/>
        <w:spacing w:line="400" w:lineRule="exact"/>
        <w:ind w:left="-2" w:leftChars="-1" w:right="-817" w:rightChars="-389" w:firstLine="2"/>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color w:val="000000" w:themeColor="text1"/>
          <w:sz w:val="24"/>
          <w:szCs w:val="24"/>
          <w:highlight w:val="none"/>
          <w14:textFill>
            <w14:solidFill>
              <w14:schemeClr w14:val="tx1"/>
            </w14:solidFill>
          </w14:textFill>
        </w:rPr>
        <w:t>、政府采购政策扶持证明材料</w:t>
      </w:r>
    </w:p>
    <w:p>
      <w:pPr>
        <w:widowControl/>
        <w:snapToGrid w:val="0"/>
        <w:spacing w:before="240" w:after="240" w:line="400" w:lineRule="exact"/>
        <w:jc w:val="cente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中小企业声明函（货物）</w:t>
      </w:r>
    </w:p>
    <w:p>
      <w:pPr>
        <w:widowControl/>
        <w:snapToGrid w:val="0"/>
        <w:spacing w:before="75" w:after="75" w:line="40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本公司（联合体）郑重声明，根据</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关于</w:t>
      </w:r>
      <w:r>
        <w:rPr>
          <w:rFonts w:hint="eastAsia" w:ascii="宋体" w:hAnsi="宋体" w:eastAsia="宋体" w:cs="宋体"/>
          <w:color w:val="000000" w:themeColor="text1"/>
          <w:kern w:val="0"/>
          <w:sz w:val="24"/>
          <w:szCs w:val="24"/>
          <w:highlight w:val="none"/>
          <w14:textFill>
            <w14:solidFill>
              <w14:schemeClr w14:val="tx1"/>
            </w14:solidFill>
          </w14:textFill>
        </w:rPr>
        <w:t>《政府采购促进中小企业发展管理办法》</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的通知</w:t>
      </w:r>
      <w:r>
        <w:rPr>
          <w:rFonts w:hint="eastAsia" w:ascii="宋体" w:hAnsi="宋体" w:eastAsia="宋体" w:cs="宋体"/>
          <w:color w:val="000000" w:themeColor="text1"/>
          <w:kern w:val="0"/>
          <w:sz w:val="24"/>
          <w:szCs w:val="24"/>
          <w:highlight w:val="none"/>
          <w14:textFill>
            <w14:solidFill>
              <w14:schemeClr w14:val="tx1"/>
            </w14:solidFill>
          </w14:textFill>
        </w:rPr>
        <w:t>（财库〔2020〕46号）的规定，本公司（联合体）</w:t>
      </w:r>
      <w:r>
        <w:rPr>
          <w:rFonts w:hint="eastAsia" w:ascii="宋体" w:hAnsi="宋体" w:eastAsia="宋体" w:cs="宋体"/>
          <w:i w:val="0"/>
          <w:iCs w:val="0"/>
          <w:color w:val="000000" w:themeColor="text1"/>
          <w:kern w:val="0"/>
          <w:sz w:val="24"/>
          <w:szCs w:val="24"/>
          <w:highlight w:val="none"/>
          <w14:textFill>
            <w14:solidFill>
              <w14:schemeClr w14:val="tx1"/>
            </w14:solidFill>
          </w14:textFill>
        </w:rPr>
        <w:t>参加</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（单位名称）</w:t>
      </w:r>
      <w:r>
        <w:rPr>
          <w:rFonts w:hint="eastAsia" w:ascii="宋体" w:hAnsi="宋体" w:eastAsia="宋体" w:cs="宋体"/>
          <w:i w:val="0"/>
          <w:iCs w:val="0"/>
          <w:color w:val="000000" w:themeColor="text1"/>
          <w:kern w:val="0"/>
          <w:sz w:val="24"/>
          <w:szCs w:val="24"/>
          <w:highlight w:val="none"/>
          <w14:textFill>
            <w14:solidFill>
              <w14:schemeClr w14:val="tx1"/>
            </w14:solidFill>
          </w14:textFill>
        </w:rPr>
        <w:t>的</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（项目名称）</w:t>
      </w:r>
      <w:r>
        <w:rPr>
          <w:rFonts w:hint="eastAsia" w:ascii="宋体" w:hAnsi="宋体" w:eastAsia="宋体" w:cs="宋体"/>
          <w:color w:val="000000" w:themeColor="text1"/>
          <w:kern w:val="0"/>
          <w:sz w:val="24"/>
          <w:szCs w:val="24"/>
          <w:highlight w:val="none"/>
          <w14:textFill>
            <w14:solidFill>
              <w14:schemeClr w14:val="tx1"/>
            </w14:solidFill>
          </w14:textFill>
        </w:rPr>
        <w:t>采购活动，提供的货物全部由符合政策要求的中小企业制造。相关企业（含</w:t>
      </w:r>
      <w:r>
        <w:rPr>
          <w:rFonts w:hint="eastAsia" w:ascii="宋体" w:hAnsi="宋体" w:eastAsia="宋体" w:cs="宋体"/>
          <w:i w:val="0"/>
          <w:iCs w:val="0"/>
          <w:color w:val="000000" w:themeColor="text1"/>
          <w:kern w:val="0"/>
          <w:sz w:val="24"/>
          <w:szCs w:val="24"/>
          <w:highlight w:val="none"/>
          <w14:textFill>
            <w14:solidFill>
              <w14:schemeClr w14:val="tx1"/>
            </w14:solidFill>
          </w14:textFill>
        </w:rPr>
        <w:t>联合体中的中小企业、签订分包意向协议的中小企业）的具体情况如下：</w:t>
      </w:r>
    </w:p>
    <w:p>
      <w:pPr>
        <w:widowControl/>
        <w:snapToGrid w:val="0"/>
        <w:spacing w:before="75" w:after="75" w:line="40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1.</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（标的名称）</w:t>
      </w:r>
      <w:r>
        <w:rPr>
          <w:rFonts w:hint="eastAsia" w:ascii="宋体" w:hAnsi="宋体" w:eastAsia="宋体" w:cs="宋体"/>
          <w:i w:val="0"/>
          <w:iCs w:val="0"/>
          <w:color w:val="000000" w:themeColor="text1"/>
          <w:kern w:val="0"/>
          <w:sz w:val="24"/>
          <w:szCs w:val="24"/>
          <w:highlight w:val="none"/>
          <w14:textFill>
            <w14:solidFill>
              <w14:schemeClr w14:val="tx1"/>
            </w14:solidFill>
          </w14:textFill>
        </w:rPr>
        <w:t>，属于</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single"/>
          <w:lang w:eastAsia="zh-CN"/>
          <w14:textFill>
            <w14:solidFill>
              <w14:schemeClr w14:val="tx1"/>
            </w14:solidFill>
          </w14:textFill>
        </w:rPr>
        <w:t>招标文件</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中明确的所属行业）</w:t>
      </w:r>
      <w:r>
        <w:rPr>
          <w:rFonts w:hint="eastAsia" w:ascii="宋体" w:hAnsi="宋体" w:eastAsia="宋体" w:cs="宋体"/>
          <w:i w:val="0"/>
          <w:iCs w:val="0"/>
          <w:color w:val="000000" w:themeColor="text1"/>
          <w:kern w:val="0"/>
          <w:sz w:val="24"/>
          <w:szCs w:val="24"/>
          <w:highlight w:val="none"/>
          <w14:textFill>
            <w14:solidFill>
              <w14:schemeClr w14:val="tx1"/>
            </w14:solidFill>
          </w14:textFill>
        </w:rPr>
        <w:t>；制造商为</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（企业名称）</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，从业人员</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人，营业收入为</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万元，资产总额为</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万元，属于</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（中型企业、小型企业、微型企业）</w:t>
      </w:r>
      <w:r>
        <w:rPr>
          <w:rFonts w:hint="eastAsia" w:ascii="宋体" w:hAnsi="宋体" w:eastAsia="宋体" w:cs="宋体"/>
          <w:i w:val="0"/>
          <w:iCs w:val="0"/>
          <w:color w:val="000000" w:themeColor="text1"/>
          <w:kern w:val="0"/>
          <w:sz w:val="24"/>
          <w:szCs w:val="24"/>
          <w:highlight w:val="none"/>
          <w14:textFill>
            <w14:solidFill>
              <w14:schemeClr w14:val="tx1"/>
            </w14:solidFill>
          </w14:textFill>
        </w:rPr>
        <w:t>；</w:t>
      </w:r>
    </w:p>
    <w:p>
      <w:pPr>
        <w:widowControl/>
        <w:snapToGrid w:val="0"/>
        <w:spacing w:before="75" w:after="75" w:line="40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（标的名称）</w:t>
      </w:r>
      <w:r>
        <w:rPr>
          <w:rFonts w:hint="eastAsia" w:ascii="宋体" w:hAnsi="宋体" w:eastAsia="宋体" w:cs="宋体"/>
          <w:i w:val="0"/>
          <w:iCs w:val="0"/>
          <w:color w:val="000000" w:themeColor="text1"/>
          <w:kern w:val="0"/>
          <w:sz w:val="24"/>
          <w:szCs w:val="24"/>
          <w:highlight w:val="none"/>
          <w14:textFill>
            <w14:solidFill>
              <w14:schemeClr w14:val="tx1"/>
            </w14:solidFill>
          </w14:textFill>
        </w:rPr>
        <w:t>，属于</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single"/>
          <w:lang w:eastAsia="zh-CN"/>
          <w14:textFill>
            <w14:solidFill>
              <w14:schemeClr w14:val="tx1"/>
            </w14:solidFill>
          </w14:textFill>
        </w:rPr>
        <w:t>招标文件</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中明确的所属行业）</w:t>
      </w:r>
      <w:r>
        <w:rPr>
          <w:rFonts w:hint="eastAsia" w:ascii="宋体" w:hAnsi="宋体" w:eastAsia="宋体" w:cs="宋体"/>
          <w:i w:val="0"/>
          <w:iCs w:val="0"/>
          <w:color w:val="000000" w:themeColor="text1"/>
          <w:kern w:val="0"/>
          <w:sz w:val="24"/>
          <w:szCs w:val="24"/>
          <w:highlight w:val="none"/>
          <w14:textFill>
            <w14:solidFill>
              <w14:schemeClr w14:val="tx1"/>
            </w14:solidFill>
          </w14:textFill>
        </w:rPr>
        <w:t>；制造商为</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（企业名称）</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，从业人员</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人，营业收入为</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万元，资产总额为</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万元，属于</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（中型企业、小型企业、微型企业）</w:t>
      </w:r>
      <w:r>
        <w:rPr>
          <w:rFonts w:hint="eastAsia" w:ascii="宋体" w:hAnsi="宋体" w:eastAsia="宋体" w:cs="宋体"/>
          <w:i w:val="0"/>
          <w:iCs w:val="0"/>
          <w:color w:val="000000" w:themeColor="text1"/>
          <w:kern w:val="0"/>
          <w:sz w:val="24"/>
          <w:szCs w:val="24"/>
          <w:highlight w:val="none"/>
          <w14:textFill>
            <w14:solidFill>
              <w14:schemeClr w14:val="tx1"/>
            </w14:solidFill>
          </w14:textFill>
        </w:rPr>
        <w:t>；</w:t>
      </w:r>
    </w:p>
    <w:p>
      <w:pPr>
        <w:widowControl/>
        <w:snapToGrid w:val="0"/>
        <w:spacing w:before="75" w:after="75" w:line="40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w:t>
      </w:r>
    </w:p>
    <w:p>
      <w:pPr>
        <w:widowControl/>
        <w:snapToGrid w:val="0"/>
        <w:spacing w:before="75" w:after="75" w:line="40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本企业对上述声明内容的真实性负责。如有虚假，将依法承担相应责任。</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p>
    <w:p>
      <w:pPr>
        <w:widowControl/>
        <w:snapToGrid w:val="0"/>
        <w:spacing w:before="75" w:after="75" w:line="400" w:lineRule="exact"/>
        <w:ind w:firstLine="4677" w:firstLineChars="194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企业名称（盖章）：</w:t>
      </w:r>
    </w:p>
    <w:p>
      <w:pPr>
        <w:pStyle w:val="21"/>
        <w:snapToGrid w:val="0"/>
        <w:spacing w:before="156" w:after="156"/>
        <w:ind w:firstLine="4305" w:firstLineChars="20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日期：</w:t>
      </w:r>
    </w:p>
    <w:p>
      <w:pPr>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注：小型、微型企业资格证明文件</w:t>
      </w:r>
    </w:p>
    <w:p>
      <w:pPr>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中小企业参加政府采购活动，应当出具本办法规定的《中小企业声明函》（附1），否则不得享受相关中小企业扶持政策。任何单位和个人不得要求</w:t>
      </w:r>
      <w:r>
        <w:rPr>
          <w:rFonts w:hint="eastAsia" w:ascii="宋体" w:hAnsi="宋体" w:eastAsia="宋体" w:cs="宋体"/>
          <w:color w:val="000000" w:themeColor="text1"/>
          <w:sz w:val="24"/>
          <w:highlight w:val="none"/>
          <w:lang w:eastAsia="zh-CN"/>
          <w14:textFill>
            <w14:solidFill>
              <w14:schemeClr w14:val="tx1"/>
            </w14:solidFill>
          </w14:textFill>
        </w:rPr>
        <w:t>投标单位</w:t>
      </w:r>
      <w:r>
        <w:rPr>
          <w:rFonts w:hint="eastAsia" w:ascii="宋体" w:hAnsi="宋体" w:eastAsia="宋体" w:cs="宋体"/>
          <w:color w:val="000000" w:themeColor="text1"/>
          <w:sz w:val="24"/>
          <w:highlight w:val="none"/>
          <w14:textFill>
            <w14:solidFill>
              <w14:schemeClr w14:val="tx1"/>
            </w14:solidFill>
          </w14:textFill>
        </w:rPr>
        <w:t>提供《中小企业声明函》之外的中小企业身份证明文件。</w:t>
      </w:r>
    </w:p>
    <w:p>
      <w:pPr>
        <w:tabs>
          <w:tab w:val="left" w:pos="3777"/>
          <w:tab w:val="center" w:pos="4819"/>
        </w:tabs>
        <w:snapToGrid w:val="0"/>
        <w:spacing w:line="400" w:lineRule="exact"/>
        <w:ind w:firstLine="3337" w:firstLineChars="1385"/>
        <w:rPr>
          <w:rFonts w:hint="eastAsia" w:ascii="宋体" w:hAnsi="宋体" w:eastAsia="宋体" w:cs="宋体"/>
          <w:b/>
          <w:color w:val="000000" w:themeColor="text1"/>
          <w:sz w:val="24"/>
          <w:szCs w:val="24"/>
          <w:highlight w:val="none"/>
          <w14:textFill>
            <w14:solidFill>
              <w14:schemeClr w14:val="tx1"/>
            </w14:solidFill>
          </w14:textFill>
        </w:rPr>
      </w:pPr>
    </w:p>
    <w:p>
      <w:pPr>
        <w:tabs>
          <w:tab w:val="left" w:pos="3777"/>
          <w:tab w:val="center" w:pos="4819"/>
        </w:tabs>
        <w:snapToGrid w:val="0"/>
        <w:spacing w:line="400" w:lineRule="exact"/>
        <w:ind w:firstLine="3337" w:firstLineChars="1385"/>
        <w:rPr>
          <w:rFonts w:hint="eastAsia" w:ascii="宋体" w:hAnsi="宋体" w:eastAsia="宋体" w:cs="宋体"/>
          <w:b/>
          <w:color w:val="000000" w:themeColor="text1"/>
          <w:sz w:val="24"/>
          <w:szCs w:val="24"/>
          <w:highlight w:val="none"/>
          <w14:textFill>
            <w14:solidFill>
              <w14:schemeClr w14:val="tx1"/>
            </w14:solidFill>
          </w14:textFill>
        </w:rPr>
      </w:pPr>
    </w:p>
    <w:p>
      <w:pPr>
        <w:tabs>
          <w:tab w:val="left" w:pos="3777"/>
          <w:tab w:val="center" w:pos="4819"/>
        </w:tabs>
        <w:snapToGrid w:val="0"/>
        <w:spacing w:line="400" w:lineRule="exact"/>
        <w:ind w:firstLine="3337" w:firstLineChars="1385"/>
        <w:rPr>
          <w:rFonts w:hint="eastAsia" w:ascii="宋体" w:hAnsi="宋体" w:eastAsia="宋体" w:cs="宋体"/>
          <w:b/>
          <w:color w:val="000000" w:themeColor="text1"/>
          <w:sz w:val="24"/>
          <w:szCs w:val="24"/>
          <w:highlight w:val="none"/>
          <w14:textFill>
            <w14:solidFill>
              <w14:schemeClr w14:val="tx1"/>
            </w14:solidFill>
          </w14:textFill>
        </w:rPr>
      </w:pPr>
    </w:p>
    <w:p>
      <w:pPr>
        <w:tabs>
          <w:tab w:val="left" w:pos="3777"/>
          <w:tab w:val="center" w:pos="4819"/>
        </w:tabs>
        <w:snapToGrid w:val="0"/>
        <w:spacing w:line="400" w:lineRule="exact"/>
        <w:ind w:firstLine="3337" w:firstLineChars="1385"/>
        <w:rPr>
          <w:rFonts w:hint="eastAsia" w:ascii="宋体" w:hAnsi="宋体" w:eastAsia="宋体" w:cs="宋体"/>
          <w:b/>
          <w:color w:val="000000" w:themeColor="text1"/>
          <w:sz w:val="24"/>
          <w:szCs w:val="24"/>
          <w:highlight w:val="none"/>
          <w14:textFill>
            <w14:solidFill>
              <w14:schemeClr w14:val="tx1"/>
            </w14:solidFill>
          </w14:textFill>
        </w:rPr>
      </w:pPr>
    </w:p>
    <w:p>
      <w:pPr>
        <w:tabs>
          <w:tab w:val="left" w:pos="3777"/>
          <w:tab w:val="center" w:pos="4819"/>
        </w:tabs>
        <w:snapToGrid w:val="0"/>
        <w:spacing w:line="400" w:lineRule="exact"/>
        <w:ind w:firstLine="3337" w:firstLineChars="1385"/>
        <w:rPr>
          <w:rFonts w:hint="eastAsia" w:ascii="宋体" w:hAnsi="宋体" w:eastAsia="宋体" w:cs="宋体"/>
          <w:b/>
          <w:color w:val="000000" w:themeColor="text1"/>
          <w:sz w:val="24"/>
          <w:szCs w:val="24"/>
          <w:highlight w:val="none"/>
          <w14:textFill>
            <w14:solidFill>
              <w14:schemeClr w14:val="tx1"/>
            </w14:solidFill>
          </w14:textFill>
        </w:rPr>
      </w:pPr>
    </w:p>
    <w:p>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pPr>
        <w:tabs>
          <w:tab w:val="left" w:pos="3777"/>
          <w:tab w:val="center" w:pos="4819"/>
        </w:tabs>
        <w:snapToGrid w:val="0"/>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监狱企业声明函</w:t>
      </w:r>
    </w:p>
    <w:p>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（监狱企业适用）</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本公司郑重声明，根据《</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财政部、司法部</w:t>
      </w:r>
      <w:r>
        <w:rPr>
          <w:rFonts w:hint="eastAsia" w:ascii="宋体" w:hAnsi="宋体" w:eastAsia="宋体" w:cs="宋体"/>
          <w:color w:val="000000" w:themeColor="text1"/>
          <w:kern w:val="0"/>
          <w:sz w:val="24"/>
          <w:szCs w:val="24"/>
          <w:highlight w:val="none"/>
          <w14:textFill>
            <w14:solidFill>
              <w14:schemeClr w14:val="tx1"/>
            </w14:solidFill>
          </w14:textFill>
        </w:rPr>
        <w:t>关于政府采购支持监狱企业发展有关问题的通知》（财库[2014]68号）的规定，本公司为监狱企业。</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本公司参加______单位的______项目采购活动，采购活动提供本企业（填写制造的货物，由本企业承担工程、提供服务）。</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本条所称货物不包括使用大型企业注册商标的货物和服务。</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val="0"/>
        <w:spacing w:line="400" w:lineRule="exact"/>
        <w:ind w:firstLine="4860" w:firstLineChars="2025"/>
        <w:textAlignment w:val="auto"/>
        <w:rPr>
          <w:rFonts w:hint="eastAsia" w:ascii="宋体" w:hAnsi="宋体" w:eastAsia="宋体" w:cs="宋体"/>
          <w:color w:val="000000" w:themeColor="text1"/>
          <w:sz w:val="24"/>
          <w:highlight w:val="none"/>
          <w14:textFill>
            <w14:solidFill>
              <w14:schemeClr w14:val="tx1"/>
            </w14:solidFill>
          </w14:textFill>
        </w:rPr>
      </w:pP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投标单位</w:t>
      </w:r>
      <w:r>
        <w:rPr>
          <w:rFonts w:hint="eastAsia" w:ascii="宋体" w:hAnsi="宋体" w:eastAsia="宋体" w:cs="宋体"/>
          <w:color w:val="000000" w:themeColor="text1"/>
          <w:kern w:val="0"/>
          <w:sz w:val="24"/>
          <w:szCs w:val="24"/>
          <w:highlight w:val="none"/>
          <w14:textFill>
            <w14:solidFill>
              <w14:schemeClr w14:val="tx1"/>
            </w14:solidFill>
          </w14:textFill>
        </w:rPr>
        <w:t>名称(公章)：____________</w:t>
      </w:r>
      <w:r>
        <w:rPr>
          <w:rFonts w:hint="eastAsia" w:ascii="宋体" w:hAnsi="宋体" w:eastAsia="宋体" w:cs="宋体"/>
          <w:color w:val="000000" w:themeColor="text1"/>
          <w:kern w:val="0"/>
          <w:sz w:val="24"/>
          <w:szCs w:val="24"/>
          <w:highlight w:val="none"/>
          <w14:textFill>
            <w14:solidFill>
              <w14:schemeClr w14:val="tx1"/>
            </w14:solidFill>
          </w14:textFill>
        </w:rPr>
        <w:tab/>
      </w:r>
      <w:r>
        <w:rPr>
          <w:rFonts w:hint="eastAsia" w:ascii="宋体" w:hAnsi="宋体" w:eastAsia="宋体" w:cs="宋体"/>
          <w:color w:val="000000" w:themeColor="text1"/>
          <w:kern w:val="0"/>
          <w:sz w:val="24"/>
          <w:szCs w:val="24"/>
          <w:highlight w:val="none"/>
          <w14:textFill>
            <w14:solidFill>
              <w14:schemeClr w14:val="tx1"/>
            </w14:solidFill>
          </w14:textFill>
        </w:rPr>
        <w:tab/>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日期：________________________</w:t>
      </w:r>
    </w:p>
    <w:p>
      <w:pPr>
        <w:pStyle w:val="21"/>
        <w:snapToGrid w:val="0"/>
        <w:spacing w:before="156" w:after="156"/>
        <w:ind w:firstLine="562" w:firstLineChars="200"/>
        <w:jc w:val="left"/>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1"/>
        <w:snapToGrid w:val="0"/>
        <w:spacing w:before="156" w:after="156"/>
        <w:ind w:firstLine="422" w:firstLineChars="200"/>
        <w:jc w:val="left"/>
        <w:rPr>
          <w:rFonts w:hint="eastAsia" w:ascii="宋体" w:hAnsi="宋体" w:eastAsia="宋体" w:cs="宋体"/>
          <w:b/>
          <w:color w:val="000000" w:themeColor="text1"/>
          <w:highlight w:val="none"/>
          <w:lang w:val="zh-CN"/>
          <w14:textFill>
            <w14:solidFill>
              <w14:schemeClr w14:val="tx1"/>
            </w14:solidFill>
          </w14:textFill>
        </w:rPr>
      </w:pPr>
      <w:r>
        <w:rPr>
          <w:rFonts w:hint="eastAsia" w:ascii="宋体" w:hAnsi="宋体" w:eastAsia="宋体" w:cs="宋体"/>
          <w:b/>
          <w:color w:val="000000" w:themeColor="text1"/>
          <w:highlight w:val="none"/>
          <w:lang w:val="zh-CN"/>
          <w14:textFill>
            <w14:solidFill>
              <w14:schemeClr w14:val="tx1"/>
            </w14:solidFill>
          </w14:textFill>
        </w:rPr>
        <w:t>注：应当提供由省级以上监狱管理局、戒毒管理局（含新疆生产建设兵团）出具的属于监狱企业的证明文件。</w:t>
      </w:r>
    </w:p>
    <w:p>
      <w:pPr>
        <w:pStyle w:val="21"/>
        <w:snapToGrid w:val="0"/>
        <w:spacing w:before="156" w:after="156"/>
        <w:ind w:firstLine="422" w:firstLineChars="200"/>
        <w:jc w:val="center"/>
        <w:rPr>
          <w:rFonts w:hint="eastAsia" w:ascii="宋体" w:hAnsi="宋体" w:eastAsia="宋体" w:cs="宋体"/>
          <w:b/>
          <w:color w:val="000000" w:themeColor="text1"/>
          <w:highlight w:val="none"/>
          <w:lang w:val="zh-CN"/>
          <w14:textFill>
            <w14:solidFill>
              <w14:schemeClr w14:val="tx1"/>
            </w14:solidFill>
          </w14:textFill>
        </w:rPr>
      </w:pPr>
    </w:p>
    <w:p>
      <w:pPr>
        <w:pStyle w:val="21"/>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1"/>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1"/>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1"/>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1"/>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1"/>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1"/>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1"/>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1"/>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1"/>
        <w:snapToGrid w:val="0"/>
        <w:spacing w:before="156" w:after="156"/>
        <w:ind w:firstLine="562" w:firstLineChars="200"/>
        <w:jc w:val="left"/>
        <w:rPr>
          <w:rFonts w:hint="eastAsia" w:ascii="宋体" w:hAnsi="宋体" w:eastAsia="宋体" w:cs="宋体"/>
          <w:b/>
          <w:color w:val="000000" w:themeColor="text1"/>
          <w:sz w:val="28"/>
          <w:szCs w:val="28"/>
          <w:highlight w:val="none"/>
          <w:lang w:val="zh-CN"/>
          <w14:textFill>
            <w14:solidFill>
              <w14:schemeClr w14:val="tx1"/>
            </w14:solidFill>
          </w14:textFill>
        </w:rPr>
      </w:pPr>
    </w:p>
    <w:p>
      <w:pPr>
        <w:widowControl/>
        <w:snapToGrid w:val="0"/>
        <w:spacing w:line="400" w:lineRule="exact"/>
        <w:jc w:val="center"/>
        <w:rPr>
          <w:rFonts w:hint="eastAsia" w:ascii="宋体" w:hAnsi="宋体" w:eastAsia="宋体" w:cs="宋体"/>
          <w:b/>
          <w:color w:val="000000" w:themeColor="text1"/>
          <w:spacing w:val="6"/>
          <w:sz w:val="32"/>
          <w:szCs w:val="32"/>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14:textFill>
            <w14:solidFill>
              <w14:schemeClr w14:val="tx1"/>
            </w14:solidFill>
          </w14:textFill>
        </w:rPr>
        <w:t>残疾人</w:t>
      </w:r>
      <w:bookmarkStart w:id="137" w:name="OLE_LINK13"/>
      <w:bookmarkStart w:id="138" w:name="OLE_LINK14"/>
      <w:r>
        <w:rPr>
          <w:rFonts w:hint="eastAsia" w:ascii="宋体" w:hAnsi="宋体" w:eastAsia="宋体" w:cs="宋体"/>
          <w:b/>
          <w:color w:val="000000" w:themeColor="text1"/>
          <w:sz w:val="24"/>
          <w:szCs w:val="24"/>
          <w:highlight w:val="none"/>
          <w14:textFill>
            <w14:solidFill>
              <w14:schemeClr w14:val="tx1"/>
            </w14:solidFill>
          </w14:textFill>
        </w:rPr>
        <w:t>福利性单位声明函</w:t>
      </w:r>
    </w:p>
    <w:p>
      <w:pPr>
        <w:snapToGrid w:val="0"/>
        <w:spacing w:line="400" w:lineRule="exact"/>
        <w:ind w:firstLine="504" w:firstLineChars="200"/>
        <w:jc w:val="center"/>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残疾人福</w:t>
      </w:r>
      <w:bookmarkEnd w:id="137"/>
      <w:bookmarkEnd w:id="138"/>
      <w:r>
        <w:rPr>
          <w:rFonts w:hint="eastAsia" w:ascii="宋体" w:hAnsi="宋体" w:eastAsia="宋体" w:cs="宋体"/>
          <w:color w:val="000000" w:themeColor="text1"/>
          <w:sz w:val="24"/>
          <w:highlight w:val="none"/>
          <w14:textFill>
            <w14:solidFill>
              <w14:schemeClr w14:val="tx1"/>
            </w14:solidFill>
          </w14:textFill>
        </w:rPr>
        <w:t>利性单位适用</w:t>
      </w:r>
      <w:r>
        <w:rPr>
          <w:rFonts w:hint="eastAsia" w:ascii="宋体" w:hAnsi="宋体" w:eastAsia="宋体" w:cs="宋体"/>
          <w:color w:val="000000" w:themeColor="text1"/>
          <w:spacing w:val="6"/>
          <w:sz w:val="24"/>
          <w:szCs w:val="24"/>
          <w:highlight w:val="none"/>
          <w14:textFill>
            <w14:solidFill>
              <w14:schemeClr w14:val="tx1"/>
            </w14:solidFill>
          </w14:textFill>
        </w:rPr>
        <w:t>）</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本单位郑重声明，根据《关于促进残疾人就业政府采购政策的通知》（财库〔2017〕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本单位对上述声明的真实性负责。如有虚假，将依法承担相应责任。</w:t>
      </w:r>
    </w:p>
    <w:p>
      <w:pPr>
        <w:pStyle w:val="21"/>
        <w:snapToGrid w:val="0"/>
        <w:spacing w:before="156" w:after="156"/>
        <w:ind w:firstLine="444" w:firstLineChars="200"/>
        <w:jc w:val="center"/>
        <w:rPr>
          <w:rFonts w:hint="eastAsia" w:ascii="宋体" w:hAnsi="宋体" w:eastAsia="宋体" w:cs="宋体"/>
          <w:color w:val="000000" w:themeColor="text1"/>
          <w:spacing w:val="6"/>
          <w:highlight w:val="none"/>
          <w14:textFill>
            <w14:solidFill>
              <w14:schemeClr w14:val="tx1"/>
            </w14:solidFill>
          </w14:textFill>
        </w:rPr>
      </w:pPr>
    </w:p>
    <w:p>
      <w:pPr>
        <w:pStyle w:val="21"/>
        <w:snapToGrid w:val="0"/>
        <w:spacing w:before="156" w:after="156"/>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投标单位</w:t>
      </w:r>
      <w:r>
        <w:rPr>
          <w:rFonts w:hint="eastAsia" w:ascii="宋体" w:hAnsi="宋体" w:eastAsia="宋体" w:cs="宋体"/>
          <w:color w:val="000000" w:themeColor="text1"/>
          <w:sz w:val="24"/>
          <w:szCs w:val="24"/>
          <w:highlight w:val="none"/>
          <w14:textFill>
            <w14:solidFill>
              <w14:schemeClr w14:val="tx1"/>
            </w14:solidFill>
          </w14:textFill>
        </w:rPr>
        <w:t>名称(公章)：____________</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p>
    <w:p>
      <w:pPr>
        <w:pStyle w:val="21"/>
        <w:snapToGrid w:val="0"/>
        <w:spacing w:before="156" w:after="156"/>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日期：________________________</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lang w:val="en-US" w:eastAsia="zh-CN"/>
          <w14:textFill>
            <w14:solidFill>
              <w14:schemeClr w14:val="tx1"/>
            </w14:solidFill>
          </w14:textFill>
        </w:rPr>
        <w:t>13</w:t>
      </w:r>
      <w:r>
        <w:rPr>
          <w:rFonts w:hint="eastAsia" w:ascii="宋体" w:hAnsi="宋体" w:eastAsia="宋体" w:cs="宋体"/>
          <w:b/>
          <w:color w:val="000000" w:themeColor="text1"/>
          <w:sz w:val="24"/>
          <w:szCs w:val="24"/>
          <w:highlight w:val="none"/>
          <w14:textFill>
            <w14:solidFill>
              <w14:schemeClr w14:val="tx1"/>
            </w14:solidFill>
          </w14:textFill>
        </w:rPr>
        <w:t>、商务响应表格式：</w:t>
      </w:r>
    </w:p>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商务响应表</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p>
      <w:pPr>
        <w:adjustRightInd w:val="0"/>
        <w:snapToGrid w:val="0"/>
        <w:spacing w:line="400" w:lineRule="exact"/>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bl>
      <w:tblPr>
        <w:tblStyle w:val="37"/>
        <w:tblW w:w="97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2"/>
        <w:gridCol w:w="2879"/>
        <w:gridCol w:w="1483"/>
        <w:gridCol w:w="35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1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28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w:t>
            </w:r>
          </w:p>
        </w:tc>
        <w:tc>
          <w:tcPr>
            <w:tcW w:w="14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是否响应</w:t>
            </w:r>
          </w:p>
        </w:tc>
        <w:tc>
          <w:tcPr>
            <w:tcW w:w="35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工期</w:t>
            </w: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质保期限</w:t>
            </w: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投标担保</w:t>
            </w: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投标报价</w:t>
            </w: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r>
    </w:tbl>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注：如有偏离，则必须注明“偏离”；未注明偏离的，视为完全响应。</w:t>
      </w:r>
      <w:r>
        <w:rPr>
          <w:rFonts w:hint="eastAsia" w:ascii="宋体" w:hAnsi="宋体" w:cs="宋体"/>
          <w:b/>
          <w:bCs/>
          <w:color w:val="000000" w:themeColor="text1"/>
          <w:sz w:val="24"/>
          <w:szCs w:val="24"/>
          <w:highlight w:val="none"/>
          <w:lang w:eastAsia="zh-CN"/>
          <w14:textFill>
            <w14:solidFill>
              <w14:schemeClr w14:val="tx1"/>
            </w14:solidFill>
          </w14:textFill>
        </w:rPr>
        <w:t>包含但不限于以上项目，自行补充</w:t>
      </w: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投标人名称（盖章）：</w:t>
      </w: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法定代表人或授权代表（签字或加盖印鉴）：</w:t>
      </w:r>
    </w:p>
    <w:p>
      <w:pPr>
        <w:adjustRightInd w:val="0"/>
        <w:snapToGrid w:val="0"/>
        <w:spacing w:line="400" w:lineRule="exact"/>
        <w:ind w:left="-2" w:leftChars="-1" w:right="-817" w:rightChars="-389" w:firstLine="2"/>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b/>
          <w:color w:val="000000" w:themeColor="text1"/>
          <w:sz w:val="24"/>
          <w:szCs w:val="24"/>
          <w:highlight w:val="none"/>
          <w14:textFill>
            <w14:solidFill>
              <w14:schemeClr w14:val="tx1"/>
            </w14:solidFill>
          </w14:textFill>
        </w:rPr>
        <w:t>、针对本项目的详细实施计划</w:t>
      </w:r>
    </w:p>
    <w:p>
      <w:pPr>
        <w:adjustRightInd w:val="0"/>
        <w:snapToGrid w:val="0"/>
        <w:spacing w:line="400" w:lineRule="exact"/>
        <w:ind w:firstLine="235" w:firstLineChars="98"/>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包括产品供货、验货、安装、调试、操作培训、维护培训等内容</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b/>
          <w:color w:val="000000" w:themeColor="text1"/>
          <w:sz w:val="24"/>
          <w:szCs w:val="24"/>
          <w:highlight w:val="none"/>
          <w14:textFill>
            <w14:solidFill>
              <w14:schemeClr w14:val="tx1"/>
            </w14:solidFill>
          </w14:textFill>
        </w:rPr>
        <w:t>、针对本项目的详细实施组织方案</w:t>
      </w:r>
    </w:p>
    <w:p>
      <w:pPr>
        <w:adjustRightInd w:val="0"/>
        <w:snapToGrid w:val="0"/>
        <w:spacing w:line="400" w:lineRule="exact"/>
        <w:ind w:firstLine="230" w:firstLineChars="9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包括（但不限于）组织机构、工作时间进度表、工作程序和步骤、管理和协调方法</w:t>
      </w:r>
    </w:p>
    <w:p>
      <w:pPr>
        <w:widowControl/>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b/>
          <w:color w:val="000000" w:themeColor="text1"/>
          <w:sz w:val="24"/>
          <w:szCs w:val="24"/>
          <w:highlight w:val="none"/>
          <w14:textFill>
            <w14:solidFill>
              <w14:schemeClr w14:val="tx1"/>
            </w14:solidFill>
          </w14:textFill>
        </w:rPr>
        <w:t>、货物说明</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货物说明包括：</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(1)产品技术参数（指标）、功能等性能描述；（产品技术参数（指标）、功能等性能描述内容必须为可编辑Word版本）</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(2)产品的规范资料、外观彩图及尺寸等描述（要求提供复印件）；</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(3)配置先进合理，技术成熟，安全可靠；</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(4)货物优势介绍；</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(5)产品耐用性及使用功能安全性、采用新技术、新工艺或选用新材料情况；</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(6)投标人认为有必要提供的其他说明材料。</w:t>
      </w:r>
    </w:p>
    <w:p>
      <w:pPr>
        <w:adjustRightInd w:val="0"/>
        <w:snapToGrid w:val="0"/>
        <w:spacing w:line="400" w:lineRule="exact"/>
        <w:rPr>
          <w:rFonts w:hint="eastAsia" w:ascii="宋体" w:hAnsi="宋体" w:eastAsia="宋体" w:cs="宋体"/>
          <w:b/>
          <w:color w:val="000000" w:themeColor="text1"/>
          <w:sz w:val="24"/>
          <w:szCs w:val="24"/>
          <w:highlight w:val="none"/>
          <w14:textFill>
            <w14:solidFill>
              <w14:schemeClr w14:val="tx1"/>
            </w14:solidFill>
          </w14:textFill>
        </w:rPr>
      </w:pPr>
    </w:p>
    <w:p>
      <w:pPr>
        <w:widowControl/>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b/>
          <w:color w:val="000000" w:themeColor="text1"/>
          <w:sz w:val="24"/>
          <w:szCs w:val="24"/>
          <w:highlight w:val="none"/>
          <w14:textFill>
            <w14:solidFill>
              <w14:schemeClr w14:val="tx1"/>
            </w14:solidFill>
          </w14:textFill>
        </w:rPr>
        <w:t>、产品详细配置和技术性能指标</w:t>
      </w:r>
    </w:p>
    <w:p>
      <w:pPr>
        <w:snapToGrid w:val="0"/>
        <w:spacing w:line="400" w:lineRule="exact"/>
        <w:jc w:val="center"/>
        <w:rPr>
          <w:rFonts w:hint="eastAsia" w:ascii="宋体" w:hAnsi="宋体" w:eastAsia="宋体" w:cs="宋体"/>
          <w:b/>
          <w:bCs/>
          <w:color w:val="000000" w:themeColor="text1"/>
          <w:kern w:val="0"/>
          <w:sz w:val="36"/>
          <w:szCs w:val="36"/>
          <w:highlight w:val="none"/>
          <w14:textFill>
            <w14:solidFill>
              <w14:schemeClr w14:val="tx1"/>
            </w14:solidFill>
          </w14:textFill>
        </w:rPr>
      </w:pPr>
      <w:r>
        <w:rPr>
          <w:rFonts w:hint="eastAsia" w:ascii="宋体" w:hAnsi="宋体" w:eastAsia="宋体" w:cs="宋体"/>
          <w:b/>
          <w:bCs/>
          <w:color w:val="000000" w:themeColor="text1"/>
          <w:spacing w:val="2"/>
          <w:kern w:val="0"/>
          <w:sz w:val="36"/>
          <w:szCs w:val="36"/>
          <w:highlight w:val="none"/>
          <w14:textFill>
            <w14:solidFill>
              <w14:schemeClr w14:val="tx1"/>
            </w14:solidFill>
          </w14:textFill>
        </w:rPr>
        <w:t>技术指标说明</w:t>
      </w:r>
    </w:p>
    <w:p>
      <w:pPr>
        <w:snapToGrid w:val="0"/>
        <w:spacing w:line="400" w:lineRule="exact"/>
        <w:jc w:val="left"/>
        <w:rPr>
          <w:rFonts w:hint="eastAsia"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项目名称：</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项目编号：</w:t>
      </w:r>
    </w:p>
    <w:tbl>
      <w:tblPr>
        <w:tblStyle w:val="37"/>
        <w:tblW w:w="9329"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887"/>
        <w:gridCol w:w="1886"/>
        <w:gridCol w:w="1566"/>
        <w:gridCol w:w="1785"/>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03"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序号</w:t>
            </w:r>
          </w:p>
        </w:tc>
        <w:tc>
          <w:tcPr>
            <w:tcW w:w="1887"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货物名称</w:t>
            </w:r>
          </w:p>
        </w:tc>
        <w:tc>
          <w:tcPr>
            <w:tcW w:w="188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制造商名称</w:t>
            </w:r>
          </w:p>
        </w:tc>
        <w:tc>
          <w:tcPr>
            <w:tcW w:w="156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型号规格</w:t>
            </w:r>
          </w:p>
        </w:tc>
        <w:tc>
          <w:tcPr>
            <w:tcW w:w="1785"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主要技术参数和技术指标</w:t>
            </w:r>
          </w:p>
        </w:tc>
        <w:tc>
          <w:tcPr>
            <w:tcW w:w="1402"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03"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7"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56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785"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402"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03"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7"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56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785"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402"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03"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7"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56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785"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402"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03"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7"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56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785"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402"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03"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7"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56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785"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402"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r>
    </w:tbl>
    <w:p>
      <w:pPr>
        <w:snapToGrid w:val="0"/>
        <w:spacing w:line="400" w:lineRule="exact"/>
        <w:rPr>
          <w:rFonts w:hint="eastAsia" w:ascii="宋体" w:hAnsi="宋体" w:eastAsia="宋体" w:cs="宋体"/>
          <w:b/>
          <w:bCs/>
          <w:color w:val="000000" w:themeColor="text1"/>
          <w:kern w:val="0"/>
          <w:sz w:val="24"/>
          <w:szCs w:val="24"/>
          <w:highlight w:val="none"/>
          <w14:textFill>
            <w14:solidFill>
              <w14:schemeClr w14:val="tx1"/>
            </w14:solidFill>
          </w14:textFill>
        </w:rPr>
      </w:pPr>
    </w:p>
    <w:p>
      <w:pPr>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投标人名称（盖单位章）：</w:t>
      </w:r>
    </w:p>
    <w:p>
      <w:pPr>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法定代表人或授权代表（签字或加盖印鉴）：</w:t>
      </w:r>
    </w:p>
    <w:p>
      <w:pPr>
        <w:snapToGrid w:val="0"/>
        <w:spacing w:line="400" w:lineRule="exact"/>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日期：        年    月    日</w:t>
      </w:r>
    </w:p>
    <w:p>
      <w:pPr>
        <w:snapToGrid w:val="0"/>
        <w:spacing w:line="400" w:lineRule="exact"/>
        <w:jc w:val="left"/>
        <w:rPr>
          <w:rFonts w:hint="eastAsia" w:ascii="宋体" w:hAnsi="宋体" w:eastAsia="宋体" w:cs="宋体"/>
          <w:b/>
          <w:bCs/>
          <w:color w:val="000000" w:themeColor="text1"/>
          <w:kern w:val="0"/>
          <w:sz w:val="24"/>
          <w:szCs w:val="24"/>
          <w:highlight w:val="none"/>
          <w14:textFill>
            <w14:solidFill>
              <w14:schemeClr w14:val="tx1"/>
            </w14:solidFill>
          </w14:textFill>
        </w:rPr>
      </w:pP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说明：货物的主要技术参数和技术指标可另页描述。含：    </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(1)供货范围清单    </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本清单应列明组成货物的主要件和关键件的名称、数量、品牌型号、规格参数、原产地；    </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(2)图纸、彩图等（附效果样图）；    </w:t>
      </w:r>
    </w:p>
    <w:p>
      <w:pPr>
        <w:snapToGrid w:val="0"/>
        <w:spacing w:line="400" w:lineRule="exact"/>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(3)实施本项目的详细技术文档及其内容说明。</w:t>
      </w:r>
    </w:p>
    <w:p>
      <w:pPr>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b/>
          <w:color w:val="000000" w:themeColor="text1"/>
          <w:sz w:val="24"/>
          <w:szCs w:val="24"/>
          <w:highlight w:val="none"/>
          <w14:textFill>
            <w14:solidFill>
              <w14:schemeClr w14:val="tx1"/>
            </w14:solidFill>
          </w14:textFill>
        </w:rPr>
        <w:t>、技术偏离表格式：</w:t>
      </w:r>
    </w:p>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技术偏离表</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p>
      <w:pPr>
        <w:adjustRightInd w:val="0"/>
        <w:snapToGrid w:val="0"/>
        <w:spacing w:line="400" w:lineRule="exact"/>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bl>
      <w:tblPr>
        <w:tblStyle w:val="37"/>
        <w:tblW w:w="97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17"/>
        <w:gridCol w:w="1708"/>
        <w:gridCol w:w="1927"/>
        <w:gridCol w:w="1793"/>
        <w:gridCol w:w="1243"/>
        <w:gridCol w:w="12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352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w:t>
            </w:r>
          </w:p>
        </w:tc>
        <w:tc>
          <w:tcPr>
            <w:tcW w:w="3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投标文件响应</w:t>
            </w:r>
          </w:p>
        </w:tc>
        <w:tc>
          <w:tcPr>
            <w:tcW w:w="124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偏离情况</w:t>
            </w:r>
          </w:p>
        </w:tc>
        <w:tc>
          <w:tcPr>
            <w:tcW w:w="1243"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索引页码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6"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要求</w:t>
            </w: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性能及指标</w:t>
            </w:r>
          </w:p>
        </w:tc>
        <w:tc>
          <w:tcPr>
            <w:tcW w:w="124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adjustRightInd w:val="0"/>
        <w:snapToGrid w:val="0"/>
        <w:spacing w:line="400" w:lineRule="exact"/>
        <w:rPr>
          <w:rFonts w:hint="eastAsia" w:ascii="宋体" w:hAnsi="宋体" w:eastAsia="宋体" w:cs="宋体"/>
          <w:b/>
          <w:bCs/>
          <w:color w:val="000000" w:themeColor="text1"/>
          <w:spacing w:val="20"/>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注：投标人应根据投标设备的性能指标、对照</w:t>
      </w:r>
      <w:r>
        <w:rPr>
          <w:rFonts w:hint="eastAsia" w:ascii="宋体" w:hAnsi="宋体" w:eastAsia="宋体" w:cs="宋体"/>
          <w:b/>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
          <w:bCs/>
          <w:color w:val="000000" w:themeColor="text1"/>
          <w:sz w:val="24"/>
          <w:szCs w:val="24"/>
          <w:highlight w:val="none"/>
          <w14:textFill>
            <w14:solidFill>
              <w14:schemeClr w14:val="tx1"/>
            </w14:solidFill>
          </w14:textFill>
        </w:rPr>
        <w:t>要求在“偏离情况”栏注明“正偏离”、“负偏离”或“无偏离”。未注明偏离的，视为完全响应。投标人提供投标设备的性能指标与实际不符的且产生偏离的，评标委员会有权认定该投标文件为无效响应。</w:t>
      </w:r>
      <w:r>
        <w:rPr>
          <w:rFonts w:hint="eastAsia" w:ascii="宋体" w:hAnsi="宋体" w:eastAsia="宋体" w:cs="宋体"/>
          <w:b/>
          <w:bCs/>
          <w:color w:val="000000" w:themeColor="text1"/>
          <w:sz w:val="24"/>
          <w:szCs w:val="24"/>
          <w:highlight w:val="none"/>
          <w:lang w:eastAsia="zh-CN"/>
          <w14:textFill>
            <w14:solidFill>
              <w14:schemeClr w14:val="tx1"/>
            </w14:solidFill>
          </w14:textFill>
        </w:rPr>
        <w:t>并附有相应的检测报告（为便于评标委员会查看请索引页码）。</w:t>
      </w:r>
    </w:p>
    <w:p>
      <w:pPr>
        <w:adjustRightInd w:val="0"/>
        <w:snapToGrid w:val="0"/>
        <w:spacing w:line="400" w:lineRule="exact"/>
        <w:ind w:right="-817" w:rightChars="-389"/>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投标人名称（盖章）：</w:t>
      </w: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法定代表人或授权代表（签字或加盖印鉴）：</w:t>
      </w:r>
    </w:p>
    <w:p>
      <w:pPr>
        <w:adjustRightInd w:val="0"/>
        <w:snapToGrid w:val="0"/>
        <w:spacing w:line="400" w:lineRule="exact"/>
        <w:ind w:left="-2" w:leftChars="-1" w:right="-817" w:rightChars="-389" w:firstLine="2"/>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adjustRightInd w:val="0"/>
        <w:snapToGrid w:val="0"/>
        <w:spacing w:line="400" w:lineRule="exact"/>
        <w:ind w:left="-2" w:leftChars="-1" w:right="-817" w:rightChars="-389" w:firstLine="2"/>
        <w:jc w:val="left"/>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b/>
          <w:color w:val="000000" w:themeColor="text1"/>
          <w:sz w:val="24"/>
          <w:szCs w:val="24"/>
          <w:highlight w:val="none"/>
          <w14:textFill>
            <w14:solidFill>
              <w14:schemeClr w14:val="tx1"/>
            </w14:solidFill>
          </w14:textFill>
        </w:rPr>
        <w:t>、产品验收清单，验收标准和验收方法</w:t>
      </w:r>
    </w:p>
    <w:p>
      <w:pPr>
        <w:adjustRightInd w:val="0"/>
        <w:snapToGrid w:val="0"/>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（应说明验收方法和验收条件、安装验收需用的环境及配套条件）</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widowControl/>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color w:val="000000" w:themeColor="text1"/>
          <w:sz w:val="24"/>
          <w:szCs w:val="24"/>
          <w:highlight w:val="none"/>
          <w14:textFill>
            <w14:solidFill>
              <w14:schemeClr w14:val="tx1"/>
            </w14:solidFill>
          </w14:textFill>
        </w:rPr>
        <w:t>、针对本项目的售后服务方案</w:t>
      </w:r>
    </w:p>
    <w:p>
      <w:pPr>
        <w:adjustRightInd w:val="0"/>
        <w:snapToGrid w:val="0"/>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括售后服务机构及人员等情况等、以书面形式完整准确地表述制造厂家的标准售后服务承诺（范围、标准及期限等）、培训计划（每项注明具体内容及是否需要费用）、投标人可能增加的服务承诺等，并明示服务承诺可能涉及的前提设定和费用，否则将被认为是无条件和免费的。</w:t>
      </w:r>
    </w:p>
    <w:p>
      <w:pPr>
        <w:widowControl/>
        <w:snapToGrid w:val="0"/>
        <w:spacing w:line="400" w:lineRule="exact"/>
        <w:jc w:val="center"/>
        <w:rPr>
          <w:rFonts w:hint="eastAsia" w:ascii="宋体" w:hAnsi="宋体" w:eastAsia="宋体" w:cs="宋体"/>
          <w:b/>
          <w:bCs/>
          <w:color w:val="000000" w:themeColor="text1"/>
          <w:kern w:val="0"/>
          <w:sz w:val="36"/>
          <w:szCs w:val="36"/>
          <w:highlight w:val="none"/>
          <w14:textFill>
            <w14:solidFill>
              <w14:schemeClr w14:val="tx1"/>
            </w14:solidFill>
          </w14:textFill>
        </w:rPr>
      </w:pPr>
      <w:r>
        <w:rPr>
          <w:rFonts w:hint="eastAsia" w:ascii="宋体" w:hAnsi="宋体" w:eastAsia="宋体" w:cs="宋体"/>
          <w:b/>
          <w:bCs/>
          <w:color w:val="000000" w:themeColor="text1"/>
          <w:kern w:val="0"/>
          <w:sz w:val="36"/>
          <w:szCs w:val="36"/>
          <w:highlight w:val="none"/>
          <w14:textFill>
            <w14:solidFill>
              <w14:schemeClr w14:val="tx1"/>
            </w14:solidFill>
          </w14:textFill>
        </w:rPr>
        <w:t>售后服务附表</w:t>
      </w:r>
    </w:p>
    <w:p>
      <w:pPr>
        <w:snapToGrid w:val="0"/>
        <w:spacing w:line="400" w:lineRule="exact"/>
        <w:jc w:val="left"/>
        <w:rPr>
          <w:rFonts w:hint="eastAsia" w:ascii="宋体" w:hAnsi="宋体" w:eastAsia="宋体" w:cs="宋体"/>
          <w:color w:val="000000" w:themeColor="text1"/>
          <w:spacing w:val="1"/>
          <w:kern w:val="0"/>
          <w:sz w:val="24"/>
          <w:szCs w:val="24"/>
          <w:highlight w:val="none"/>
          <w:u w:val="singl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项目名称：</w:t>
      </w:r>
    </w:p>
    <w:p>
      <w:pPr>
        <w:snapToGrid w:val="0"/>
        <w:spacing w:line="400" w:lineRule="exact"/>
        <w:jc w:val="left"/>
        <w:rPr>
          <w:rFonts w:hint="eastAsia" w:ascii="宋体" w:hAnsi="宋体" w:eastAsia="宋体" w:cs="宋体"/>
          <w:color w:val="000000" w:themeColor="text1"/>
          <w:spacing w:val="1"/>
          <w:kern w:val="0"/>
          <w:sz w:val="24"/>
          <w:szCs w:val="24"/>
          <w:highlight w:val="none"/>
          <w:u w:val="singl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项目编号：</w:t>
      </w:r>
    </w:p>
    <w:tbl>
      <w:tblPr>
        <w:tblStyle w:val="37"/>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2070"/>
        <w:gridCol w:w="486"/>
        <w:gridCol w:w="1511"/>
        <w:gridCol w:w="388"/>
        <w:gridCol w:w="1318"/>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服务网点名称</w:t>
            </w:r>
          </w:p>
        </w:tc>
        <w:tc>
          <w:tcPr>
            <w:tcW w:w="5773" w:type="dxa"/>
            <w:gridSpan w:val="5"/>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restart"/>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地址</w:t>
            </w:r>
          </w:p>
        </w:tc>
        <w:tc>
          <w:tcPr>
            <w:tcW w:w="5773" w:type="dxa"/>
            <w:gridSpan w:val="5"/>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continue"/>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注册资本金</w:t>
            </w:r>
          </w:p>
        </w:tc>
        <w:tc>
          <w:tcPr>
            <w:tcW w:w="2070" w:type="dxa"/>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85" w:type="dxa"/>
            <w:gridSpan w:val="3"/>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其中：投标人出资比例</w:t>
            </w:r>
          </w:p>
        </w:tc>
        <w:tc>
          <w:tcPr>
            <w:tcW w:w="1318" w:type="dxa"/>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restart"/>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员工总人数</w:t>
            </w:r>
          </w:p>
        </w:tc>
        <w:tc>
          <w:tcPr>
            <w:tcW w:w="2070" w:type="dxa"/>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85" w:type="dxa"/>
            <w:gridSpan w:val="3"/>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其中：技术人员数</w:t>
            </w:r>
          </w:p>
        </w:tc>
        <w:tc>
          <w:tcPr>
            <w:tcW w:w="1318" w:type="dxa"/>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continue"/>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经营期限</w:t>
            </w:r>
          </w:p>
        </w:tc>
        <w:tc>
          <w:tcPr>
            <w:tcW w:w="5773" w:type="dxa"/>
            <w:gridSpan w:val="5"/>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continue"/>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售后服务协议</w:t>
            </w:r>
          </w:p>
        </w:tc>
        <w:tc>
          <w:tcPr>
            <w:tcW w:w="5773" w:type="dxa"/>
            <w:gridSpan w:val="5"/>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提供相关</w:t>
            </w:r>
          </w:p>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售后服务内容</w:t>
            </w:r>
          </w:p>
        </w:tc>
        <w:tc>
          <w:tcPr>
            <w:tcW w:w="5773" w:type="dxa"/>
            <w:gridSpan w:val="5"/>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restart"/>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此部分内容做附件进行详细说明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服务承诺</w:t>
            </w:r>
          </w:p>
        </w:tc>
        <w:tc>
          <w:tcPr>
            <w:tcW w:w="5773" w:type="dxa"/>
            <w:gridSpan w:val="5"/>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continue"/>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业务咨询电话</w:t>
            </w:r>
          </w:p>
        </w:tc>
        <w:tc>
          <w:tcPr>
            <w:tcW w:w="2556" w:type="dxa"/>
            <w:gridSpan w:val="2"/>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11" w:type="dxa"/>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传真</w:t>
            </w:r>
          </w:p>
        </w:tc>
        <w:tc>
          <w:tcPr>
            <w:tcW w:w="1706" w:type="dxa"/>
            <w:gridSpan w:val="2"/>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restart"/>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附人员身份证等相关证件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负责人</w:t>
            </w:r>
          </w:p>
        </w:tc>
        <w:tc>
          <w:tcPr>
            <w:tcW w:w="2556" w:type="dxa"/>
            <w:gridSpan w:val="2"/>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11" w:type="dxa"/>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联系电话</w:t>
            </w:r>
          </w:p>
        </w:tc>
        <w:tc>
          <w:tcPr>
            <w:tcW w:w="1706" w:type="dxa"/>
            <w:gridSpan w:val="2"/>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continue"/>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r>
    </w:tbl>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p>
      <w:pPr>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投标人名称（盖单位章）：</w:t>
      </w:r>
    </w:p>
    <w:p>
      <w:pPr>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法定代表人或授权代表（签字或加盖印鉴）：</w:t>
      </w:r>
    </w:p>
    <w:p>
      <w:pPr>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日期：        年    月    日</w:t>
      </w:r>
    </w:p>
    <w:p>
      <w:pPr>
        <w:pStyle w:val="5"/>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b/>
          <w:color w:val="000000" w:themeColor="text1"/>
          <w:sz w:val="24"/>
          <w:szCs w:val="24"/>
          <w:highlight w:val="none"/>
          <w14:textFill>
            <w14:solidFill>
              <w14:schemeClr w14:val="tx1"/>
            </w14:solidFill>
          </w14:textFill>
        </w:rPr>
        <w:t>、备品备件清单及供应保障</w:t>
      </w:r>
      <w:r>
        <w:rPr>
          <w:rFonts w:hint="eastAsia" w:ascii="宋体" w:hAnsi="宋体" w:eastAsia="宋体" w:cs="宋体"/>
          <w:color w:val="000000" w:themeColor="text1"/>
          <w:sz w:val="24"/>
          <w:szCs w:val="24"/>
          <w:highlight w:val="none"/>
          <w14:textFill>
            <w14:solidFill>
              <w14:schemeClr w14:val="tx1"/>
            </w14:solidFill>
          </w14:textFill>
        </w:rPr>
        <w:t>（包括其供货渠道及价格）</w:t>
      </w:r>
    </w:p>
    <w:p>
      <w:pPr>
        <w:tabs>
          <w:tab w:val="left" w:pos="930"/>
        </w:tabs>
        <w:autoSpaceDE w:val="0"/>
        <w:autoSpaceDN w:val="0"/>
        <w:adjustRightInd w:val="0"/>
        <w:snapToGrid w:val="0"/>
        <w:spacing w:line="40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b/>
          <w:color w:val="000000" w:themeColor="text1"/>
          <w:sz w:val="24"/>
          <w:szCs w:val="24"/>
          <w:highlight w:val="none"/>
          <w14:textFill>
            <w14:solidFill>
              <w14:schemeClr w14:val="tx1"/>
            </w14:solidFill>
          </w14:textFill>
        </w:rPr>
        <w:t>、项目实施人员情况</w:t>
      </w:r>
    </w:p>
    <w:p>
      <w:pPr>
        <w:tabs>
          <w:tab w:val="left" w:pos="930"/>
        </w:tabs>
        <w:autoSpaceDE w:val="0"/>
        <w:autoSpaceDN w:val="0"/>
        <w:adjustRightInd w:val="0"/>
        <w:snapToGrid w:val="0"/>
        <w:spacing w:line="400" w:lineRule="exact"/>
        <w:ind w:firstLine="470" w:firstLineChars="196"/>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本项目人员投入一览表；各人员情况，并明确各阶段投入人数，在提交的标书中安排的人员须为公司的固定职员</w:t>
      </w:r>
      <w:r>
        <w:rPr>
          <w:rFonts w:hint="eastAsia" w:ascii="宋体" w:hAnsi="宋体" w:eastAsia="宋体" w:cs="宋体"/>
          <w:color w:val="000000" w:themeColor="text1"/>
          <w:sz w:val="24"/>
          <w:szCs w:val="24"/>
          <w:highlight w:val="none"/>
          <w:lang w:eastAsia="zh-CN"/>
          <w14:textFill>
            <w14:solidFill>
              <w14:schemeClr w14:val="tx1"/>
            </w14:solidFill>
          </w14:textFill>
        </w:rPr>
        <w:t>（提供职员开标前6个月社保作为证明材料，不提供视为无效</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每个参加项目人员的履历表应随标书一并提交，主要内容包括学历(学院、大学和其他职业教育，列出大学的名称，就学日期以及所取得的学位)、工作特长（特长领域、能力取向等）、经验与业绩（包括从事相关项目的经验，对每一个项目有一个简要的描述，该人员参与的时间以及在项目中的责任）、资质情况（包括项目组人员的产品认证工程师资质，其他有关资质）等</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b/>
          <w:color w:val="000000" w:themeColor="text1"/>
          <w:sz w:val="24"/>
          <w:szCs w:val="24"/>
          <w:highlight w:val="none"/>
          <w14:textFill>
            <w14:solidFill>
              <w14:schemeClr w14:val="tx1"/>
            </w14:solidFill>
          </w14:textFill>
        </w:rPr>
        <w:t>、其他优惠条件（如有）</w:t>
      </w:r>
    </w:p>
    <w:p>
      <w:pPr>
        <w:adjustRightInd w:val="0"/>
        <w:snapToGrid w:val="0"/>
        <w:spacing w:line="400" w:lineRule="exact"/>
        <w:ind w:firstLine="470" w:firstLineChars="19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投标人承诺给予</w:t>
      </w:r>
      <w:r>
        <w:rPr>
          <w:rFonts w:hint="eastAsia" w:ascii="宋体" w:hAnsi="宋体" w:eastAsia="宋体" w:cs="宋体"/>
          <w:b/>
          <w:color w:val="000000" w:themeColor="text1"/>
          <w:sz w:val="24"/>
          <w:szCs w:val="24"/>
          <w:highlight w:val="none"/>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的各种优惠条件，包括备品备件、专用耗材等。</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24</w:t>
      </w:r>
      <w:r>
        <w:rPr>
          <w:rFonts w:hint="eastAsia" w:ascii="宋体" w:hAnsi="宋体" w:eastAsia="宋体" w:cs="宋体"/>
          <w:b/>
          <w:color w:val="000000" w:themeColor="text1"/>
          <w:sz w:val="24"/>
          <w:szCs w:val="24"/>
          <w:highlight w:val="none"/>
          <w14:textFill>
            <w14:solidFill>
              <w14:schemeClr w14:val="tx1"/>
            </w14:solidFill>
          </w14:textFill>
        </w:rPr>
        <w:t>、投标人需要提供的其他文件或资料（如有）</w:t>
      </w:r>
    </w:p>
    <w:p>
      <w:pPr>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br w:type="page"/>
      </w:r>
    </w:p>
    <w:p>
      <w:pPr>
        <w:pStyle w:val="36"/>
        <w:ind w:left="0" w:leftChars="0" w:firstLine="0" w:firstLineChars="0"/>
        <w:jc w:val="both"/>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附件</w:t>
      </w:r>
      <w:r>
        <w:rPr>
          <w:rFonts w:hint="eastAsia" w:ascii="宋体" w:hAnsi="宋体" w:eastAsia="宋体" w:cs="宋体"/>
          <w:color w:val="000000" w:themeColor="text1"/>
          <w:sz w:val="24"/>
          <w:szCs w:val="22"/>
          <w:lang w:val="en-US" w:eastAsia="zh-CN"/>
          <w14:textFill>
            <w14:solidFill>
              <w14:schemeClr w14:val="tx1"/>
            </w14:solidFill>
          </w14:textFill>
        </w:rPr>
        <w:t>1</w:t>
      </w:r>
      <w:r>
        <w:rPr>
          <w:rFonts w:hint="eastAsia" w:ascii="宋体" w:hAnsi="宋体" w:eastAsia="宋体" w:cs="宋体"/>
          <w:color w:val="000000" w:themeColor="text1"/>
          <w:sz w:val="24"/>
          <w:szCs w:val="22"/>
          <w:lang w:eastAsia="zh-CN"/>
          <w14:textFill>
            <w14:solidFill>
              <w14:schemeClr w14:val="tx1"/>
            </w14:solidFill>
          </w14:textFill>
        </w:rPr>
        <w:t>：</w:t>
      </w:r>
    </w:p>
    <w:p>
      <w:pPr>
        <w:pStyle w:val="36"/>
        <w:ind w:left="0" w:leftChars="0" w:firstLine="0" w:firstLineChars="0"/>
        <w:jc w:val="center"/>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质疑函范本</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一、质疑投标单位基本信息</w:t>
      </w:r>
    </w:p>
    <w:p>
      <w:pPr>
        <w:pStyle w:val="36"/>
        <w:rPr>
          <w:rFonts w:hint="eastAsia" w:ascii="宋体" w:hAnsi="宋体" w:eastAsia="宋体" w:cs="宋体"/>
          <w:color w:val="000000" w:themeColor="text1"/>
          <w:sz w:val="24"/>
          <w:szCs w:val="22"/>
          <w:u w:val="single"/>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质疑投标单位：  </w:t>
      </w:r>
      <w:r>
        <w:rPr>
          <w:rFonts w:hint="eastAsia" w:ascii="宋体" w:hAnsi="宋体" w:eastAsia="宋体" w:cs="宋体"/>
          <w:color w:val="000000" w:themeColor="text1"/>
          <w:sz w:val="24"/>
          <w:szCs w:val="22"/>
          <w:u w:val="single"/>
          <w:lang w:eastAsia="zh-CN"/>
          <w14:textFill>
            <w14:solidFill>
              <w14:schemeClr w14:val="tx1"/>
            </w14:solidFill>
          </w14:textFill>
        </w:rPr>
        <w:t xml:space="preserve">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地址：                          邮编：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联系人：                      联系电话：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授权代表：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联系电话：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地址：                         邮编：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二、质疑项目基本情况</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质疑项目的名称：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质疑项目的编号：               包号：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采购人名称：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招标文件获取日期：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三、质疑事项具体内容</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质疑事项1：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事实依据：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法律依据：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质疑事项2</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四、与质疑事项相关的质疑请求</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请求：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签字(签章)：                   公章：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日期：    </w:t>
      </w:r>
    </w:p>
    <w:p>
      <w:pPr>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br w:type="page"/>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质疑函制作说明：</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1.投标单位提出质疑时，应提交质疑函和必要的证明材料。</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2.质疑投标单位若委托代理人进行质疑的，质疑函应按要求列明“授权代表”的有关内容，并在附件中提交由质疑投标单位签署的授权委托书。授权委托书应载明代理人的姓名或者名称、代理事项、具体权限、期限和相关事项。</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3.质疑投标单位若对项目的某一分包进行质疑，质疑函中应列明具体分包号。</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4.质疑函的质疑事项应具体、明确，并有必要的事实依据和法律依据。</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5.质疑函的质疑请求应与质疑事项相关。</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6.质疑投标单位为自然人的，质疑函应由本人签字；质疑投标单位为法人或者其他组织的，质疑函应由法定代表人、主要负责人，或者其授权代表签字或者盖章，并加盖公章。</w:t>
      </w:r>
    </w:p>
    <w:p>
      <w:pPr>
        <w:rPr>
          <w:rFonts w:hint="eastAsia" w:ascii="宋体" w:hAnsi="宋体" w:eastAsia="宋体" w:cs="宋体"/>
          <w:color w:val="000000" w:themeColor="text1"/>
          <w:sz w:val="24"/>
          <w:szCs w:val="22"/>
          <w:lang w:eastAsia="zh-CN"/>
          <w14:textFill>
            <w14:solidFill>
              <w14:schemeClr w14:val="tx1"/>
            </w14:solidFill>
          </w14:textFill>
        </w:rPr>
        <w:sectPr>
          <w:headerReference r:id="rId5" w:type="default"/>
          <w:footerReference r:id="rId6" w:type="default"/>
          <w:pgSz w:w="11906" w:h="16838"/>
          <w:pgMar w:top="1440" w:right="1519" w:bottom="1440" w:left="1519"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宋体"/>
          <w:color w:val="000000" w:themeColor="text1"/>
          <w:sz w:val="24"/>
          <w:szCs w:val="22"/>
          <w:lang w:eastAsia="zh-CN"/>
          <w14:textFill>
            <w14:solidFill>
              <w14:schemeClr w14:val="tx1"/>
            </w14:solidFill>
          </w14:textFill>
        </w:rPr>
        <w:br w:type="page"/>
      </w:r>
    </w:p>
    <w:p>
      <w:pPr>
        <w:pStyle w:val="2"/>
        <w:bidi w:val="0"/>
        <w:rPr>
          <w:rFonts w:hint="eastAsia" w:ascii="仿宋" w:hAnsi="仿宋" w:eastAsia="仿宋" w:cs="仿宋"/>
          <w:color w:val="FF0000"/>
          <w:sz w:val="28"/>
          <w:szCs w:val="28"/>
          <w:u w:color="000000"/>
        </w:rPr>
      </w:pPr>
      <w:r>
        <w:rPr>
          <w:rFonts w:hint="eastAsia" w:ascii="宋体" w:hAnsi="宋体" w:eastAsia="宋体" w:cs="宋体"/>
          <w:lang w:val="en-US" w:eastAsia="zh-CN"/>
        </w:rPr>
        <w:t xml:space="preserve">第六章 </w:t>
      </w:r>
      <w:r>
        <w:rPr>
          <w:rFonts w:hint="eastAsia" w:ascii="宋体" w:hAnsi="宋体" w:eastAsia="宋体" w:cs="宋体"/>
          <w:color w:val="auto"/>
          <w:lang w:val="en-US" w:eastAsia="zh-CN"/>
        </w:rPr>
        <w:t>项目需求</w:t>
      </w:r>
    </w:p>
    <w:p>
      <w:pPr>
        <w:pStyle w:val="36"/>
        <w:rPr>
          <w:rFonts w:hint="eastAsia" w:ascii="宋体" w:hAnsi="宋体" w:eastAsia="宋体" w:cs="宋体"/>
          <w:color w:val="000000" w:themeColor="text1"/>
          <w:sz w:val="24"/>
          <w:szCs w:val="22"/>
          <w:lang w:val="en-US" w:eastAsia="zh-CN"/>
          <w14:textFill>
            <w14:solidFill>
              <w14:schemeClr w14:val="tx1"/>
            </w14:solidFill>
          </w14:textFill>
        </w:rPr>
      </w:pPr>
      <w:r>
        <w:rPr>
          <w:rFonts w:hint="eastAsia" w:ascii="宋体" w:hAnsi="宋体" w:eastAsia="宋体" w:cs="宋体"/>
          <w:color w:val="000000" w:themeColor="text1"/>
          <w:sz w:val="24"/>
          <w:szCs w:val="22"/>
          <w:lang w:val="en-US" w:eastAsia="zh-CN"/>
          <w14:textFill>
            <w14:solidFill>
              <w14:schemeClr w14:val="tx1"/>
            </w14:solidFill>
          </w14:textFill>
        </w:rPr>
        <w:t>要求：</w:t>
      </w:r>
    </w:p>
    <w:p>
      <w:pPr>
        <w:pStyle w:val="36"/>
        <w:numPr>
          <w:ilvl w:val="0"/>
          <w:numId w:val="0"/>
        </w:numPr>
        <w:ind w:firstLine="480" w:firstLineChars="200"/>
        <w:rPr>
          <w:rFonts w:hint="eastAsia" w:ascii="宋体" w:hAnsi="宋体" w:eastAsia="宋体" w:cs="宋体"/>
          <w:color w:val="000000" w:themeColor="text1"/>
          <w:kern w:val="2"/>
          <w:sz w:val="24"/>
          <w:szCs w:val="22"/>
          <w:lang w:val="en-US" w:eastAsia="zh-CN" w:bidi="ar-SA"/>
          <w14:textFill>
            <w14:solidFill>
              <w14:schemeClr w14:val="tx1"/>
            </w14:solidFill>
          </w14:textFill>
        </w:rPr>
      </w:pPr>
      <w:r>
        <w:rPr>
          <w:rFonts w:hint="eastAsia" w:ascii="宋体" w:hAnsi="宋体" w:eastAsia="宋体" w:cs="宋体"/>
          <w:color w:val="000000" w:themeColor="text1"/>
          <w:kern w:val="2"/>
          <w:sz w:val="24"/>
          <w:szCs w:val="22"/>
          <w:lang w:val="en-US" w:eastAsia="zh-CN" w:bidi="ar-SA"/>
          <w14:textFill>
            <w14:solidFill>
              <w14:schemeClr w14:val="tx1"/>
            </w14:solidFill>
          </w14:textFill>
        </w:rPr>
        <w:t>低温空气源热泵机组：制热性能按照GB\T25127.1-2010的要求，室外环境温度-25度，机组制热能力90KW以上，机组实测制热性能系数2.26</w:t>
      </w:r>
      <w:r>
        <w:rPr>
          <w:rFonts w:hint="eastAsia" w:cs="宋体"/>
          <w:color w:val="000000" w:themeColor="text1"/>
          <w:kern w:val="2"/>
          <w:sz w:val="24"/>
          <w:szCs w:val="22"/>
          <w:lang w:val="en-US" w:eastAsia="zh-CN" w:bidi="ar-SA"/>
          <w14:textFill>
            <w14:solidFill>
              <w14:schemeClr w14:val="tx1"/>
            </w14:solidFill>
          </w14:textFill>
        </w:rPr>
        <w:t>；</w:t>
      </w:r>
    </w:p>
    <w:p>
      <w:pPr>
        <w:pStyle w:val="5"/>
        <w:rPr>
          <w:rFonts w:hint="eastAsia"/>
          <w:lang w:val="en-US" w:eastAsia="zh-CN"/>
        </w:rPr>
      </w:pPr>
    </w:p>
    <w:p>
      <w:pPr>
        <w:ind w:firstLine="1506" w:firstLineChars="500"/>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木垒县雀仁乡物流园12000平米清洁采暖项目</w:t>
      </w:r>
    </w:p>
    <w:p>
      <w:pPr>
        <w:ind w:firstLine="1506" w:firstLineChars="500"/>
        <w:rPr>
          <w:rFonts w:hint="eastAsia" w:ascii="宋体" w:hAnsi="宋体" w:eastAsia="宋体" w:cs="宋体"/>
          <w:b/>
          <w:bCs/>
          <w:color w:val="auto"/>
          <w:sz w:val="30"/>
          <w:szCs w:val="30"/>
          <w:lang w:val="en-US" w:eastAsia="zh-CN"/>
        </w:rPr>
      </w:pPr>
    </w:p>
    <w:tbl>
      <w:tblPr>
        <w:tblStyle w:val="38"/>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3598"/>
        <w:gridCol w:w="2413"/>
        <w:gridCol w:w="1012"/>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名称</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型号</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单位</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低环境温度空气源热泵</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1"/>
                <w:szCs w:val="21"/>
                <w:lang w:val="en-US"/>
              </w:rPr>
              <w:t>YXCRW</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en-US"/>
              </w:rPr>
              <w:t>00ZB/S(E)</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变压器（含高低压）</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800KVA</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循环水泵</w:t>
            </w:r>
          </w:p>
        </w:tc>
        <w:tc>
          <w:tcPr>
            <w:tcW w:w="2413" w:type="dxa"/>
            <w:noWrap w:val="0"/>
            <w:vAlign w:val="top"/>
          </w:tcPr>
          <w:p>
            <w:pPr>
              <w:numPr>
                <w:ilvl w:val="0"/>
                <w:numId w:val="0"/>
              </w:numP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lang w:val="en-US" w:eastAsia="zh-CN"/>
              </w:rPr>
              <w:t>TD125-11(5.5)</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循环水泵</w:t>
            </w:r>
          </w:p>
        </w:tc>
        <w:tc>
          <w:tcPr>
            <w:tcW w:w="2413" w:type="dxa"/>
            <w:noWrap w:val="0"/>
            <w:vAlign w:val="top"/>
          </w:tcPr>
          <w:p>
            <w:pPr>
              <w:numPr>
                <w:ilvl w:val="0"/>
                <w:numId w:val="0"/>
              </w:numP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TD100-22(7.5)</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循环水泵</w:t>
            </w:r>
          </w:p>
        </w:tc>
        <w:tc>
          <w:tcPr>
            <w:tcW w:w="2413" w:type="dxa"/>
            <w:noWrap w:val="0"/>
            <w:vAlign w:val="top"/>
          </w:tcPr>
          <w:p>
            <w:pPr>
              <w:numPr>
                <w:ilvl w:val="0"/>
                <w:numId w:val="0"/>
              </w:numP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TD80-13(3)</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循环水泵</w:t>
            </w:r>
          </w:p>
        </w:tc>
        <w:tc>
          <w:tcPr>
            <w:tcW w:w="2413" w:type="dxa"/>
            <w:noWrap w:val="0"/>
            <w:vAlign w:val="top"/>
          </w:tcPr>
          <w:p>
            <w:pPr>
              <w:numPr>
                <w:ilvl w:val="0"/>
                <w:numId w:val="0"/>
              </w:numP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TD65-22(4)</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储热水箱</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5T</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储热水箱</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3T</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软化水处理设备</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1T</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智能控制柜</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YXKZG-300</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软连接</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DN200</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Y型过滤器</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DN80</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法兰</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DN80</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镀锌钢管</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DN200</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米</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镀锌钢管</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DN40</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米</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止回阀</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DN40</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压力表</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0.8Mpa</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温度计</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100度</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19</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保温</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30mm</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立方</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主机电缆</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3*35mm</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米</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200</w:t>
            </w:r>
          </w:p>
        </w:tc>
      </w:tr>
    </w:tbl>
    <w:p>
      <w:pPr>
        <w:rPr>
          <w:rFonts w:hint="eastAsia" w:ascii="宋体" w:hAnsi="宋体" w:eastAsia="宋体" w:cs="宋体"/>
          <w:color w:val="auto"/>
        </w:rPr>
      </w:pPr>
    </w:p>
    <w:p>
      <w:pPr>
        <w:rPr>
          <w:rFonts w:hint="eastAsia" w:ascii="宋体" w:hAnsi="宋体" w:eastAsia="宋体" w:cs="宋体"/>
          <w:color w:val="auto"/>
        </w:rPr>
      </w:pPr>
    </w:p>
    <w:p/>
    <w:p/>
    <w:p/>
    <w:p/>
    <w:p/>
    <w:p/>
    <w:p>
      <w:pPr>
        <w:ind w:firstLine="1506" w:firstLineChars="500"/>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木垒县雀仁乡政府办公楼6845平米清洁采暖项目</w:t>
      </w:r>
    </w:p>
    <w:p>
      <w:pPr>
        <w:ind w:firstLine="1506" w:firstLineChars="500"/>
        <w:rPr>
          <w:rFonts w:hint="eastAsia" w:ascii="宋体" w:hAnsi="宋体" w:eastAsia="宋体" w:cs="宋体"/>
          <w:b/>
          <w:bCs/>
          <w:color w:val="auto"/>
          <w:sz w:val="30"/>
          <w:szCs w:val="30"/>
          <w:lang w:val="en-US" w:eastAsia="zh-CN"/>
        </w:rPr>
      </w:pPr>
    </w:p>
    <w:tbl>
      <w:tblPr>
        <w:tblStyle w:val="38"/>
        <w:tblW w:w="8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3598"/>
        <w:gridCol w:w="2413"/>
        <w:gridCol w:w="1012"/>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名称</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型号</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单位</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低环境温度空气源热泵</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1"/>
                <w:szCs w:val="21"/>
                <w:lang w:val="en-US"/>
              </w:rPr>
              <w:t>YXCRW600ZB/S(E)</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低环境温度空气源热泵</w:t>
            </w:r>
          </w:p>
        </w:tc>
        <w:tc>
          <w:tcPr>
            <w:tcW w:w="2413" w:type="dxa"/>
            <w:noWrap w:val="0"/>
            <w:vAlign w:val="top"/>
          </w:tcPr>
          <w:p>
            <w:pPr>
              <w:numPr>
                <w:ilvl w:val="0"/>
                <w:numId w:val="0"/>
              </w:numP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YXCRW</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lang w:val="en-US"/>
              </w:rPr>
              <w:t>0ZB/S(E)</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变压器（含高低压））</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200KVA</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变压器（含高低压）</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250KVA</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循环水泵一次循环</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LP80-17-4</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循环水泵二次循环</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LPP80-35-15</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循环水泵</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LP50-24-3</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保温水箱（不锈钢圆形保温）</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5立方</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补水箱（不锈钢圆形保温）</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1立方</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缓冲水箱</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500L</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软化水处理设备</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1T</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智能控制柜</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YXKZG-400</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智能控制柜</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YXKZG-200</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软连接</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DN80</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Y型过滤器</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DN80</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法兰</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DN150</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法兰</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DN80</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镀锌钢管</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DN150</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米</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19</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镀锌钢管</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DN80</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米</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镀锌钢管</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DN40</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米</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21</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止回阀</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DN80</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22</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电动蝶阀</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DN150</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23</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压力表</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0.8Mpa</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24</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温度计</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100度</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保温</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30mm</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立方</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26</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主机电缆</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4*35mm</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米</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27</w:t>
            </w: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桥架</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200*300</w:t>
            </w: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米</w:t>
            </w: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59" w:type="dxa"/>
            <w:noWrap w:val="0"/>
            <w:vAlign w:val="top"/>
          </w:tcPr>
          <w:p>
            <w:pPr>
              <w:numPr>
                <w:ilvl w:val="0"/>
                <w:numId w:val="0"/>
              </w:numPr>
              <w:rPr>
                <w:rFonts w:hint="eastAsia" w:ascii="宋体" w:hAnsi="宋体" w:eastAsia="宋体" w:cs="宋体"/>
                <w:color w:val="auto"/>
                <w:sz w:val="24"/>
                <w:szCs w:val="24"/>
                <w:vertAlign w:val="baseline"/>
                <w:lang w:val="en-US" w:eastAsia="zh-CN"/>
              </w:rPr>
            </w:pPr>
          </w:p>
        </w:tc>
        <w:tc>
          <w:tcPr>
            <w:tcW w:w="3598" w:type="dxa"/>
            <w:noWrap w:val="0"/>
            <w:vAlign w:val="top"/>
          </w:tcPr>
          <w:p>
            <w:pPr>
              <w:numPr>
                <w:ilvl w:val="0"/>
                <w:numId w:val="0"/>
              </w:num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总计</w:t>
            </w:r>
          </w:p>
        </w:tc>
        <w:tc>
          <w:tcPr>
            <w:tcW w:w="2413" w:type="dxa"/>
            <w:noWrap w:val="0"/>
            <w:vAlign w:val="top"/>
          </w:tcPr>
          <w:p>
            <w:pPr>
              <w:numPr>
                <w:ilvl w:val="0"/>
                <w:numId w:val="0"/>
              </w:numPr>
              <w:rPr>
                <w:rFonts w:hint="eastAsia" w:ascii="宋体" w:hAnsi="宋体" w:eastAsia="宋体" w:cs="宋体"/>
                <w:color w:val="auto"/>
                <w:sz w:val="24"/>
                <w:szCs w:val="24"/>
                <w:vertAlign w:val="baseline"/>
                <w:lang w:val="en-US" w:eastAsia="zh-CN"/>
              </w:rPr>
            </w:pPr>
          </w:p>
        </w:tc>
        <w:tc>
          <w:tcPr>
            <w:tcW w:w="1012" w:type="dxa"/>
            <w:noWrap w:val="0"/>
            <w:vAlign w:val="top"/>
          </w:tcPr>
          <w:p>
            <w:pPr>
              <w:numPr>
                <w:ilvl w:val="0"/>
                <w:numId w:val="0"/>
              </w:numPr>
              <w:rPr>
                <w:rFonts w:hint="eastAsia" w:ascii="宋体" w:hAnsi="宋体" w:eastAsia="宋体" w:cs="宋体"/>
                <w:color w:val="auto"/>
                <w:sz w:val="24"/>
                <w:szCs w:val="24"/>
                <w:vertAlign w:val="baseline"/>
                <w:lang w:val="en-US" w:eastAsia="zh-CN"/>
              </w:rPr>
            </w:pPr>
          </w:p>
        </w:tc>
        <w:tc>
          <w:tcPr>
            <w:tcW w:w="908" w:type="dxa"/>
            <w:noWrap w:val="0"/>
            <w:vAlign w:val="top"/>
          </w:tcPr>
          <w:p>
            <w:pPr>
              <w:numPr>
                <w:ilvl w:val="0"/>
                <w:numId w:val="0"/>
              </w:numPr>
              <w:rPr>
                <w:rFonts w:hint="eastAsia" w:ascii="宋体" w:hAnsi="宋体" w:eastAsia="宋体" w:cs="宋体"/>
                <w:color w:val="auto"/>
                <w:sz w:val="24"/>
                <w:szCs w:val="24"/>
                <w:vertAlign w:val="baseline"/>
                <w:lang w:val="en-US" w:eastAsia="zh-CN"/>
              </w:rPr>
            </w:pPr>
          </w:p>
        </w:tc>
      </w:tr>
    </w:tbl>
    <w:p/>
    <w:p>
      <w:pPr>
        <w:rPr>
          <w:rFonts w:hint="eastAsia"/>
          <w:lang w:val="en-US" w:eastAsia="zh-CN"/>
        </w:rPr>
      </w:pPr>
    </w:p>
    <w:p>
      <w:pPr>
        <w:pStyle w:val="5"/>
        <w:rPr>
          <w:rFonts w:hint="eastAsia"/>
          <w:lang w:val="en-US" w:eastAsia="zh-CN"/>
        </w:rPr>
      </w:pPr>
    </w:p>
    <w:p>
      <w:pPr>
        <w:rPr>
          <w:rFonts w:hint="eastAsia"/>
          <w:lang w:val="en-US" w:eastAsia="zh-CN"/>
        </w:rPr>
      </w:pPr>
    </w:p>
    <w:p>
      <w:pPr>
        <w:rPr>
          <w:rFonts w:hint="eastAsia"/>
          <w:lang w:val="en-US" w:eastAsia="zh-CN"/>
        </w:rPr>
      </w:pPr>
    </w:p>
    <w:p>
      <w:pPr>
        <w:rPr>
          <w:rFonts w:hint="eastAsia"/>
          <w:b/>
          <w:bCs/>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Helvetica Neue">
    <w:altName w:val="Corbel"/>
    <w:panose1 w:val="00000000000000000000"/>
    <w:charset w:val="00"/>
    <w:family w:val="auto"/>
    <w:pitch w:val="default"/>
    <w:sig w:usb0="00000000" w:usb1="00000000" w:usb2="00000000"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rbel">
    <w:panose1 w:val="020B0503020204020204"/>
    <w:charset w:val="00"/>
    <w:family w:val="auto"/>
    <w:pitch w:val="default"/>
    <w:sig w:usb0="A00002EF" w:usb1="4000A44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p>
  <w:p>
    <w:pPr>
      <w:ind w:right="360"/>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DAAB0"/>
    <w:multiLevelType w:val="singleLevel"/>
    <w:tmpl w:val="98CDAAB0"/>
    <w:lvl w:ilvl="0" w:tentative="0">
      <w:start w:val="1"/>
      <w:numFmt w:val="chineseCounting"/>
      <w:suff w:val="space"/>
      <w:lvlText w:val="第%1部分"/>
      <w:lvlJc w:val="left"/>
      <w:rPr>
        <w:rFonts w:hint="eastAsia"/>
      </w:rPr>
    </w:lvl>
  </w:abstractNum>
  <w:abstractNum w:abstractNumId="1">
    <w:nsid w:val="06784D56"/>
    <w:multiLevelType w:val="singleLevel"/>
    <w:tmpl w:val="06784D56"/>
    <w:lvl w:ilvl="0" w:tentative="0">
      <w:start w:val="1"/>
      <w:numFmt w:val="upperLetter"/>
      <w:pStyle w:val="118"/>
      <w:lvlText w:val="附录%1."/>
      <w:lvlJc w:val="left"/>
      <w:pPr>
        <w:tabs>
          <w:tab w:val="left" w:pos="907"/>
        </w:tabs>
        <w:ind w:left="907" w:hanging="907"/>
      </w:pPr>
      <w:rPr>
        <w:rFonts w:hint="eastAsia"/>
      </w:rPr>
    </w:lvl>
  </w:abstractNum>
  <w:abstractNum w:abstractNumId="2">
    <w:nsid w:val="253E05EF"/>
    <w:multiLevelType w:val="multilevel"/>
    <w:tmpl w:val="253E05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A15682F"/>
    <w:multiLevelType w:val="singleLevel"/>
    <w:tmpl w:val="3A15682F"/>
    <w:lvl w:ilvl="0" w:tentative="0">
      <w:start w:val="0"/>
      <w:numFmt w:val="none"/>
      <w:lvlText w:val=""/>
      <w:lvlJc w:val="left"/>
      <w:pPr>
        <w:tabs>
          <w:tab w:val="left" w:pos="360"/>
        </w:tabs>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20C153B"/>
    <w:multiLevelType w:val="multilevel"/>
    <w:tmpl w:val="420C153B"/>
    <w:lvl w:ilvl="0" w:tentative="0">
      <w:start w:val="1"/>
      <w:numFmt w:val="decimal"/>
      <w:pStyle w:val="9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46137EDD"/>
    <w:multiLevelType w:val="multilevel"/>
    <w:tmpl w:val="46137EDD"/>
    <w:lvl w:ilvl="0" w:tentative="0">
      <w:start w:val="1"/>
      <w:numFmt w:val="decimal"/>
      <w:lvlText w:val="%1"/>
      <w:lvlJc w:val="left"/>
      <w:pPr>
        <w:tabs>
          <w:tab w:val="left" w:pos="432"/>
        </w:tabs>
        <w:ind w:left="432" w:hanging="432"/>
        <w:textAlignment w:val="baseline"/>
      </w:pPr>
    </w:lvl>
    <w:lvl w:ilvl="1" w:tentative="0">
      <w:start w:val="1"/>
      <w:numFmt w:val="decimal"/>
      <w:pStyle w:val="56"/>
      <w:lvlText w:val="%1.%2"/>
      <w:lvlJc w:val="left"/>
      <w:pPr>
        <w:tabs>
          <w:tab w:val="left" w:pos="1002"/>
        </w:tabs>
        <w:ind w:left="1002" w:hanging="576"/>
        <w:textAlignment w:val="baseline"/>
      </w:pPr>
    </w:lvl>
    <w:lvl w:ilvl="2" w:tentative="0">
      <w:start w:val="1"/>
      <w:numFmt w:val="decimal"/>
      <w:lvlText w:val="%1.%2.%3"/>
      <w:lvlJc w:val="left"/>
      <w:pPr>
        <w:tabs>
          <w:tab w:val="left" w:pos="720"/>
        </w:tabs>
        <w:ind w:left="720" w:hanging="720"/>
        <w:textAlignment w:val="baseline"/>
      </w:pPr>
    </w:lvl>
    <w:lvl w:ilvl="3" w:tentative="0">
      <w:start w:val="1"/>
      <w:numFmt w:val="decimal"/>
      <w:lvlText w:val="%1.%2.%3.%4"/>
      <w:lvlJc w:val="left"/>
      <w:pPr>
        <w:tabs>
          <w:tab w:val="left" w:pos="864"/>
        </w:tabs>
        <w:ind w:left="864" w:hanging="864"/>
        <w:textAlignment w:val="baseline"/>
      </w:pPr>
    </w:lvl>
    <w:lvl w:ilvl="4" w:tentative="0">
      <w:start w:val="1"/>
      <w:numFmt w:val="decimal"/>
      <w:lvlText w:val="%1.%2.%3.%4.%5"/>
      <w:lvlJc w:val="left"/>
      <w:pPr>
        <w:tabs>
          <w:tab w:val="left" w:pos="1008"/>
        </w:tabs>
        <w:ind w:left="1008" w:hanging="1008"/>
        <w:textAlignment w:val="baseline"/>
      </w:pPr>
    </w:lvl>
    <w:lvl w:ilvl="5" w:tentative="0">
      <w:start w:val="1"/>
      <w:numFmt w:val="decimal"/>
      <w:lvlText w:val="%1.%2.%3.%4.%5.%6"/>
      <w:lvlJc w:val="left"/>
      <w:pPr>
        <w:tabs>
          <w:tab w:val="left" w:pos="1152"/>
        </w:tabs>
        <w:ind w:left="1152" w:hanging="1152"/>
        <w:textAlignment w:val="baseline"/>
      </w:pPr>
    </w:lvl>
    <w:lvl w:ilvl="6" w:tentative="0">
      <w:start w:val="1"/>
      <w:numFmt w:val="decimal"/>
      <w:lvlText w:val="%1.%2.%3.%4.%5.%6.%7"/>
      <w:lvlJc w:val="left"/>
      <w:pPr>
        <w:tabs>
          <w:tab w:val="left" w:pos="1296"/>
        </w:tabs>
        <w:ind w:left="1296" w:hanging="1296"/>
        <w:textAlignment w:val="baseline"/>
      </w:pPr>
    </w:lvl>
    <w:lvl w:ilvl="7" w:tentative="0">
      <w:start w:val="1"/>
      <w:numFmt w:val="decimal"/>
      <w:lvlText w:val="%1.%2.%3.%4.%5.%6.%7.%8"/>
      <w:lvlJc w:val="left"/>
      <w:pPr>
        <w:tabs>
          <w:tab w:val="left" w:pos="1440"/>
        </w:tabs>
        <w:ind w:left="1440" w:hanging="1440"/>
        <w:textAlignment w:val="baseline"/>
      </w:pPr>
    </w:lvl>
    <w:lvl w:ilvl="8" w:tentative="0">
      <w:start w:val="1"/>
      <w:numFmt w:val="decimal"/>
      <w:lvlText w:val="%1.%2.%3.%4.%5.%6.%7.%8.%9"/>
      <w:lvlJc w:val="left"/>
      <w:pPr>
        <w:tabs>
          <w:tab w:val="left" w:pos="1584"/>
        </w:tabs>
        <w:ind w:left="1584" w:hanging="1584"/>
        <w:textAlignment w:val="baseline"/>
      </w:pPr>
    </w:lvl>
  </w:abstractNum>
  <w:abstractNum w:abstractNumId="7">
    <w:nsid w:val="4C0C1BFB"/>
    <w:multiLevelType w:val="singleLevel"/>
    <w:tmpl w:val="4C0C1BFB"/>
    <w:lvl w:ilvl="0" w:tentative="0">
      <w:start w:val="1"/>
      <w:numFmt w:val="decimal"/>
      <w:pStyle w:val="123"/>
      <w:lvlText w:val="（%1）"/>
      <w:lvlJc w:val="left"/>
      <w:pPr>
        <w:tabs>
          <w:tab w:val="left" w:pos="810"/>
        </w:tabs>
        <w:ind w:left="810" w:hanging="810"/>
      </w:pPr>
      <w:rPr>
        <w:rFonts w:hint="eastAsia"/>
      </w:rPr>
    </w:lvl>
  </w:abstractNum>
  <w:abstractNum w:abstractNumId="8">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9">
    <w:nsid w:val="5D490BB4"/>
    <w:multiLevelType w:val="singleLevel"/>
    <w:tmpl w:val="5D490BB4"/>
    <w:lvl w:ilvl="0" w:tentative="0">
      <w:start w:val="2"/>
      <w:numFmt w:val="decimal"/>
      <w:suff w:val="nothing"/>
      <w:lvlText w:val="%1、"/>
      <w:lvlJc w:val="left"/>
    </w:lvl>
  </w:abstractNum>
  <w:num w:numId="1">
    <w:abstractNumId w:val="8"/>
  </w:num>
  <w:num w:numId="2">
    <w:abstractNumId w:val="6"/>
  </w:num>
  <w:num w:numId="3">
    <w:abstractNumId w:val="4"/>
  </w:num>
  <w:num w:numId="4">
    <w:abstractNumId w:val="5"/>
  </w:num>
  <w:num w:numId="5">
    <w:abstractNumId w:val="1"/>
  </w:num>
  <w:num w:numId="6">
    <w:abstractNumId w:val="7"/>
  </w:num>
  <w:num w:numId="7">
    <w:abstractNumId w:val="9"/>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YWNjNTQ4NWM0OWZhYmE2MTFlNTk5YTIwZTc2YTkifQ=="/>
  </w:docVars>
  <w:rsids>
    <w:rsidRoot w:val="00000000"/>
    <w:rsid w:val="01165104"/>
    <w:rsid w:val="076B54B1"/>
    <w:rsid w:val="0BD66FE3"/>
    <w:rsid w:val="0E2761E3"/>
    <w:rsid w:val="0E9A42A0"/>
    <w:rsid w:val="0F75060A"/>
    <w:rsid w:val="10922C37"/>
    <w:rsid w:val="1A332FA9"/>
    <w:rsid w:val="1AD25B5A"/>
    <w:rsid w:val="1B137590"/>
    <w:rsid w:val="1BC147A4"/>
    <w:rsid w:val="1FF350DA"/>
    <w:rsid w:val="207E26D1"/>
    <w:rsid w:val="21F27CA4"/>
    <w:rsid w:val="24242268"/>
    <w:rsid w:val="25203443"/>
    <w:rsid w:val="25245760"/>
    <w:rsid w:val="267A740D"/>
    <w:rsid w:val="278A3680"/>
    <w:rsid w:val="2818222E"/>
    <w:rsid w:val="2AAA6513"/>
    <w:rsid w:val="2C381F3E"/>
    <w:rsid w:val="2E2A1F6D"/>
    <w:rsid w:val="30FB5DBA"/>
    <w:rsid w:val="32683826"/>
    <w:rsid w:val="341763E3"/>
    <w:rsid w:val="342F1271"/>
    <w:rsid w:val="36B64F55"/>
    <w:rsid w:val="3E645317"/>
    <w:rsid w:val="3E78299A"/>
    <w:rsid w:val="3FE01308"/>
    <w:rsid w:val="4418131A"/>
    <w:rsid w:val="452E119F"/>
    <w:rsid w:val="47055BCE"/>
    <w:rsid w:val="49006329"/>
    <w:rsid w:val="49A01265"/>
    <w:rsid w:val="4D4150D1"/>
    <w:rsid w:val="578F6938"/>
    <w:rsid w:val="5AF24AAC"/>
    <w:rsid w:val="5CFE1C68"/>
    <w:rsid w:val="5D113AF2"/>
    <w:rsid w:val="5E287ACF"/>
    <w:rsid w:val="5F4F4CC9"/>
    <w:rsid w:val="60D2407E"/>
    <w:rsid w:val="64F327A4"/>
    <w:rsid w:val="670C3A91"/>
    <w:rsid w:val="6D4A7646"/>
    <w:rsid w:val="7006220D"/>
    <w:rsid w:val="728B07BA"/>
    <w:rsid w:val="73B36BA6"/>
    <w:rsid w:val="7ACB1119"/>
    <w:rsid w:val="7C1903CF"/>
    <w:rsid w:val="7FA90D38"/>
    <w:rsid w:val="7FE51C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4"/>
    <w:qFormat/>
    <w:uiPriority w:val="9"/>
    <w:pPr>
      <w:keepNext/>
      <w:jc w:val="center"/>
      <w:outlineLvl w:val="0"/>
    </w:pPr>
    <w:rPr>
      <w:rFonts w:ascii="楷体_GB2312" w:hAnsi="楷体_GB2312" w:eastAsia="宋体"/>
      <w:b/>
      <w:sz w:val="32"/>
      <w:szCs w:val="32"/>
    </w:rPr>
  </w:style>
  <w:style w:type="paragraph" w:styleId="3">
    <w:name w:val="heading 2"/>
    <w:basedOn w:val="1"/>
    <w:next w:val="1"/>
    <w:link w:val="90"/>
    <w:qFormat/>
    <w:uiPriority w:val="0"/>
    <w:pPr>
      <w:keepNext/>
      <w:keepLines/>
      <w:spacing w:before="200" w:after="200" w:line="480" w:lineRule="auto"/>
      <w:jc w:val="left"/>
      <w:outlineLvl w:val="1"/>
    </w:pPr>
    <w:rPr>
      <w:rFonts w:ascii="Arial" w:hAnsi="Arial" w:eastAsia="宋体" w:cs="Arial"/>
      <w:b/>
      <w:bCs/>
      <w:sz w:val="30"/>
      <w:szCs w:val="30"/>
    </w:rPr>
  </w:style>
  <w:style w:type="paragraph" w:styleId="4">
    <w:name w:val="heading 3"/>
    <w:basedOn w:val="1"/>
    <w:next w:val="5"/>
    <w:link w:val="85"/>
    <w:qFormat/>
    <w:uiPriority w:val="0"/>
    <w:pPr>
      <w:keepNext/>
      <w:keepLines/>
      <w:spacing w:before="200" w:after="100" w:line="480" w:lineRule="auto"/>
      <w:jc w:val="left"/>
      <w:outlineLvl w:val="2"/>
    </w:pPr>
    <w:rPr>
      <w:rFonts w:ascii="Times New Roman" w:hAnsi="Times New Roman" w:eastAsia="宋体"/>
      <w:b/>
      <w:bCs/>
      <w:sz w:val="28"/>
      <w:szCs w:val="32"/>
    </w:rPr>
  </w:style>
  <w:style w:type="paragraph" w:styleId="6">
    <w:name w:val="heading 4"/>
    <w:basedOn w:val="1"/>
    <w:next w:val="1"/>
    <w:link w:val="55"/>
    <w:qFormat/>
    <w:uiPriority w:val="0"/>
    <w:pPr>
      <w:keepNext/>
      <w:keepLines/>
      <w:ind w:firstLine="420" w:firstLineChars="150"/>
      <w:outlineLvl w:val="3"/>
    </w:pPr>
    <w:rPr>
      <w:rFonts w:ascii="Arial" w:hAnsi="Arial" w:cs="Arial"/>
      <w:b/>
      <w:sz w:val="28"/>
      <w:szCs w:val="28"/>
    </w:rPr>
  </w:style>
  <w:style w:type="paragraph" w:styleId="7">
    <w:name w:val="heading 5"/>
    <w:basedOn w:val="1"/>
    <w:next w:val="5"/>
    <w:link w:val="95"/>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link w:val="86"/>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66"/>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67"/>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61"/>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unhideWhenUsed/>
    <w:qFormat/>
    <w:uiPriority w:val="1"/>
  </w:style>
  <w:style w:type="table" w:default="1" w:styleId="37">
    <w:name w:val="Normal Table"/>
    <w:unhideWhenUsed/>
    <w:qFormat/>
    <w:uiPriority w:val="99"/>
    <w:tblPr>
      <w:tblCellMar>
        <w:top w:w="0" w:type="dxa"/>
        <w:left w:w="108" w:type="dxa"/>
        <w:bottom w:w="0" w:type="dxa"/>
        <w:right w:w="108" w:type="dxa"/>
      </w:tblCellMar>
    </w:tblPr>
  </w:style>
  <w:style w:type="paragraph" w:styleId="5">
    <w:name w:val="Normal Indent"/>
    <w:basedOn w:val="1"/>
    <w:next w:val="1"/>
    <w:link w:val="73"/>
    <w:qFormat/>
    <w:uiPriority w:val="0"/>
    <w:pPr>
      <w:ind w:firstLine="420"/>
    </w:pPr>
  </w:style>
  <w:style w:type="paragraph" w:styleId="12">
    <w:name w:val="List 3"/>
    <w:basedOn w:val="1"/>
    <w:qFormat/>
    <w:uiPriority w:val="0"/>
    <w:pPr>
      <w:ind w:left="100" w:leftChars="400" w:hanging="200" w:hangingChars="200"/>
    </w:pPr>
  </w:style>
  <w:style w:type="paragraph" w:styleId="13">
    <w:name w:val="Document Map"/>
    <w:basedOn w:val="1"/>
    <w:link w:val="92"/>
    <w:semiHidden/>
    <w:qFormat/>
    <w:uiPriority w:val="0"/>
    <w:pPr>
      <w:shd w:val="clear" w:color="auto" w:fill="000080"/>
    </w:pPr>
  </w:style>
  <w:style w:type="paragraph" w:styleId="14">
    <w:name w:val="annotation text"/>
    <w:basedOn w:val="1"/>
    <w:semiHidden/>
    <w:qFormat/>
    <w:uiPriority w:val="0"/>
    <w:pPr>
      <w:jc w:val="left"/>
    </w:pPr>
  </w:style>
  <w:style w:type="paragraph" w:styleId="15">
    <w:name w:val="Body Text 3"/>
    <w:basedOn w:val="1"/>
    <w:link w:val="69"/>
    <w:qFormat/>
    <w:uiPriority w:val="0"/>
    <w:rPr>
      <w:rFonts w:ascii="仿宋_GB2312" w:hAnsi="Arial" w:eastAsia="仿宋_GB2312"/>
      <w:sz w:val="32"/>
      <w:szCs w:val="32"/>
    </w:rPr>
  </w:style>
  <w:style w:type="paragraph" w:styleId="16">
    <w:name w:val="Body Text"/>
    <w:basedOn w:val="1"/>
    <w:next w:val="1"/>
    <w:link w:val="65"/>
    <w:qFormat/>
    <w:uiPriority w:val="0"/>
    <w:rPr>
      <w:rFonts w:ascii="楷体_GB2312" w:hAnsi="Arial" w:eastAsia="楷体_GB2312"/>
      <w:sz w:val="28"/>
      <w:szCs w:val="28"/>
    </w:rPr>
  </w:style>
  <w:style w:type="paragraph" w:styleId="17">
    <w:name w:val="Body Text Indent"/>
    <w:basedOn w:val="1"/>
    <w:next w:val="6"/>
    <w:link w:val="71"/>
    <w:qFormat/>
    <w:uiPriority w:val="0"/>
    <w:pPr>
      <w:ind w:firstLine="645"/>
    </w:pPr>
    <w:rPr>
      <w:rFonts w:ascii="楷体_GB2312" w:eastAsia="楷体_GB2312"/>
      <w:sz w:val="32"/>
      <w:szCs w:val="32"/>
    </w:rPr>
  </w:style>
  <w:style w:type="paragraph" w:styleId="18">
    <w:name w:val="List 2"/>
    <w:basedOn w:val="1"/>
    <w:qFormat/>
    <w:uiPriority w:val="0"/>
    <w:pPr>
      <w:ind w:left="100" w:leftChars="200" w:hanging="200" w:hangingChars="200"/>
    </w:pPr>
  </w:style>
  <w:style w:type="paragraph" w:styleId="19">
    <w:name w:val="toc 3"/>
    <w:basedOn w:val="20"/>
    <w:next w:val="1"/>
    <w:qFormat/>
    <w:uiPriority w:val="39"/>
    <w:pPr>
      <w:ind w:left="840" w:leftChars="400"/>
    </w:pPr>
  </w:style>
  <w:style w:type="paragraph" w:styleId="20">
    <w:name w:val="toc 1"/>
    <w:basedOn w:val="1"/>
    <w:next w:val="1"/>
    <w:unhideWhenUsed/>
    <w:qFormat/>
    <w:uiPriority w:val="39"/>
    <w:pPr>
      <w:widowControl/>
      <w:spacing w:after="100" w:line="259" w:lineRule="auto"/>
      <w:jc w:val="left"/>
    </w:pPr>
    <w:rPr>
      <w:rFonts w:ascii="Calibri" w:hAnsi="Calibri"/>
      <w:kern w:val="0"/>
      <w:sz w:val="22"/>
      <w:szCs w:val="22"/>
    </w:rPr>
  </w:style>
  <w:style w:type="paragraph" w:styleId="21">
    <w:name w:val="Plain Text"/>
    <w:basedOn w:val="1"/>
    <w:link w:val="94"/>
    <w:qFormat/>
    <w:uiPriority w:val="0"/>
    <w:rPr>
      <w:rFonts w:ascii="宋体" w:hAnsi="Courier New" w:cs="Courier New"/>
    </w:rPr>
  </w:style>
  <w:style w:type="paragraph" w:styleId="22">
    <w:name w:val="Date"/>
    <w:basedOn w:val="1"/>
    <w:next w:val="1"/>
    <w:link w:val="77"/>
    <w:qFormat/>
    <w:uiPriority w:val="0"/>
    <w:rPr>
      <w:sz w:val="24"/>
      <w:szCs w:val="24"/>
    </w:rPr>
  </w:style>
  <w:style w:type="paragraph" w:styleId="23">
    <w:name w:val="Body Text Indent 2"/>
    <w:basedOn w:val="1"/>
    <w:link w:val="72"/>
    <w:qFormat/>
    <w:uiPriority w:val="0"/>
    <w:pPr>
      <w:ind w:left="630" w:firstLine="645"/>
    </w:pPr>
    <w:rPr>
      <w:rFonts w:ascii="Arial" w:hAnsi="Arial" w:eastAsia="仿宋_GB2312" w:cs="Arial"/>
      <w:sz w:val="32"/>
      <w:szCs w:val="32"/>
    </w:rPr>
  </w:style>
  <w:style w:type="paragraph" w:styleId="24">
    <w:name w:val="Balloon Text"/>
    <w:basedOn w:val="1"/>
    <w:link w:val="96"/>
    <w:semiHidden/>
    <w:qFormat/>
    <w:uiPriority w:val="0"/>
    <w:rPr>
      <w:sz w:val="18"/>
      <w:szCs w:val="18"/>
    </w:rPr>
  </w:style>
  <w:style w:type="paragraph" w:styleId="25">
    <w:name w:val="footer"/>
    <w:basedOn w:val="1"/>
    <w:link w:val="70"/>
    <w:qFormat/>
    <w:uiPriority w:val="99"/>
    <w:pPr>
      <w:tabs>
        <w:tab w:val="center" w:pos="4153"/>
        <w:tab w:val="right" w:pos="8306"/>
      </w:tabs>
      <w:snapToGrid w:val="0"/>
      <w:jc w:val="left"/>
    </w:pPr>
    <w:rPr>
      <w:rFonts w:cs="Symbol"/>
      <w:color w:val="000000" w:themeColor="text1"/>
      <w:sz w:val="18"/>
      <w:szCs w:val="18"/>
      <w14:textFill>
        <w14:solidFill>
          <w14:schemeClr w14:val="tx1"/>
        </w14:solidFill>
      </w14:textFill>
    </w:rPr>
  </w:style>
  <w:style w:type="paragraph" w:styleId="26">
    <w:name w:val="header"/>
    <w:basedOn w:val="1"/>
    <w:link w:val="88"/>
    <w:qFormat/>
    <w:uiPriority w:val="99"/>
    <w:pPr>
      <w:pBdr>
        <w:bottom w:val="single" w:color="auto" w:sz="6" w:space="1"/>
      </w:pBdr>
      <w:tabs>
        <w:tab w:val="center" w:pos="4153"/>
        <w:tab w:val="right" w:pos="8306"/>
      </w:tabs>
      <w:snapToGrid w:val="0"/>
      <w:jc w:val="center"/>
    </w:pPr>
    <w:rPr>
      <w:sz w:val="18"/>
      <w:szCs w:val="18"/>
    </w:rPr>
  </w:style>
  <w:style w:type="paragraph" w:styleId="27">
    <w:name w:val="toc 4"/>
    <w:basedOn w:val="1"/>
    <w:next w:val="1"/>
    <w:qFormat/>
    <w:uiPriority w:val="39"/>
    <w:pPr>
      <w:ind w:left="960"/>
      <w:jc w:val="left"/>
    </w:pPr>
    <w:rPr>
      <w:rFonts w:ascii="Calibri" w:hAnsi="Calibri"/>
      <w:sz w:val="18"/>
      <w:szCs w:val="18"/>
    </w:rPr>
  </w:style>
  <w:style w:type="paragraph" w:styleId="28">
    <w:name w:val="List"/>
    <w:basedOn w:val="1"/>
    <w:qFormat/>
    <w:uiPriority w:val="0"/>
    <w:pPr>
      <w:ind w:left="200" w:hanging="200" w:hangingChars="200"/>
    </w:pPr>
  </w:style>
  <w:style w:type="paragraph" w:styleId="29">
    <w:name w:val="footnote text"/>
    <w:basedOn w:val="1"/>
    <w:qFormat/>
    <w:uiPriority w:val="0"/>
    <w:pPr>
      <w:snapToGrid w:val="0"/>
      <w:jc w:val="left"/>
    </w:pPr>
    <w:rPr>
      <w:sz w:val="18"/>
    </w:rPr>
  </w:style>
  <w:style w:type="paragraph" w:styleId="30">
    <w:name w:val="Body Text Indent 3"/>
    <w:basedOn w:val="1"/>
    <w:link w:val="87"/>
    <w:qFormat/>
    <w:uiPriority w:val="0"/>
    <w:pPr>
      <w:ind w:left="645" w:firstLine="645"/>
    </w:pPr>
    <w:rPr>
      <w:rFonts w:ascii="Arial" w:hAnsi="Arial" w:eastAsia="仿宋_GB2312" w:cs="Arial"/>
      <w:color w:val="FFFF00"/>
      <w:sz w:val="32"/>
      <w:szCs w:val="32"/>
    </w:rPr>
  </w:style>
  <w:style w:type="paragraph" w:styleId="31">
    <w:name w:val="toc 2"/>
    <w:basedOn w:val="20"/>
    <w:next w:val="1"/>
    <w:qFormat/>
    <w:uiPriority w:val="39"/>
    <w:pPr>
      <w:ind w:left="210"/>
      <w:jc w:val="left"/>
    </w:pPr>
    <w:rPr>
      <w:smallCaps/>
      <w:szCs w:val="24"/>
    </w:rPr>
  </w:style>
  <w:style w:type="paragraph" w:styleId="32">
    <w:name w:val="Body Text 2"/>
    <w:basedOn w:val="1"/>
    <w:link w:val="93"/>
    <w:qFormat/>
    <w:uiPriority w:val="0"/>
    <w:pPr>
      <w:widowControl/>
      <w:jc w:val="center"/>
    </w:pPr>
    <w:rPr>
      <w:rFonts w:ascii="楷体_GB2312" w:eastAsia="楷体_GB2312"/>
      <w:sz w:val="28"/>
      <w:szCs w:val="28"/>
    </w:rPr>
  </w:style>
  <w:style w:type="paragraph" w:styleId="33">
    <w:name w:val="Normal (Web)"/>
    <w:basedOn w:val="1"/>
    <w:next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annotation subject"/>
    <w:basedOn w:val="14"/>
    <w:next w:val="14"/>
    <w:link w:val="89"/>
    <w:semiHidden/>
    <w:qFormat/>
    <w:uiPriority w:val="0"/>
    <w:rPr>
      <w:b/>
      <w:bCs/>
    </w:rPr>
  </w:style>
  <w:style w:type="paragraph" w:styleId="35">
    <w:name w:val="Body Text First Indent"/>
    <w:basedOn w:val="16"/>
    <w:link w:val="91"/>
    <w:qFormat/>
    <w:uiPriority w:val="0"/>
    <w:pPr>
      <w:spacing w:line="360" w:lineRule="auto"/>
      <w:ind w:firstLine="200" w:firstLineChars="200"/>
    </w:pPr>
    <w:rPr>
      <w:rFonts w:ascii="仿宋_GB2312" w:eastAsia="仿宋_GB2312"/>
      <w:sz w:val="30"/>
      <w:szCs w:val="30"/>
    </w:rPr>
  </w:style>
  <w:style w:type="paragraph" w:styleId="36">
    <w:name w:val="Body Text First Indent 2"/>
    <w:basedOn w:val="17"/>
    <w:next w:val="16"/>
    <w:link w:val="74"/>
    <w:qFormat/>
    <w:uiPriority w:val="0"/>
    <w:pPr>
      <w:spacing w:line="360" w:lineRule="auto"/>
      <w:ind w:firstLine="420" w:firstLineChars="200"/>
    </w:pPr>
    <w:rPr>
      <w:rFonts w:ascii="宋体" w:hAnsi="宋体" w:eastAsia="宋体"/>
      <w:sz w:val="21"/>
      <w:szCs w:val="20"/>
    </w:r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bCs/>
    </w:rPr>
  </w:style>
  <w:style w:type="character" w:styleId="41">
    <w:name w:val="page number"/>
    <w:basedOn w:val="39"/>
    <w:qFormat/>
    <w:uiPriority w:val="0"/>
  </w:style>
  <w:style w:type="character" w:styleId="42">
    <w:name w:val="FollowedHyperlink"/>
    <w:qFormat/>
    <w:uiPriority w:val="99"/>
    <w:rPr>
      <w:color w:val="800080"/>
      <w:u w:val="single"/>
    </w:rPr>
  </w:style>
  <w:style w:type="character" w:styleId="43">
    <w:name w:val="Emphasis"/>
    <w:basedOn w:val="39"/>
    <w:qFormat/>
    <w:uiPriority w:val="0"/>
  </w:style>
  <w:style w:type="character" w:styleId="44">
    <w:name w:val="HTML Definition"/>
    <w:basedOn w:val="39"/>
    <w:qFormat/>
    <w:uiPriority w:val="0"/>
  </w:style>
  <w:style w:type="character" w:styleId="45">
    <w:name w:val="HTML Typewriter"/>
    <w:basedOn w:val="39"/>
    <w:qFormat/>
    <w:uiPriority w:val="0"/>
    <w:rPr>
      <w:rFonts w:hint="default" w:ascii="monospace" w:hAnsi="monospace" w:eastAsia="monospace" w:cs="monospace"/>
      <w:sz w:val="20"/>
    </w:rPr>
  </w:style>
  <w:style w:type="character" w:styleId="46">
    <w:name w:val="HTML Acronym"/>
    <w:basedOn w:val="39"/>
    <w:qFormat/>
    <w:uiPriority w:val="0"/>
  </w:style>
  <w:style w:type="character" w:styleId="47">
    <w:name w:val="HTML Variable"/>
    <w:basedOn w:val="39"/>
    <w:qFormat/>
    <w:uiPriority w:val="0"/>
  </w:style>
  <w:style w:type="character" w:styleId="48">
    <w:name w:val="Hyperlink"/>
    <w:qFormat/>
    <w:uiPriority w:val="99"/>
    <w:rPr>
      <w:color w:val="0000FF"/>
      <w:u w:val="single"/>
    </w:rPr>
  </w:style>
  <w:style w:type="character" w:styleId="49">
    <w:name w:val="HTML Code"/>
    <w:basedOn w:val="39"/>
    <w:qFormat/>
    <w:uiPriority w:val="0"/>
    <w:rPr>
      <w:rFonts w:hint="default" w:ascii="monospace" w:hAnsi="monospace" w:eastAsia="monospace" w:cs="monospace"/>
      <w:sz w:val="20"/>
    </w:rPr>
  </w:style>
  <w:style w:type="character" w:styleId="50">
    <w:name w:val="annotation reference"/>
    <w:qFormat/>
    <w:uiPriority w:val="0"/>
    <w:rPr>
      <w:sz w:val="21"/>
      <w:szCs w:val="21"/>
    </w:rPr>
  </w:style>
  <w:style w:type="character" w:styleId="51">
    <w:name w:val="HTML Cite"/>
    <w:basedOn w:val="39"/>
    <w:qFormat/>
    <w:uiPriority w:val="0"/>
  </w:style>
  <w:style w:type="character" w:styleId="52">
    <w:name w:val="HTML Keyboard"/>
    <w:basedOn w:val="39"/>
    <w:qFormat/>
    <w:uiPriority w:val="0"/>
    <w:rPr>
      <w:rFonts w:hint="default" w:ascii="monospace" w:hAnsi="monospace" w:eastAsia="monospace" w:cs="monospace"/>
      <w:sz w:val="20"/>
    </w:rPr>
  </w:style>
  <w:style w:type="character" w:styleId="53">
    <w:name w:val="HTML Sample"/>
    <w:basedOn w:val="39"/>
    <w:qFormat/>
    <w:uiPriority w:val="0"/>
    <w:rPr>
      <w:rFonts w:ascii="monospace" w:hAnsi="monospace" w:eastAsia="monospace" w:cs="monospace"/>
    </w:rPr>
  </w:style>
  <w:style w:type="character" w:customStyle="1" w:styleId="54">
    <w:name w:val="标题 1 字符"/>
    <w:link w:val="2"/>
    <w:qFormat/>
    <w:uiPriority w:val="9"/>
    <w:rPr>
      <w:rFonts w:ascii="楷体_GB2312" w:hAnsi="楷体_GB2312" w:eastAsia="宋体"/>
      <w:b/>
      <w:kern w:val="2"/>
      <w:sz w:val="32"/>
      <w:szCs w:val="32"/>
      <w:lang w:val="en-US" w:eastAsia="zh-CN" w:bidi="ar-SA"/>
    </w:rPr>
  </w:style>
  <w:style w:type="character" w:customStyle="1" w:styleId="55">
    <w:name w:val="标题 4 字符"/>
    <w:link w:val="6"/>
    <w:qFormat/>
    <w:uiPriority w:val="0"/>
    <w:rPr>
      <w:rFonts w:ascii="Arial" w:hAnsi="Arial" w:eastAsia="宋体" w:cs="Arial"/>
      <w:b/>
      <w:kern w:val="2"/>
      <w:sz w:val="28"/>
      <w:szCs w:val="28"/>
      <w:lang w:val="en-US" w:eastAsia="zh-CN" w:bidi="ar-SA"/>
    </w:rPr>
  </w:style>
  <w:style w:type="paragraph" w:customStyle="1" w:styleId="56">
    <w:name w:val="Heading2"/>
    <w:basedOn w:val="1"/>
    <w:next w:val="1"/>
    <w:qFormat/>
    <w:uiPriority w:val="0"/>
    <w:pPr>
      <w:keepNext/>
      <w:keepLines/>
      <w:numPr>
        <w:ilvl w:val="1"/>
        <w:numId w:val="2"/>
      </w:numPr>
      <w:spacing w:before="260" w:after="260" w:line="416" w:lineRule="auto"/>
    </w:pPr>
    <w:rPr>
      <w:rFonts w:ascii="宋体" w:hAnsi="宋体"/>
      <w:b/>
      <w:bCs/>
      <w:sz w:val="32"/>
      <w:szCs w:val="32"/>
    </w:rPr>
  </w:style>
  <w:style w:type="paragraph" w:customStyle="1" w:styleId="57">
    <w:name w:val="Body Text First Indent 21"/>
    <w:basedOn w:val="58"/>
    <w:qFormat/>
    <w:uiPriority w:val="99"/>
    <w:pPr>
      <w:ind w:firstLine="420"/>
    </w:pPr>
  </w:style>
  <w:style w:type="paragraph" w:customStyle="1" w:styleId="58">
    <w:name w:val="Body Text Indent1"/>
    <w:basedOn w:val="1"/>
    <w:qFormat/>
    <w:uiPriority w:val="99"/>
    <w:pPr>
      <w:ind w:left="420" w:leftChars="200"/>
    </w:pPr>
    <w:rPr>
      <w:rFonts w:ascii="Times New Roman" w:hAnsi="Times New Roman"/>
    </w:rPr>
  </w:style>
  <w:style w:type="paragraph" w:customStyle="1" w:styleId="59">
    <w:name w:val="标题 5（有编号）（绿盟科技）"/>
    <w:basedOn w:val="1"/>
    <w:next w:val="60"/>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6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61">
    <w:name w:val="标题 9 字符"/>
    <w:link w:val="11"/>
    <w:qFormat/>
    <w:uiPriority w:val="0"/>
    <w:rPr>
      <w:rFonts w:ascii="Arial" w:hAnsi="Arial" w:eastAsia="黑体"/>
      <w:kern w:val="2"/>
      <w:sz w:val="21"/>
      <w:szCs w:val="21"/>
      <w:lang w:val="en-US" w:eastAsia="zh-CN" w:bidi="ar-SA"/>
    </w:rPr>
  </w:style>
  <w:style w:type="character" w:customStyle="1" w:styleId="62">
    <w:name w:val="正文缩进 Char"/>
    <w:qFormat/>
    <w:uiPriority w:val="0"/>
    <w:rPr>
      <w:kern w:val="2"/>
      <w:sz w:val="21"/>
      <w:szCs w:val="21"/>
    </w:rPr>
  </w:style>
  <w:style w:type="character" w:customStyle="1" w:styleId="63">
    <w:name w:val="列出段落 Char"/>
    <w:link w:val="64"/>
    <w:qFormat/>
    <w:locked/>
    <w:uiPriority w:val="0"/>
    <w:rPr>
      <w:rFonts w:ascii="Calibri" w:hAnsi="Calibri"/>
      <w:sz w:val="24"/>
      <w:szCs w:val="24"/>
      <w:lang w:eastAsia="en-US" w:bidi="en-US"/>
    </w:rPr>
  </w:style>
  <w:style w:type="paragraph" w:customStyle="1" w:styleId="64">
    <w:name w:val="列出段落11"/>
    <w:basedOn w:val="1"/>
    <w:link w:val="63"/>
    <w:qFormat/>
    <w:uiPriority w:val="0"/>
    <w:pPr>
      <w:widowControl/>
      <w:ind w:left="720"/>
      <w:contextualSpacing/>
      <w:jc w:val="left"/>
    </w:pPr>
    <w:rPr>
      <w:rFonts w:ascii="Calibri" w:hAnsi="Calibri"/>
      <w:kern w:val="0"/>
      <w:sz w:val="24"/>
      <w:szCs w:val="24"/>
      <w:lang w:eastAsia="en-US" w:bidi="en-US"/>
    </w:rPr>
  </w:style>
  <w:style w:type="character" w:customStyle="1" w:styleId="65">
    <w:name w:val="正文文本 字符"/>
    <w:link w:val="16"/>
    <w:qFormat/>
    <w:uiPriority w:val="0"/>
    <w:rPr>
      <w:rFonts w:ascii="楷体_GB2312" w:hAnsi="Arial" w:eastAsia="楷体_GB2312"/>
      <w:kern w:val="2"/>
      <w:sz w:val="28"/>
      <w:szCs w:val="28"/>
      <w:lang w:val="en-US" w:eastAsia="zh-CN" w:bidi="ar-SA"/>
    </w:rPr>
  </w:style>
  <w:style w:type="character" w:customStyle="1" w:styleId="66">
    <w:name w:val="标题 7 字符"/>
    <w:link w:val="9"/>
    <w:qFormat/>
    <w:uiPriority w:val="0"/>
    <w:rPr>
      <w:rFonts w:eastAsia="宋体"/>
      <w:b/>
      <w:bCs/>
      <w:kern w:val="2"/>
      <w:sz w:val="24"/>
      <w:szCs w:val="24"/>
      <w:lang w:val="en-US" w:eastAsia="zh-CN" w:bidi="ar-SA"/>
    </w:rPr>
  </w:style>
  <w:style w:type="character" w:customStyle="1" w:styleId="67">
    <w:name w:val="标题 8 字符"/>
    <w:link w:val="10"/>
    <w:qFormat/>
    <w:uiPriority w:val="0"/>
    <w:rPr>
      <w:rFonts w:ascii="Arial" w:hAnsi="Arial" w:eastAsia="黑体"/>
      <w:kern w:val="2"/>
      <w:sz w:val="24"/>
      <w:szCs w:val="24"/>
      <w:lang w:val="en-US" w:eastAsia="zh-CN" w:bidi="ar-SA"/>
    </w:rPr>
  </w:style>
  <w:style w:type="character" w:customStyle="1" w:styleId="68">
    <w:name w:val="正文首行缩进 Char"/>
    <w:qFormat/>
    <w:uiPriority w:val="0"/>
    <w:rPr>
      <w:rFonts w:ascii="仿宋_GB2312" w:hAnsi="Times New Roman" w:eastAsia="仿宋_GB2312" w:cs="Times New Roman"/>
      <w:kern w:val="2"/>
      <w:sz w:val="30"/>
      <w:szCs w:val="30"/>
    </w:rPr>
  </w:style>
  <w:style w:type="character" w:customStyle="1" w:styleId="69">
    <w:name w:val="正文文本 3 字符"/>
    <w:link w:val="15"/>
    <w:qFormat/>
    <w:uiPriority w:val="0"/>
    <w:rPr>
      <w:rFonts w:ascii="仿宋_GB2312" w:hAnsi="Arial" w:eastAsia="仿宋_GB2312"/>
      <w:kern w:val="2"/>
      <w:sz w:val="32"/>
      <w:szCs w:val="32"/>
      <w:lang w:val="en-US" w:eastAsia="zh-CN" w:bidi="ar-SA"/>
    </w:rPr>
  </w:style>
  <w:style w:type="character" w:customStyle="1" w:styleId="70">
    <w:name w:val="页脚 字符"/>
    <w:link w:val="25"/>
    <w:qFormat/>
    <w:uiPriority w:val="99"/>
    <w:rPr>
      <w:rFonts w:eastAsia="宋体" w:cs="Symbol"/>
      <w:color w:val="000000" w:themeColor="text1"/>
      <w:kern w:val="2"/>
      <w:sz w:val="18"/>
      <w:szCs w:val="18"/>
      <w:lang w:bidi="ar-SA"/>
      <w14:textFill>
        <w14:solidFill>
          <w14:schemeClr w14:val="tx1"/>
        </w14:solidFill>
      </w14:textFill>
    </w:rPr>
  </w:style>
  <w:style w:type="character" w:customStyle="1" w:styleId="71">
    <w:name w:val="正文文本缩进 字符"/>
    <w:link w:val="17"/>
    <w:qFormat/>
    <w:uiPriority w:val="0"/>
    <w:rPr>
      <w:rFonts w:ascii="楷体_GB2312" w:eastAsia="楷体_GB2312"/>
      <w:kern w:val="2"/>
      <w:sz w:val="32"/>
      <w:szCs w:val="32"/>
      <w:lang w:val="en-US" w:eastAsia="zh-CN" w:bidi="ar-SA"/>
    </w:rPr>
  </w:style>
  <w:style w:type="character" w:customStyle="1" w:styleId="72">
    <w:name w:val="正文文本缩进 2 字符"/>
    <w:link w:val="23"/>
    <w:qFormat/>
    <w:uiPriority w:val="0"/>
    <w:rPr>
      <w:rFonts w:ascii="Arial" w:hAnsi="Arial" w:eastAsia="仿宋_GB2312" w:cs="Arial"/>
      <w:kern w:val="2"/>
      <w:sz w:val="32"/>
      <w:szCs w:val="32"/>
      <w:lang w:val="en-US" w:eastAsia="zh-CN" w:bidi="ar-SA"/>
    </w:rPr>
  </w:style>
  <w:style w:type="character" w:customStyle="1" w:styleId="73">
    <w:name w:val="正文缩进 字符1"/>
    <w:link w:val="5"/>
    <w:qFormat/>
    <w:uiPriority w:val="0"/>
    <w:rPr>
      <w:rFonts w:eastAsia="宋体"/>
      <w:kern w:val="2"/>
      <w:sz w:val="21"/>
      <w:szCs w:val="21"/>
      <w:lang w:bidi="ar-SA"/>
    </w:rPr>
  </w:style>
  <w:style w:type="character" w:customStyle="1" w:styleId="74">
    <w:name w:val="正文文本首行缩进 2 字符"/>
    <w:link w:val="36"/>
    <w:qFormat/>
    <w:uiPriority w:val="0"/>
    <w:rPr>
      <w:rFonts w:ascii="宋体" w:hAnsi="宋体" w:eastAsia="宋体"/>
      <w:kern w:val="2"/>
      <w:sz w:val="21"/>
      <w:lang w:val="en-US" w:eastAsia="zh-CN" w:bidi="ar-SA"/>
    </w:rPr>
  </w:style>
  <w:style w:type="character" w:customStyle="1" w:styleId="75">
    <w:name w:val="正文首行缩进（qhb） Char"/>
    <w:link w:val="76"/>
    <w:qFormat/>
    <w:uiPriority w:val="0"/>
    <w:rPr>
      <w:rFonts w:ascii="Arial" w:hAnsi="Arial"/>
      <w:sz w:val="24"/>
      <w:szCs w:val="21"/>
    </w:rPr>
  </w:style>
  <w:style w:type="paragraph" w:customStyle="1" w:styleId="76">
    <w:name w:val="正文首行缩进（qhb）"/>
    <w:basedOn w:val="1"/>
    <w:link w:val="75"/>
    <w:qFormat/>
    <w:uiPriority w:val="0"/>
    <w:pPr>
      <w:widowControl/>
      <w:spacing w:after="50" w:line="360" w:lineRule="auto"/>
      <w:ind w:firstLine="200" w:firstLineChars="200"/>
      <w:jc w:val="left"/>
    </w:pPr>
    <w:rPr>
      <w:rFonts w:ascii="Arial" w:hAnsi="Arial"/>
      <w:kern w:val="0"/>
      <w:sz w:val="24"/>
    </w:rPr>
  </w:style>
  <w:style w:type="character" w:customStyle="1" w:styleId="77">
    <w:name w:val="日期 字符"/>
    <w:link w:val="22"/>
    <w:qFormat/>
    <w:uiPriority w:val="0"/>
    <w:rPr>
      <w:rFonts w:eastAsia="宋体"/>
      <w:kern w:val="2"/>
      <w:sz w:val="24"/>
      <w:szCs w:val="24"/>
      <w:lang w:val="en-US" w:eastAsia="zh-CN" w:bidi="ar-SA"/>
    </w:rPr>
  </w:style>
  <w:style w:type="character" w:customStyle="1" w:styleId="78">
    <w:name w:val="font5 Char"/>
    <w:qFormat/>
    <w:uiPriority w:val="0"/>
    <w:rPr>
      <w:rFonts w:ascii="宋体" w:hAnsi="宋体" w:eastAsia="宋体"/>
      <w:sz w:val="28"/>
      <w:szCs w:val="28"/>
      <w:lang w:val="en-US" w:eastAsia="zh-CN" w:bidi="ar-SA"/>
    </w:rPr>
  </w:style>
  <w:style w:type="character" w:customStyle="1" w:styleId="79">
    <w:name w:val="Char Char2"/>
    <w:qFormat/>
    <w:uiPriority w:val="0"/>
    <w:rPr>
      <w:rFonts w:ascii="Times New Roman" w:hAnsi="Times New Roman" w:eastAsia="宋体" w:cs="Times New Roman"/>
      <w:szCs w:val="21"/>
    </w:rPr>
  </w:style>
  <w:style w:type="character" w:customStyle="1" w:styleId="80">
    <w:name w:val="正文格式 Char"/>
    <w:link w:val="81"/>
    <w:qFormat/>
    <w:uiPriority w:val="0"/>
    <w:rPr>
      <w:rFonts w:eastAsia="仿宋_GB2312"/>
      <w:sz w:val="28"/>
      <w:lang w:bidi="ar-SA"/>
    </w:rPr>
  </w:style>
  <w:style w:type="paragraph" w:customStyle="1" w:styleId="81">
    <w:name w:val="正文格式"/>
    <w:basedOn w:val="1"/>
    <w:link w:val="80"/>
    <w:qFormat/>
    <w:uiPriority w:val="0"/>
    <w:pPr>
      <w:widowControl/>
      <w:adjustRightInd w:val="0"/>
      <w:snapToGrid w:val="0"/>
      <w:spacing w:before="100" w:beforeAutospacing="1" w:line="360" w:lineRule="auto"/>
      <w:ind w:firstLine="200" w:firstLineChars="200"/>
      <w:textAlignment w:val="baseline"/>
    </w:pPr>
    <w:rPr>
      <w:rFonts w:eastAsia="仿宋_GB2312"/>
      <w:kern w:val="0"/>
      <w:sz w:val="28"/>
      <w:szCs w:val="20"/>
    </w:rPr>
  </w:style>
  <w:style w:type="character" w:customStyle="1" w:styleId="82">
    <w:name w:val="二级目录 Char"/>
    <w:link w:val="83"/>
    <w:qFormat/>
    <w:uiPriority w:val="0"/>
    <w:rPr>
      <w:rFonts w:eastAsia="Times New Roman"/>
      <w:b/>
      <w:kern w:val="2"/>
      <w:sz w:val="30"/>
      <w:szCs w:val="28"/>
      <w:lang w:val="en-US" w:eastAsia="zh-CN" w:bidi="ar-SA"/>
    </w:rPr>
  </w:style>
  <w:style w:type="paragraph" w:customStyle="1" w:styleId="83">
    <w:name w:val="二级目录"/>
    <w:next w:val="1"/>
    <w:link w:val="82"/>
    <w:qFormat/>
    <w:uiPriority w:val="0"/>
    <w:pPr>
      <w:tabs>
        <w:tab w:val="left" w:pos="907"/>
        <w:tab w:val="left" w:pos="1145"/>
      </w:tabs>
      <w:ind w:left="907" w:hanging="907"/>
      <w:outlineLvl w:val="1"/>
    </w:pPr>
    <w:rPr>
      <w:rFonts w:ascii="Times New Roman" w:hAnsi="Times New Roman" w:eastAsia="Times New Roman" w:cs="Times New Roman"/>
      <w:b/>
      <w:kern w:val="2"/>
      <w:sz w:val="30"/>
      <w:szCs w:val="28"/>
      <w:lang w:val="en-US" w:eastAsia="zh-CN" w:bidi="ar-SA"/>
    </w:rPr>
  </w:style>
  <w:style w:type="character" w:customStyle="1" w:styleId="84">
    <w:name w:val="Char Char6"/>
    <w:qFormat/>
    <w:uiPriority w:val="0"/>
    <w:rPr>
      <w:rFonts w:ascii="Times New Roman" w:hAnsi="Times New Roman" w:eastAsia="宋体" w:cs="Times New Roman"/>
      <w:sz w:val="18"/>
      <w:szCs w:val="18"/>
    </w:rPr>
  </w:style>
  <w:style w:type="character" w:customStyle="1" w:styleId="85">
    <w:name w:val="标题 3 字符"/>
    <w:link w:val="4"/>
    <w:qFormat/>
    <w:uiPriority w:val="0"/>
    <w:rPr>
      <w:rFonts w:ascii="Times New Roman" w:hAnsi="Times New Roman" w:eastAsia="宋体"/>
      <w:b/>
      <w:bCs/>
      <w:kern w:val="2"/>
      <w:sz w:val="28"/>
      <w:szCs w:val="32"/>
      <w:lang w:val="en-US" w:eastAsia="zh-CN" w:bidi="ar-SA"/>
    </w:rPr>
  </w:style>
  <w:style w:type="character" w:customStyle="1" w:styleId="86">
    <w:name w:val="标题 6 字符"/>
    <w:link w:val="8"/>
    <w:qFormat/>
    <w:uiPriority w:val="0"/>
    <w:rPr>
      <w:rFonts w:ascii="Arial" w:hAnsi="Arial" w:eastAsia="黑体"/>
      <w:b/>
      <w:bCs/>
      <w:kern w:val="2"/>
      <w:sz w:val="24"/>
      <w:szCs w:val="24"/>
      <w:lang w:val="en-US" w:eastAsia="zh-CN" w:bidi="ar-SA"/>
    </w:rPr>
  </w:style>
  <w:style w:type="character" w:customStyle="1" w:styleId="87">
    <w:name w:val="正文文本缩进 3 字符"/>
    <w:link w:val="30"/>
    <w:qFormat/>
    <w:uiPriority w:val="0"/>
    <w:rPr>
      <w:rFonts w:ascii="Arial" w:hAnsi="Arial" w:eastAsia="仿宋_GB2312" w:cs="Arial"/>
      <w:color w:val="FFFF00"/>
      <w:kern w:val="2"/>
      <w:sz w:val="32"/>
      <w:szCs w:val="32"/>
      <w:lang w:val="en-US" w:eastAsia="zh-CN" w:bidi="ar-SA"/>
    </w:rPr>
  </w:style>
  <w:style w:type="character" w:customStyle="1" w:styleId="88">
    <w:name w:val="页眉 字符"/>
    <w:link w:val="26"/>
    <w:qFormat/>
    <w:uiPriority w:val="99"/>
    <w:rPr>
      <w:rFonts w:eastAsia="宋体"/>
      <w:kern w:val="2"/>
      <w:sz w:val="18"/>
      <w:szCs w:val="18"/>
      <w:lang w:val="en-US" w:eastAsia="zh-CN" w:bidi="ar-SA"/>
    </w:rPr>
  </w:style>
  <w:style w:type="character" w:customStyle="1" w:styleId="89">
    <w:name w:val="批注主题 字符"/>
    <w:link w:val="34"/>
    <w:semiHidden/>
    <w:qFormat/>
    <w:uiPriority w:val="0"/>
    <w:rPr>
      <w:rFonts w:eastAsia="宋体"/>
      <w:b/>
      <w:bCs/>
      <w:kern w:val="2"/>
      <w:sz w:val="21"/>
      <w:szCs w:val="21"/>
      <w:lang w:val="en-US" w:eastAsia="zh-CN" w:bidi="ar-SA"/>
    </w:rPr>
  </w:style>
  <w:style w:type="character" w:customStyle="1" w:styleId="90">
    <w:name w:val="标题 2 字符"/>
    <w:link w:val="3"/>
    <w:qFormat/>
    <w:uiPriority w:val="0"/>
    <w:rPr>
      <w:rFonts w:ascii="Arial" w:hAnsi="Arial" w:eastAsia="宋体" w:cs="Arial"/>
      <w:b/>
      <w:bCs/>
      <w:kern w:val="2"/>
      <w:sz w:val="30"/>
      <w:szCs w:val="30"/>
      <w:lang w:val="en-US" w:eastAsia="zh-CN" w:bidi="ar-SA"/>
    </w:rPr>
  </w:style>
  <w:style w:type="character" w:customStyle="1" w:styleId="91">
    <w:name w:val="正文文本首行缩进 字符"/>
    <w:link w:val="35"/>
    <w:qFormat/>
    <w:uiPriority w:val="0"/>
    <w:rPr>
      <w:rFonts w:ascii="仿宋_GB2312" w:eastAsia="仿宋_GB2312"/>
      <w:kern w:val="2"/>
      <w:sz w:val="30"/>
      <w:szCs w:val="30"/>
      <w:lang w:val="en-US" w:eastAsia="zh-CN" w:bidi="ar-SA"/>
    </w:rPr>
  </w:style>
  <w:style w:type="character" w:customStyle="1" w:styleId="92">
    <w:name w:val="文档结构图 字符"/>
    <w:link w:val="13"/>
    <w:semiHidden/>
    <w:qFormat/>
    <w:uiPriority w:val="0"/>
    <w:rPr>
      <w:rFonts w:eastAsia="宋体"/>
      <w:kern w:val="2"/>
      <w:sz w:val="21"/>
      <w:szCs w:val="21"/>
      <w:lang w:bidi="ar-SA"/>
    </w:rPr>
  </w:style>
  <w:style w:type="character" w:customStyle="1" w:styleId="93">
    <w:name w:val="正文文本 2 字符"/>
    <w:link w:val="32"/>
    <w:qFormat/>
    <w:uiPriority w:val="0"/>
    <w:rPr>
      <w:rFonts w:ascii="楷体_GB2312" w:eastAsia="楷体_GB2312"/>
      <w:kern w:val="2"/>
      <w:sz w:val="28"/>
      <w:szCs w:val="28"/>
      <w:lang w:val="en-US" w:eastAsia="zh-CN" w:bidi="ar-SA"/>
    </w:rPr>
  </w:style>
  <w:style w:type="character" w:customStyle="1" w:styleId="94">
    <w:name w:val="纯文本 字符1"/>
    <w:link w:val="21"/>
    <w:qFormat/>
    <w:uiPriority w:val="0"/>
    <w:rPr>
      <w:rFonts w:ascii="宋体" w:hAnsi="Courier New" w:eastAsia="宋体" w:cs="Courier New"/>
      <w:kern w:val="2"/>
      <w:sz w:val="21"/>
      <w:szCs w:val="21"/>
      <w:lang w:val="en-US" w:eastAsia="zh-CN" w:bidi="ar-SA"/>
    </w:rPr>
  </w:style>
  <w:style w:type="character" w:customStyle="1" w:styleId="95">
    <w:name w:val="标题 5 字符"/>
    <w:link w:val="7"/>
    <w:qFormat/>
    <w:uiPriority w:val="0"/>
    <w:rPr>
      <w:rFonts w:ascii="宋体" w:eastAsia="宋体"/>
      <w:color w:val="000000"/>
      <w:sz w:val="28"/>
      <w:szCs w:val="28"/>
      <w:lang w:val="en-US" w:eastAsia="zh-CN" w:bidi="ar-SA"/>
    </w:rPr>
  </w:style>
  <w:style w:type="character" w:customStyle="1" w:styleId="96">
    <w:name w:val="批注框文本 字符"/>
    <w:link w:val="24"/>
    <w:semiHidden/>
    <w:qFormat/>
    <w:uiPriority w:val="0"/>
    <w:rPr>
      <w:rFonts w:eastAsia="宋体"/>
      <w:kern w:val="2"/>
      <w:sz w:val="18"/>
      <w:szCs w:val="18"/>
      <w:lang w:val="en-US" w:eastAsia="zh-CN" w:bidi="ar-SA"/>
    </w:rPr>
  </w:style>
  <w:style w:type="paragraph" w:customStyle="1" w:styleId="97">
    <w:name w:val="font7"/>
    <w:basedOn w:val="1"/>
    <w:qFormat/>
    <w:uiPriority w:val="0"/>
    <w:pPr>
      <w:widowControl/>
      <w:numPr>
        <w:ilvl w:val="0"/>
        <w:numId w:val="4"/>
      </w:numPr>
      <w:tabs>
        <w:tab w:val="clear" w:pos="709"/>
      </w:tabs>
      <w:spacing w:before="100" w:beforeAutospacing="1" w:after="100" w:afterAutospacing="1"/>
      <w:ind w:left="0" w:firstLine="0"/>
      <w:jc w:val="left"/>
    </w:pPr>
    <w:rPr>
      <w:rFonts w:hint="eastAsia" w:ascii="宋体" w:hAnsi="宋体"/>
      <w:kern w:val="0"/>
      <w:sz w:val="18"/>
      <w:szCs w:val="18"/>
    </w:rPr>
  </w:style>
  <w:style w:type="paragraph" w:customStyle="1" w:styleId="98">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9">
    <w:name w:val="p1"/>
    <w:basedOn w:val="1"/>
    <w:qFormat/>
    <w:uiPriority w:val="0"/>
    <w:pPr>
      <w:spacing w:line="380" w:lineRule="atLeast"/>
      <w:jc w:val="left"/>
    </w:pPr>
    <w:rPr>
      <w:rFonts w:ascii="Helvetica Neue" w:hAnsi="Helvetica Neue" w:eastAsia="Helvetica Neue"/>
      <w:kern w:val="0"/>
      <w:sz w:val="26"/>
      <w:szCs w:val="26"/>
    </w:rPr>
  </w:style>
  <w:style w:type="paragraph" w:customStyle="1" w:styleId="10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1">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02">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03">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4">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5">
    <w:name w:val="Char Char Char Char Char Char Char Char Char Char"/>
    <w:basedOn w:val="1"/>
    <w:qFormat/>
    <w:uiPriority w:val="0"/>
    <w:pPr>
      <w:adjustRightInd w:val="0"/>
      <w:spacing w:line="360" w:lineRule="auto"/>
    </w:pPr>
    <w:rPr>
      <w:kern w:val="0"/>
      <w:sz w:val="24"/>
      <w:szCs w:val="20"/>
    </w:rPr>
  </w:style>
  <w:style w:type="paragraph" w:customStyle="1" w:styleId="106">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07">
    <w:name w:val="_Style 3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8">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0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10">
    <w:name w:val="列出段落1"/>
    <w:basedOn w:val="1"/>
    <w:qFormat/>
    <w:uiPriority w:val="99"/>
    <w:pPr>
      <w:ind w:firstLine="420" w:firstLineChars="200"/>
    </w:pPr>
  </w:style>
  <w:style w:type="paragraph" w:customStyle="1" w:styleId="111">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2">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113">
    <w:name w:val="Char"/>
    <w:basedOn w:val="1"/>
    <w:qFormat/>
    <w:uiPriority w:val="0"/>
    <w:pPr>
      <w:tabs>
        <w:tab w:val="left" w:pos="360"/>
      </w:tabs>
      <w:ind w:firstLine="200" w:firstLineChars="200"/>
    </w:pPr>
    <w:rPr>
      <w:sz w:val="28"/>
      <w:szCs w:val="30"/>
    </w:rPr>
  </w:style>
  <w:style w:type="paragraph" w:customStyle="1" w:styleId="114">
    <w:name w:val="table_1stline"/>
    <w:basedOn w:val="1"/>
    <w:qFormat/>
    <w:uiPriority w:val="0"/>
    <w:pPr>
      <w:widowControl/>
      <w:spacing w:before="120"/>
      <w:jc w:val="left"/>
    </w:pPr>
    <w:rPr>
      <w:bCs/>
      <w:kern w:val="0"/>
      <w:sz w:val="20"/>
      <w:szCs w:val="20"/>
      <w:lang w:val="de-DE" w:eastAsia="de-DE"/>
    </w:rPr>
  </w:style>
  <w:style w:type="paragraph" w:customStyle="1" w:styleId="115">
    <w:name w:val="table_lines"/>
    <w:basedOn w:val="1"/>
    <w:qFormat/>
    <w:uiPriority w:val="0"/>
    <w:pPr>
      <w:widowControl/>
      <w:jc w:val="left"/>
    </w:pPr>
    <w:rPr>
      <w:kern w:val="0"/>
      <w:sz w:val="20"/>
      <w:szCs w:val="20"/>
      <w:lang w:val="de-DE" w:eastAsia="de-DE"/>
    </w:rPr>
  </w:style>
  <w:style w:type="paragraph" w:customStyle="1" w:styleId="116">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7">
    <w:name w:val="Char Char Char Char1"/>
    <w:basedOn w:val="13"/>
    <w:qFormat/>
    <w:uiPriority w:val="0"/>
    <w:pPr>
      <w:adjustRightInd w:val="0"/>
      <w:snapToGrid w:val="0"/>
      <w:spacing w:line="360" w:lineRule="auto"/>
    </w:pPr>
    <w:rPr>
      <w:rFonts w:ascii="Tahoma" w:hAnsi="Tahoma"/>
      <w:kern w:val="0"/>
      <w:sz w:val="24"/>
      <w:szCs w:val="24"/>
    </w:rPr>
  </w:style>
  <w:style w:type="paragraph" w:customStyle="1" w:styleId="118">
    <w:name w:val="font5"/>
    <w:basedOn w:val="1"/>
    <w:qFormat/>
    <w:uiPriority w:val="0"/>
    <w:pPr>
      <w:widowControl/>
      <w:numPr>
        <w:ilvl w:val="0"/>
        <w:numId w:val="5"/>
      </w:numPr>
      <w:tabs>
        <w:tab w:val="clear" w:pos="907"/>
      </w:tabs>
      <w:spacing w:before="100" w:beforeAutospacing="1" w:after="100" w:afterAutospacing="1"/>
      <w:ind w:left="0" w:firstLine="0"/>
      <w:jc w:val="left"/>
    </w:pPr>
    <w:rPr>
      <w:rFonts w:hint="eastAsia" w:ascii="宋体" w:hAnsi="宋体"/>
      <w:kern w:val="0"/>
      <w:sz w:val="28"/>
      <w:szCs w:val="28"/>
    </w:rPr>
  </w:style>
  <w:style w:type="paragraph" w:customStyle="1" w:styleId="11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20">
    <w:name w:val="Char Char Char Char"/>
    <w:basedOn w:val="13"/>
    <w:qFormat/>
    <w:uiPriority w:val="0"/>
    <w:pPr>
      <w:adjustRightInd w:val="0"/>
      <w:snapToGrid w:val="0"/>
      <w:spacing w:line="360" w:lineRule="auto"/>
    </w:pPr>
    <w:rPr>
      <w:rFonts w:ascii="Tahoma" w:hAnsi="Tahoma"/>
      <w:sz w:val="24"/>
      <w:szCs w:val="24"/>
    </w:rPr>
  </w:style>
  <w:style w:type="paragraph" w:customStyle="1" w:styleId="12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2">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23">
    <w:name w:val="列表内容"/>
    <w:basedOn w:val="1"/>
    <w:next w:val="1"/>
    <w:qFormat/>
    <w:uiPriority w:val="0"/>
    <w:pPr>
      <w:widowControl/>
      <w:numPr>
        <w:ilvl w:val="0"/>
        <w:numId w:val="6"/>
      </w:numPr>
      <w:tabs>
        <w:tab w:val="left" w:pos="840"/>
      </w:tabs>
      <w:jc w:val="left"/>
    </w:pPr>
    <w:rPr>
      <w:kern w:val="0"/>
      <w:sz w:val="18"/>
      <w:szCs w:val="24"/>
    </w:rPr>
  </w:style>
  <w:style w:type="paragraph" w:customStyle="1" w:styleId="124">
    <w:name w:val="Body Text(ch)"/>
    <w:basedOn w:val="1"/>
    <w:next w:val="16"/>
    <w:qFormat/>
    <w:uiPriority w:val="0"/>
    <w:pPr>
      <w:spacing w:after="120"/>
    </w:pPr>
    <w:rPr>
      <w:rFonts w:ascii="宋体" w:hAnsi="Arial"/>
      <w:bCs/>
      <w:iCs/>
      <w:szCs w:val="24"/>
    </w:rPr>
  </w:style>
  <w:style w:type="paragraph" w:customStyle="1" w:styleId="125">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26">
    <w:name w:val="Char11"/>
    <w:basedOn w:val="13"/>
    <w:qFormat/>
    <w:uiPriority w:val="0"/>
    <w:rPr>
      <w:rFonts w:ascii="Tahoma" w:hAnsi="Tahoma"/>
      <w:sz w:val="24"/>
      <w:szCs w:val="24"/>
    </w:rPr>
  </w:style>
  <w:style w:type="paragraph" w:customStyle="1" w:styleId="12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28">
    <w:name w:val="_Style 4"/>
    <w:basedOn w:val="13"/>
    <w:qFormat/>
    <w:uiPriority w:val="0"/>
    <w:pPr>
      <w:shd w:val="clear" w:color="auto" w:fill="auto"/>
      <w:spacing w:line="360" w:lineRule="auto"/>
      <w:jc w:val="left"/>
    </w:pPr>
    <w:rPr>
      <w:kern w:val="0"/>
      <w:sz w:val="20"/>
      <w:szCs w:val="20"/>
    </w:rPr>
  </w:style>
  <w:style w:type="paragraph" w:customStyle="1" w:styleId="129">
    <w:name w:val="4"/>
    <w:basedOn w:val="1"/>
    <w:next w:val="30"/>
    <w:qFormat/>
    <w:uiPriority w:val="0"/>
    <w:pPr>
      <w:spacing w:line="360" w:lineRule="auto"/>
      <w:ind w:firstLine="420"/>
    </w:pPr>
    <w:rPr>
      <w:color w:val="FF0000"/>
      <w:sz w:val="24"/>
      <w:szCs w:val="24"/>
    </w:rPr>
  </w:style>
  <w:style w:type="paragraph" w:customStyle="1" w:styleId="13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31">
    <w:name w:val="TOC 标题1"/>
    <w:basedOn w:val="2"/>
    <w:next w:val="1"/>
    <w:qFormat/>
    <w:uiPriority w:val="39"/>
    <w:pPr>
      <w:keepLines/>
      <w:widowControl/>
      <w:spacing w:before="480" w:line="276" w:lineRule="auto"/>
      <w:jc w:val="left"/>
      <w:outlineLvl w:val="9"/>
    </w:pPr>
    <w:rPr>
      <w:rFonts w:ascii="Cambria" w:hAnsi="Cambria" w:eastAsia="宋体"/>
      <w:bCs/>
      <w:color w:val="365F91"/>
      <w:kern w:val="0"/>
    </w:rPr>
  </w:style>
  <w:style w:type="paragraph" w:customStyle="1" w:styleId="132">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33">
    <w:name w:val="Char1"/>
    <w:basedOn w:val="1"/>
    <w:qFormat/>
    <w:uiPriority w:val="0"/>
    <w:pPr>
      <w:tabs>
        <w:tab w:val="left" w:pos="360"/>
      </w:tabs>
      <w:ind w:firstLine="200" w:firstLineChars="200"/>
    </w:pPr>
    <w:rPr>
      <w:sz w:val="28"/>
      <w:szCs w:val="30"/>
    </w:rPr>
  </w:style>
  <w:style w:type="paragraph" w:customStyle="1" w:styleId="134">
    <w:name w:val="Char2 Char1 Char"/>
    <w:basedOn w:val="1"/>
    <w:qFormat/>
    <w:uiPriority w:val="0"/>
    <w:pPr>
      <w:tabs>
        <w:tab w:val="left" w:pos="360"/>
      </w:tabs>
    </w:pPr>
    <w:rPr>
      <w:rFonts w:eastAsia="方正仿宋简体"/>
      <w:sz w:val="24"/>
      <w:szCs w:val="32"/>
    </w:rPr>
  </w:style>
  <w:style w:type="paragraph" w:customStyle="1" w:styleId="135">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136">
    <w:name w:val="Char Char Char Char2"/>
    <w:basedOn w:val="13"/>
    <w:qFormat/>
    <w:uiPriority w:val="0"/>
    <w:pPr>
      <w:adjustRightInd w:val="0"/>
      <w:snapToGrid w:val="0"/>
      <w:spacing w:line="360" w:lineRule="auto"/>
    </w:pPr>
    <w:rPr>
      <w:rFonts w:ascii="Tahoma" w:hAnsi="Tahoma"/>
      <w:sz w:val="24"/>
      <w:szCs w:val="24"/>
    </w:rPr>
  </w:style>
  <w:style w:type="paragraph" w:customStyle="1" w:styleId="137">
    <w:name w:val="_Style 119"/>
    <w:basedOn w:val="1"/>
    <w:next w:val="125"/>
    <w:qFormat/>
    <w:uiPriority w:val="34"/>
    <w:pPr>
      <w:widowControl/>
      <w:ind w:left="720"/>
      <w:contextualSpacing/>
      <w:jc w:val="left"/>
    </w:pPr>
    <w:rPr>
      <w:rFonts w:ascii="Calibri" w:hAnsi="Calibri"/>
      <w:kern w:val="0"/>
      <w:sz w:val="24"/>
      <w:szCs w:val="24"/>
      <w:lang w:eastAsia="en-US" w:bidi="en-US"/>
    </w:rPr>
  </w:style>
  <w:style w:type="paragraph" w:customStyle="1" w:styleId="1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9">
    <w:name w:val="Table Paragraph"/>
    <w:basedOn w:val="1"/>
    <w:qFormat/>
    <w:uiPriority w:val="1"/>
  </w:style>
  <w:style w:type="character" w:customStyle="1" w:styleId="140">
    <w:name w:val="纯文本 字符"/>
    <w:qFormat/>
    <w:uiPriority w:val="0"/>
    <w:rPr>
      <w:rFonts w:ascii="宋体" w:hAnsi="Courier New" w:cs="Courier New"/>
      <w:kern w:val="2"/>
      <w:sz w:val="21"/>
      <w:szCs w:val="21"/>
    </w:rPr>
  </w:style>
  <w:style w:type="character" w:customStyle="1" w:styleId="141">
    <w:name w:val="正文缩进 字符"/>
    <w:qFormat/>
    <w:uiPriority w:val="0"/>
    <w:rPr>
      <w:kern w:val="2"/>
      <w:sz w:val="21"/>
      <w:szCs w:val="21"/>
    </w:rPr>
  </w:style>
  <w:style w:type="paragraph" w:customStyle="1" w:styleId="142">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143">
    <w:name w:val="xl7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44">
    <w:name w:val="xl71"/>
    <w:basedOn w:val="1"/>
    <w:qFormat/>
    <w:uiPriority w:val="0"/>
    <w:pPr>
      <w:widowControl/>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45">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4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47">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8">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3">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D0D0D"/>
      <w:kern w:val="0"/>
      <w:sz w:val="20"/>
      <w:szCs w:val="20"/>
    </w:rPr>
  </w:style>
  <w:style w:type="paragraph" w:customStyle="1" w:styleId="15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5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5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2">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D0D0D"/>
      <w:kern w:val="0"/>
      <w:sz w:val="20"/>
      <w:szCs w:val="20"/>
    </w:rPr>
  </w:style>
  <w:style w:type="paragraph" w:customStyle="1" w:styleId="163">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D0D0D"/>
      <w:kern w:val="0"/>
      <w:sz w:val="20"/>
      <w:szCs w:val="20"/>
    </w:rPr>
  </w:style>
  <w:style w:type="paragraph" w:customStyle="1" w:styleId="1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65">
    <w:name w:val="xl9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66">
    <w:name w:val="xl9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67">
    <w:name w:val="xl94"/>
    <w:basedOn w:val="1"/>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68">
    <w:name w:val="xl95"/>
    <w:basedOn w:val="1"/>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69">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70">
    <w:name w:val="xl9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71">
    <w:name w:val="xl98"/>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72">
    <w:name w:val="xl9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73">
    <w:name w:val="xl10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74">
    <w:name w:val="xl101"/>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75">
    <w:name w:val="xl102"/>
    <w:basedOn w:val="1"/>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76">
    <w:name w:val="xl103"/>
    <w:basedOn w:val="1"/>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77">
    <w:name w:val="xl10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78">
    <w:name w:val="xl6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79">
    <w:name w:val="xl69"/>
    <w:basedOn w:val="1"/>
    <w:qFormat/>
    <w:uiPriority w:val="0"/>
    <w:pPr>
      <w:widowControl/>
      <w:spacing w:before="100" w:beforeAutospacing="1" w:after="100" w:afterAutospacing="1"/>
      <w:jc w:val="left"/>
    </w:pPr>
    <w:rPr>
      <w:rFonts w:ascii="宋体" w:hAnsi="宋体" w:cs="宋体"/>
      <w:kern w:val="0"/>
      <w:sz w:val="20"/>
      <w:szCs w:val="20"/>
    </w:rPr>
  </w:style>
  <w:style w:type="character" w:customStyle="1" w:styleId="180">
    <w:name w:val="超链接_0"/>
    <w:qFormat/>
    <w:uiPriority w:val="99"/>
    <w:rPr>
      <w:rFonts w:hint="default" w:ascii="Calibri" w:hAnsi="Calibri" w:cs="Calibri"/>
      <w:color w:val="0000FF"/>
      <w:u w:val="single"/>
    </w:rPr>
  </w:style>
  <w:style w:type="paragraph" w:customStyle="1" w:styleId="181">
    <w:name w:val="正文_0"/>
    <w:basedOn w:val="1"/>
    <w:next w:val="1"/>
    <w:qFormat/>
    <w:uiPriority w:val="0"/>
    <w:pPr>
      <w:spacing w:after="200" w:line="276" w:lineRule="auto"/>
    </w:pPr>
    <w:rPr>
      <w:rFonts w:ascii="Calibri" w:hAnsi="Calibri"/>
      <w:szCs w:val="24"/>
    </w:rPr>
  </w:style>
  <w:style w:type="paragraph" w:customStyle="1" w:styleId="182">
    <w:name w:val="普通(网站)1"/>
    <w:basedOn w:val="1"/>
    <w:qFormat/>
    <w:uiPriority w:val="0"/>
    <w:pPr>
      <w:spacing w:beforeAutospacing="1" w:afterAutospacing="1"/>
      <w:jc w:val="left"/>
    </w:pPr>
    <w:rPr>
      <w:rFonts w:ascii="Calibri" w:hAnsi="Calibri"/>
      <w:kern w:val="0"/>
      <w:sz w:val="24"/>
    </w:rPr>
  </w:style>
  <w:style w:type="character" w:customStyle="1" w:styleId="183">
    <w:name w:val="bookmark-item"/>
    <w:basedOn w:val="39"/>
    <w:qFormat/>
    <w:uiPriority w:val="0"/>
  </w:style>
  <w:style w:type="paragraph" w:customStyle="1" w:styleId="184">
    <w:name w:val="表格"/>
    <w:basedOn w:val="28"/>
    <w:next w:val="1"/>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185">
    <w:name w:val="btn-auto-1"/>
    <w:basedOn w:val="39"/>
    <w:qFormat/>
    <w:uiPriority w:val="0"/>
  </w:style>
  <w:style w:type="character" w:customStyle="1" w:styleId="186">
    <w:name w:val="s1"/>
    <w:basedOn w:val="39"/>
    <w:qFormat/>
    <w:uiPriority w:val="0"/>
    <w:rPr>
      <w:color w:val="DDDDDD"/>
      <w:sz w:val="14"/>
      <w:szCs w:val="14"/>
    </w:rPr>
  </w:style>
  <w:style w:type="character" w:customStyle="1" w:styleId="187">
    <w:name w:val="btn-task-gray2"/>
    <w:basedOn w:val="39"/>
    <w:qFormat/>
    <w:uiPriority w:val="0"/>
    <w:rPr>
      <w:color w:val="FFFFFF"/>
      <w:u w:val="none"/>
      <w:shd w:val="clear" w:color="auto" w:fill="CCCCCC"/>
    </w:rPr>
  </w:style>
  <w:style w:type="character" w:customStyle="1" w:styleId="188">
    <w:name w:val="btn-task-gray3"/>
    <w:basedOn w:val="39"/>
    <w:qFormat/>
    <w:uiPriority w:val="0"/>
  </w:style>
  <w:style w:type="character" w:customStyle="1" w:styleId="189">
    <w:name w:val="fontstyle01"/>
    <w:basedOn w:val="39"/>
    <w:qFormat/>
    <w:uiPriority w:val="0"/>
    <w:rPr>
      <w:rFonts w:ascii="仿宋" w:hAnsi="仿宋" w:eastAsia="仿宋" w:cs="仿宋"/>
      <w:color w:val="000000"/>
      <w:sz w:val="32"/>
      <w:szCs w:val="32"/>
    </w:rPr>
  </w:style>
  <w:style w:type="paragraph" w:customStyle="1" w:styleId="190">
    <w:name w:val="Revision"/>
    <w:hidden/>
    <w:semiHidden/>
    <w:qFormat/>
    <w:uiPriority w:val="99"/>
    <w:rPr>
      <w:rFonts w:ascii="Times New Roman" w:hAnsi="Times New Roman" w:eastAsia="宋体" w:cs="Times New Roman"/>
      <w:kern w:val="2"/>
      <w:sz w:val="21"/>
      <w:szCs w:val="21"/>
      <w:lang w:val="en-US" w:eastAsia="zh-CN" w:bidi="ar-SA"/>
    </w:rPr>
  </w:style>
  <w:style w:type="paragraph" w:customStyle="1" w:styleId="191">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2">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9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9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96">
    <w:name w:val="正文2"/>
    <w:basedOn w:val="1"/>
    <w:qFormat/>
    <w:uiPriority w:val="0"/>
    <w:pPr>
      <w:spacing w:before="156" w:line="360" w:lineRule="auto"/>
      <w:ind w:firstLine="510" w:firstLineChars="200"/>
    </w:pPr>
    <w:rPr>
      <w:sz w:val="24"/>
    </w:rPr>
  </w:style>
  <w:style w:type="paragraph" w:customStyle="1" w:styleId="197">
    <w:name w:val="正文_0_1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8">
    <w:name w:val="正文文本缩进_2"/>
    <w:basedOn w:val="199"/>
    <w:qFormat/>
    <w:uiPriority w:val="0"/>
    <w:pPr>
      <w:spacing w:line="500" w:lineRule="exact"/>
      <w:ind w:left="1588" w:leftChars="832" w:firstLine="433" w:firstLineChars="196"/>
    </w:pPr>
    <w:rPr>
      <w:kern w:val="0"/>
      <w:sz w:val="24"/>
    </w:rPr>
  </w:style>
  <w:style w:type="paragraph" w:customStyle="1" w:styleId="199">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01">
    <w:name w:val="layui-layer-tabnow"/>
    <w:basedOn w:val="39"/>
    <w:qFormat/>
    <w:uiPriority w:val="0"/>
    <w:rPr>
      <w:bdr w:val="single" w:color="CCCCCC" w:sz="4" w:space="0"/>
      <w:shd w:val="clear" w:fill="FFFFFF"/>
    </w:rPr>
  </w:style>
  <w:style w:type="character" w:customStyle="1" w:styleId="202">
    <w:name w:val="first-child"/>
    <w:basedOn w:val="39"/>
    <w:qFormat/>
    <w:uiPriority w:val="0"/>
  </w:style>
  <w:style w:type="character" w:customStyle="1" w:styleId="203">
    <w:name w:val="font51"/>
    <w:basedOn w:val="39"/>
    <w:qFormat/>
    <w:uiPriority w:val="0"/>
    <w:rPr>
      <w:rFonts w:hint="default" w:ascii="方正仿宋_GBK" w:hAnsi="方正仿宋_GBK" w:eastAsia="方正仿宋_GBK" w:cs="方正仿宋_GBK"/>
      <w:color w:val="FF0000"/>
      <w:sz w:val="18"/>
      <w:szCs w:val="18"/>
      <w:u w:val="none"/>
    </w:rPr>
  </w:style>
  <w:style w:type="character" w:customStyle="1" w:styleId="204">
    <w:name w:val="font41"/>
    <w:basedOn w:val="39"/>
    <w:qFormat/>
    <w:uiPriority w:val="0"/>
    <w:rPr>
      <w:rFonts w:hint="default" w:ascii="方正仿宋_GBK" w:hAnsi="方正仿宋_GBK" w:eastAsia="方正仿宋_GBK" w:cs="方正仿宋_GBK"/>
      <w:color w:val="000000"/>
      <w:sz w:val="18"/>
      <w:szCs w:val="18"/>
      <w:u w:val="none"/>
    </w:rPr>
  </w:style>
  <w:style w:type="paragraph" w:customStyle="1" w:styleId="205">
    <w:name w:val="样式5"/>
    <w:basedOn w:val="206"/>
    <w:qFormat/>
    <w:uiPriority w:val="0"/>
    <w:pPr>
      <w:ind w:firstLine="485"/>
    </w:pPr>
  </w:style>
  <w:style w:type="paragraph" w:customStyle="1" w:styleId="206">
    <w:name w:val="样式 正文文本缩进 2 + 左  0 字符 首行缩进:  2.02 字符"/>
    <w:basedOn w:val="23"/>
    <w:qFormat/>
    <w:uiPriority w:val="0"/>
    <w:pPr>
      <w:ind w:left="0" w:leftChars="0" w:firstLine="424" w:firstLineChars="202"/>
    </w:pPr>
    <w:rPr>
      <w:rFonts w:cs="宋体"/>
      <w:sz w:val="24"/>
    </w:rPr>
  </w:style>
  <w:style w:type="character" w:customStyle="1" w:styleId="207">
    <w:name w:val="font01"/>
    <w:basedOn w:val="39"/>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58</Pages>
  <Words>26511</Words>
  <Characters>28085</Characters>
  <Lines>878</Lines>
  <Paragraphs>247</Paragraphs>
  <TotalTime>103</TotalTime>
  <ScaleCrop>false</ScaleCrop>
  <LinksUpToDate>false</LinksUpToDate>
  <CharactersWithSpaces>30144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2021-09-18T22:34:00Z</dcterms:created>
  <dc:creator>yinjian</dc:creator>
  <cp:lastModifiedBy>李会会</cp:lastModifiedBy>
  <cp:lastPrinted>2022-06-30T20:36:00Z</cp:lastPrinted>
  <dcterms:modified xsi:type="dcterms:W3CDTF">2023-08-16T08:22:49Z</dcterms:modified>
  <dc:title>招　标　文　件</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596F3A532E4C40C8B2600E7C13ED90D9_13</vt:lpwstr>
  </property>
</Properties>
</file>