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z w:val="28"/>
          <w:szCs w:val="28"/>
        </w:rPr>
      </w:pPr>
      <w:r>
        <w:rPr>
          <w:rFonts w:eastAsia="华文中宋"/>
          <w:sz w:val="36"/>
        </w:rPr>
        <w:drawing>
          <wp:inline distT="0" distB="0" distL="114300" distR="114300">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760867" cy="667053"/>
                    </a:xfrm>
                    <a:prstGeom prst="rect">
                      <a:avLst/>
                    </a:prstGeom>
                  </pic:spPr>
                </pic:pic>
              </a:graphicData>
            </a:graphic>
          </wp:inline>
        </w:drawing>
      </w:r>
    </w:p>
    <w:p>
      <w:pPr>
        <w:jc w:val="left"/>
        <w:rPr>
          <w:rFonts w:eastAsia="华文中宋"/>
          <w:sz w:val="36"/>
        </w:rPr>
      </w:pPr>
    </w:p>
    <w:p>
      <w:pPr>
        <w:jc w:val="left"/>
        <w:rPr>
          <w:rFonts w:eastAsia="华文中宋"/>
          <w:sz w:val="36"/>
        </w:rPr>
      </w:pPr>
    </w:p>
    <w:p>
      <w:pPr>
        <w:jc w:val="center"/>
        <w:rPr>
          <w:rFonts w:eastAsia="黑体"/>
          <w:b/>
          <w:bCs/>
          <w:sz w:val="52"/>
          <w:szCs w:val="52"/>
        </w:rPr>
      </w:pPr>
    </w:p>
    <w:p>
      <w:pPr>
        <w:jc w:val="center"/>
        <w:rPr>
          <w:b/>
          <w:bCs/>
          <w:sz w:val="84"/>
        </w:rPr>
      </w:pPr>
      <w:r>
        <w:rPr>
          <w:rFonts w:hint="eastAsia" w:eastAsia="黑体"/>
          <w:b/>
          <w:bCs/>
          <w:sz w:val="52"/>
          <w:szCs w:val="52"/>
          <w:lang w:eastAsia="zh-CN"/>
        </w:rPr>
        <w:t>新疆维吾尔自治区人民医院国产医用耗材采购项目</w:t>
      </w:r>
    </w:p>
    <w:p/>
    <w:p>
      <w:pPr>
        <w:adjustRightInd w:val="0"/>
        <w:spacing w:line="360" w:lineRule="auto"/>
        <w:ind w:left="-1" w:leftChars="-1" w:hanging="1"/>
        <w:jc w:val="center"/>
        <w:textAlignment w:val="baseline"/>
        <w:rPr>
          <w:b/>
          <w:bCs/>
          <w:sz w:val="28"/>
          <w:szCs w:val="28"/>
        </w:rPr>
      </w:pPr>
    </w:p>
    <w:p>
      <w:pPr>
        <w:adjustRightInd w:val="0"/>
        <w:spacing w:line="360" w:lineRule="auto"/>
        <w:ind w:left="-1" w:leftChars="-1" w:hanging="1"/>
        <w:jc w:val="center"/>
        <w:textAlignment w:val="baseline"/>
        <w:rPr>
          <w:rFonts w:hint="eastAsia" w:eastAsia="宋体"/>
          <w:b/>
          <w:bCs/>
          <w:sz w:val="32"/>
          <w:szCs w:val="32"/>
          <w:lang w:eastAsia="zh-CN"/>
        </w:rPr>
      </w:pPr>
      <w:r>
        <w:rPr>
          <w:b/>
          <w:bCs/>
          <w:sz w:val="32"/>
          <w:szCs w:val="32"/>
        </w:rPr>
        <w:t>项目编号：</w:t>
      </w:r>
      <w:r>
        <w:rPr>
          <w:rFonts w:hint="eastAsia"/>
          <w:b/>
          <w:bCs/>
          <w:sz w:val="32"/>
          <w:szCs w:val="32"/>
          <w:lang w:eastAsia="zh-CN"/>
        </w:rPr>
        <w:t>GXTC-C-23510125</w:t>
      </w:r>
    </w:p>
    <w:p/>
    <w:p/>
    <w:p/>
    <w:p/>
    <w:p/>
    <w:p/>
    <w:p/>
    <w:p>
      <w:pPr>
        <w:spacing w:line="360" w:lineRule="auto"/>
        <w:jc w:val="center"/>
        <w:rPr>
          <w:rFonts w:eastAsia="黑体"/>
          <w:b/>
          <w:bCs/>
          <w:sz w:val="84"/>
        </w:rPr>
      </w:pPr>
      <w:r>
        <w:rPr>
          <w:rFonts w:eastAsia="黑体"/>
          <w:b/>
          <w:bCs/>
          <w:sz w:val="84"/>
        </w:rPr>
        <w:t>公开招标文件</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19"/>
      </w:pPr>
    </w:p>
    <w:p>
      <w:pPr>
        <w:pStyle w:val="20"/>
      </w:pPr>
    </w:p>
    <w:p>
      <w:pPr>
        <w:pStyle w:val="20"/>
      </w:pPr>
    </w:p>
    <w:tbl>
      <w:tblPr>
        <w:tblStyle w:val="41"/>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widowControl/>
        <w:jc w:val="center"/>
        <w:rPr>
          <w:kern w:val="0"/>
          <w:sz w:val="32"/>
          <w:szCs w:val="32"/>
          <w:highlight w:val="none"/>
        </w:rPr>
        <w:sectPr>
          <w:headerReference r:id="rId3" w:type="default"/>
          <w:pgSz w:w="11906" w:h="16838"/>
          <w:pgMar w:top="1440" w:right="1440"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b/>
          <w:bCs/>
          <w:kern w:val="0"/>
          <w:sz w:val="28"/>
          <w:szCs w:val="28"/>
          <w:highlight w:val="none"/>
        </w:rPr>
        <w:t>2023年</w:t>
      </w:r>
      <w:r>
        <w:rPr>
          <w:rFonts w:hint="eastAsia"/>
          <w:b/>
          <w:bCs/>
          <w:kern w:val="0"/>
          <w:sz w:val="28"/>
          <w:szCs w:val="28"/>
          <w:highlight w:val="none"/>
          <w:lang w:val="en-US" w:eastAsia="zh-CN"/>
        </w:rPr>
        <w:t>08</w:t>
      </w:r>
      <w:r>
        <w:rPr>
          <w:rFonts w:hint="eastAsia"/>
          <w:b/>
          <w:bCs/>
          <w:kern w:val="0"/>
          <w:sz w:val="28"/>
          <w:szCs w:val="28"/>
          <w:highlight w:val="none"/>
        </w:rPr>
        <w:t>月</w:t>
      </w:r>
    </w:p>
    <w:sdt>
      <w:sdtPr>
        <w:rPr>
          <w:rFonts w:hint="eastAsia" w:ascii="宋体" w:hAnsi="宋体" w:eastAsia="宋体" w:cs="宋体"/>
          <w:b w:val="0"/>
          <w:bCs w:val="0"/>
          <w:sz w:val="21"/>
          <w:szCs w:val="21"/>
          <w:lang w:val="zh-CN"/>
        </w:rPr>
        <w:id w:val="772826775"/>
        <w:docPartObj>
          <w:docPartGallery w:val="Table of Contents"/>
          <w:docPartUnique/>
        </w:docPartObj>
      </w:sdtPr>
      <w:sdtEndPr>
        <w:rPr>
          <w:rFonts w:hint="eastAsia" w:ascii="Times New Roman" w:hAnsi="Times New Roman" w:eastAsia="宋体" w:cs="宋体"/>
          <w:b w:val="0"/>
          <w:bCs w:val="0"/>
          <w:sz w:val="20"/>
          <w:szCs w:val="22"/>
          <w:lang w:val="zh-CN"/>
        </w:rPr>
      </w:sdtEndPr>
      <w:sdtContent>
        <w:p>
          <w:pPr>
            <w:adjustRightInd w:val="0"/>
            <w:spacing w:line="240" w:lineRule="auto"/>
            <w:jc w:val="center"/>
            <w:rPr>
              <w:rFonts w:hint="eastAsia" w:ascii="宋体" w:hAnsi="宋体" w:eastAsia="宋体" w:cs="宋体"/>
              <w:b w:val="0"/>
              <w:bCs w:val="0"/>
              <w:snapToGrid w:val="0"/>
              <w:kern w:val="21"/>
              <w:sz w:val="21"/>
              <w:szCs w:val="21"/>
            </w:rPr>
          </w:pPr>
          <w:bookmarkStart w:id="0" w:name="_Toc7932"/>
          <w:bookmarkStart w:id="1" w:name="_Toc8825"/>
          <w:r>
            <w:rPr>
              <w:rFonts w:hint="eastAsia" w:ascii="宋体" w:hAnsi="宋体" w:eastAsia="宋体" w:cs="宋体"/>
              <w:b w:val="0"/>
              <w:bCs w:val="0"/>
              <w:snapToGrid w:val="0"/>
              <w:kern w:val="21"/>
              <w:sz w:val="21"/>
              <w:szCs w:val="21"/>
            </w:rPr>
            <w:t>目      录</w:t>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caps w:val="0"/>
              <w:snapToGrid w:val="0"/>
              <w:kern w:val="21"/>
              <w:sz w:val="21"/>
              <w:szCs w:val="21"/>
            </w:rPr>
            <w:fldChar w:fldCharType="begin"/>
          </w:r>
          <w:r>
            <w:rPr>
              <w:rFonts w:hint="eastAsia" w:ascii="宋体" w:hAnsi="宋体" w:eastAsia="宋体" w:cs="宋体"/>
              <w:b w:val="0"/>
              <w:bCs w:val="0"/>
              <w:caps w:val="0"/>
              <w:snapToGrid w:val="0"/>
              <w:kern w:val="21"/>
              <w:sz w:val="21"/>
              <w:szCs w:val="21"/>
            </w:rPr>
            <w:instrText xml:space="preserve"> TOC \o "1-3" \h \z \u </w:instrText>
          </w:r>
          <w:r>
            <w:rPr>
              <w:rFonts w:hint="eastAsia" w:ascii="宋体" w:hAnsi="宋体" w:eastAsia="宋体" w:cs="宋体"/>
              <w:b w:val="0"/>
              <w:bCs w:val="0"/>
              <w:caps w:val="0"/>
              <w:snapToGrid w:val="0"/>
              <w:kern w:val="21"/>
              <w:sz w:val="21"/>
              <w:szCs w:val="21"/>
            </w:rPr>
            <w:fldChar w:fldCharType="separate"/>
          </w:r>
          <w:r>
            <w:rPr>
              <w:rFonts w:hint="eastAsia" w:ascii="宋体" w:hAnsi="宋体" w:eastAsia="宋体" w:cs="宋体"/>
              <w:b w:val="0"/>
              <w:bCs w:val="0"/>
              <w:caps w:val="0"/>
              <w:snapToGrid w:val="0"/>
              <w:kern w:val="21"/>
              <w:sz w:val="21"/>
              <w:szCs w:val="21"/>
            </w:rPr>
            <w:fldChar w:fldCharType="begin"/>
          </w:r>
          <w:r>
            <w:rPr>
              <w:rFonts w:hint="eastAsia" w:ascii="宋体" w:hAnsi="宋体" w:eastAsia="宋体" w:cs="宋体"/>
              <w:b w:val="0"/>
              <w:bCs w:val="0"/>
              <w:caps w:val="0"/>
              <w:snapToGrid w:val="0"/>
              <w:kern w:val="21"/>
              <w:sz w:val="21"/>
              <w:szCs w:val="21"/>
            </w:rPr>
            <w:instrText xml:space="preserve"> HYPERLINK \l _Toc6520 </w:instrText>
          </w:r>
          <w:r>
            <w:rPr>
              <w:rFonts w:hint="eastAsia" w:ascii="宋体" w:hAnsi="宋体" w:eastAsia="宋体" w:cs="宋体"/>
              <w:b w:val="0"/>
              <w:bCs w:val="0"/>
              <w:caps w:val="0"/>
              <w:snapToGrid w:val="0"/>
              <w:kern w:val="21"/>
              <w:sz w:val="21"/>
              <w:szCs w:val="21"/>
            </w:rPr>
            <w:fldChar w:fldCharType="separate"/>
          </w:r>
          <w:r>
            <w:rPr>
              <w:rFonts w:hint="eastAsia" w:ascii="宋体" w:hAnsi="宋体" w:eastAsia="宋体" w:cs="宋体"/>
              <w:b w:val="0"/>
              <w:bCs w:val="0"/>
              <w:kern w:val="0"/>
              <w:sz w:val="21"/>
              <w:szCs w:val="21"/>
            </w:rPr>
            <w:t>第一章  招标公告</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_Toc6520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caps w:val="0"/>
              <w:snapToGrid w:val="0"/>
              <w:kern w:val="21"/>
              <w:sz w:val="21"/>
              <w:szCs w:val="21"/>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_Toc4266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一、项目基本情况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_Toc4266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_Toc852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二、申请人的资格要求：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_Toc22215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三、获取招标文件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_Toc22215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_Toc32137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四、提交投标文件截止时间、开标时间和地点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_Toc32137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_Toc31652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五、公告期限</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_Toc31652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_Toc26908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六、其他补充事宜</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_Toc26908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_Toc27790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七、对本次招标提出询问，请按以下方式联系。</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_Toc27790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_Toc13590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第二章 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_Toc13590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_Toc32656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（一）投标人须知前附表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_Toc32656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_Toc7646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（二）投标人须知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_Toc7646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_Toc19444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_Toc19444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_Toc24609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2 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_Toc24609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_Toc23543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3 投标文件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_Toc23543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_Toc17490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4 加密电子投标文件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_Toc17490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_Toc10465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5 开标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_Toc10465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_Toc20161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6 资格审查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_Toc20161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_Toc7462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7 评标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_Toc7462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_Toc476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8 合同授予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_Toc476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_Toc29750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9 纪律和监督</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_Toc29750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_Toc19233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 xml:space="preserve">10 </w:t>
          </w:r>
          <w:r>
            <w:rPr>
              <w:rFonts w:hint="eastAsia" w:ascii="宋体" w:hAnsi="宋体" w:eastAsia="宋体" w:cs="宋体"/>
              <w:b w:val="0"/>
              <w:bCs w:val="0"/>
              <w:kern w:val="0"/>
              <w:sz w:val="21"/>
              <w:szCs w:val="21"/>
              <w:lang w:val="en-US" w:eastAsia="zh-CN" w:bidi="ar-SA"/>
            </w:rPr>
            <w:t>是否采用电子招标投标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_Toc19233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_Toc20007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11 需要补充的其他内容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_Toc20007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_Toc14517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第三章 资格审查、评标办法和标准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_Toc14517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_Toc15712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 资格审查及标准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_Toc15712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_Toc17611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2 评标方法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_Toc17611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_Toc1775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3 评审标准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_Toc1775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_Toc11590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4 评审程序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_Toc11590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_Toc21037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适用于标项一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_Toc21037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_Toc16679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适用于标项</w:t>
          </w:r>
          <w:r>
            <w:rPr>
              <w:rFonts w:hint="eastAsia" w:ascii="宋体" w:hAnsi="宋体" w:eastAsia="宋体" w:cs="宋体"/>
              <w:b w:val="0"/>
              <w:bCs w:val="0"/>
              <w:sz w:val="21"/>
              <w:szCs w:val="21"/>
              <w:lang w:val="en-US" w:eastAsia="zh-CN"/>
            </w:rPr>
            <w:t>二、标项三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_Toc16679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_Toc10969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附表一 资格审查表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_Toc10969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_Toc6868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适用于所有标项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_Toc6868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_Toc4318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附表二 符合性审查表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_Toc4318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_Toc13630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一、标项二</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无</w:t>
          </w:r>
          <w:r>
            <w:rPr>
              <w:rFonts w:hint="eastAsia" w:ascii="宋体" w:hAnsi="宋体" w:eastAsia="宋体" w:cs="宋体"/>
              <w:b w:val="0"/>
              <w:bCs w:val="0"/>
              <w:sz w:val="21"/>
              <w:szCs w:val="21"/>
            </w:rPr>
            <w:t>样品评审）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_Toc13630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_Toc27475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附表三 详细评审表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_Toc27475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_Toc31586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rPr>
            <w:t>（有样品评审）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_Toc31586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_Toc8317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附表三 详细评审表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_Toc8317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_Toc11460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第四章 合同条款</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_Toc11460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_Toc25303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一、合同产品、价格、支付方式：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_Toc25303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_Toc1747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二、技术标准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_Toc881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三、规格</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_Toc25174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四、包装</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_Toc25174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_Toc23582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五、交货</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_Toc23582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_Toc11600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六、伴随服务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_Toc11600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_Toc14415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七、质量保证</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_Toc14415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_Toc11520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八、甲方履约义务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_Toc11520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_Toc6544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九、违约终止合同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_Toc6544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_Toc4329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十、争议的解决</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_Toc4329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_Toc23795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十一、合同生效：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_Toc23795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_Toc26370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第五章 采购需求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_Toc26370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_Toc12542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 投标产品质量要求: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_Toc12542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_Toc17023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 供货周期及供货量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_Toc17023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_Toc2000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 其他要求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_Toc12756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 商务要求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_Toc12756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_Toc17889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 技术参数要求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_Toc17889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_Toc19332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标项一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_Toc19332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_Toc15207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_Toc15207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_Toc31240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标项三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_Toc31240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_Toc8501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 采购目录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_Toc8501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_Toc6319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第六章 投标文件格式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_Toc6319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_Toc26798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第一部分  商务部分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_Toc26798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_Toc7448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一、投标函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_Toc7448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_Toc31642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二、《法定代表人资格证明书》或《法定代表人授权委托书》等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_Toc31642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_Toc29190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三、资格审查证明文件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_Toc29190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_Toc2397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四、医疗器械注册证（根据所投产品内容提供，非医疗器械产品无需提供）</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_Toc564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五</w:t>
          </w:r>
          <w:r>
            <w:rPr>
              <w:rFonts w:hint="eastAsia" w:ascii="宋体" w:hAnsi="宋体" w:eastAsia="宋体" w:cs="宋体"/>
              <w:b w:val="0"/>
              <w:bCs w:val="0"/>
              <w:sz w:val="21"/>
              <w:szCs w:val="21"/>
            </w:rPr>
            <w:t>、投标人供货业绩一览表（2020年1月1日至投标截止日）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_Toc3851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六</w:t>
          </w:r>
          <w:r>
            <w:rPr>
              <w:rFonts w:hint="eastAsia" w:ascii="宋体" w:hAnsi="宋体" w:eastAsia="宋体" w:cs="宋体"/>
              <w:b w:val="0"/>
              <w:bCs w:val="0"/>
              <w:sz w:val="21"/>
              <w:szCs w:val="21"/>
            </w:rPr>
            <w:t>、商务偏差表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_Toc3851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_Toc9891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七</w:t>
          </w:r>
          <w:r>
            <w:rPr>
              <w:rFonts w:hint="eastAsia" w:ascii="宋体" w:hAnsi="宋体" w:eastAsia="宋体" w:cs="宋体"/>
              <w:b w:val="0"/>
              <w:bCs w:val="0"/>
              <w:sz w:val="21"/>
              <w:szCs w:val="21"/>
            </w:rPr>
            <w:t>、投标人基本情况表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_Toc9891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_Toc30961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八</w:t>
          </w:r>
          <w:r>
            <w:rPr>
              <w:rFonts w:hint="eastAsia" w:ascii="宋体" w:hAnsi="宋体" w:eastAsia="宋体" w:cs="宋体"/>
              <w:b w:val="0"/>
              <w:bCs w:val="0"/>
              <w:sz w:val="21"/>
              <w:szCs w:val="21"/>
            </w:rPr>
            <w:t>、政府采购政策的证明材料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_Toc30961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_Toc31863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lang w:val="en-US" w:eastAsia="zh-CN"/>
            </w:rPr>
            <w:t>九</w:t>
          </w:r>
          <w:r>
            <w:rPr>
              <w:rFonts w:hint="eastAsia" w:ascii="宋体" w:hAnsi="宋体" w:eastAsia="宋体" w:cs="宋体"/>
              <w:b w:val="0"/>
              <w:bCs w:val="0"/>
              <w:sz w:val="21"/>
              <w:szCs w:val="21"/>
            </w:rPr>
            <w:t>、投标承诺书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_Toc31863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_Toc29062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十、反商业贿赂承诺书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_Toc29062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_Toc1695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、项目负责人简历表及拟投入本项目主要成员表（如有）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_Toc1695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_Toc20720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、其他商务部分资料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_Toc20720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_Toc25052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w:t>
          </w: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rPr>
            <w:t>、其他补充资料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_Toc25052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_Toc31086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第二部分  报价部分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_Toc31086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_Toc17891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一、开标一览表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_Toc17891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_Toc4210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二、投标明细报价表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_Toc4210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_Toc9391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第三部分  技术部分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_Toc9391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_Toc16687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一、技术偏离表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二、服务方案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_Toc23776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三、仓储设施设备及备品库存证明材料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_Toc23776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_Toc8513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四、所投产品市场使用情况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_Toc3616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五、产品简要说明一览表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_Toc3616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_Toc6573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六、产品技术支持文件（包含但不限于产品彩页或技术白皮书等）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_Toc6573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_Toc16380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七、售后服务承诺书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_Toc16380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_Toc29664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八、质量保证承诺书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_Toc29664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_Toc7853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九、其他资料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_Toc7853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_Toc23048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第七章 其它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_Toc23048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adjustRightInd w:val="0"/>
            <w:spacing w:line="240" w:lineRule="auto"/>
            <w:jc w:val="right"/>
            <w:rPr>
              <w:sz w:val="20"/>
              <w:szCs w:val="22"/>
            </w:rPr>
          </w:pPr>
          <w:r>
            <w:rPr>
              <w:rFonts w:hint="eastAsia" w:ascii="宋体" w:hAnsi="宋体" w:eastAsia="宋体" w:cs="宋体"/>
              <w:b w:val="0"/>
              <w:bCs w:val="0"/>
              <w:snapToGrid w:val="0"/>
              <w:kern w:val="21"/>
              <w:sz w:val="21"/>
              <w:szCs w:val="21"/>
              <w:lang w:val="zh-CN"/>
            </w:rPr>
            <w:fldChar w:fldCharType="end"/>
          </w:r>
        </w:p>
      </w:sdtContent>
    </w:sdt>
    <w:p>
      <w:pPr>
        <w:autoSpaceDE w:val="0"/>
        <w:autoSpaceDN w:val="0"/>
        <w:adjustRightInd w:val="0"/>
        <w:snapToGrid w:val="0"/>
        <w:spacing w:after="120" w:afterLines="50"/>
        <w:jc w:val="center"/>
        <w:rPr>
          <w:kern w:val="0"/>
          <w:sz w:val="28"/>
          <w:szCs w:val="28"/>
        </w:rPr>
      </w:pPr>
    </w:p>
    <w:p>
      <w:pPr>
        <w:autoSpaceDE w:val="0"/>
        <w:autoSpaceDN w:val="0"/>
        <w:adjustRightInd w:val="0"/>
        <w:snapToGrid w:val="0"/>
        <w:spacing w:after="120" w:afterLines="50"/>
        <w:jc w:val="center"/>
        <w:outlineLvl w:val="0"/>
        <w:rPr>
          <w:rFonts w:eastAsia="黑体"/>
          <w:kern w:val="0"/>
          <w:sz w:val="28"/>
          <w:szCs w:val="28"/>
        </w:rPr>
        <w:sectPr>
          <w:footerReference r:id="rId4" w:type="default"/>
          <w:pgSz w:w="11906" w:h="16838"/>
          <w:pgMar w:top="1440" w:right="1440" w:bottom="1440" w:left="1797"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 w:name="_Toc6520"/>
      <w:r>
        <w:rPr>
          <w:rFonts w:eastAsia="黑体"/>
          <w:kern w:val="0"/>
          <w:sz w:val="32"/>
          <w:szCs w:val="32"/>
        </w:rPr>
        <w:t xml:space="preserve">第一章  </w:t>
      </w:r>
      <w:bookmarkEnd w:id="0"/>
      <w:r>
        <w:rPr>
          <w:rFonts w:eastAsia="黑体"/>
          <w:kern w:val="0"/>
          <w:sz w:val="32"/>
          <w:szCs w:val="32"/>
        </w:rPr>
        <w:t>招标公告</w:t>
      </w:r>
      <w:bookmarkEnd w:id="1"/>
      <w:bookmarkEnd w:id="2"/>
    </w:p>
    <w:p>
      <w:pPr>
        <w:jc w:val="center"/>
        <w:rPr>
          <w:sz w:val="24"/>
        </w:rPr>
      </w:pPr>
    </w:p>
    <w:p>
      <w:pPr>
        <w:pBdr>
          <w:top w:val="single" w:color="auto" w:sz="4" w:space="1"/>
          <w:left w:val="single" w:color="auto" w:sz="4" w:space="4"/>
          <w:bottom w:val="single" w:color="auto" w:sz="4" w:space="1"/>
          <w:right w:val="single" w:color="auto" w:sz="4" w:space="4"/>
        </w:pBdr>
        <w:spacing w:line="360" w:lineRule="auto"/>
        <w:rPr>
          <w:sz w:val="24"/>
        </w:rPr>
      </w:pPr>
      <w:bookmarkStart w:id="3" w:name="_Toc31486"/>
      <w:r>
        <w:rPr>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u w:val="single"/>
          <w:lang w:eastAsia="zh-CN"/>
        </w:rPr>
        <w:t>新疆维吾尔自治区人民医院国产医用耗材采购项目</w:t>
      </w:r>
      <w:r>
        <w:rPr>
          <w:sz w:val="24"/>
        </w:rPr>
        <w:t>招标项目的潜在投标人应在</w:t>
      </w:r>
      <w:r>
        <w:rPr>
          <w:rFonts w:hint="eastAsia"/>
          <w:sz w:val="24"/>
          <w:u w:val="single"/>
        </w:rPr>
        <w:t>政府采购云平台</w:t>
      </w:r>
      <w:r>
        <w:rPr>
          <w:sz w:val="24"/>
        </w:rPr>
        <w:t>获取招标文件，并于</w:t>
      </w:r>
      <w:r>
        <w:rPr>
          <w:sz w:val="24"/>
          <w:u w:val="single"/>
        </w:rPr>
        <w:t xml:space="preserve"> 202</w:t>
      </w:r>
      <w:r>
        <w:rPr>
          <w:rFonts w:hint="eastAsia"/>
          <w:sz w:val="24"/>
          <w:u w:val="single"/>
        </w:rPr>
        <w:t>3</w:t>
      </w:r>
      <w:r>
        <w:rPr>
          <w:bCs/>
          <w:sz w:val="24"/>
          <w:u w:val="single"/>
        </w:rPr>
        <w:t>年</w:t>
      </w:r>
      <w:r>
        <w:rPr>
          <w:rFonts w:hint="eastAsia"/>
          <w:bCs/>
          <w:color w:val="auto"/>
          <w:sz w:val="24"/>
          <w:u w:val="single"/>
        </w:rPr>
        <w:t>0</w:t>
      </w:r>
      <w:r>
        <w:rPr>
          <w:rFonts w:hint="eastAsia"/>
          <w:bCs/>
          <w:color w:val="auto"/>
          <w:sz w:val="24"/>
          <w:u w:val="single"/>
          <w:lang w:val="en-US" w:eastAsia="zh-CN"/>
        </w:rPr>
        <w:t>9</w:t>
      </w:r>
      <w:r>
        <w:rPr>
          <w:bCs/>
          <w:color w:val="auto"/>
          <w:sz w:val="24"/>
          <w:highlight w:val="none"/>
          <w:u w:val="single"/>
        </w:rPr>
        <w:t>月</w:t>
      </w:r>
      <w:r>
        <w:rPr>
          <w:rFonts w:hint="eastAsia"/>
          <w:bCs/>
          <w:color w:val="auto"/>
          <w:sz w:val="24"/>
          <w:highlight w:val="none"/>
          <w:u w:val="single"/>
          <w:lang w:val="en-US" w:eastAsia="zh-CN"/>
        </w:rPr>
        <w:t>07</w:t>
      </w:r>
      <w:r>
        <w:rPr>
          <w:bCs/>
          <w:color w:val="auto"/>
          <w:sz w:val="24"/>
          <w:highlight w:val="none"/>
          <w:u w:val="single"/>
        </w:rPr>
        <w:t>日</w:t>
      </w:r>
      <w:r>
        <w:rPr>
          <w:bCs/>
          <w:color w:val="auto"/>
          <w:sz w:val="24"/>
          <w:u w:val="single"/>
        </w:rPr>
        <w:t>1</w:t>
      </w:r>
      <w:r>
        <w:rPr>
          <w:rFonts w:hint="eastAsia"/>
          <w:bCs/>
          <w:color w:val="auto"/>
          <w:sz w:val="24"/>
          <w:u w:val="single"/>
          <w:lang w:val="en-US" w:eastAsia="zh-CN"/>
        </w:rPr>
        <w:t>0</w:t>
      </w:r>
      <w:r>
        <w:rPr>
          <w:bCs/>
          <w:sz w:val="24"/>
          <w:u w:val="single"/>
        </w:rPr>
        <w:t>点</w:t>
      </w:r>
      <w:r>
        <w:rPr>
          <w:rFonts w:hint="eastAsia"/>
          <w:bCs/>
          <w:sz w:val="24"/>
          <w:u w:val="single"/>
          <w:lang w:val="en-US" w:eastAsia="zh-CN"/>
        </w:rPr>
        <w:t>3</w:t>
      </w:r>
      <w:r>
        <w:rPr>
          <w:bCs/>
          <w:sz w:val="24"/>
          <w:u w:val="single"/>
        </w:rPr>
        <w:t>0分（</w:t>
      </w:r>
      <w:r>
        <w:rPr>
          <w:bCs/>
          <w:sz w:val="24"/>
        </w:rPr>
        <w:t>北京时间）前递交投标文件</w:t>
      </w:r>
      <w:r>
        <w:rPr>
          <w:sz w:val="24"/>
        </w:rPr>
        <w:t>。</w:t>
      </w:r>
    </w:p>
    <w:p>
      <w:pPr>
        <w:rPr>
          <w:sz w:val="28"/>
          <w:szCs w:val="28"/>
        </w:rPr>
      </w:pPr>
    </w:p>
    <w:p>
      <w:pPr>
        <w:pStyle w:val="4"/>
        <w:spacing w:before="0" w:after="0" w:line="360" w:lineRule="auto"/>
        <w:rPr>
          <w:rFonts w:ascii="Times New Roman" w:hAnsi="Times New Roman"/>
          <w:b w:val="0"/>
          <w:sz w:val="28"/>
          <w:szCs w:val="28"/>
        </w:rPr>
      </w:pPr>
      <w:bookmarkStart w:id="4" w:name="_Toc28359002"/>
      <w:bookmarkStart w:id="5" w:name="_Toc35393790"/>
      <w:bookmarkStart w:id="6" w:name="_Toc28359079"/>
      <w:bookmarkStart w:id="7" w:name="_Toc4266"/>
      <w:bookmarkStart w:id="8" w:name="_Toc35393621"/>
      <w:bookmarkStart w:id="9" w:name="_Toc25017"/>
      <w:bookmarkStart w:id="10" w:name="_Hlk24379207"/>
      <w:r>
        <w:rPr>
          <w:rFonts w:hint="eastAsia" w:ascii="Times New Roman" w:hAnsi="Times New Roman"/>
          <w:b w:val="0"/>
          <w:sz w:val="28"/>
          <w:szCs w:val="28"/>
        </w:rPr>
        <w:t>一、项目</w:t>
      </w:r>
      <w:r>
        <w:rPr>
          <w:rFonts w:ascii="Times New Roman" w:hAnsi="Times New Roman"/>
          <w:b w:val="0"/>
          <w:sz w:val="28"/>
          <w:szCs w:val="28"/>
        </w:rPr>
        <w:t>基本情况</w:t>
      </w:r>
      <w:bookmarkEnd w:id="4"/>
      <w:bookmarkEnd w:id="5"/>
      <w:bookmarkEnd w:id="6"/>
      <w:bookmarkEnd w:id="7"/>
      <w:bookmarkEnd w:id="8"/>
      <w:bookmarkEnd w:id="9"/>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项目编号：</w:t>
      </w:r>
      <w:r>
        <w:rPr>
          <w:rFonts w:hint="eastAsia"/>
          <w:shd w:val="clear" w:color="auto" w:fill="FFFFFF"/>
          <w:lang w:eastAsia="zh-CN"/>
        </w:rPr>
        <w:t>GXTC-C-23510125</w:t>
      </w:r>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项目名称：</w:t>
      </w:r>
      <w:r>
        <w:rPr>
          <w:rFonts w:hint="eastAsia"/>
          <w:shd w:val="clear" w:color="auto" w:fill="FFFFFF"/>
          <w:lang w:eastAsia="zh-CN"/>
        </w:rPr>
        <w:t>新疆维吾尔自治区人民医院国产医用耗材采购项目</w:t>
      </w:r>
    </w:p>
    <w:p>
      <w:pPr>
        <w:pStyle w:val="37"/>
        <w:widowControl/>
        <w:spacing w:beforeAutospacing="0" w:afterAutospacing="0" w:line="360" w:lineRule="auto"/>
        <w:ind w:firstLine="480" w:firstLineChars="200"/>
        <w:jc w:val="both"/>
        <w:rPr>
          <w:shd w:val="clear" w:color="auto" w:fill="FFFFFF"/>
        </w:rPr>
      </w:pPr>
      <w:r>
        <w:rPr>
          <w:rFonts w:hint="eastAsia"/>
          <w:shd w:val="clear" w:color="auto" w:fill="FFFFFF"/>
        </w:rPr>
        <w:t>采购方式：公开招标</w:t>
      </w:r>
    </w:p>
    <w:p>
      <w:pPr>
        <w:pStyle w:val="37"/>
        <w:widowControl/>
        <w:spacing w:beforeAutospacing="0" w:afterAutospacing="0" w:line="360" w:lineRule="auto"/>
        <w:ind w:firstLine="480" w:firstLineChars="200"/>
        <w:jc w:val="both"/>
        <w:rPr>
          <w:shd w:val="clear" w:color="auto" w:fill="FFFFFF"/>
        </w:rPr>
      </w:pPr>
      <w:r>
        <w:rPr>
          <w:shd w:val="clear" w:color="auto" w:fill="FFFFFF"/>
        </w:rPr>
        <w:t>预算金额</w:t>
      </w:r>
      <w:r>
        <w:rPr>
          <w:rFonts w:hint="eastAsia"/>
          <w:shd w:val="clear" w:color="auto" w:fill="FFFFFF"/>
        </w:rPr>
        <w:t>（元）</w:t>
      </w:r>
      <w:r>
        <w:rPr>
          <w:shd w:val="clear" w:color="auto" w:fill="FFFFFF"/>
        </w:rPr>
        <w:t>：</w:t>
      </w:r>
      <w:r>
        <w:rPr>
          <w:rFonts w:hint="eastAsia"/>
          <w:shd w:val="clear" w:color="auto" w:fill="FFFFFF"/>
          <w:lang w:val="en-US" w:eastAsia="zh-CN"/>
        </w:rPr>
        <w:t>4,65</w:t>
      </w:r>
      <w:r>
        <w:rPr>
          <w:rFonts w:hint="eastAsia"/>
          <w:shd w:val="clear" w:color="auto" w:fill="FFFFFF"/>
        </w:rPr>
        <w:t>0</w:t>
      </w:r>
      <w:r>
        <w:rPr>
          <w:shd w:val="clear" w:color="auto" w:fill="FFFFFF"/>
        </w:rPr>
        <w:t>,</w:t>
      </w:r>
      <w:r>
        <w:rPr>
          <w:rFonts w:hint="eastAsia"/>
          <w:shd w:val="clear" w:color="auto" w:fill="FFFFFF"/>
        </w:rPr>
        <w:t>000</w:t>
      </w:r>
      <w:r>
        <w:rPr>
          <w:shd w:val="clear" w:color="auto" w:fill="FFFFFF"/>
        </w:rPr>
        <w:t>.00</w:t>
      </w:r>
    </w:p>
    <w:bookmarkEnd w:id="10"/>
    <w:p>
      <w:pPr>
        <w:pStyle w:val="37"/>
        <w:widowControl/>
        <w:spacing w:beforeAutospacing="0" w:afterAutospacing="0" w:line="360" w:lineRule="auto"/>
        <w:ind w:firstLine="480" w:firstLineChars="200"/>
        <w:jc w:val="both"/>
        <w:rPr>
          <w:rFonts w:hint="default" w:eastAsia="宋体"/>
          <w:highlight w:val="yellow"/>
          <w:shd w:val="clear" w:color="auto" w:fill="FFFFFF"/>
          <w:lang w:val="en-US" w:eastAsia="zh-CN"/>
        </w:rPr>
      </w:pPr>
      <w:r>
        <w:rPr>
          <w:shd w:val="clear" w:color="auto" w:fill="FFFFFF"/>
        </w:rPr>
        <w:t>最高限价</w:t>
      </w:r>
      <w:r>
        <w:rPr>
          <w:rFonts w:hint="eastAsia"/>
          <w:shd w:val="clear" w:color="auto" w:fill="FFFFFF"/>
        </w:rPr>
        <w:t>（元</w:t>
      </w:r>
      <w:r>
        <w:rPr>
          <w:rFonts w:hint="eastAsia"/>
          <w:highlight w:val="none"/>
          <w:shd w:val="clear" w:color="auto" w:fill="FFFFFF"/>
        </w:rPr>
        <w:t>）：</w:t>
      </w:r>
      <w:r>
        <w:rPr>
          <w:rFonts w:hint="eastAsia"/>
          <w:highlight w:val="none"/>
          <w:shd w:val="clear" w:color="auto" w:fill="FFFFFF"/>
          <w:lang w:val="en-US" w:eastAsia="zh-CN"/>
        </w:rPr>
        <w:t>4</w:t>
      </w:r>
      <w:r>
        <w:rPr>
          <w:highlight w:val="none"/>
        </w:rPr>
        <w:t>,</w:t>
      </w:r>
      <w:r>
        <w:rPr>
          <w:rFonts w:hint="eastAsia"/>
          <w:highlight w:val="none"/>
          <w:lang w:val="en-US" w:eastAsia="zh-CN"/>
        </w:rPr>
        <w:t>495</w:t>
      </w:r>
      <w:r>
        <w:rPr>
          <w:rFonts w:hint="eastAsia"/>
          <w:highlight w:val="none"/>
        </w:rPr>
        <w:t>.00</w:t>
      </w:r>
      <w:r>
        <w:rPr>
          <w:rFonts w:hint="eastAsia"/>
          <w:highlight w:val="none"/>
          <w:lang w:eastAsia="zh-CN"/>
        </w:rPr>
        <w:t>；</w:t>
      </w:r>
      <w:r>
        <w:rPr>
          <w:rFonts w:hint="eastAsia"/>
          <w:highlight w:val="none"/>
          <w:lang w:val="en-US" w:eastAsia="zh-CN"/>
        </w:rPr>
        <w:t>32,434.20；300.00</w:t>
      </w:r>
    </w:p>
    <w:p>
      <w:pPr>
        <w:pStyle w:val="37"/>
        <w:widowControl/>
        <w:spacing w:beforeAutospacing="0" w:afterAutospacing="0" w:line="360" w:lineRule="auto"/>
        <w:ind w:firstLine="480" w:firstLineChars="200"/>
        <w:jc w:val="both"/>
        <w:rPr>
          <w:shd w:val="clear" w:color="auto" w:fill="FFFFFF"/>
        </w:rPr>
      </w:pPr>
      <w:r>
        <w:rPr>
          <w:shd w:val="clear" w:color="auto" w:fill="FFFFFF"/>
        </w:rPr>
        <w:t>采购需求：</w:t>
      </w:r>
      <w:r>
        <w:rPr>
          <w:rFonts w:hint="eastAsia"/>
          <w:shd w:val="clear" w:color="auto" w:fill="FFFFFF"/>
        </w:rPr>
        <w:t>详见招标文件第五章采购需求。</w:t>
      </w:r>
    </w:p>
    <w:p>
      <w:pPr>
        <w:pStyle w:val="37"/>
        <w:widowControl/>
        <w:spacing w:beforeAutospacing="0" w:afterAutospacing="0" w:line="360" w:lineRule="auto"/>
        <w:ind w:left="1142" w:hanging="1142" w:hangingChars="474"/>
        <w:rPr>
          <w:rFonts w:hint="eastAsia" w:ascii="Times New Roman" w:hAnsi="Times New Roman" w:eastAsia="宋体" w:cs="Times New Roman"/>
          <w:kern w:val="2"/>
          <w:sz w:val="24"/>
          <w:szCs w:val="24"/>
          <w:shd w:val="clear" w:color="auto" w:fill="FFFFFF"/>
          <w:lang w:val="en-US" w:eastAsia="zh-CN" w:bidi="ar-SA"/>
        </w:rPr>
      </w:pPr>
      <w:r>
        <w:rPr>
          <w:rFonts w:hint="eastAsia"/>
          <w:b/>
          <w:bCs/>
          <w:shd w:val="clear" w:color="auto" w:fill="FFFFFF"/>
        </w:rPr>
        <w:t>标项一</w:t>
      </w:r>
    </w:p>
    <w:p>
      <w:pPr>
        <w:spacing w:line="360" w:lineRule="auto"/>
        <w:ind w:left="559" w:leftChars="266"/>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标项名称：</w:t>
      </w:r>
      <w:r>
        <w:rPr>
          <w:rFonts w:hint="eastAsia" w:cs="Times New Roman"/>
          <w:kern w:val="2"/>
          <w:sz w:val="24"/>
          <w:szCs w:val="24"/>
          <w:shd w:val="clear" w:color="auto" w:fill="FFFFFF"/>
          <w:lang w:val="en-US" w:eastAsia="zh-CN" w:bidi="ar-SA"/>
        </w:rPr>
        <w:t>麻醉科耗材</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预算金额（元</w:t>
      </w:r>
      <w:r>
        <w:rPr>
          <w:rFonts w:hint="eastAsia" w:ascii="Times New Roman" w:hAnsi="Times New Roman" w:eastAsia="宋体" w:cs="Times New Roman"/>
          <w:kern w:val="0"/>
          <w:sz w:val="24"/>
          <w:szCs w:val="24"/>
          <w:lang w:val="en-US" w:eastAsia="zh-CN" w:bidi="ar-SA"/>
        </w:rPr>
        <w:t xml:space="preserve">）: </w:t>
      </w:r>
      <w:r>
        <w:rPr>
          <w:rFonts w:hint="eastAsia" w:cs="Times New Roman"/>
          <w:kern w:val="0"/>
          <w:sz w:val="24"/>
          <w:szCs w:val="24"/>
          <w:lang w:val="en-US" w:eastAsia="zh-CN" w:bidi="ar-SA"/>
        </w:rPr>
        <w:t>1,2</w:t>
      </w:r>
      <w:r>
        <w:rPr>
          <w:rFonts w:hint="eastAsia" w:ascii="Times New Roman" w:hAnsi="Times New Roman" w:eastAsia="宋体" w:cs="Times New Roman"/>
          <w:kern w:val="0"/>
          <w:sz w:val="24"/>
          <w:szCs w:val="24"/>
          <w:lang w:val="en-US" w:eastAsia="zh-CN" w:bidi="ar-SA"/>
        </w:rPr>
        <w:t>0</w:t>
      </w:r>
      <w:r>
        <w:rPr>
          <w:rFonts w:hint="eastAsia" w:cs="Times New Roman"/>
          <w:kern w:val="0"/>
          <w:sz w:val="24"/>
          <w:szCs w:val="24"/>
          <w:lang w:val="en-US" w:eastAsia="zh-CN" w:bidi="ar-SA"/>
        </w:rPr>
        <w:t>0</w:t>
      </w:r>
      <w:r>
        <w:rPr>
          <w:rFonts w:hint="eastAsia" w:ascii="Times New Roman" w:hAnsi="Times New Roman" w:eastAsia="宋体" w:cs="Times New Roman"/>
          <w:kern w:val="0"/>
          <w:sz w:val="24"/>
          <w:szCs w:val="24"/>
          <w:lang w:val="en-US" w:eastAsia="zh-CN" w:bidi="ar-SA"/>
        </w:rPr>
        <w:t>,000.00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rFonts w:hint="eastAsia" w:eastAsia="宋体"/>
          <w:shd w:val="clear" w:color="auto" w:fill="FFFFFF"/>
          <w:lang w:val="en-US" w:eastAsia="zh-CN"/>
        </w:rPr>
      </w:pPr>
      <w:r>
        <w:rPr>
          <w:rFonts w:hint="eastAsia"/>
          <w:sz w:val="24"/>
          <w:shd w:val="clear" w:color="auto" w:fill="FFFFFF"/>
        </w:rPr>
        <w:t>备注：</w:t>
      </w:r>
      <w:r>
        <w:rPr>
          <w:rFonts w:hint="eastAsia"/>
          <w:sz w:val="24"/>
          <w:shd w:val="clear" w:color="auto" w:fill="FFFFFF"/>
          <w:lang w:val="en-US" w:eastAsia="zh-CN"/>
        </w:rPr>
        <w:t>国产</w:t>
      </w:r>
    </w:p>
    <w:p>
      <w:pPr>
        <w:pStyle w:val="37"/>
        <w:widowControl/>
        <w:adjustRightInd w:val="0"/>
        <w:snapToGrid w:val="0"/>
        <w:spacing w:beforeAutospacing="0" w:afterAutospacing="0" w:line="360" w:lineRule="auto"/>
        <w:ind w:firstLine="480" w:firstLineChars="200"/>
        <w:jc w:val="both"/>
        <w:rPr>
          <w:highlight w:val="none"/>
          <w:shd w:val="clear" w:color="auto" w:fill="FFFFFF"/>
        </w:rPr>
      </w:pPr>
      <w:r>
        <w:rPr>
          <w:shd w:val="clear" w:color="auto" w:fill="FFFFFF"/>
        </w:rPr>
        <w:t>是否接受进口产</w:t>
      </w:r>
      <w:r>
        <w:rPr>
          <w:highlight w:val="none"/>
          <w:shd w:val="clear" w:color="auto" w:fill="FFFFFF"/>
        </w:rPr>
        <w:t>品投标：</w:t>
      </w:r>
      <w:r>
        <w:rPr>
          <w:rFonts w:hint="eastAsia"/>
          <w:highlight w:val="none"/>
          <w:shd w:val="clear" w:color="auto" w:fill="FFFFFF"/>
          <w:lang w:val="en-US" w:eastAsia="zh-CN"/>
        </w:rPr>
        <w:t>否</w:t>
      </w:r>
      <w:r>
        <w:rPr>
          <w:rFonts w:hint="eastAsia"/>
          <w:highlight w:val="none"/>
          <w:shd w:val="clear" w:color="auto" w:fill="FFFFFF"/>
        </w:rPr>
        <w:t>；</w:t>
      </w:r>
    </w:p>
    <w:p>
      <w:pPr>
        <w:pStyle w:val="37"/>
        <w:widowControl/>
        <w:spacing w:beforeAutospacing="0" w:afterAutospacing="0" w:line="360" w:lineRule="auto"/>
        <w:ind w:left="1134" w:leftChars="228" w:hanging="655" w:hangingChars="273"/>
        <w:rPr>
          <w:rFonts w:hint="eastAsia"/>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left="1142" w:hanging="1142" w:hangingChars="474"/>
        <w:rPr>
          <w:rFonts w:hint="eastAsia" w:ascii="Times New Roman" w:hAnsi="Times New Roman" w:eastAsia="宋体" w:cs="Times New Roman"/>
          <w:kern w:val="2"/>
          <w:sz w:val="24"/>
          <w:szCs w:val="24"/>
          <w:shd w:val="clear" w:color="auto" w:fill="FFFFFF"/>
          <w:lang w:val="en-US" w:eastAsia="zh-CN" w:bidi="ar-SA"/>
        </w:rPr>
      </w:pPr>
      <w:r>
        <w:rPr>
          <w:rFonts w:hint="eastAsia"/>
          <w:b/>
          <w:bCs/>
          <w:shd w:val="clear" w:color="auto" w:fill="FFFFFF"/>
        </w:rPr>
        <w:t>标项</w:t>
      </w:r>
      <w:r>
        <w:rPr>
          <w:rFonts w:hint="eastAsia"/>
          <w:b/>
          <w:bCs/>
          <w:shd w:val="clear" w:color="auto" w:fill="FFFFFF"/>
          <w:lang w:val="en-US" w:eastAsia="zh-CN"/>
        </w:rPr>
        <w:t>二</w:t>
      </w:r>
    </w:p>
    <w:p>
      <w:pPr>
        <w:spacing w:line="360" w:lineRule="auto"/>
        <w:ind w:left="559" w:leftChars="266"/>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标项名称：</w:t>
      </w:r>
      <w:r>
        <w:rPr>
          <w:rFonts w:hint="eastAsia" w:cs="Times New Roman"/>
          <w:kern w:val="2"/>
          <w:sz w:val="24"/>
          <w:szCs w:val="24"/>
          <w:shd w:val="clear" w:color="auto" w:fill="FFFFFF"/>
          <w:lang w:val="en-US" w:eastAsia="zh-CN" w:bidi="ar-SA"/>
        </w:rPr>
        <w:t>微创外科耗材</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预算金额（元</w:t>
      </w:r>
      <w:r>
        <w:rPr>
          <w:rFonts w:hint="eastAsia" w:ascii="Times New Roman" w:hAnsi="Times New Roman" w:eastAsia="宋体" w:cs="Times New Roman"/>
          <w:kern w:val="0"/>
          <w:sz w:val="24"/>
          <w:szCs w:val="24"/>
          <w:lang w:val="en-US" w:eastAsia="zh-CN" w:bidi="ar-SA"/>
        </w:rPr>
        <w:t xml:space="preserve">）: </w:t>
      </w:r>
      <w:r>
        <w:rPr>
          <w:rFonts w:hint="eastAsia" w:cs="Times New Roman"/>
          <w:kern w:val="0"/>
          <w:sz w:val="24"/>
          <w:szCs w:val="24"/>
          <w:lang w:val="en-US" w:eastAsia="zh-CN" w:bidi="ar-SA"/>
        </w:rPr>
        <w:t>2,200</w:t>
      </w:r>
      <w:r>
        <w:rPr>
          <w:rFonts w:hint="eastAsia" w:ascii="Times New Roman" w:hAnsi="Times New Roman" w:eastAsia="宋体" w:cs="Times New Roman"/>
          <w:kern w:val="0"/>
          <w:sz w:val="24"/>
          <w:szCs w:val="24"/>
          <w:lang w:val="en-US" w:eastAsia="zh-CN" w:bidi="ar-SA"/>
        </w:rPr>
        <w:t>,000.00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rFonts w:hint="eastAsia" w:eastAsia="宋体"/>
          <w:shd w:val="clear" w:color="auto" w:fill="FFFFFF"/>
          <w:lang w:val="en-US" w:eastAsia="zh-CN"/>
        </w:rPr>
      </w:pPr>
      <w:r>
        <w:rPr>
          <w:rFonts w:hint="eastAsia"/>
          <w:sz w:val="24"/>
          <w:shd w:val="clear" w:color="auto" w:fill="FFFFFF"/>
        </w:rPr>
        <w:t>备注：</w:t>
      </w:r>
      <w:r>
        <w:rPr>
          <w:rFonts w:hint="eastAsia"/>
          <w:sz w:val="24"/>
          <w:shd w:val="clear" w:color="auto" w:fill="FFFFFF"/>
          <w:lang w:val="en-US" w:eastAsia="zh-CN"/>
        </w:rPr>
        <w:t>国产</w:t>
      </w:r>
    </w:p>
    <w:p>
      <w:pPr>
        <w:pStyle w:val="37"/>
        <w:widowControl/>
        <w:adjustRightInd w:val="0"/>
        <w:snapToGrid w:val="0"/>
        <w:spacing w:beforeAutospacing="0" w:afterAutospacing="0" w:line="360" w:lineRule="auto"/>
        <w:ind w:firstLine="480" w:firstLineChars="200"/>
        <w:jc w:val="both"/>
        <w:rPr>
          <w:highlight w:val="none"/>
          <w:shd w:val="clear" w:color="auto" w:fill="FFFFFF"/>
        </w:rPr>
      </w:pPr>
      <w:r>
        <w:rPr>
          <w:shd w:val="clear" w:color="auto" w:fill="FFFFFF"/>
        </w:rPr>
        <w:t>是否接受进口产品投</w:t>
      </w:r>
      <w:r>
        <w:rPr>
          <w:highlight w:val="none"/>
          <w:shd w:val="clear" w:color="auto" w:fill="FFFFFF"/>
        </w:rPr>
        <w:t>标：</w:t>
      </w:r>
      <w:r>
        <w:rPr>
          <w:rFonts w:hint="eastAsia"/>
          <w:highlight w:val="none"/>
          <w:shd w:val="clear" w:color="auto" w:fill="FFFFFF"/>
          <w:lang w:val="en-US" w:eastAsia="zh-CN"/>
        </w:rPr>
        <w:t>否</w:t>
      </w:r>
      <w:r>
        <w:rPr>
          <w:rFonts w:hint="eastAsia"/>
          <w:highlight w:val="none"/>
          <w:shd w:val="clear" w:color="auto" w:fill="FFFFFF"/>
        </w:rPr>
        <w:t>；</w:t>
      </w:r>
    </w:p>
    <w:p>
      <w:pPr>
        <w:pStyle w:val="37"/>
        <w:widowControl/>
        <w:spacing w:beforeAutospacing="0" w:afterAutospacing="0" w:line="360" w:lineRule="auto"/>
        <w:ind w:left="1134" w:leftChars="228" w:hanging="655" w:hangingChars="273"/>
        <w:rPr>
          <w:rFonts w:hint="eastAsia"/>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left="1134" w:leftChars="228" w:hanging="655" w:hangingChars="273"/>
        <w:rPr>
          <w:rFonts w:hint="eastAsia"/>
          <w:shd w:val="clear" w:color="auto" w:fill="FFFFFF"/>
        </w:rPr>
      </w:pPr>
    </w:p>
    <w:p>
      <w:pPr>
        <w:pStyle w:val="37"/>
        <w:widowControl/>
        <w:spacing w:beforeAutospacing="0" w:afterAutospacing="0" w:line="360" w:lineRule="auto"/>
        <w:ind w:left="1142" w:hanging="1142" w:hangingChars="474"/>
        <w:rPr>
          <w:rFonts w:hint="eastAsia" w:ascii="Times New Roman" w:hAnsi="Times New Roman" w:eastAsia="宋体" w:cs="Times New Roman"/>
          <w:kern w:val="2"/>
          <w:sz w:val="24"/>
          <w:szCs w:val="24"/>
          <w:shd w:val="clear" w:color="auto" w:fill="FFFFFF"/>
          <w:lang w:val="en-US" w:eastAsia="zh-CN" w:bidi="ar-SA"/>
        </w:rPr>
      </w:pPr>
      <w:r>
        <w:rPr>
          <w:rFonts w:hint="eastAsia"/>
          <w:b/>
          <w:bCs/>
          <w:shd w:val="clear" w:color="auto" w:fill="FFFFFF"/>
        </w:rPr>
        <w:t>标项</w:t>
      </w:r>
      <w:r>
        <w:rPr>
          <w:rFonts w:hint="eastAsia"/>
          <w:b/>
          <w:bCs/>
          <w:shd w:val="clear" w:color="auto" w:fill="FFFFFF"/>
          <w:lang w:val="en-US" w:eastAsia="zh-CN"/>
        </w:rPr>
        <w:t>三</w:t>
      </w:r>
    </w:p>
    <w:p>
      <w:pPr>
        <w:spacing w:line="360" w:lineRule="auto"/>
        <w:ind w:left="559" w:leftChars="266"/>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标项名称：影像中心一次性使用高压造影注射器及附件</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预算金额（元</w:t>
      </w:r>
      <w:r>
        <w:rPr>
          <w:rFonts w:hint="eastAsia" w:ascii="Times New Roman" w:hAnsi="Times New Roman" w:eastAsia="宋体" w:cs="Times New Roman"/>
          <w:kern w:val="0"/>
          <w:sz w:val="24"/>
          <w:szCs w:val="24"/>
          <w:lang w:val="en-US" w:eastAsia="zh-CN" w:bidi="ar-SA"/>
        </w:rPr>
        <w:t xml:space="preserve">）: </w:t>
      </w:r>
      <w:r>
        <w:rPr>
          <w:rFonts w:hint="eastAsia" w:cs="Times New Roman"/>
          <w:kern w:val="0"/>
          <w:sz w:val="24"/>
          <w:szCs w:val="24"/>
          <w:lang w:val="en-US" w:eastAsia="zh-CN" w:bidi="ar-SA"/>
        </w:rPr>
        <w:t>1,250</w:t>
      </w:r>
      <w:r>
        <w:rPr>
          <w:rFonts w:hint="eastAsia" w:ascii="Times New Roman" w:hAnsi="Times New Roman" w:eastAsia="宋体" w:cs="Times New Roman"/>
          <w:kern w:val="0"/>
          <w:sz w:val="24"/>
          <w:szCs w:val="24"/>
          <w:lang w:val="en-US" w:eastAsia="zh-CN" w:bidi="ar-SA"/>
        </w:rPr>
        <w:t>,000.00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rFonts w:hint="eastAsia" w:eastAsia="宋体"/>
          <w:shd w:val="clear" w:color="auto" w:fill="FFFFFF"/>
          <w:lang w:val="en-US" w:eastAsia="zh-CN"/>
        </w:rPr>
      </w:pPr>
      <w:r>
        <w:rPr>
          <w:rFonts w:hint="eastAsia"/>
          <w:sz w:val="24"/>
          <w:shd w:val="clear" w:color="auto" w:fill="FFFFFF"/>
        </w:rPr>
        <w:t>备注：</w:t>
      </w:r>
      <w:r>
        <w:rPr>
          <w:rFonts w:hint="eastAsia"/>
          <w:sz w:val="24"/>
          <w:shd w:val="clear" w:color="auto" w:fill="FFFFFF"/>
          <w:lang w:val="en-US" w:eastAsia="zh-CN"/>
        </w:rPr>
        <w:t>国产</w:t>
      </w:r>
    </w:p>
    <w:p>
      <w:pPr>
        <w:pStyle w:val="37"/>
        <w:widowControl/>
        <w:adjustRightInd w:val="0"/>
        <w:snapToGrid w:val="0"/>
        <w:spacing w:beforeAutospacing="0" w:afterAutospacing="0" w:line="360" w:lineRule="auto"/>
        <w:ind w:firstLine="480" w:firstLineChars="200"/>
        <w:jc w:val="both"/>
        <w:rPr>
          <w:highlight w:val="none"/>
          <w:shd w:val="clear" w:color="auto" w:fill="FFFFFF"/>
        </w:rPr>
      </w:pPr>
      <w:r>
        <w:rPr>
          <w:shd w:val="clear" w:color="auto" w:fill="FFFFFF"/>
        </w:rPr>
        <w:t>是否接受进口产品投</w:t>
      </w:r>
      <w:r>
        <w:rPr>
          <w:highlight w:val="none"/>
          <w:shd w:val="clear" w:color="auto" w:fill="FFFFFF"/>
        </w:rPr>
        <w:t>标：</w:t>
      </w:r>
      <w:r>
        <w:rPr>
          <w:rFonts w:hint="eastAsia"/>
          <w:highlight w:val="none"/>
          <w:shd w:val="clear" w:color="auto" w:fill="FFFFFF"/>
          <w:lang w:val="en-US" w:eastAsia="zh-CN"/>
        </w:rPr>
        <w:t>否</w:t>
      </w:r>
      <w:r>
        <w:rPr>
          <w:rFonts w:hint="eastAsia"/>
          <w:highlight w:val="none"/>
          <w:shd w:val="clear" w:color="auto" w:fill="FFFFFF"/>
        </w:rPr>
        <w:t>；</w:t>
      </w:r>
    </w:p>
    <w:p>
      <w:pPr>
        <w:pStyle w:val="37"/>
        <w:widowControl/>
        <w:adjustRightInd w:val="0"/>
        <w:snapToGrid w:val="0"/>
        <w:spacing w:beforeAutospacing="0" w:afterAutospacing="0" w:line="360" w:lineRule="auto"/>
        <w:ind w:firstLine="482" w:firstLineChars="200"/>
        <w:rPr>
          <w:rFonts w:hint="eastAsia"/>
          <w:b/>
          <w:bCs/>
          <w:highlight w:val="none"/>
          <w:shd w:val="clear" w:color="auto" w:fill="FFFFFF"/>
          <w:lang w:val="en-US" w:eastAsia="zh-CN"/>
        </w:rPr>
      </w:pPr>
      <w:r>
        <w:rPr>
          <w:rFonts w:hint="eastAsia"/>
          <w:b/>
          <w:bCs/>
          <w:shd w:val="clear" w:color="auto" w:fill="FFFFFF"/>
        </w:rPr>
        <w:t>是否专门面对中小企业采购：本项目标项一非门面</w:t>
      </w:r>
      <w:r>
        <w:rPr>
          <w:rFonts w:hint="eastAsia"/>
          <w:b/>
          <w:bCs/>
          <w:shd w:val="clear" w:color="auto" w:fill="FFFFFF"/>
          <w:lang w:val="en-US" w:eastAsia="zh-CN"/>
        </w:rPr>
        <w:t>专</w:t>
      </w:r>
      <w:r>
        <w:rPr>
          <w:rFonts w:hint="eastAsia"/>
          <w:b/>
          <w:bCs/>
          <w:shd w:val="clear" w:color="auto" w:fill="FFFFFF"/>
        </w:rPr>
        <w:t>向中小企业采购，标项</w:t>
      </w:r>
      <w:r>
        <w:rPr>
          <w:rFonts w:hint="eastAsia"/>
          <w:b/>
          <w:bCs/>
          <w:shd w:val="clear" w:color="auto" w:fill="FFFFFF"/>
          <w:lang w:val="en-US" w:eastAsia="zh-CN"/>
        </w:rPr>
        <w:t>二</w:t>
      </w:r>
      <w:r>
        <w:rPr>
          <w:rFonts w:hint="eastAsia"/>
          <w:b/>
          <w:bCs/>
          <w:shd w:val="clear" w:color="auto" w:fill="FFFFFF"/>
        </w:rPr>
        <w:t>、标项</w:t>
      </w:r>
      <w:r>
        <w:rPr>
          <w:rFonts w:hint="eastAsia"/>
          <w:b/>
          <w:bCs/>
          <w:shd w:val="clear" w:color="auto" w:fill="FFFFFF"/>
          <w:lang w:val="en-US" w:eastAsia="zh-CN"/>
        </w:rPr>
        <w:t>三</w:t>
      </w:r>
      <w:r>
        <w:rPr>
          <w:rFonts w:hint="eastAsia"/>
          <w:b/>
          <w:bCs/>
          <w:shd w:val="clear" w:color="auto" w:fill="FFFFFF"/>
        </w:rPr>
        <w:t>、专门面向中小微企业采购。</w:t>
      </w:r>
    </w:p>
    <w:p>
      <w:pPr>
        <w:pStyle w:val="37"/>
        <w:widowControl/>
        <w:spacing w:beforeAutospacing="0" w:afterAutospacing="0" w:line="360" w:lineRule="auto"/>
        <w:ind w:left="1134" w:leftChars="228" w:hanging="655" w:hangingChars="273"/>
        <w:rPr>
          <w:rFonts w:hint="eastAsia"/>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7"/>
        <w:widowControl/>
        <w:spacing w:beforeAutospacing="0" w:afterAutospacing="0" w:line="360" w:lineRule="auto"/>
        <w:ind w:firstLine="480" w:firstLineChars="200"/>
        <w:jc w:val="both"/>
        <w:rPr>
          <w:shd w:val="clear" w:color="auto" w:fill="FFFFFF"/>
        </w:rPr>
      </w:pPr>
    </w:p>
    <w:p>
      <w:pPr>
        <w:pStyle w:val="4"/>
        <w:spacing w:before="0" w:after="0" w:line="360" w:lineRule="auto"/>
        <w:rPr>
          <w:rFonts w:ascii="Times New Roman" w:hAnsi="Times New Roman"/>
          <w:b w:val="0"/>
          <w:sz w:val="28"/>
          <w:szCs w:val="28"/>
        </w:rPr>
      </w:pPr>
      <w:bookmarkStart w:id="11" w:name="_Toc28359080"/>
      <w:bookmarkStart w:id="12" w:name="_Toc852"/>
      <w:bookmarkStart w:id="13" w:name="_Toc35393622"/>
      <w:bookmarkStart w:id="14" w:name="_Toc35393791"/>
      <w:bookmarkStart w:id="15" w:name="_Toc28359003"/>
      <w:r>
        <w:rPr>
          <w:rFonts w:hint="eastAsia" w:ascii="Times New Roman" w:hAnsi="Times New Roman"/>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pStyle w:val="37"/>
        <w:adjustRightInd w:val="0"/>
        <w:snapToGrid w:val="0"/>
        <w:spacing w:beforeAutospacing="0" w:afterAutospacing="0" w:line="360" w:lineRule="auto"/>
        <w:ind w:firstLine="480" w:firstLineChars="200"/>
        <w:jc w:val="both"/>
      </w:pPr>
      <w:r>
        <w:t>2.落实政府采购政策需满足的资格要求：</w:t>
      </w:r>
      <w:bookmarkStart w:id="16" w:name="_Hlk104890645"/>
      <w:r>
        <w:rPr>
          <w:rFonts w:hint="eastAsia"/>
          <w:b/>
          <w:bCs/>
          <w:shd w:val="clear" w:color="auto" w:fill="FFFFFF"/>
        </w:rPr>
        <w:t>本项目标项一非门面</w:t>
      </w:r>
      <w:r>
        <w:rPr>
          <w:rFonts w:hint="eastAsia"/>
          <w:b/>
          <w:bCs/>
          <w:shd w:val="clear" w:color="auto" w:fill="FFFFFF"/>
          <w:lang w:val="en-US" w:eastAsia="zh-CN"/>
        </w:rPr>
        <w:t>专</w:t>
      </w:r>
      <w:r>
        <w:rPr>
          <w:rFonts w:hint="eastAsia"/>
          <w:b/>
          <w:bCs/>
          <w:shd w:val="clear" w:color="auto" w:fill="FFFFFF"/>
        </w:rPr>
        <w:t>向中小企业采购，标项</w:t>
      </w:r>
      <w:r>
        <w:rPr>
          <w:rFonts w:hint="eastAsia"/>
          <w:b/>
          <w:bCs/>
          <w:shd w:val="clear" w:color="auto" w:fill="FFFFFF"/>
          <w:lang w:val="en-US" w:eastAsia="zh-CN"/>
        </w:rPr>
        <w:t>二</w:t>
      </w:r>
      <w:r>
        <w:rPr>
          <w:rFonts w:hint="eastAsia"/>
          <w:b/>
          <w:bCs/>
          <w:shd w:val="clear" w:color="auto" w:fill="FFFFFF"/>
        </w:rPr>
        <w:t>、标项</w:t>
      </w:r>
      <w:r>
        <w:rPr>
          <w:rFonts w:hint="eastAsia"/>
          <w:b/>
          <w:bCs/>
          <w:shd w:val="clear" w:color="auto" w:fill="FFFFFF"/>
          <w:lang w:val="en-US" w:eastAsia="zh-CN"/>
        </w:rPr>
        <w:t>三</w:t>
      </w:r>
      <w:r>
        <w:rPr>
          <w:rFonts w:hint="eastAsia"/>
          <w:b/>
          <w:bCs/>
          <w:shd w:val="clear" w:color="auto" w:fill="FFFFFF"/>
        </w:rPr>
        <w:t>、专门面向中小微企业采购</w:t>
      </w:r>
      <w:r>
        <w:rPr>
          <w:rFonts w:hint="eastAsia"/>
          <w:b/>
          <w:bCs/>
        </w:rPr>
        <w:t>，投标人所投产品的生产厂家应均为中小微企业或监狱企业或残疾人福利性单位</w:t>
      </w:r>
      <w:bookmarkEnd w:id="16"/>
      <w:r>
        <w:rPr>
          <w:rFonts w:hint="eastAsia"/>
        </w:rPr>
        <w:t>。落实节能环保、中小微型企业、监狱企业、残疾人福利性单位性扶持等相关政府采购政策（</w:t>
      </w:r>
      <w:r>
        <w:rPr>
          <w:rFonts w:hint="eastAsia"/>
          <w:shd w:val="clear" w:color="auto" w:fill="FFFFFF"/>
        </w:rPr>
        <w:t>监狱企业、残疾人福利性单位视同小微企业；监狱企业、残疾人福利性单位属于小型、微型企业的，不重复享受政策）</w:t>
      </w:r>
      <w:r>
        <w:rPr>
          <w:shd w:val="clear" w:color="auto" w:fill="FFFFFF"/>
        </w:rPr>
        <w:t>。</w:t>
      </w:r>
    </w:p>
    <w:p>
      <w:pPr>
        <w:spacing w:line="360" w:lineRule="auto"/>
        <w:ind w:firstLine="480" w:firstLineChars="200"/>
        <w:rPr>
          <w:sz w:val="24"/>
        </w:rPr>
      </w:pPr>
      <w:r>
        <w:rPr>
          <w:sz w:val="24"/>
        </w:rPr>
        <w:t>3.本项目的特定资格要求：</w:t>
      </w:r>
    </w:p>
    <w:p>
      <w:pPr>
        <w:pStyle w:val="25"/>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4"/>
        <w:spacing w:before="0" w:after="0" w:line="360" w:lineRule="auto"/>
        <w:rPr>
          <w:rFonts w:ascii="Times New Roman" w:hAnsi="Times New Roman"/>
          <w:b w:val="0"/>
          <w:sz w:val="28"/>
          <w:szCs w:val="28"/>
          <w:highlight w:val="none"/>
        </w:rPr>
      </w:pPr>
      <w:bookmarkStart w:id="17" w:name="_Toc35393792"/>
      <w:bookmarkStart w:id="18" w:name="_Toc28359081"/>
      <w:bookmarkStart w:id="19" w:name="_Toc22215"/>
      <w:bookmarkStart w:id="20" w:name="_Toc7091"/>
      <w:bookmarkStart w:id="21" w:name="_Toc28359004"/>
      <w:bookmarkStart w:id="22" w:name="_Toc35393623"/>
      <w:r>
        <w:rPr>
          <w:rFonts w:hint="eastAsia" w:ascii="Times New Roman" w:hAnsi="Times New Roman"/>
          <w:b w:val="0"/>
          <w:sz w:val="28"/>
          <w:szCs w:val="28"/>
        </w:rPr>
        <w:t>三、</w:t>
      </w:r>
      <w:r>
        <w:rPr>
          <w:rFonts w:ascii="Times New Roman" w:hAnsi="Times New Roman"/>
          <w:b w:val="0"/>
          <w:sz w:val="28"/>
          <w:szCs w:val="28"/>
        </w:rPr>
        <w:t>获取招标文</w:t>
      </w:r>
      <w:r>
        <w:rPr>
          <w:rFonts w:ascii="Times New Roman" w:hAnsi="Times New Roman"/>
          <w:b w:val="0"/>
          <w:sz w:val="28"/>
          <w:szCs w:val="28"/>
          <w:highlight w:val="none"/>
        </w:rPr>
        <w:t>件</w:t>
      </w:r>
      <w:bookmarkEnd w:id="17"/>
      <w:bookmarkEnd w:id="18"/>
      <w:bookmarkEnd w:id="19"/>
      <w:bookmarkEnd w:id="20"/>
      <w:bookmarkEnd w:id="21"/>
      <w:bookmarkEnd w:id="22"/>
    </w:p>
    <w:p>
      <w:pPr>
        <w:spacing w:line="360" w:lineRule="auto"/>
        <w:ind w:firstLine="540"/>
        <w:rPr>
          <w:sz w:val="24"/>
        </w:rPr>
      </w:pPr>
      <w:r>
        <w:rPr>
          <w:sz w:val="24"/>
          <w:highlight w:val="none"/>
        </w:rPr>
        <w:t>时间：</w:t>
      </w:r>
      <w:r>
        <w:rPr>
          <w:sz w:val="24"/>
          <w:highlight w:val="none"/>
          <w:u w:val="single"/>
        </w:rPr>
        <w:t xml:space="preserve"> </w:t>
      </w:r>
      <w:r>
        <w:rPr>
          <w:color w:val="auto"/>
          <w:sz w:val="24"/>
          <w:highlight w:val="none"/>
          <w:u w:val="single"/>
        </w:rPr>
        <w:t>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08</w:t>
      </w:r>
      <w:r>
        <w:rPr>
          <w:color w:val="auto"/>
          <w:sz w:val="24"/>
          <w:highlight w:val="none"/>
          <w:u w:val="single"/>
        </w:rPr>
        <w:t>月</w:t>
      </w:r>
      <w:r>
        <w:rPr>
          <w:rFonts w:hint="eastAsia"/>
          <w:color w:val="auto"/>
          <w:sz w:val="24"/>
          <w:highlight w:val="none"/>
          <w:u w:val="single"/>
          <w:lang w:val="en-US" w:eastAsia="zh-CN"/>
        </w:rPr>
        <w:t>17</w:t>
      </w:r>
      <w:r>
        <w:rPr>
          <w:color w:val="auto"/>
          <w:sz w:val="24"/>
          <w:highlight w:val="none"/>
          <w:u w:val="single"/>
        </w:rPr>
        <w:t>日</w:t>
      </w:r>
      <w:r>
        <w:rPr>
          <w:color w:val="auto"/>
          <w:sz w:val="24"/>
          <w:highlight w:val="none"/>
        </w:rPr>
        <w:t>至</w:t>
      </w:r>
      <w:r>
        <w:rPr>
          <w:color w:val="auto"/>
          <w:sz w:val="24"/>
          <w:highlight w:val="none"/>
          <w:u w:val="single"/>
        </w:rPr>
        <w:t xml:space="preserve"> 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09</w:t>
      </w:r>
      <w:r>
        <w:rPr>
          <w:color w:val="auto"/>
          <w:sz w:val="24"/>
          <w:highlight w:val="none"/>
          <w:u w:val="single"/>
        </w:rPr>
        <w:t>月</w:t>
      </w:r>
      <w:r>
        <w:rPr>
          <w:rFonts w:hint="eastAsia"/>
          <w:color w:val="auto"/>
          <w:sz w:val="24"/>
          <w:highlight w:val="none"/>
          <w:u w:val="single"/>
          <w:lang w:val="en-US" w:eastAsia="zh-CN"/>
        </w:rPr>
        <w:t>06</w:t>
      </w:r>
      <w:r>
        <w:rPr>
          <w:color w:val="auto"/>
          <w:sz w:val="24"/>
          <w:highlight w:val="none"/>
          <w:u w:val="single"/>
        </w:rPr>
        <w:t>日</w:t>
      </w:r>
      <w:r>
        <w:rPr>
          <w:sz w:val="24"/>
          <w:highlight w:val="none"/>
        </w:rPr>
        <w:t>，每</w:t>
      </w:r>
      <w:r>
        <w:rPr>
          <w:sz w:val="24"/>
        </w:rPr>
        <w:t>天上午</w:t>
      </w:r>
      <w:r>
        <w:rPr>
          <w:rFonts w:hint="eastAsia"/>
          <w:sz w:val="24"/>
          <w:u w:val="single"/>
        </w:rPr>
        <w:t>00</w:t>
      </w:r>
      <w:r>
        <w:rPr>
          <w:sz w:val="24"/>
          <w:u w:val="single"/>
        </w:rPr>
        <w:t>：00</w:t>
      </w:r>
      <w:r>
        <w:rPr>
          <w:sz w:val="24"/>
        </w:rPr>
        <w:t>至</w:t>
      </w:r>
      <w:r>
        <w:rPr>
          <w:sz w:val="24"/>
          <w:u w:val="single"/>
        </w:rPr>
        <w:t>1</w:t>
      </w:r>
      <w:r>
        <w:rPr>
          <w:rFonts w:hint="eastAsia"/>
          <w:sz w:val="24"/>
          <w:u w:val="single"/>
        </w:rPr>
        <w:t>2</w:t>
      </w:r>
      <w:r>
        <w:rPr>
          <w:sz w:val="24"/>
          <w:u w:val="single"/>
        </w:rPr>
        <w:t>：00</w:t>
      </w:r>
      <w:r>
        <w:rPr>
          <w:sz w:val="24"/>
        </w:rPr>
        <w:t>，下午</w:t>
      </w:r>
      <w:r>
        <w:rPr>
          <w:rFonts w:hint="eastAsia"/>
          <w:sz w:val="24"/>
          <w:u w:val="single"/>
        </w:rPr>
        <w:t>12</w:t>
      </w:r>
      <w:r>
        <w:rPr>
          <w:sz w:val="24"/>
          <w:u w:val="single"/>
        </w:rPr>
        <w:t>：00</w:t>
      </w:r>
      <w:r>
        <w:rPr>
          <w:sz w:val="24"/>
        </w:rPr>
        <w:t>至</w:t>
      </w:r>
      <w:r>
        <w:rPr>
          <w:sz w:val="24"/>
          <w:u w:val="single"/>
        </w:rPr>
        <w:t>18：00</w:t>
      </w:r>
      <w:r>
        <w:rPr>
          <w:sz w:val="24"/>
        </w:rPr>
        <w:t>（北京时间，法定节假日除外）</w:t>
      </w:r>
    </w:p>
    <w:p>
      <w:pPr>
        <w:spacing w:line="360" w:lineRule="auto"/>
        <w:ind w:firstLine="540"/>
        <w:rPr>
          <w:sz w:val="24"/>
        </w:rPr>
      </w:pPr>
      <w:r>
        <w:rPr>
          <w:rFonts w:hint="eastAsia"/>
          <w:sz w:val="24"/>
        </w:rPr>
        <w:t>地点</w:t>
      </w:r>
      <w:r>
        <w:rPr>
          <w:sz w:val="24"/>
        </w:rPr>
        <w:t>：政采云平台https://www.zcygov.cn/</w:t>
      </w:r>
    </w:p>
    <w:p>
      <w:pPr>
        <w:spacing w:line="360" w:lineRule="auto"/>
        <w:ind w:firstLine="540"/>
        <w:rPr>
          <w:sz w:val="24"/>
        </w:rPr>
      </w:pPr>
      <w:r>
        <w:rPr>
          <w:sz w:val="24"/>
        </w:rPr>
        <w:t>方式：线上获取。</w:t>
      </w:r>
      <w:r>
        <w:rPr>
          <w:rFonts w:hint="eastAsia"/>
          <w:sz w:val="24"/>
        </w:rPr>
        <w:t>供应商登录政采云平台https://www.zcygov.cn/在线申请获取采购文件（进入“项目采购”应用，在获取采购文件菜单中选择项目，申请获取采购文件）</w:t>
      </w:r>
    </w:p>
    <w:p>
      <w:pPr>
        <w:spacing w:line="360" w:lineRule="auto"/>
        <w:ind w:firstLine="540"/>
        <w:rPr>
          <w:sz w:val="24"/>
        </w:rPr>
      </w:pPr>
      <w:r>
        <w:rPr>
          <w:sz w:val="24"/>
        </w:rPr>
        <w:t>售价：人民币</w:t>
      </w:r>
      <w:r>
        <w:rPr>
          <w:rFonts w:hint="eastAsia"/>
          <w:sz w:val="24"/>
          <w:lang w:val="en-US" w:eastAsia="zh-CN"/>
        </w:rPr>
        <w:t>0</w:t>
      </w:r>
      <w:r>
        <w:rPr>
          <w:sz w:val="24"/>
        </w:rPr>
        <w:t>元。</w:t>
      </w:r>
    </w:p>
    <w:p/>
    <w:p>
      <w:pPr>
        <w:pStyle w:val="4"/>
        <w:spacing w:before="0" w:after="0" w:line="360" w:lineRule="auto"/>
        <w:rPr>
          <w:rFonts w:ascii="Times New Roman" w:hAnsi="Times New Roman"/>
          <w:b w:val="0"/>
          <w:sz w:val="28"/>
          <w:szCs w:val="28"/>
          <w:highlight w:val="none"/>
        </w:rPr>
      </w:pPr>
      <w:bookmarkStart w:id="23" w:name="_Toc28359005"/>
      <w:bookmarkStart w:id="24" w:name="_Toc28359082"/>
      <w:bookmarkStart w:id="25" w:name="_Toc32137"/>
      <w:bookmarkStart w:id="26" w:name="_Toc31684"/>
      <w:bookmarkStart w:id="27" w:name="_Toc35393793"/>
      <w:bookmarkStart w:id="28" w:name="_Toc35393624"/>
      <w:r>
        <w:rPr>
          <w:rFonts w:ascii="Times New Roman" w:hAnsi="Times New Roman"/>
          <w:b w:val="0"/>
          <w:sz w:val="28"/>
          <w:szCs w:val="28"/>
        </w:rPr>
        <w:t>四、提交投标文件</w:t>
      </w:r>
      <w:bookmarkEnd w:id="23"/>
      <w:bookmarkEnd w:id="24"/>
      <w:r>
        <w:rPr>
          <w:rFonts w:ascii="Times New Roman" w:hAnsi="Times New Roman"/>
          <w:b w:val="0"/>
          <w:sz w:val="28"/>
          <w:szCs w:val="28"/>
        </w:rPr>
        <w:t>截</w:t>
      </w:r>
      <w:r>
        <w:rPr>
          <w:rFonts w:ascii="Times New Roman" w:hAnsi="Times New Roman"/>
          <w:b w:val="0"/>
          <w:sz w:val="28"/>
          <w:szCs w:val="28"/>
          <w:highlight w:val="none"/>
        </w:rPr>
        <w:t>止时间、开标时间和地点</w:t>
      </w:r>
      <w:bookmarkEnd w:id="25"/>
      <w:bookmarkEnd w:id="26"/>
      <w:bookmarkEnd w:id="27"/>
      <w:bookmarkEnd w:id="28"/>
    </w:p>
    <w:p>
      <w:pPr>
        <w:spacing w:line="360" w:lineRule="auto"/>
        <w:ind w:firstLine="480" w:firstLineChars="200"/>
        <w:rPr>
          <w:bCs/>
          <w:sz w:val="24"/>
          <w:u w:val="single"/>
        </w:rPr>
      </w:pPr>
      <w:r>
        <w:rPr>
          <w:rFonts w:hint="eastAsia"/>
          <w:bCs/>
          <w:sz w:val="24"/>
          <w:highlight w:val="none"/>
          <w:u w:val="none"/>
          <w:lang w:val="en-US" w:eastAsia="zh-CN"/>
        </w:rPr>
        <w:t>截止时间：</w:t>
      </w:r>
      <w:r>
        <w:rPr>
          <w:bCs/>
          <w:sz w:val="24"/>
          <w:highlight w:val="none"/>
          <w:u w:val="single"/>
        </w:rPr>
        <w:t>202</w:t>
      </w:r>
      <w:r>
        <w:rPr>
          <w:rFonts w:hint="eastAsia"/>
          <w:bCs/>
          <w:color w:val="auto"/>
          <w:sz w:val="24"/>
          <w:highlight w:val="none"/>
          <w:u w:val="single"/>
        </w:rPr>
        <w:t>3</w:t>
      </w:r>
      <w:r>
        <w:rPr>
          <w:bCs/>
          <w:color w:val="auto"/>
          <w:sz w:val="24"/>
          <w:highlight w:val="none"/>
          <w:u w:val="single"/>
        </w:rPr>
        <w:t>年</w:t>
      </w:r>
      <w:r>
        <w:rPr>
          <w:rFonts w:hint="eastAsia"/>
          <w:bCs/>
          <w:color w:val="auto"/>
          <w:sz w:val="24"/>
          <w:highlight w:val="none"/>
          <w:u w:val="single"/>
        </w:rPr>
        <w:t>0</w:t>
      </w:r>
      <w:r>
        <w:rPr>
          <w:rFonts w:hint="eastAsia"/>
          <w:bCs/>
          <w:color w:val="auto"/>
          <w:sz w:val="24"/>
          <w:highlight w:val="none"/>
          <w:u w:val="single"/>
          <w:lang w:val="en-US" w:eastAsia="zh-CN"/>
        </w:rPr>
        <w:t>9</w:t>
      </w:r>
      <w:r>
        <w:rPr>
          <w:bCs/>
          <w:color w:val="auto"/>
          <w:sz w:val="24"/>
          <w:highlight w:val="none"/>
          <w:u w:val="single"/>
        </w:rPr>
        <w:t>月</w:t>
      </w:r>
      <w:r>
        <w:rPr>
          <w:rFonts w:hint="eastAsia"/>
          <w:bCs/>
          <w:color w:val="auto"/>
          <w:sz w:val="24"/>
          <w:highlight w:val="none"/>
          <w:u w:val="single"/>
          <w:lang w:val="en-US" w:eastAsia="zh-CN"/>
        </w:rPr>
        <w:t>07</w:t>
      </w:r>
      <w:r>
        <w:rPr>
          <w:bCs/>
          <w:color w:val="auto"/>
          <w:sz w:val="24"/>
          <w:highlight w:val="none"/>
          <w:u w:val="single"/>
        </w:rPr>
        <w:t>日1</w:t>
      </w:r>
      <w:r>
        <w:rPr>
          <w:rFonts w:hint="eastAsia"/>
          <w:bCs/>
          <w:color w:val="auto"/>
          <w:sz w:val="24"/>
          <w:u w:val="single"/>
          <w:lang w:val="en-US" w:eastAsia="zh-CN"/>
        </w:rPr>
        <w:t>0</w:t>
      </w:r>
      <w:r>
        <w:rPr>
          <w:bCs/>
          <w:sz w:val="24"/>
          <w:u w:val="single"/>
        </w:rPr>
        <w:t>点</w:t>
      </w:r>
      <w:r>
        <w:rPr>
          <w:rFonts w:hint="eastAsia"/>
          <w:bCs/>
          <w:sz w:val="24"/>
          <w:u w:val="single"/>
          <w:lang w:val="en-US" w:eastAsia="zh-CN"/>
        </w:rPr>
        <w:t>3</w:t>
      </w:r>
      <w:r>
        <w:rPr>
          <w:bCs/>
          <w:sz w:val="24"/>
          <w:u w:val="single"/>
        </w:rPr>
        <w:t>0分</w:t>
      </w:r>
      <w:r>
        <w:rPr>
          <w:bCs/>
          <w:sz w:val="24"/>
        </w:rPr>
        <w:t>（北京时间）</w:t>
      </w:r>
    </w:p>
    <w:p>
      <w:pPr>
        <w:spacing w:line="360" w:lineRule="auto"/>
        <w:ind w:firstLine="480" w:firstLineChars="200"/>
      </w:pPr>
      <w:r>
        <w:rPr>
          <w:sz w:val="24"/>
        </w:rPr>
        <w:t>地点：</w:t>
      </w:r>
      <w:r>
        <w:rPr>
          <w:rFonts w:hint="eastAsia"/>
          <w:kern w:val="0"/>
          <w:sz w:val="24"/>
        </w:rPr>
        <w:t>项目采用不见面开标，投标人应将加密的电子投标文件上传到政采云平台https://www.zcygov.cn对应位置（逾期未上传的或未按规定加密的投标文件将被拒绝接收）。</w:t>
      </w:r>
    </w:p>
    <w:p>
      <w:pPr>
        <w:spacing w:line="360" w:lineRule="auto"/>
        <w:ind w:firstLine="480" w:firstLineChars="200"/>
        <w:rPr>
          <w:bCs/>
          <w:sz w:val="24"/>
          <w:u w:val="single"/>
        </w:rPr>
      </w:pPr>
    </w:p>
    <w:p>
      <w:pPr>
        <w:pStyle w:val="4"/>
        <w:spacing w:before="0" w:after="0" w:line="360" w:lineRule="auto"/>
        <w:rPr>
          <w:rFonts w:ascii="Times New Roman" w:hAnsi="Times New Roman"/>
          <w:b w:val="0"/>
          <w:sz w:val="28"/>
          <w:szCs w:val="28"/>
        </w:rPr>
      </w:pPr>
      <w:bookmarkStart w:id="29" w:name="_Toc28359007"/>
      <w:bookmarkStart w:id="30" w:name="_Toc4615"/>
      <w:bookmarkStart w:id="31" w:name="_Toc31652"/>
      <w:bookmarkStart w:id="32" w:name="_Toc35393794"/>
      <w:bookmarkStart w:id="33" w:name="_Toc35393625"/>
      <w:bookmarkStart w:id="34" w:name="_Toc28359084"/>
      <w:r>
        <w:rPr>
          <w:rFonts w:ascii="Times New Roman" w:hAnsi="Times New Roman"/>
          <w:b w:val="0"/>
          <w:sz w:val="28"/>
          <w:szCs w:val="28"/>
        </w:rPr>
        <w:t>五、公告期限</w:t>
      </w:r>
      <w:bookmarkEnd w:id="29"/>
      <w:bookmarkEnd w:id="30"/>
      <w:bookmarkEnd w:id="31"/>
      <w:bookmarkEnd w:id="32"/>
      <w:bookmarkEnd w:id="33"/>
      <w:bookmarkEnd w:id="34"/>
    </w:p>
    <w:p>
      <w:pPr>
        <w:spacing w:line="360" w:lineRule="auto"/>
        <w:ind w:firstLine="480" w:firstLineChars="200"/>
        <w:rPr>
          <w:kern w:val="0"/>
          <w:sz w:val="24"/>
        </w:rPr>
      </w:pPr>
      <w:r>
        <w:rPr>
          <w:kern w:val="0"/>
          <w:sz w:val="24"/>
        </w:rPr>
        <w:t>自本公告发布之日起5个工作日。</w:t>
      </w:r>
    </w:p>
    <w:p/>
    <w:p>
      <w:pPr>
        <w:pStyle w:val="4"/>
        <w:spacing w:before="0" w:after="0" w:line="360" w:lineRule="auto"/>
        <w:rPr>
          <w:rFonts w:ascii="Times New Roman" w:hAnsi="Times New Roman"/>
          <w:b w:val="0"/>
          <w:sz w:val="28"/>
          <w:szCs w:val="28"/>
        </w:rPr>
      </w:pPr>
      <w:bookmarkStart w:id="35" w:name="_Toc35393795"/>
      <w:bookmarkStart w:id="36" w:name="_Toc19078"/>
      <w:bookmarkStart w:id="37" w:name="_Toc26908"/>
      <w:bookmarkStart w:id="38" w:name="_Toc35393626"/>
      <w:r>
        <w:rPr>
          <w:rFonts w:ascii="Times New Roman" w:hAnsi="Times New Roman"/>
          <w:b w:val="0"/>
          <w:sz w:val="28"/>
          <w:szCs w:val="28"/>
        </w:rPr>
        <w:t>六、其他补充事宜</w:t>
      </w:r>
      <w:bookmarkEnd w:id="35"/>
      <w:bookmarkEnd w:id="36"/>
      <w:bookmarkEnd w:id="37"/>
      <w:bookmarkEnd w:id="38"/>
    </w:p>
    <w:p>
      <w:pPr>
        <w:pStyle w:val="37"/>
        <w:widowControl/>
        <w:spacing w:beforeAutospacing="0" w:afterAutospacing="0" w:line="360" w:lineRule="auto"/>
        <w:ind w:firstLine="480" w:firstLineChars="200"/>
        <w:jc w:val="both"/>
      </w:pPr>
      <w:r>
        <w:t>1</w:t>
      </w:r>
      <w:r>
        <w:rPr>
          <w:rFonts w:hint="eastAsia"/>
        </w:rPr>
        <w:t>、</w:t>
      </w:r>
      <w:r>
        <w:t>采购项目执行政府采购政策</w:t>
      </w:r>
    </w:p>
    <w:p>
      <w:pPr>
        <w:pStyle w:val="37"/>
        <w:widowControl/>
        <w:spacing w:beforeAutospacing="0" w:afterAutospacing="0" w:line="360" w:lineRule="auto"/>
        <w:ind w:firstLine="540"/>
        <w:jc w:val="both"/>
      </w:pPr>
      <w:r>
        <w:t>（1）</w:t>
      </w:r>
      <w:r>
        <w:rPr>
          <w:rFonts w:hint="eastAsia"/>
          <w:lang w:val="en-US" w:eastAsia="zh-CN"/>
        </w:rPr>
        <w:t>标项一，</w:t>
      </w:r>
      <w:r>
        <w:t>对</w:t>
      </w:r>
      <w:r>
        <w:rPr>
          <w:rFonts w:hint="eastAsia"/>
        </w:rPr>
        <w:t>中</w:t>
      </w:r>
      <w:r>
        <w:t>小</w:t>
      </w:r>
      <w:r>
        <w:rPr>
          <w:rFonts w:hint="eastAsia"/>
        </w:rPr>
        <w:t>微</w:t>
      </w:r>
      <w:r>
        <w:t>企业的报价给予价格扣除（监狱企业、残疾人福利性单位视同</w:t>
      </w:r>
      <w:r>
        <w:rPr>
          <w:rFonts w:hint="eastAsia"/>
        </w:rPr>
        <w:t>小微</w:t>
      </w:r>
      <w:r>
        <w:t>企业；监狱企业、残疾人福利性单位属于小型、微型企业的，不重复享受政策）。</w:t>
      </w:r>
      <w:r>
        <w:rPr>
          <w:rFonts w:hint="eastAsia" w:ascii="Arial" w:hAnsi="Arial" w:cs="Arial"/>
          <w:b/>
          <w:bCs/>
          <w:snapToGrid w:val="0"/>
          <w:szCs w:val="21"/>
          <w:shd w:val="clear" w:color="auto" w:fill="FFFFFF"/>
        </w:rPr>
        <w:t>（本项目</w:t>
      </w:r>
      <w:r>
        <w:rPr>
          <w:rFonts w:hint="eastAsia" w:ascii="Arial" w:hAnsi="Arial" w:cs="Arial"/>
          <w:b/>
          <w:bCs/>
          <w:snapToGrid w:val="0"/>
          <w:szCs w:val="21"/>
          <w:shd w:val="clear" w:color="auto" w:fill="FFFFFF"/>
          <w:lang w:val="en-US" w:eastAsia="zh-CN"/>
        </w:rPr>
        <w:t>标项二；标项三</w:t>
      </w:r>
      <w:r>
        <w:rPr>
          <w:rFonts w:hint="eastAsia" w:ascii="Arial" w:hAnsi="Arial" w:cs="Arial"/>
          <w:b/>
          <w:bCs/>
          <w:snapToGrid w:val="0"/>
          <w:szCs w:val="21"/>
          <w:shd w:val="clear" w:color="auto" w:fill="FFFFFF"/>
        </w:rPr>
        <w:t>专门面向中小企业采购，本条不适用于本项目）</w:t>
      </w:r>
    </w:p>
    <w:p>
      <w:pPr>
        <w:pStyle w:val="37"/>
        <w:widowControl/>
        <w:spacing w:beforeAutospacing="0" w:afterAutospacing="0" w:line="360" w:lineRule="auto"/>
        <w:ind w:firstLine="540"/>
        <w:jc w:val="both"/>
      </w:pPr>
      <w:r>
        <w:t>（2）优先采购节能环保产品（注：所采购的货物在政府采购节能产品、环境标志产品实施品目清单范围内，且具有国家确定的认证机构出具的、处于有效期之内的节能产品、环境标志产品认证证书）。</w:t>
      </w:r>
    </w:p>
    <w:p>
      <w:pPr>
        <w:pStyle w:val="37"/>
        <w:widowControl/>
        <w:spacing w:beforeAutospacing="0" w:afterAutospacing="0" w:line="360" w:lineRule="auto"/>
        <w:ind w:firstLine="540"/>
        <w:jc w:val="both"/>
        <w:rPr>
          <w:b/>
          <w:bCs/>
        </w:rPr>
      </w:pPr>
      <w:r>
        <w:rPr>
          <w:rFonts w:hint="eastAsia"/>
          <w:b/>
          <w:bCs/>
          <w:lang w:val="en-US" w:eastAsia="zh-CN"/>
        </w:rPr>
        <w:t>2、</w:t>
      </w:r>
      <w:r>
        <w:rPr>
          <w:rFonts w:hint="eastAsia"/>
          <w:b/>
          <w:bCs/>
        </w:rPr>
        <w:t>同一投标人同时在多个标项投标可以同时中标。</w:t>
      </w:r>
    </w:p>
    <w:p>
      <w:pPr>
        <w:pStyle w:val="37"/>
        <w:widowControl/>
        <w:spacing w:beforeAutospacing="0" w:afterAutospacing="0" w:line="360" w:lineRule="auto"/>
        <w:ind w:firstLine="540"/>
        <w:jc w:val="both"/>
        <w:rPr>
          <w:b/>
          <w:bCs/>
        </w:rPr>
      </w:pPr>
      <w:r>
        <w:rPr>
          <w:rFonts w:hint="eastAsia"/>
          <w:b/>
          <w:bCs/>
          <w:lang w:val="en-US" w:eastAsia="zh-CN"/>
        </w:rPr>
        <w:t>3</w:t>
      </w:r>
      <w:r>
        <w:rPr>
          <w:rFonts w:hint="eastAsia"/>
          <w:b/>
          <w:bCs/>
        </w:rPr>
        <w:t>、上述预算金额均为一年预算金额。</w:t>
      </w:r>
    </w:p>
    <w:p>
      <w:pPr>
        <w:pStyle w:val="25"/>
        <w:spacing w:line="360" w:lineRule="auto"/>
        <w:ind w:left="0" w:leftChars="0"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w:t>
      </w:r>
      <w:r>
        <w:rPr>
          <w:rFonts w:ascii="Times New Roman" w:hAnsi="Times New Roman" w:cs="Times New Roman"/>
          <w:sz w:val="24"/>
          <w:szCs w:val="24"/>
        </w:rPr>
        <w:t>未被“信用中国”网站（www.creditchina.gov.cn）及“中国执行信息公开网”（http://zxgk.court.gov.cn/）中列入失信被执行人和/或</w:t>
      </w:r>
      <w:r>
        <w:rPr>
          <w:rFonts w:hint="eastAsia" w:ascii="Times New Roman" w:hAnsi="Times New Roman" w:cs="Times New Roman"/>
          <w:sz w:val="24"/>
          <w:szCs w:val="24"/>
        </w:rPr>
        <w:t>重大税收违法失信主体</w:t>
      </w:r>
      <w:r>
        <w:rPr>
          <w:rFonts w:ascii="Times New Roman" w:hAnsi="Times New Roman" w:cs="Times New Roman"/>
          <w:sz w:val="24"/>
          <w:szCs w:val="24"/>
        </w:rPr>
        <w:t>、未被中国政府采购网（www.ccgp.gov.cn）列入政府采购严重违法失信行为记录名单中被财政部门禁止参加政府采购活动的供应商（处罚决定规定的时间和地域范围内）</w:t>
      </w:r>
      <w:r>
        <w:rPr>
          <w:rFonts w:hint="eastAsia" w:ascii="Times New Roman" w:hAnsi="Times New Roman" w:cs="Times New Roman"/>
          <w:sz w:val="24"/>
          <w:szCs w:val="24"/>
        </w:rPr>
        <w:t>。</w:t>
      </w:r>
    </w:p>
    <w:p>
      <w:pPr>
        <w:pStyle w:val="25"/>
        <w:spacing w:line="360" w:lineRule="auto"/>
        <w:ind w:firstLine="480" w:firstLineChars="200"/>
        <w:rPr>
          <w:b/>
          <w:bCs/>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、单位负责人为同一人或者直接控股、管理关系的不同单位，不得同时参加本项目的投标。为本项目提供整体设计、规范编</w:t>
      </w:r>
      <w:r>
        <w:rPr>
          <w:rFonts w:ascii="Times New Roman" w:hAnsi="Times New Roman" w:cs="Times New Roman"/>
          <w:sz w:val="24"/>
          <w:szCs w:val="24"/>
        </w:rPr>
        <w:t>制或者项目管理、监理、检测等服务的投标人，不得再参加本项目投标。</w:t>
      </w:r>
    </w:p>
    <w:p>
      <w:pPr>
        <w:widowControl/>
        <w:adjustRightInd w:val="0"/>
        <w:snapToGrid w:val="0"/>
        <w:spacing w:line="360" w:lineRule="auto"/>
        <w:ind w:left="2" w:firstLine="480" w:firstLineChars="200"/>
        <w:rPr>
          <w:rFonts w:hint="eastAsia" w:eastAsia="宋体"/>
          <w:kern w:val="0"/>
          <w:sz w:val="24"/>
          <w:lang w:eastAsia="zh-CN"/>
        </w:rPr>
      </w:pPr>
      <w:r>
        <w:rPr>
          <w:rFonts w:hint="eastAsia"/>
          <w:kern w:val="0"/>
          <w:sz w:val="24"/>
          <w:lang w:val="en-US" w:eastAsia="zh-CN"/>
        </w:rPr>
        <w:t>6</w:t>
      </w:r>
      <w:r>
        <w:rPr>
          <w:rFonts w:hint="eastAsia"/>
          <w:kern w:val="0"/>
          <w:sz w:val="24"/>
        </w:rPr>
        <w:t>、本项目实行网上投标，采用电子投标文件，若供应商参与投标，自行承担投标一切费用。</w:t>
      </w:r>
    </w:p>
    <w:p>
      <w:pPr>
        <w:widowControl/>
        <w:adjustRightInd w:val="0"/>
        <w:snapToGrid w:val="0"/>
        <w:spacing w:line="360" w:lineRule="auto"/>
        <w:ind w:firstLine="240" w:firstLineChars="100"/>
        <w:rPr>
          <w:kern w:val="0"/>
          <w:sz w:val="24"/>
        </w:rPr>
      </w:pPr>
      <w:r>
        <w:rPr>
          <w:rFonts w:hint="eastAsia"/>
          <w:kern w:val="0"/>
          <w:sz w:val="24"/>
        </w:rPr>
        <w:t xml:space="preserve">  </w:t>
      </w:r>
      <w:r>
        <w:rPr>
          <w:rFonts w:hint="eastAsia"/>
          <w:kern w:val="0"/>
          <w:sz w:val="24"/>
          <w:lang w:val="en-US" w:eastAsia="zh-CN"/>
        </w:rPr>
        <w:t>7</w:t>
      </w:r>
      <w:r>
        <w:rPr>
          <w:rFonts w:hint="eastAsia"/>
          <w:kern w:val="0"/>
          <w:sz w:val="24"/>
        </w:rPr>
        <w:t>、各供应商在开标前应确保成为新疆政府采购网正式注册入库供应商，并完成CA数字证书（符合国密标准）申领。因未注册入库、未办理CA数字证书等原因造成无法投标或投标失败等后果由供应商自行承担。有意向参与投标的供应商，可访问新疆数字证书认证中心官方网站（https://www.xjca.com.cn/）或下载“新疆政务通”APP自行申领。如需咨询，请联系新疆CA服务热线0991-2819290。</w:t>
      </w:r>
    </w:p>
    <w:p>
      <w:pPr>
        <w:widowControl/>
        <w:adjustRightInd w:val="0"/>
        <w:snapToGrid w:val="0"/>
        <w:spacing w:line="360" w:lineRule="auto"/>
        <w:ind w:left="2" w:firstLine="480" w:firstLineChars="200"/>
        <w:rPr>
          <w:kern w:val="0"/>
          <w:sz w:val="24"/>
        </w:rPr>
      </w:pPr>
      <w:r>
        <w:rPr>
          <w:rFonts w:hint="eastAsia"/>
          <w:kern w:val="0"/>
          <w:sz w:val="24"/>
          <w:lang w:val="en-US" w:eastAsia="zh-CN"/>
        </w:rPr>
        <w:t>8</w:t>
      </w:r>
      <w:r>
        <w:rPr>
          <w:rFonts w:hint="eastAsia"/>
          <w:kern w:val="0"/>
          <w:sz w:val="24"/>
        </w:rPr>
        <w:t>、供应商在完成政采云投标客户端的下载、安装后，可通过账号密码或CA登录政采云投标客户端进行电子投标文件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pPr>
        <w:widowControl/>
        <w:adjustRightInd w:val="0"/>
        <w:snapToGrid w:val="0"/>
        <w:spacing w:line="360" w:lineRule="auto"/>
        <w:ind w:left="2" w:firstLine="480" w:firstLineChars="200"/>
        <w:rPr>
          <w:kern w:val="0"/>
          <w:sz w:val="24"/>
        </w:rPr>
      </w:pPr>
      <w:r>
        <w:rPr>
          <w:rFonts w:hint="eastAsia"/>
          <w:kern w:val="0"/>
          <w:sz w:val="24"/>
          <w:lang w:val="en-US" w:eastAsia="zh-CN"/>
        </w:rPr>
        <w:t>9</w:t>
      </w:r>
      <w:r>
        <w:rPr>
          <w:rFonts w:hint="eastAsia"/>
          <w:kern w:val="0"/>
          <w:sz w:val="24"/>
        </w:rPr>
        <w:t>、供应商应当在投标截止时间前将生成的“电子加密投标文件”上传递交至“政府采购云平台”,投标截止时间以后上传递交的投标文件将被“政府采购云平台”拒收。</w:t>
      </w:r>
    </w:p>
    <w:p>
      <w:pPr>
        <w:widowControl/>
        <w:adjustRightInd w:val="0"/>
        <w:snapToGrid w:val="0"/>
        <w:spacing w:line="360" w:lineRule="auto"/>
        <w:ind w:left="2" w:firstLine="480" w:firstLineChars="200"/>
        <w:rPr>
          <w:kern w:val="0"/>
          <w:sz w:val="24"/>
        </w:rPr>
      </w:pPr>
      <w:r>
        <w:rPr>
          <w:rFonts w:hint="eastAsia"/>
          <w:kern w:val="0"/>
          <w:sz w:val="24"/>
        </w:rPr>
        <w:t>1</w:t>
      </w:r>
      <w:r>
        <w:rPr>
          <w:rFonts w:hint="eastAsia"/>
          <w:kern w:val="0"/>
          <w:sz w:val="24"/>
          <w:lang w:val="en-US" w:eastAsia="zh-CN"/>
        </w:rPr>
        <w:t>0</w:t>
      </w:r>
      <w:r>
        <w:rPr>
          <w:rFonts w:hint="eastAsia"/>
          <w:kern w:val="0"/>
          <w:sz w:val="24"/>
        </w:rPr>
        <w:t>、供应商在开标前须提前调试配置好电脑浏览器（建议使用360浏览器或谷歌浏览器等）,开标时登录政采云平台，在“项目采购-开标评标”功能中，使用制作加密电子投标文件的CA锁进行线上解密及开标结果确认（电子签名签章前须先启动和运行新疆CA的“电子签章服务”），解密与加密投标文件须使用同一个 CA。</w:t>
      </w:r>
    </w:p>
    <w:p>
      <w:pPr>
        <w:widowControl/>
        <w:adjustRightInd w:val="0"/>
        <w:snapToGrid w:val="0"/>
        <w:spacing w:line="360" w:lineRule="auto"/>
        <w:ind w:left="2" w:firstLine="480" w:firstLineChars="200"/>
        <w:rPr>
          <w:rFonts w:hint="eastAsia" w:eastAsia="宋体"/>
          <w:sz w:val="24"/>
          <w:lang w:eastAsia="zh-CN"/>
        </w:rPr>
      </w:pPr>
      <w:r>
        <w:rPr>
          <w:rFonts w:hint="eastAsia"/>
          <w:kern w:val="0"/>
          <w:sz w:val="24"/>
        </w:rPr>
        <w:t>1</w:t>
      </w:r>
      <w:r>
        <w:rPr>
          <w:rFonts w:hint="eastAsia"/>
          <w:kern w:val="0"/>
          <w:sz w:val="24"/>
          <w:lang w:val="en-US" w:eastAsia="zh-CN"/>
        </w:rPr>
        <w:t>1</w:t>
      </w:r>
      <w:r>
        <w:rPr>
          <w:rFonts w:hint="eastAsia"/>
          <w:kern w:val="0"/>
          <w:sz w:val="24"/>
        </w:rPr>
        <w:t>、本项目电子投标文件的解密时间定为30分钟内，若供应商在规定时间内因自身原因导致无法正常解密或未按时解密的，视为无效投标，由此带来的后果由供应商自行承担</w:t>
      </w:r>
      <w:r>
        <w:rPr>
          <w:rFonts w:hint="eastAsia"/>
          <w:kern w:val="0"/>
          <w:sz w:val="24"/>
          <w:lang w:eastAsia="zh-CN"/>
        </w:rPr>
        <w:t>。</w:t>
      </w:r>
    </w:p>
    <w:p>
      <w:pPr>
        <w:pStyle w:val="428"/>
        <w:spacing w:line="360" w:lineRule="auto"/>
        <w:ind w:left="495" w:firstLine="0" w:firstLineChars="0"/>
        <w:rPr>
          <w:sz w:val="24"/>
        </w:rPr>
      </w:pPr>
    </w:p>
    <w:p>
      <w:pPr>
        <w:pStyle w:val="4"/>
        <w:spacing w:before="0" w:after="0" w:line="360" w:lineRule="auto"/>
        <w:rPr>
          <w:rFonts w:ascii="Times New Roman" w:hAnsi="Times New Roman"/>
          <w:b w:val="0"/>
          <w:sz w:val="28"/>
          <w:szCs w:val="28"/>
        </w:rPr>
      </w:pPr>
      <w:bookmarkStart w:id="39" w:name="_Toc28359008"/>
      <w:bookmarkStart w:id="40" w:name="_Toc35393627"/>
      <w:bookmarkStart w:id="41" w:name="_Toc4898"/>
      <w:bookmarkStart w:id="42" w:name="_Toc28359085"/>
      <w:bookmarkStart w:id="43" w:name="_Toc27790"/>
      <w:bookmarkStart w:id="44" w:name="_Toc35393796"/>
      <w:r>
        <w:rPr>
          <w:rFonts w:ascii="Times New Roman" w:hAnsi="Times New Roman"/>
          <w:b w:val="0"/>
          <w:sz w:val="28"/>
          <w:szCs w:val="28"/>
        </w:rPr>
        <w:t>七、对本次招标提出询问，请按以下方式联系。</w:t>
      </w:r>
      <w:bookmarkEnd w:id="39"/>
      <w:bookmarkEnd w:id="40"/>
      <w:bookmarkEnd w:id="41"/>
      <w:bookmarkEnd w:id="42"/>
      <w:bookmarkEnd w:id="43"/>
      <w:bookmarkEnd w:id="44"/>
    </w:p>
    <w:p>
      <w:pPr>
        <w:widowControl/>
        <w:adjustRightInd w:val="0"/>
        <w:snapToGrid w:val="0"/>
        <w:spacing w:line="360" w:lineRule="auto"/>
        <w:ind w:firstLine="482" w:firstLineChars="2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1、采购人信息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    称：新疆维吾尔自治区人民医院</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项目联系人：</w:t>
      </w:r>
      <w:r>
        <w:rPr>
          <w:rFonts w:hint="eastAsia" w:ascii="Arial" w:hAnsi="Arial" w:cs="Arial"/>
          <w:snapToGrid w:val="0"/>
          <w:kern w:val="0"/>
          <w:sz w:val="24"/>
          <w:shd w:val="clear" w:color="auto" w:fill="FFFFFF"/>
          <w:lang w:val="en-US" w:eastAsia="zh-CN"/>
        </w:rPr>
        <w:t>刘</w:t>
      </w:r>
      <w:r>
        <w:rPr>
          <w:rFonts w:ascii="Arial" w:hAnsi="Arial" w:cs="Arial"/>
          <w:snapToGrid w:val="0"/>
          <w:kern w:val="0"/>
          <w:sz w:val="24"/>
          <w:shd w:val="clear" w:color="auto" w:fill="FFFFFF"/>
        </w:rPr>
        <w:t>老师</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联系地址：新疆乌鲁木齐市天池路91号</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联系方式：0991-8562590</w:t>
      </w:r>
    </w:p>
    <w:p>
      <w:pPr>
        <w:widowControl/>
        <w:adjustRightInd w:val="0"/>
        <w:snapToGrid w:val="0"/>
        <w:spacing w:line="360" w:lineRule="auto"/>
        <w:ind w:left="212" w:leftChars="101" w:firstLine="241" w:firstLineChars="1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2、代理机构信息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rPr>
        <w:t xml:space="preserve">    </w:t>
      </w:r>
      <w:r>
        <w:rPr>
          <w:rFonts w:ascii="Arial" w:hAnsi="Arial" w:cs="Arial"/>
          <w:snapToGrid w:val="0"/>
          <w:kern w:val="0"/>
          <w:sz w:val="24"/>
          <w:shd w:val="clear" w:color="auto" w:fill="FFFFFF"/>
        </w:rPr>
        <w:t>称：国信招标集团股份有限公司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执行机构：国信招标集团股份有限公司新疆分公司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联 系 人：于海臣、任园园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地    址：新疆乌鲁木齐市天山区人民路2号乌鲁木齐大厦9层A座</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pPr>
        <w:widowControl/>
        <w:adjustRightInd w:val="0"/>
        <w:snapToGrid w:val="0"/>
        <w:spacing w:line="360" w:lineRule="auto"/>
        <w:ind w:firstLine="424" w:firstLineChars="177"/>
        <w:rPr>
          <w:rFonts w:ascii="Arial" w:hAnsi="Arial" w:cs="Arial"/>
          <w:snapToGrid w:val="0"/>
          <w:kern w:val="0"/>
          <w:sz w:val="24"/>
          <w:shd w:val="clear" w:color="auto" w:fill="FFFFFF"/>
        </w:rPr>
      </w:pPr>
    </w:p>
    <w:p>
      <w:pPr>
        <w:widowControl/>
        <w:adjustRightInd w:val="0"/>
        <w:snapToGrid w:val="0"/>
        <w:spacing w:line="360" w:lineRule="auto"/>
        <w:ind w:firstLine="426" w:firstLineChars="177"/>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3、项目联系方式</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 系 人：</w:t>
      </w:r>
      <w:r>
        <w:rPr>
          <w:rFonts w:ascii="Arial" w:hAnsi="Arial" w:cs="Arial"/>
          <w:snapToGrid w:val="0"/>
          <w:kern w:val="0"/>
          <w:sz w:val="24"/>
        </w:rPr>
        <w:t>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rPr>
          <w:b/>
          <w:bCs/>
          <w:sz w:val="24"/>
          <w:shd w:val="clear" w:color="auto" w:fill="FFFFFF"/>
        </w:rPr>
      </w:pPr>
      <w:r>
        <w:rPr>
          <w:rFonts w:ascii="Arial" w:hAnsi="Arial" w:cs="Arial"/>
          <w:snapToGrid w:val="0"/>
          <w:kern w:val="0"/>
          <w:sz w:val="24"/>
          <w:shd w:val="clear" w:color="auto" w:fill="FFFFFF"/>
        </w:rPr>
        <w:t>电    话：</w:t>
      </w:r>
      <w:bookmarkEnd w:id="3"/>
      <w:bookmarkStart w:id="45" w:name="_Toc22518"/>
      <w:r>
        <w:rPr>
          <w:rFonts w:ascii="Arial" w:hAnsi="Arial" w:cs="Arial"/>
          <w:snapToGrid w:val="0"/>
          <w:kern w:val="0"/>
          <w:sz w:val="24"/>
          <w:shd w:val="clear" w:color="auto" w:fill="FFFFFF"/>
        </w:rPr>
        <w:t>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r>
        <w:rPr>
          <w:rFonts w:eastAsia="黑体"/>
          <w:kern w:val="0"/>
          <w:sz w:val="32"/>
          <w:szCs w:val="32"/>
        </w:rPr>
        <w:br w:type="page"/>
      </w:r>
    </w:p>
    <w:p>
      <w:pPr>
        <w:autoSpaceDE w:val="0"/>
        <w:autoSpaceDN w:val="0"/>
        <w:adjustRightInd w:val="0"/>
        <w:snapToGrid w:val="0"/>
        <w:spacing w:after="120" w:afterLines="50"/>
        <w:jc w:val="center"/>
        <w:outlineLvl w:val="0"/>
        <w:rPr>
          <w:rFonts w:eastAsia="黑体"/>
          <w:kern w:val="0"/>
          <w:sz w:val="32"/>
          <w:szCs w:val="32"/>
        </w:rPr>
      </w:pPr>
      <w:bookmarkStart w:id="46" w:name="_Toc13590"/>
      <w:r>
        <w:rPr>
          <w:rFonts w:eastAsia="黑体"/>
          <w:kern w:val="0"/>
          <w:sz w:val="32"/>
          <w:szCs w:val="32"/>
        </w:rPr>
        <w:t>第二章 投标人须知</w:t>
      </w:r>
      <w:bookmarkEnd w:id="45"/>
      <w:bookmarkEnd w:id="46"/>
    </w:p>
    <w:p>
      <w:pPr>
        <w:autoSpaceDE w:val="0"/>
        <w:autoSpaceDN w:val="0"/>
        <w:adjustRightInd w:val="0"/>
        <w:snapToGrid w:val="0"/>
        <w:spacing w:after="120" w:afterLines="50"/>
        <w:jc w:val="center"/>
        <w:outlineLvl w:val="0"/>
        <w:rPr>
          <w:kern w:val="0"/>
          <w:sz w:val="28"/>
          <w:szCs w:val="28"/>
        </w:rPr>
      </w:pPr>
      <w:bookmarkStart w:id="47" w:name="_Toc29925"/>
      <w:bookmarkStart w:id="48" w:name="_Toc7370"/>
      <w:bookmarkStart w:id="49" w:name="_Toc32656"/>
      <w:r>
        <w:rPr>
          <w:kern w:val="0"/>
          <w:sz w:val="28"/>
          <w:szCs w:val="28"/>
        </w:rPr>
        <w:t>（一）投标人须知前附表</w:t>
      </w:r>
      <w:bookmarkEnd w:id="47"/>
      <w:bookmarkEnd w:id="48"/>
      <w:bookmarkEnd w:id="49"/>
    </w:p>
    <w:tbl>
      <w:tblPr>
        <w:tblStyle w:val="4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49"/>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8" w:type="dxa"/>
            <w:vAlign w:val="center"/>
          </w:tcPr>
          <w:p>
            <w:pPr>
              <w:autoSpaceDE w:val="0"/>
              <w:autoSpaceDN w:val="0"/>
              <w:adjustRightInd w:val="0"/>
              <w:snapToGrid w:val="0"/>
              <w:jc w:val="center"/>
              <w:rPr>
                <w:b/>
                <w:bCs/>
                <w:kern w:val="0"/>
                <w:sz w:val="24"/>
              </w:rPr>
            </w:pPr>
            <w:r>
              <w:rPr>
                <w:b/>
                <w:bCs/>
                <w:kern w:val="0"/>
                <w:sz w:val="24"/>
              </w:rPr>
              <w:t>条款号</w:t>
            </w:r>
          </w:p>
        </w:tc>
        <w:tc>
          <w:tcPr>
            <w:tcW w:w="2349" w:type="dxa"/>
            <w:vAlign w:val="center"/>
          </w:tcPr>
          <w:p>
            <w:pPr>
              <w:autoSpaceDE w:val="0"/>
              <w:autoSpaceDN w:val="0"/>
              <w:adjustRightInd w:val="0"/>
              <w:snapToGrid w:val="0"/>
              <w:jc w:val="center"/>
              <w:rPr>
                <w:b/>
                <w:bCs/>
                <w:kern w:val="0"/>
                <w:sz w:val="24"/>
              </w:rPr>
            </w:pPr>
            <w:r>
              <w:rPr>
                <w:b/>
                <w:bCs/>
                <w:kern w:val="0"/>
                <w:sz w:val="24"/>
              </w:rPr>
              <w:t>条款名称</w:t>
            </w:r>
          </w:p>
        </w:tc>
        <w:tc>
          <w:tcPr>
            <w:tcW w:w="5352" w:type="dxa"/>
            <w:vAlign w:val="center"/>
          </w:tcPr>
          <w:p>
            <w:pPr>
              <w:autoSpaceDE w:val="0"/>
              <w:autoSpaceDN w:val="0"/>
              <w:adjustRightInd w:val="0"/>
              <w:snapToGrid w:val="0"/>
              <w:jc w:val="center"/>
              <w:rPr>
                <w:b/>
                <w:bCs/>
                <w:kern w:val="0"/>
                <w:sz w:val="24"/>
              </w:rPr>
            </w:pPr>
            <w:r>
              <w:rPr>
                <w:b/>
                <w:bCs/>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349" w:type="dxa"/>
            <w:vAlign w:val="center"/>
          </w:tcPr>
          <w:p>
            <w:pPr>
              <w:autoSpaceDE w:val="0"/>
              <w:autoSpaceDN w:val="0"/>
              <w:adjustRightInd w:val="0"/>
              <w:snapToGrid w:val="0"/>
              <w:jc w:val="left"/>
              <w:rPr>
                <w:rFonts w:eastAsiaTheme="minorEastAsia"/>
                <w:kern w:val="0"/>
                <w:sz w:val="24"/>
              </w:rPr>
            </w:pPr>
            <w:r>
              <w:rPr>
                <w:rFonts w:eastAsiaTheme="minorEastAsia"/>
                <w:sz w:val="24"/>
              </w:rPr>
              <w:t>采购标的对应的中小企业划分标准所属行业</w:t>
            </w:r>
          </w:p>
        </w:tc>
        <w:tc>
          <w:tcPr>
            <w:tcW w:w="5352" w:type="dxa"/>
            <w:vAlign w:val="center"/>
          </w:tcPr>
          <w:p>
            <w:pPr>
              <w:autoSpaceDE w:val="0"/>
              <w:autoSpaceDN w:val="0"/>
              <w:adjustRightInd w:val="0"/>
              <w:snapToGrid w:val="0"/>
              <w:jc w:val="left"/>
              <w:rPr>
                <w:rFonts w:eastAsiaTheme="minorEastAsia"/>
                <w:kern w:val="0"/>
                <w:sz w:val="24"/>
              </w:rPr>
            </w:pPr>
            <w:r>
              <w:rPr>
                <w:rFonts w:eastAsiaTheme="minorEastAsia"/>
                <w:kern w:val="0"/>
                <w:sz w:val="24"/>
              </w:rPr>
              <w:t>所属行业为：</w:t>
            </w:r>
            <w:r>
              <w:rPr>
                <w:rFonts w:hint="eastAsia" w:eastAsiaTheme="minorEastAsia"/>
                <w:kern w:val="0"/>
                <w:sz w:val="24"/>
              </w:rPr>
              <w:t>工</w:t>
            </w:r>
            <w:r>
              <w:rPr>
                <w:rFonts w:eastAsiaTheme="minorEastAsia"/>
                <w:kern w:val="0"/>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4</w:t>
            </w:r>
          </w:p>
        </w:tc>
        <w:tc>
          <w:tcPr>
            <w:tcW w:w="2349" w:type="dxa"/>
            <w:vAlign w:val="center"/>
          </w:tcPr>
          <w:p>
            <w:pPr>
              <w:autoSpaceDE w:val="0"/>
              <w:autoSpaceDN w:val="0"/>
              <w:adjustRightInd w:val="0"/>
              <w:snapToGrid w:val="0"/>
              <w:jc w:val="left"/>
              <w:rPr>
                <w:kern w:val="0"/>
                <w:sz w:val="24"/>
              </w:rPr>
            </w:pPr>
            <w:r>
              <w:rPr>
                <w:rFonts w:hint="eastAsia"/>
                <w:kern w:val="0"/>
                <w:sz w:val="24"/>
              </w:rPr>
              <w:t>招标范围</w:t>
            </w:r>
          </w:p>
        </w:tc>
        <w:tc>
          <w:tcPr>
            <w:tcW w:w="5352" w:type="dxa"/>
            <w:vAlign w:val="center"/>
          </w:tcPr>
          <w:p>
            <w:pPr>
              <w:autoSpaceDE w:val="0"/>
              <w:autoSpaceDN w:val="0"/>
              <w:adjustRightInd w:val="0"/>
              <w:snapToGrid w:val="0"/>
              <w:jc w:val="left"/>
              <w:rPr>
                <w:kern w:val="0"/>
                <w:sz w:val="24"/>
              </w:rPr>
            </w:pPr>
            <w:r>
              <w:rPr>
                <w:rFonts w:hint="eastAsia"/>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交货地点</w:t>
            </w:r>
          </w:p>
        </w:tc>
        <w:tc>
          <w:tcPr>
            <w:tcW w:w="5352" w:type="dxa"/>
            <w:vAlign w:val="center"/>
          </w:tcPr>
          <w:p>
            <w:pPr>
              <w:rPr>
                <w:sz w:val="24"/>
              </w:rPr>
            </w:pPr>
            <w:r>
              <w:rPr>
                <w:rFonts w:hint="eastAsia"/>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供货周期</w:t>
            </w:r>
          </w:p>
        </w:tc>
        <w:tc>
          <w:tcPr>
            <w:tcW w:w="5352" w:type="dxa"/>
            <w:vAlign w:val="center"/>
          </w:tcPr>
          <w:p>
            <w:pPr>
              <w:rPr>
                <w:sz w:val="24"/>
              </w:rPr>
            </w:pPr>
            <w:r>
              <w:rPr>
                <w:rFonts w:hint="eastAsia"/>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质量保证</w:t>
            </w:r>
          </w:p>
        </w:tc>
        <w:tc>
          <w:tcPr>
            <w:tcW w:w="5352" w:type="dxa"/>
            <w:vAlign w:val="center"/>
          </w:tcPr>
          <w:p>
            <w:r>
              <w:rPr>
                <w:rFonts w:hint="eastAsia"/>
                <w:sz w:val="24"/>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8" w:type="dxa"/>
            <w:vAlign w:val="center"/>
          </w:tcPr>
          <w:p>
            <w:pPr>
              <w:autoSpaceDE w:val="0"/>
              <w:autoSpaceDN w:val="0"/>
              <w:adjustRightInd w:val="0"/>
              <w:snapToGrid w:val="0"/>
              <w:jc w:val="center"/>
              <w:rPr>
                <w:kern w:val="0"/>
                <w:sz w:val="24"/>
              </w:rPr>
            </w:pPr>
            <w:r>
              <w:rPr>
                <w:kern w:val="0"/>
                <w:sz w:val="24"/>
              </w:rPr>
              <w:t>1.5.2</w:t>
            </w:r>
          </w:p>
        </w:tc>
        <w:tc>
          <w:tcPr>
            <w:tcW w:w="2349"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是</w:t>
            </w:r>
            <w:r>
              <w:rPr>
                <w:rFonts w:hint="eastAsia"/>
                <w:b/>
                <w:bCs/>
                <w:kern w:val="0"/>
                <w:sz w:val="24"/>
              </w:rPr>
              <w:t>标项</w:t>
            </w:r>
            <w:r>
              <w:rPr>
                <w:rFonts w:hint="eastAsia"/>
                <w:b/>
                <w:bCs/>
                <w:kern w:val="0"/>
                <w:sz w:val="24"/>
                <w:lang w:val="en-US" w:eastAsia="zh-CN"/>
              </w:rPr>
              <w:t>二</w:t>
            </w:r>
            <w:r>
              <w:rPr>
                <w:rFonts w:hint="eastAsia"/>
                <w:b/>
                <w:bCs/>
                <w:kern w:val="0"/>
                <w:sz w:val="24"/>
              </w:rPr>
              <w:t>、标项</w:t>
            </w:r>
            <w:r>
              <w:rPr>
                <w:rFonts w:hint="eastAsia"/>
                <w:b/>
                <w:bCs/>
                <w:kern w:val="0"/>
                <w:sz w:val="24"/>
                <w:lang w:val="en-US" w:eastAsia="zh-CN"/>
              </w:rPr>
              <w:t>三</w:t>
            </w:r>
            <w:r>
              <w:rPr>
                <w:b/>
                <w:bCs/>
                <w:kern w:val="0"/>
                <w:sz w:val="24"/>
              </w:rPr>
              <w:t>专门面向中小企业或小型、微型企业采购</w:t>
            </w:r>
            <w:r>
              <w:rPr>
                <w:rFonts w:hint="eastAsia"/>
                <w:b/>
                <w:bCs/>
                <w:kern w:val="0"/>
                <w:sz w:val="24"/>
              </w:rPr>
              <w:t>,</w:t>
            </w:r>
          </w:p>
          <w:p>
            <w:pPr>
              <w:autoSpaceDE w:val="0"/>
              <w:autoSpaceDN w:val="0"/>
              <w:adjustRightInd w:val="0"/>
              <w:snapToGrid w:val="0"/>
              <w:jc w:val="left"/>
              <w:rPr>
                <w:kern w:val="0"/>
                <w:sz w:val="24"/>
              </w:rPr>
            </w:pPr>
            <w:r>
              <w:rPr>
                <w:rFonts w:hint="eastAsia"/>
                <w:kern w:val="0"/>
                <w:sz w:val="24"/>
                <w:lang w:eastAsia="zh-CN"/>
              </w:rPr>
              <w:t>☑</w:t>
            </w:r>
            <w:r>
              <w:rPr>
                <w:kern w:val="0"/>
                <w:sz w:val="24"/>
              </w:rPr>
              <w:t>否</w:t>
            </w:r>
            <w:r>
              <w:rPr>
                <w:rFonts w:hint="eastAsia"/>
                <w:b/>
                <w:bCs/>
                <w:kern w:val="0"/>
                <w:sz w:val="24"/>
              </w:rPr>
              <w:t xml:space="preserve"> 标项一非</w:t>
            </w:r>
            <w:r>
              <w:rPr>
                <w:b/>
                <w:bCs/>
                <w:kern w:val="0"/>
                <w:sz w:val="24"/>
              </w:rPr>
              <w:t>专门面向中小企业或小型、微型企业采购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1.6</w:t>
            </w:r>
          </w:p>
        </w:tc>
        <w:tc>
          <w:tcPr>
            <w:tcW w:w="2349" w:type="dxa"/>
            <w:vAlign w:val="center"/>
          </w:tcPr>
          <w:p>
            <w:pPr>
              <w:autoSpaceDE w:val="0"/>
              <w:autoSpaceDN w:val="0"/>
              <w:adjustRightInd w:val="0"/>
              <w:snapToGrid w:val="0"/>
              <w:jc w:val="left"/>
              <w:rPr>
                <w:kern w:val="0"/>
                <w:sz w:val="24"/>
              </w:rPr>
            </w:pPr>
            <w:r>
              <w:rPr>
                <w:kern w:val="0"/>
                <w:sz w:val="24"/>
              </w:rPr>
              <w:t>是否允许采用分包方式履行合同</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不允许</w:t>
            </w:r>
          </w:p>
          <w:p>
            <w:pPr>
              <w:autoSpaceDE w:val="0"/>
              <w:autoSpaceDN w:val="0"/>
              <w:adjustRightInd w:val="0"/>
              <w:snapToGrid w:val="0"/>
              <w:jc w:val="left"/>
              <w:rPr>
                <w:kern w:val="0"/>
                <w:sz w:val="24"/>
              </w:rPr>
            </w:pPr>
            <w:r>
              <w:rPr>
                <w:rFonts w:hint="eastAsia"/>
                <w:kern w:val="0"/>
                <w:sz w:val="24"/>
                <w:lang w:eastAsia="zh-CN"/>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2.2</w:t>
            </w:r>
          </w:p>
        </w:tc>
        <w:tc>
          <w:tcPr>
            <w:tcW w:w="2349" w:type="dxa"/>
            <w:vAlign w:val="center"/>
          </w:tcPr>
          <w:p>
            <w:pPr>
              <w:autoSpaceDE w:val="0"/>
              <w:autoSpaceDN w:val="0"/>
              <w:adjustRightInd w:val="0"/>
              <w:snapToGrid w:val="0"/>
              <w:jc w:val="left"/>
              <w:rPr>
                <w:kern w:val="0"/>
                <w:sz w:val="24"/>
              </w:rPr>
            </w:pPr>
            <w:r>
              <w:rPr>
                <w:kern w:val="0"/>
                <w:sz w:val="24"/>
              </w:rPr>
              <w:t>核心产品</w:t>
            </w:r>
          </w:p>
        </w:tc>
        <w:tc>
          <w:tcPr>
            <w:tcW w:w="5352" w:type="dxa"/>
            <w:vAlign w:val="center"/>
          </w:tcPr>
          <w:p>
            <w:pPr>
              <w:autoSpaceDE w:val="0"/>
              <w:autoSpaceDN w:val="0"/>
              <w:adjustRightInd w:val="0"/>
              <w:snapToGrid w:val="0"/>
              <w:jc w:val="left"/>
            </w:pPr>
            <w:r>
              <w:rPr>
                <w:rFonts w:hint="eastAsia"/>
              </w:rPr>
              <w:t>□服务采购</w:t>
            </w:r>
          </w:p>
          <w:p>
            <w:pPr>
              <w:autoSpaceDE w:val="0"/>
              <w:autoSpaceDN w:val="0"/>
              <w:adjustRightInd w:val="0"/>
              <w:snapToGrid w:val="0"/>
              <w:jc w:val="left"/>
            </w:pPr>
            <w:r>
              <w:rPr>
                <w:rFonts w:hint="eastAsia"/>
                <w:lang w:eastAsia="zh-CN"/>
              </w:rPr>
              <w:t>□</w:t>
            </w:r>
            <w:r>
              <w:rPr>
                <w:rFonts w:hint="eastAsia"/>
              </w:rPr>
              <w:t>单一产品采购</w:t>
            </w:r>
          </w:p>
          <w:p>
            <w:pPr>
              <w:autoSpaceDE w:val="0"/>
              <w:autoSpaceDN w:val="0"/>
              <w:adjustRightInd w:val="0"/>
              <w:snapToGrid w:val="0"/>
              <w:jc w:val="left"/>
              <w:rPr>
                <w:rFonts w:hint="eastAsia"/>
              </w:rPr>
            </w:pPr>
            <w:r>
              <w:rPr>
                <w:rFonts w:hint="eastAsia"/>
                <w:lang w:eastAsia="zh-CN"/>
              </w:rPr>
              <w:t>☑</w:t>
            </w:r>
            <w:r>
              <w:rPr>
                <w:rFonts w:hint="eastAsia"/>
              </w:rPr>
              <w:t>非单一产品采购，核心产品为：</w:t>
            </w:r>
          </w:p>
          <w:p>
            <w:pPr>
              <w:autoSpaceDE w:val="0"/>
              <w:autoSpaceDN w:val="0"/>
              <w:adjustRightInd w:val="0"/>
              <w:snapToGrid w:val="0"/>
              <w:jc w:val="left"/>
              <w:rPr>
                <w:rFonts w:hint="default" w:ascii="Times New Roman" w:hAnsi="Times New Roman" w:eastAsia="宋体" w:cs="Times New Roman"/>
                <w:lang w:val="en-US" w:eastAsia="zh-CN"/>
              </w:rPr>
            </w:pPr>
            <w:r>
              <w:rPr>
                <w:rFonts w:hint="eastAsia"/>
                <w:lang w:val="en-US" w:eastAsia="zh-CN"/>
              </w:rPr>
              <w:t>标项一：序号</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一次性使用麻醉穿刺包</w:t>
            </w:r>
          </w:p>
          <w:p>
            <w:pPr>
              <w:autoSpaceDE w:val="0"/>
              <w:autoSpaceDN w:val="0"/>
              <w:adjustRightInd w:val="0"/>
              <w:snapToGrid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标项二：序号1：一次性双极电凝切割钳</w:t>
            </w:r>
          </w:p>
          <w:p>
            <w:pPr>
              <w:autoSpaceDE w:val="0"/>
              <w:autoSpaceDN w:val="0"/>
              <w:adjustRightInd w:val="0"/>
              <w:snapToGrid w:val="0"/>
              <w:jc w:val="left"/>
              <w:rPr>
                <w:rFonts w:hint="default"/>
                <w:lang w:val="en-US" w:eastAsia="zh-CN"/>
              </w:rPr>
            </w:pPr>
            <w:r>
              <w:rPr>
                <w:rFonts w:hint="eastAsia" w:ascii="Times New Roman" w:hAnsi="Times New Roman" w:eastAsia="宋体" w:cs="Times New Roman"/>
                <w:lang w:val="en-US" w:eastAsia="zh-CN"/>
              </w:rPr>
              <w:t>标项三：序号1：一次性使用高压造影注射器</w:t>
            </w:r>
            <w:r>
              <w:rPr>
                <w:rFonts w:hint="eastAsia"/>
                <w:lang w:val="en-US" w:eastAsia="zh-CN"/>
              </w:rPr>
              <w:t>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2.3.3</w:t>
            </w:r>
          </w:p>
        </w:tc>
        <w:tc>
          <w:tcPr>
            <w:tcW w:w="2349" w:type="dxa"/>
            <w:vAlign w:val="center"/>
          </w:tcPr>
          <w:p>
            <w:pPr>
              <w:autoSpaceDE w:val="0"/>
              <w:autoSpaceDN w:val="0"/>
              <w:adjustRightInd w:val="0"/>
              <w:snapToGrid w:val="0"/>
              <w:jc w:val="left"/>
              <w:rPr>
                <w:kern w:val="0"/>
                <w:sz w:val="24"/>
              </w:rPr>
            </w:pPr>
            <w:r>
              <w:rPr>
                <w:kern w:val="0"/>
                <w:sz w:val="24"/>
              </w:rPr>
              <w:t>采购人发出澄清文件时间</w:t>
            </w:r>
          </w:p>
        </w:tc>
        <w:tc>
          <w:tcPr>
            <w:tcW w:w="5352" w:type="dxa"/>
            <w:vAlign w:val="center"/>
          </w:tcPr>
          <w:p>
            <w:pPr>
              <w:autoSpaceDE w:val="0"/>
              <w:autoSpaceDN w:val="0"/>
              <w:adjustRightInd w:val="0"/>
              <w:snapToGrid w:val="0"/>
              <w:jc w:val="left"/>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2.4.1</w:t>
            </w:r>
          </w:p>
        </w:tc>
        <w:tc>
          <w:tcPr>
            <w:tcW w:w="2349" w:type="dxa"/>
            <w:vAlign w:val="center"/>
          </w:tcPr>
          <w:p>
            <w:pPr>
              <w:rPr>
                <w:sz w:val="24"/>
              </w:rPr>
            </w:pPr>
            <w:bookmarkStart w:id="50" w:name="_Toc26077"/>
            <w:bookmarkStart w:id="51" w:name="_Toc20949"/>
            <w:bookmarkStart w:id="52" w:name="_Toc8477"/>
            <w:bookmarkStart w:id="53" w:name="_Toc4365"/>
            <w:r>
              <w:rPr>
                <w:sz w:val="24"/>
              </w:rPr>
              <w:t>采购人发出修改文件时间</w:t>
            </w:r>
            <w:bookmarkEnd w:id="50"/>
            <w:bookmarkEnd w:id="51"/>
            <w:bookmarkEnd w:id="52"/>
            <w:bookmarkEnd w:id="53"/>
          </w:p>
        </w:tc>
        <w:tc>
          <w:tcPr>
            <w:tcW w:w="5352" w:type="dxa"/>
            <w:vAlign w:val="center"/>
          </w:tcPr>
          <w:p>
            <w:pPr>
              <w:autoSpaceDE w:val="0"/>
              <w:autoSpaceDN w:val="0"/>
              <w:adjustRightInd w:val="0"/>
              <w:snapToGrid w:val="0"/>
              <w:spacing w:after="120" w:afterLines="50"/>
              <w:ind w:left="281" w:hanging="280" w:hangingChars="117"/>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2.5</w:t>
            </w:r>
          </w:p>
        </w:tc>
        <w:tc>
          <w:tcPr>
            <w:tcW w:w="2349" w:type="dxa"/>
            <w:vAlign w:val="center"/>
          </w:tcPr>
          <w:p>
            <w:pPr>
              <w:rPr>
                <w:sz w:val="24"/>
              </w:rPr>
            </w:pPr>
            <w:bookmarkStart w:id="54" w:name="_Toc20336"/>
            <w:bookmarkStart w:id="55" w:name="_Toc31338"/>
            <w:bookmarkStart w:id="56" w:name="_Toc5691"/>
            <w:bookmarkStart w:id="57" w:name="_Toc15622"/>
            <w:r>
              <w:rPr>
                <w:sz w:val="24"/>
              </w:rPr>
              <w:t>接收质疑函的方式和联系方式</w:t>
            </w:r>
            <w:bookmarkEnd w:id="54"/>
            <w:bookmarkEnd w:id="55"/>
            <w:bookmarkEnd w:id="56"/>
            <w:bookmarkEnd w:id="57"/>
          </w:p>
        </w:tc>
        <w:tc>
          <w:tcPr>
            <w:tcW w:w="5352" w:type="dxa"/>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w:t>
            </w:r>
            <w:r>
              <w:rPr>
                <w:rFonts w:hint="eastAsia"/>
                <w:kern w:val="0"/>
                <w:sz w:val="24"/>
              </w:rPr>
              <w:t>任园园</w:t>
            </w:r>
          </w:p>
          <w:p>
            <w:pPr>
              <w:autoSpaceDE w:val="0"/>
              <w:autoSpaceDN w:val="0"/>
              <w:adjustRightInd w:val="0"/>
              <w:snapToGrid w:val="0"/>
              <w:jc w:val="left"/>
              <w:rPr>
                <w:kern w:val="0"/>
                <w:sz w:val="24"/>
              </w:rPr>
            </w:pPr>
            <w:r>
              <w:rPr>
                <w:kern w:val="0"/>
                <w:sz w:val="24"/>
              </w:rPr>
              <w:t>联系电话：18195911775</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3.6.2</w:t>
            </w:r>
          </w:p>
        </w:tc>
        <w:tc>
          <w:tcPr>
            <w:tcW w:w="2349" w:type="dxa"/>
            <w:vAlign w:val="center"/>
          </w:tcPr>
          <w:p>
            <w:pPr>
              <w:rPr>
                <w:sz w:val="24"/>
              </w:rPr>
            </w:pPr>
            <w:bookmarkStart w:id="58" w:name="_Toc28365"/>
            <w:bookmarkStart w:id="59" w:name="_Toc1731"/>
            <w:bookmarkStart w:id="60" w:name="_Toc5055"/>
            <w:bookmarkStart w:id="61" w:name="_Toc195921788"/>
            <w:bookmarkStart w:id="62" w:name="_Toc10933"/>
            <w:r>
              <w:rPr>
                <w:sz w:val="24"/>
              </w:rPr>
              <w:t>投标有效期</w:t>
            </w:r>
            <w:bookmarkEnd w:id="58"/>
            <w:bookmarkEnd w:id="59"/>
            <w:bookmarkEnd w:id="60"/>
            <w:bookmarkEnd w:id="61"/>
            <w:bookmarkEnd w:id="62"/>
          </w:p>
        </w:tc>
        <w:tc>
          <w:tcPr>
            <w:tcW w:w="5352" w:type="dxa"/>
            <w:vAlign w:val="center"/>
          </w:tcPr>
          <w:p>
            <w:pPr>
              <w:autoSpaceDE w:val="0"/>
              <w:autoSpaceDN w:val="0"/>
              <w:adjustRightInd w:val="0"/>
              <w:snapToGrid w:val="0"/>
              <w:spacing w:after="120" w:afterLines="50"/>
              <w:rPr>
                <w:kern w:val="0"/>
                <w:sz w:val="24"/>
              </w:rPr>
            </w:pPr>
            <w:r>
              <w:rPr>
                <w:kern w:val="0"/>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3.7.1</w:t>
            </w:r>
          </w:p>
        </w:tc>
        <w:tc>
          <w:tcPr>
            <w:tcW w:w="2349" w:type="dxa"/>
            <w:vAlign w:val="center"/>
          </w:tcPr>
          <w:p>
            <w:pPr>
              <w:rPr>
                <w:sz w:val="24"/>
              </w:rPr>
            </w:pPr>
            <w:bookmarkStart w:id="63" w:name="_Toc12380"/>
            <w:bookmarkStart w:id="64" w:name="_Toc5482"/>
            <w:bookmarkStart w:id="65" w:name="_Toc12209"/>
            <w:bookmarkStart w:id="66" w:name="_Toc21352"/>
            <w:bookmarkStart w:id="67" w:name="_Toc195921789"/>
            <w:r>
              <w:rPr>
                <w:sz w:val="24"/>
              </w:rPr>
              <w:t>投标保证金</w:t>
            </w:r>
            <w:bookmarkEnd w:id="63"/>
            <w:bookmarkEnd w:id="64"/>
            <w:bookmarkEnd w:id="65"/>
            <w:bookmarkEnd w:id="66"/>
            <w:bookmarkEnd w:id="67"/>
          </w:p>
        </w:tc>
        <w:tc>
          <w:tcPr>
            <w:tcW w:w="5352" w:type="dxa"/>
            <w:vAlign w:val="center"/>
          </w:tcPr>
          <w:p>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供应商可以自主选择以支票、汇票、本票或者金融机构、担保机构出具的保函等非现金形式缴纳或提交投标保证金，投标保证金从基本账户转出。</w:t>
            </w:r>
          </w:p>
          <w:p>
            <w:pPr>
              <w:autoSpaceDE w:val="0"/>
              <w:autoSpaceDN w:val="0"/>
              <w:adjustRightInd w:val="0"/>
              <w:snapToGrid w:val="0"/>
              <w:jc w:val="left"/>
              <w:rPr>
                <w:kern w:val="0"/>
                <w:sz w:val="24"/>
              </w:rPr>
            </w:pPr>
            <w:r>
              <w:rPr>
                <w:kern w:val="0"/>
                <w:sz w:val="24"/>
              </w:rPr>
              <w:t>采用电汇方式提交投标保证金时，请按以下内容办理：</w:t>
            </w:r>
          </w:p>
          <w:p>
            <w:pPr>
              <w:autoSpaceDE w:val="0"/>
              <w:autoSpaceDN w:val="0"/>
              <w:adjustRightInd w:val="0"/>
              <w:snapToGrid w:val="0"/>
              <w:jc w:val="left"/>
              <w:rPr>
                <w:kern w:val="0"/>
                <w:sz w:val="24"/>
              </w:rPr>
            </w:pPr>
            <w:r>
              <w:rPr>
                <w:kern w:val="0"/>
                <w:sz w:val="24"/>
              </w:rPr>
              <w:t>保证金金额：</w:t>
            </w:r>
          </w:p>
          <w:p>
            <w:pPr>
              <w:tabs>
                <w:tab w:val="left" w:pos="2520"/>
              </w:tabs>
              <w:autoSpaceDE w:val="0"/>
              <w:autoSpaceDN w:val="0"/>
              <w:adjustRightInd w:val="0"/>
              <w:snapToGrid w:val="0"/>
              <w:jc w:val="left"/>
              <w:rPr>
                <w:b/>
                <w:bCs/>
                <w:kern w:val="0"/>
                <w:sz w:val="24"/>
              </w:rPr>
            </w:pPr>
            <w:r>
              <w:rPr>
                <w:rFonts w:hint="eastAsia"/>
                <w:b/>
                <w:bCs/>
                <w:kern w:val="0"/>
                <w:sz w:val="24"/>
              </w:rPr>
              <w:t>标项1：</w:t>
            </w:r>
            <w:r>
              <w:rPr>
                <w:b/>
                <w:bCs/>
                <w:kern w:val="0"/>
                <w:sz w:val="24"/>
              </w:rPr>
              <w:t>¥</w:t>
            </w:r>
            <w:r>
              <w:rPr>
                <w:rFonts w:hint="eastAsia"/>
                <w:b/>
                <w:bCs/>
                <w:kern w:val="0"/>
                <w:sz w:val="24"/>
                <w:lang w:val="en-US" w:eastAsia="zh-CN"/>
              </w:rPr>
              <w:t>15,200.00</w:t>
            </w:r>
            <w:r>
              <w:rPr>
                <w:b/>
                <w:bCs/>
                <w:kern w:val="0"/>
                <w:sz w:val="24"/>
              </w:rPr>
              <w:t>元（</w:t>
            </w:r>
            <w:r>
              <w:rPr>
                <w:rFonts w:hint="eastAsia"/>
                <w:b/>
                <w:bCs/>
                <w:kern w:val="0"/>
                <w:sz w:val="24"/>
                <w:lang w:val="en-US" w:eastAsia="zh-CN"/>
              </w:rPr>
              <w:t>壹万伍仟贰佰</w:t>
            </w:r>
            <w:r>
              <w:rPr>
                <w:rFonts w:hint="eastAsia"/>
                <w:b/>
                <w:bCs/>
                <w:kern w:val="0"/>
                <w:sz w:val="24"/>
              </w:rPr>
              <w:t>元整</w:t>
            </w:r>
            <w:r>
              <w:rPr>
                <w:b/>
                <w:bCs/>
                <w:kern w:val="0"/>
                <w:sz w:val="24"/>
              </w:rPr>
              <w:t>）；</w:t>
            </w:r>
          </w:p>
          <w:p>
            <w:pPr>
              <w:autoSpaceDE w:val="0"/>
              <w:autoSpaceDN w:val="0"/>
              <w:adjustRightInd w:val="0"/>
              <w:snapToGrid w:val="0"/>
              <w:jc w:val="left"/>
              <w:rPr>
                <w:rFonts w:hint="eastAsia" w:ascii="Times New Roman" w:hAnsi="Times New Roman" w:eastAsia="宋体" w:cs="Times New Roman"/>
                <w:b/>
                <w:bCs/>
                <w:kern w:val="0"/>
                <w:sz w:val="24"/>
                <w:lang w:val="en-US" w:eastAsia="zh-CN"/>
              </w:rPr>
            </w:pPr>
            <w:r>
              <w:rPr>
                <w:rFonts w:hint="eastAsia"/>
                <w:b/>
                <w:bCs/>
                <w:kern w:val="0"/>
                <w:sz w:val="24"/>
              </w:rPr>
              <w:t>标项</w:t>
            </w:r>
            <w:r>
              <w:rPr>
                <w:rFonts w:hint="eastAsia" w:ascii="Times New Roman" w:hAnsi="Times New Roman" w:eastAsia="宋体" w:cs="Times New Roman"/>
                <w:b/>
                <w:bCs/>
                <w:kern w:val="0"/>
                <w:sz w:val="24"/>
                <w:lang w:val="en-US" w:eastAsia="zh-CN"/>
              </w:rPr>
              <w:t>2：¥2</w:t>
            </w:r>
            <w:r>
              <w:rPr>
                <w:rFonts w:hint="eastAsia" w:cs="Times New Roman"/>
                <w:b/>
                <w:bCs/>
                <w:kern w:val="0"/>
                <w:sz w:val="24"/>
                <w:lang w:val="en-US" w:eastAsia="zh-CN"/>
              </w:rPr>
              <w:t>0</w:t>
            </w:r>
            <w:r>
              <w:rPr>
                <w:rFonts w:hint="eastAsia" w:ascii="Times New Roman" w:hAnsi="Times New Roman" w:eastAsia="宋体" w:cs="Times New Roman"/>
                <w:b/>
                <w:bCs/>
                <w:kern w:val="0"/>
                <w:sz w:val="24"/>
                <w:lang w:val="en-US" w:eastAsia="zh-CN"/>
              </w:rPr>
              <w:t>,</w:t>
            </w:r>
            <w:r>
              <w:rPr>
                <w:rFonts w:hint="eastAsia" w:cs="Times New Roman"/>
                <w:b/>
                <w:bCs/>
                <w:kern w:val="0"/>
                <w:sz w:val="24"/>
                <w:lang w:val="en-US" w:eastAsia="zh-CN"/>
              </w:rPr>
              <w:t>0</w:t>
            </w:r>
            <w:r>
              <w:rPr>
                <w:rFonts w:hint="eastAsia" w:ascii="Times New Roman" w:hAnsi="Times New Roman" w:eastAsia="宋体" w:cs="Times New Roman"/>
                <w:b/>
                <w:bCs/>
                <w:kern w:val="0"/>
                <w:sz w:val="24"/>
                <w:lang w:val="en-US" w:eastAsia="zh-CN"/>
              </w:rPr>
              <w:t>00.00元（贰万元整）；</w:t>
            </w:r>
          </w:p>
          <w:p>
            <w:pPr>
              <w:autoSpaceDE w:val="0"/>
              <w:autoSpaceDN w:val="0"/>
              <w:adjustRightInd w:val="0"/>
              <w:snapToGrid w:val="0"/>
              <w:jc w:val="left"/>
              <w:rPr>
                <w:rFonts w:hint="default" w:eastAsia="宋体"/>
                <w:lang w:val="en-US" w:eastAsia="zh-CN"/>
              </w:rPr>
            </w:pPr>
            <w:r>
              <w:rPr>
                <w:rFonts w:hint="eastAsia" w:ascii="Times New Roman" w:hAnsi="Times New Roman" w:eastAsia="宋体" w:cs="Times New Roman"/>
                <w:b/>
                <w:bCs/>
                <w:kern w:val="0"/>
                <w:sz w:val="24"/>
                <w:lang w:val="en-US" w:eastAsia="zh-CN"/>
              </w:rPr>
              <w:t>标项3：¥15,750.</w:t>
            </w:r>
            <w:r>
              <w:rPr>
                <w:rFonts w:hint="eastAsia"/>
                <w:b/>
                <w:bCs/>
                <w:kern w:val="0"/>
                <w:sz w:val="24"/>
                <w:lang w:val="en-US" w:eastAsia="zh-CN"/>
              </w:rPr>
              <w:t>00</w:t>
            </w:r>
            <w:r>
              <w:rPr>
                <w:b/>
                <w:bCs/>
                <w:kern w:val="0"/>
                <w:sz w:val="24"/>
              </w:rPr>
              <w:t>元（</w:t>
            </w:r>
            <w:r>
              <w:rPr>
                <w:rFonts w:hint="eastAsia"/>
                <w:b/>
                <w:bCs/>
                <w:kern w:val="0"/>
                <w:sz w:val="24"/>
                <w:lang w:val="en-US" w:eastAsia="zh-CN"/>
              </w:rPr>
              <w:t>壹万伍仟柒佰伍拾</w:t>
            </w:r>
            <w:r>
              <w:rPr>
                <w:rFonts w:hint="eastAsia"/>
                <w:b/>
                <w:bCs/>
                <w:kern w:val="0"/>
                <w:sz w:val="24"/>
              </w:rPr>
              <w:t>元整</w:t>
            </w:r>
            <w:r>
              <w:rPr>
                <w:b/>
                <w:bCs/>
                <w:kern w:val="0"/>
                <w:sz w:val="24"/>
              </w:rPr>
              <w:t>）</w:t>
            </w:r>
          </w:p>
          <w:p>
            <w:pPr>
              <w:autoSpaceDE w:val="0"/>
              <w:autoSpaceDN w:val="0"/>
              <w:adjustRightInd w:val="0"/>
              <w:snapToGrid w:val="0"/>
              <w:jc w:val="left"/>
              <w:rPr>
                <w:kern w:val="0"/>
                <w:sz w:val="24"/>
              </w:rPr>
            </w:pPr>
            <w:r>
              <w:rPr>
                <w:kern w:val="0"/>
                <w:sz w:val="24"/>
              </w:rPr>
              <w:t>保证金账户信息</w:t>
            </w:r>
            <w:r>
              <w:rPr>
                <w:rFonts w:hint="eastAsia"/>
                <w:kern w:val="0"/>
                <w:sz w:val="24"/>
              </w:rPr>
              <w:t>：</w:t>
            </w:r>
          </w:p>
          <w:p>
            <w:pPr>
              <w:rPr>
                <w:sz w:val="24"/>
              </w:rPr>
            </w:pPr>
            <w:r>
              <w:rPr>
                <w:sz w:val="24"/>
              </w:rPr>
              <w:t>开户名称：国信招标集团股份有限公司新疆分公司</w:t>
            </w:r>
          </w:p>
          <w:p>
            <w:pPr>
              <w:rPr>
                <w:rFonts w:ascii="Times New Roman" w:hAnsi="Times New Roman" w:eastAsia="宋体" w:cs="Times New Roman"/>
                <w:sz w:val="24"/>
              </w:rPr>
            </w:pPr>
            <w:r>
              <w:rPr>
                <w:sz w:val="24"/>
              </w:rPr>
              <w:t>开</w:t>
            </w:r>
            <w:r>
              <w:rPr>
                <w:rFonts w:ascii="Times New Roman" w:hAnsi="Times New Roman" w:eastAsia="宋体" w:cs="Times New Roman"/>
                <w:sz w:val="24"/>
              </w:rPr>
              <w:t>户银行：招商银行乌鲁木齐人民路支行</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开户行号：308881029059</w:t>
            </w:r>
          </w:p>
          <w:p>
            <w:pPr>
              <w:autoSpaceDE w:val="0"/>
              <w:autoSpaceDN w:val="0"/>
              <w:adjustRightInd w:val="0"/>
              <w:snapToGrid w:val="0"/>
              <w:spacing w:after="120" w:afterLines="50"/>
              <w:rPr>
                <w:rFonts w:hint="eastAsia"/>
                <w:lang w:val="en-US" w:eastAsia="zh-CN"/>
              </w:rPr>
            </w:pPr>
            <w:r>
              <w:rPr>
                <w:rFonts w:hint="eastAsia" w:ascii="Times New Roman" w:hAnsi="Times New Roman" w:eastAsia="宋体" w:cs="Times New Roman"/>
                <w:color w:val="auto"/>
                <w:kern w:val="0"/>
                <w:sz w:val="24"/>
                <w:lang w:val="en-US" w:eastAsia="zh-CN"/>
              </w:rPr>
              <w:t>虚拟银行账号：</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sz w:val="24"/>
              </w:rPr>
              <w:t>标项</w:t>
            </w:r>
            <w:r>
              <w:rPr>
                <w:rFonts w:hint="eastAsia" w:ascii="Times New Roman" w:hAnsi="Times New Roman" w:eastAsia="宋体" w:cs="Times New Roman"/>
                <w:color w:val="auto"/>
                <w:kern w:val="0"/>
                <w:sz w:val="24"/>
                <w:lang w:val="en-US" w:eastAsia="zh-CN"/>
              </w:rPr>
              <w:t>一：9919048608102012300013623</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标项二：9919048608102012300013624</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标项三：9919048608102012300013625</w:t>
            </w:r>
          </w:p>
          <w:p>
            <w:pPr>
              <w:rPr>
                <w:rFonts w:ascii="Arial" w:hAnsi="Arial" w:cs="Arial"/>
                <w:snapToGrid w:val="0"/>
                <w:kern w:val="0"/>
                <w:sz w:val="24"/>
              </w:rPr>
            </w:pPr>
            <w:r>
              <w:rPr>
                <w:rFonts w:hint="eastAsia" w:ascii="Arial" w:hAnsi="Arial" w:cs="Arial"/>
                <w:snapToGrid w:val="0"/>
                <w:kern w:val="0"/>
                <w:sz w:val="24"/>
              </w:rPr>
              <w:t>1、请各供应商在投标截止时间前3日，按招标文件的要求向采购代理机构递交投标保证金，投标截止时间之后递交的投标保证金将被拒绝。供应商必须在投标截止时间前按照招标文件中关于投标保证金的各项要求提交投标保证金。</w:t>
            </w:r>
            <w:r>
              <w:rPr>
                <w:rFonts w:hint="eastAsia" w:ascii="Arial" w:hAnsi="Arial" w:cs="Arial"/>
                <w:b/>
                <w:bCs/>
                <w:snapToGrid w:val="0"/>
                <w:kern w:val="0"/>
                <w:sz w:val="24"/>
              </w:rPr>
              <w:t>请供应商在汇款时务必注明所参加项目的项目编号、标项号</w:t>
            </w:r>
            <w:r>
              <w:rPr>
                <w:rFonts w:hint="eastAsia" w:ascii="Arial" w:hAnsi="Arial" w:cs="Arial"/>
                <w:snapToGrid w:val="0"/>
                <w:kern w:val="0"/>
                <w:sz w:val="24"/>
              </w:rPr>
              <w:t>及款项用途，否则，因投标保证金未在投标截止时间之前到账或款项用途不明等原因导致投标无效等后果由供应商自行承担。</w:t>
            </w:r>
          </w:p>
          <w:p>
            <w:pPr>
              <w:rPr>
                <w:rFonts w:ascii="Arial" w:hAnsi="Arial" w:cs="Arial"/>
                <w:snapToGrid w:val="0"/>
                <w:kern w:val="0"/>
                <w:sz w:val="24"/>
              </w:rPr>
            </w:pPr>
            <w:r>
              <w:rPr>
                <w:rFonts w:hint="eastAsia" w:ascii="Arial" w:hAnsi="Arial" w:cs="Arial"/>
                <w:snapToGrid w:val="0"/>
                <w:kern w:val="0"/>
                <w:sz w:val="24"/>
              </w:rPr>
              <w:t>2、投标保证金交纳人必须与供应商名称保持一致；供应商需保证其保证金从其基本账户中转出，若供应商未按此要求办理而产生的一切后果由供应商自行承担。</w:t>
            </w:r>
          </w:p>
          <w:p>
            <w:pPr>
              <w:rPr>
                <w:rFonts w:ascii="Arial" w:hAnsi="Arial" w:cs="Arial"/>
                <w:snapToGrid w:val="0"/>
                <w:kern w:val="0"/>
                <w:sz w:val="24"/>
              </w:rPr>
            </w:pPr>
            <w:r>
              <w:rPr>
                <w:rFonts w:hint="eastAsia" w:ascii="Arial" w:hAnsi="Arial" w:cs="Arial"/>
                <w:snapToGrid w:val="0"/>
                <w:kern w:val="0"/>
                <w:sz w:val="24"/>
              </w:rPr>
              <w:t>3、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pPr>
              <w:rPr>
                <w:sz w:val="24"/>
              </w:rPr>
            </w:pPr>
            <w:r>
              <w:rPr>
                <w:rFonts w:hint="eastAsia" w:ascii="Arial" w:hAnsi="Arial" w:cs="Arial"/>
                <w:snapToGrid w:val="0"/>
                <w:kern w:val="0"/>
                <w:sz w:val="24"/>
              </w:rPr>
              <w:t>凡没有根据本须知的规定随附投标保证金/保函的响应，将被视为非响应性投标予以拒绝。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3.8.2</w:t>
            </w:r>
          </w:p>
        </w:tc>
        <w:tc>
          <w:tcPr>
            <w:tcW w:w="2349" w:type="dxa"/>
            <w:vAlign w:val="center"/>
          </w:tcPr>
          <w:p>
            <w:pPr>
              <w:autoSpaceDE w:val="0"/>
              <w:autoSpaceDN w:val="0"/>
              <w:adjustRightInd w:val="0"/>
              <w:snapToGrid w:val="0"/>
              <w:rPr>
                <w:kern w:val="0"/>
                <w:sz w:val="24"/>
              </w:rPr>
            </w:pPr>
            <w:r>
              <w:rPr>
                <w:b/>
                <w:bCs/>
                <w:kern w:val="0"/>
                <w:sz w:val="24"/>
              </w:rPr>
              <w:t>签字或加盖人名章要求</w:t>
            </w:r>
          </w:p>
        </w:tc>
        <w:tc>
          <w:tcPr>
            <w:tcW w:w="5352" w:type="dxa"/>
            <w:vAlign w:val="center"/>
          </w:tcPr>
          <w:p>
            <w:pPr>
              <w:autoSpaceDE w:val="0"/>
              <w:autoSpaceDN w:val="0"/>
              <w:adjustRightInd w:val="0"/>
              <w:snapToGrid w:val="0"/>
              <w:spacing w:after="120" w:afterLines="50"/>
              <w:rPr>
                <w:i/>
                <w:kern w:val="0"/>
                <w:sz w:val="24"/>
              </w:rPr>
            </w:pPr>
            <w:r>
              <w:rPr>
                <w:rFonts w:hint="eastAsia"/>
                <w:b/>
                <w:bCs/>
                <w:sz w:val="24"/>
              </w:rPr>
              <w:t>电子</w:t>
            </w:r>
            <w:r>
              <w:rPr>
                <w:b/>
                <w:bCs/>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3.8.3</w:t>
            </w:r>
          </w:p>
        </w:tc>
        <w:tc>
          <w:tcPr>
            <w:tcW w:w="2349" w:type="dxa"/>
            <w:vAlign w:val="center"/>
          </w:tcPr>
          <w:p>
            <w:pPr>
              <w:autoSpaceDE w:val="0"/>
              <w:autoSpaceDN w:val="0"/>
              <w:adjustRightInd w:val="0"/>
              <w:snapToGrid w:val="0"/>
              <w:rPr>
                <w:kern w:val="0"/>
                <w:sz w:val="24"/>
              </w:rPr>
            </w:pPr>
            <w:r>
              <w:rPr>
                <w:rFonts w:hint="eastAsia"/>
                <w:b/>
                <w:bCs/>
                <w:kern w:val="0"/>
                <w:sz w:val="24"/>
              </w:rPr>
              <w:t>电子</w:t>
            </w:r>
            <w:r>
              <w:rPr>
                <w:b/>
                <w:bCs/>
                <w:kern w:val="0"/>
                <w:sz w:val="24"/>
              </w:rPr>
              <w:t>投标文件</w:t>
            </w:r>
          </w:p>
        </w:tc>
        <w:tc>
          <w:tcPr>
            <w:tcW w:w="5352" w:type="dxa"/>
            <w:vAlign w:val="center"/>
          </w:tcPr>
          <w:p>
            <w:pPr>
              <w:pStyle w:val="421"/>
              <w:autoSpaceDE w:val="0"/>
              <w:autoSpaceDN w:val="0"/>
              <w:adjustRightInd w:val="0"/>
              <w:snapToGrid w:val="0"/>
              <w:spacing w:before="0" w:after="0"/>
              <w:ind w:firstLine="0" w:firstLineChars="0"/>
              <w:rPr>
                <w:rFonts w:ascii="Times New Roman" w:hAnsi="Times New Roman" w:eastAsia="宋体" w:cs="Times New Roman"/>
                <w:b/>
                <w:bCs/>
                <w:color w:val="auto"/>
                <w:sz w:val="24"/>
                <w:szCs w:val="24"/>
                <w:lang w:val="en-US"/>
              </w:rPr>
            </w:pPr>
            <w:r>
              <w:rPr>
                <w:rFonts w:hint="eastAsia" w:ascii="Times New Roman" w:hAnsi="Times New Roman" w:eastAsia="宋体" w:cs="Times New Roman"/>
                <w:b/>
                <w:bCs/>
                <w:color w:val="auto"/>
                <w:kern w:val="2"/>
                <w:sz w:val="24"/>
                <w:szCs w:val="24"/>
                <w:lang w:val="en-US"/>
              </w:rPr>
              <w:t>加密的电子投标文件在截至时间前使用CA锁登录政采云平台上传，加密的电子投标文件须为使用政采云投标客户端制作生成的加密版投标文件。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pPr>
              <w:autoSpaceDE w:val="0"/>
              <w:autoSpaceDN w:val="0"/>
              <w:adjustRightInd w:val="0"/>
              <w:snapToGrid w:val="0"/>
              <w:jc w:val="center"/>
              <w:rPr>
                <w:kern w:val="0"/>
                <w:sz w:val="24"/>
              </w:rPr>
            </w:pPr>
            <w:r>
              <w:rPr>
                <w:kern w:val="0"/>
                <w:sz w:val="24"/>
              </w:rPr>
              <w:t>4.1.2</w:t>
            </w:r>
          </w:p>
        </w:tc>
        <w:tc>
          <w:tcPr>
            <w:tcW w:w="2349" w:type="dxa"/>
            <w:vAlign w:val="center"/>
          </w:tcPr>
          <w:p>
            <w:pPr>
              <w:autoSpaceDE w:val="0"/>
              <w:autoSpaceDN w:val="0"/>
              <w:adjustRightInd w:val="0"/>
              <w:snapToGrid w:val="0"/>
              <w:rPr>
                <w:kern w:val="0"/>
                <w:sz w:val="24"/>
              </w:rPr>
            </w:pPr>
            <w:r>
              <w:rPr>
                <w:rFonts w:hint="eastAsia"/>
                <w:b/>
                <w:bCs/>
                <w:kern w:val="0"/>
                <w:sz w:val="24"/>
              </w:rPr>
              <w:t>电子投标文件的上传</w:t>
            </w:r>
          </w:p>
        </w:tc>
        <w:tc>
          <w:tcPr>
            <w:tcW w:w="5352" w:type="dxa"/>
            <w:vAlign w:val="center"/>
          </w:tcPr>
          <w:p>
            <w:pPr>
              <w:numPr>
                <w:ilvl w:val="0"/>
                <w:numId w:val="1"/>
              </w:numPr>
              <w:autoSpaceDE w:val="0"/>
              <w:autoSpaceDN w:val="0"/>
              <w:adjustRightInd w:val="0"/>
              <w:snapToGrid w:val="0"/>
              <w:rPr>
                <w:rFonts w:hint="eastAsia"/>
                <w:b/>
                <w:bCs/>
                <w:kern w:val="0"/>
                <w:sz w:val="24"/>
              </w:rPr>
            </w:pPr>
            <w:r>
              <w:rPr>
                <w:rFonts w:hint="eastAsia"/>
                <w:b/>
                <w:bCs/>
                <w:kern w:val="0"/>
                <w:sz w:val="24"/>
              </w:rPr>
              <w:t>投标人应在招标文件要求提交投标文件的截止时间前，投标人应将加密的电子投标文件上传到政采云平台https://www.zcygov.cn对应位置（逾期未上传的或未按规定加密的投标文件将被拒绝接收）。</w:t>
            </w:r>
          </w:p>
          <w:p>
            <w:pPr>
              <w:numPr>
                <w:ilvl w:val="0"/>
                <w:numId w:val="0"/>
              </w:numPr>
              <w:autoSpaceDE w:val="0"/>
              <w:autoSpaceDN w:val="0"/>
              <w:adjustRightInd w:val="0"/>
              <w:snapToGrid w:val="0"/>
              <w:rPr>
                <w:kern w:val="0"/>
                <w:sz w:val="24"/>
              </w:rPr>
            </w:pPr>
            <w:r>
              <w:rPr>
                <w:rFonts w:hint="eastAsia" w:ascii="Times New Roman" w:hAnsi="Times New Roman" w:eastAsia="宋体" w:cs="Times New Roman"/>
                <w:b/>
                <w:bCs/>
                <w:color w:val="auto"/>
                <w:kern w:val="2"/>
                <w:sz w:val="32"/>
                <w:szCs w:val="32"/>
                <w:highlight w:val="none"/>
                <w:lang w:val="en-US" w:eastAsia="zh-CN" w:bidi="ar-SA"/>
              </w:rPr>
              <w:t>2、</w:t>
            </w:r>
            <w:r>
              <w:rPr>
                <w:rFonts w:hint="eastAsia" w:cs="Times New Roman"/>
                <w:b/>
                <w:bCs/>
                <w:color w:val="auto"/>
                <w:kern w:val="2"/>
                <w:sz w:val="32"/>
                <w:szCs w:val="32"/>
                <w:highlight w:val="none"/>
                <w:lang w:val="en-US" w:eastAsia="zh-CN" w:bidi="ar-SA"/>
              </w:rPr>
              <w:t>【投标文件中报价表格数据的格式要求】：为保证采购人自动抓取数据的工作效率，需要求投标文件中关于报价明细表或分项报价的表格，须为word或者Excel格式的原始表格(比如在word中创建表格，再通过政采云平台转为PDF格式的电子投标文件)，而不能是拍照或者扫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6.1</w:t>
            </w:r>
          </w:p>
        </w:tc>
        <w:tc>
          <w:tcPr>
            <w:tcW w:w="2349" w:type="dxa"/>
            <w:vAlign w:val="center"/>
          </w:tcPr>
          <w:p>
            <w:pPr>
              <w:autoSpaceDE w:val="0"/>
              <w:autoSpaceDN w:val="0"/>
              <w:adjustRightInd w:val="0"/>
              <w:snapToGrid w:val="0"/>
              <w:rPr>
                <w:kern w:val="0"/>
                <w:sz w:val="24"/>
              </w:rPr>
            </w:pPr>
            <w:r>
              <w:rPr>
                <w:kern w:val="0"/>
                <w:sz w:val="24"/>
              </w:rPr>
              <w:t>资格审查主体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采购人委托的采购代理机构</w:t>
            </w:r>
          </w:p>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349" w:type="dxa"/>
            <w:vAlign w:val="center"/>
          </w:tcPr>
          <w:p>
            <w:pPr>
              <w:rPr>
                <w:kern w:val="0"/>
                <w:sz w:val="24"/>
                <w:highlight w:val="yellow"/>
              </w:rPr>
            </w:pPr>
            <w:r>
              <w:rPr>
                <w:kern w:val="0"/>
                <w:sz w:val="24"/>
              </w:rPr>
              <w:t>评标委员会成员组成</w:t>
            </w:r>
          </w:p>
        </w:tc>
        <w:tc>
          <w:tcPr>
            <w:tcW w:w="5352" w:type="dxa"/>
            <w:vAlign w:val="center"/>
          </w:tcPr>
          <w:p>
            <w:pPr>
              <w:autoSpaceDE w:val="0"/>
              <w:autoSpaceDN w:val="0"/>
              <w:adjustRightInd w:val="0"/>
              <w:snapToGrid w:val="0"/>
              <w:spacing w:after="120" w:afterLines="50"/>
              <w:rPr>
                <w:kern w:val="0"/>
                <w:sz w:val="24"/>
                <w:highlight w:val="yellow"/>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7.3</w:t>
            </w:r>
          </w:p>
        </w:tc>
        <w:tc>
          <w:tcPr>
            <w:tcW w:w="2349" w:type="dxa"/>
            <w:vAlign w:val="center"/>
          </w:tcPr>
          <w:p>
            <w:pPr>
              <w:rPr>
                <w:kern w:val="0"/>
                <w:sz w:val="24"/>
                <w:highlight w:val="yellow"/>
              </w:rPr>
            </w:pPr>
            <w:r>
              <w:rPr>
                <w:kern w:val="0"/>
                <w:sz w:val="24"/>
              </w:rPr>
              <w:t>评审得分相同时随机抽取中标候选人的主体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highlight w:val="yellow"/>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349" w:type="dxa"/>
            <w:vAlign w:val="center"/>
          </w:tcPr>
          <w:p>
            <w:pPr>
              <w:rPr>
                <w:kern w:val="0"/>
                <w:sz w:val="24"/>
              </w:rPr>
            </w:pPr>
            <w:r>
              <w:rPr>
                <w:rFonts w:hint="eastAsia"/>
                <w:kern w:val="0"/>
                <w:sz w:val="24"/>
              </w:rPr>
              <w:t>评标办法</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68" w:name="_Toc28567"/>
            <w:bookmarkStart w:id="69" w:name="_Toc27209"/>
            <w:bookmarkStart w:id="70" w:name="_Toc22645"/>
            <w:bookmarkStart w:id="71" w:name="_Toc2244"/>
            <w:r>
              <w:rPr>
                <w:sz w:val="24"/>
              </w:rPr>
              <w:t>推荐的中标候选人数量</w:t>
            </w:r>
            <w:bookmarkEnd w:id="68"/>
            <w:bookmarkEnd w:id="69"/>
            <w:bookmarkEnd w:id="70"/>
            <w:bookmarkEnd w:id="71"/>
          </w:p>
        </w:tc>
        <w:tc>
          <w:tcPr>
            <w:tcW w:w="5352" w:type="dxa"/>
            <w:vAlign w:val="center"/>
          </w:tcPr>
          <w:p>
            <w:pPr>
              <w:autoSpaceDE w:val="0"/>
              <w:autoSpaceDN w:val="0"/>
              <w:adjustRightInd w:val="0"/>
              <w:snapToGrid w:val="0"/>
              <w:spacing w:after="120" w:afterLines="50"/>
              <w:rPr>
                <w:kern w:val="0"/>
                <w:sz w:val="24"/>
              </w:rPr>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72" w:name="_Toc3746"/>
            <w:bookmarkStart w:id="73" w:name="_Toc31909"/>
            <w:r>
              <w:rPr>
                <w:sz w:val="24"/>
              </w:rPr>
              <w:t>确定中标人的方式</w:t>
            </w:r>
            <w:bookmarkEnd w:id="72"/>
            <w:bookmarkEnd w:id="73"/>
          </w:p>
        </w:tc>
        <w:tc>
          <w:tcPr>
            <w:tcW w:w="5352" w:type="dxa"/>
            <w:vAlign w:val="center"/>
          </w:tcPr>
          <w:p>
            <w:pPr>
              <w:widowControl/>
              <w:autoSpaceDE w:val="0"/>
              <w:autoSpaceDN w:val="0"/>
              <w:adjustRightInd w:val="0"/>
              <w:snapToGrid w:val="0"/>
              <w:spacing w:after="120" w:afterLines="50"/>
              <w:rPr>
                <w:kern w:val="0"/>
                <w:sz w:val="24"/>
              </w:rPr>
            </w:pPr>
            <w:r>
              <w:rPr>
                <w:rFonts w:hint="eastAsia"/>
                <w:kern w:val="0"/>
                <w:sz w:val="24"/>
              </w:rPr>
              <w:t>☑</w:t>
            </w:r>
            <w:r>
              <w:rPr>
                <w:kern w:val="0"/>
                <w:sz w:val="24"/>
              </w:rPr>
              <w:t>采购人委托评标委员会直接确认中标人</w:t>
            </w:r>
          </w:p>
          <w:p>
            <w:pPr>
              <w:autoSpaceDE w:val="0"/>
              <w:autoSpaceDN w:val="0"/>
              <w:adjustRightInd w:val="0"/>
              <w:snapToGrid w:val="0"/>
              <w:spacing w:after="120" w:afterLines="50"/>
              <w:rPr>
                <w:kern w:val="0"/>
                <w:sz w:val="24"/>
                <w:u w:val="single"/>
              </w:rPr>
            </w:pPr>
            <w:r>
              <w:rPr>
                <w:rFonts w:hint="eastAsia"/>
                <w:kern w:val="0"/>
                <w:sz w:val="24"/>
              </w:rPr>
              <w:t>□</w:t>
            </w:r>
            <w:r>
              <w:rPr>
                <w:kern w:val="0"/>
                <w:sz w:val="24"/>
              </w:rPr>
              <w:t>采购人确认中标人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8.4.1</w:t>
            </w:r>
          </w:p>
        </w:tc>
        <w:tc>
          <w:tcPr>
            <w:tcW w:w="2349" w:type="dxa"/>
            <w:vAlign w:val="center"/>
          </w:tcPr>
          <w:p>
            <w:pPr>
              <w:rPr>
                <w:sz w:val="24"/>
              </w:rPr>
            </w:pPr>
            <w:bookmarkStart w:id="74" w:name="_Toc15907"/>
            <w:bookmarkStart w:id="75" w:name="_Toc27528"/>
            <w:bookmarkStart w:id="76" w:name="_Toc16975"/>
            <w:bookmarkStart w:id="77" w:name="_Toc8885"/>
            <w:r>
              <w:rPr>
                <w:sz w:val="24"/>
              </w:rPr>
              <w:t>履约保证金</w:t>
            </w:r>
            <w:bookmarkEnd w:id="74"/>
            <w:bookmarkEnd w:id="75"/>
            <w:bookmarkEnd w:id="76"/>
            <w:bookmarkEnd w:id="77"/>
          </w:p>
        </w:tc>
        <w:tc>
          <w:tcPr>
            <w:tcW w:w="5352" w:type="dxa"/>
            <w:vAlign w:val="center"/>
          </w:tcPr>
          <w:p>
            <w:pPr>
              <w:autoSpaceDE w:val="0"/>
              <w:autoSpaceDN w:val="0"/>
              <w:adjustRightInd w:val="0"/>
              <w:snapToGrid w:val="0"/>
              <w:spacing w:after="120" w:afterLines="50"/>
              <w:rPr>
                <w:kern w:val="0"/>
                <w:sz w:val="24"/>
              </w:rPr>
            </w:pPr>
            <w:r>
              <w:rPr>
                <w:kern w:val="0"/>
                <w:sz w:val="24"/>
              </w:rPr>
              <w:t>不收取</w:t>
            </w:r>
            <w:r>
              <w:rPr>
                <w:rFonts w:hint="eastAsia"/>
                <w:kern w:val="0"/>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10</w:t>
            </w:r>
          </w:p>
        </w:tc>
        <w:tc>
          <w:tcPr>
            <w:tcW w:w="2349" w:type="dxa"/>
            <w:vAlign w:val="center"/>
          </w:tcPr>
          <w:p>
            <w:pPr>
              <w:rPr>
                <w:sz w:val="24"/>
              </w:rPr>
            </w:pPr>
            <w:r>
              <w:rPr>
                <w:rFonts w:hint="eastAsia" w:ascii="Times New Roman" w:hAnsi="Times New Roman" w:cs="宋体"/>
                <w:sz w:val="24"/>
              </w:rPr>
              <w:t>是否采用电子招标投标</w:t>
            </w:r>
          </w:p>
        </w:tc>
        <w:tc>
          <w:tcPr>
            <w:tcW w:w="5352" w:type="dxa"/>
            <w:vAlign w:val="center"/>
          </w:tcPr>
          <w:p>
            <w:pPr>
              <w:autoSpaceDE w:val="0"/>
              <w:autoSpaceDN w:val="0"/>
              <w:adjustRightInd w:val="0"/>
              <w:snapToGrid w:val="0"/>
              <w:spacing w:after="120" w:afterLines="50"/>
              <w:jc w:val="left"/>
              <w:rPr>
                <w:rFonts w:ascii="Times New Roman" w:hAnsi="Times New Roman" w:cs="宋体"/>
                <w:sz w:val="24"/>
              </w:rPr>
            </w:pPr>
            <w:r>
              <w:rPr>
                <w:rFonts w:hint="eastAsia" w:ascii="Times New Roman" w:hAnsi="Times New Roman" w:cs="宋体"/>
                <w:sz w:val="24"/>
              </w:rPr>
              <w:t>□否</w:t>
            </w:r>
          </w:p>
          <w:p>
            <w:pPr>
              <w:autoSpaceDE w:val="0"/>
              <w:autoSpaceDN w:val="0"/>
              <w:adjustRightInd w:val="0"/>
              <w:snapToGrid w:val="0"/>
              <w:spacing w:after="120" w:afterLines="50"/>
              <w:jc w:val="left"/>
              <w:rPr>
                <w:kern w:val="0"/>
                <w:sz w:val="24"/>
              </w:rPr>
            </w:pPr>
            <w:r>
              <w:rPr>
                <w:rFonts w:hint="eastAsia"/>
                <w:kern w:val="0"/>
                <w:sz w:val="24"/>
              </w:rPr>
              <w:t>☑</w:t>
            </w:r>
            <w:r>
              <w:rPr>
                <w:rFonts w:hint="eastAsia" w:ascii="Times New Roman" w:hAnsi="Times New Roman" w:cs="宋体"/>
                <w:sz w:val="24"/>
              </w:rPr>
              <w:t>是，具体要求：见政府采购项目电子交易管理操</w:t>
            </w:r>
            <w:r>
              <w:rPr>
                <w:sz w:val="24"/>
              </w:rPr>
              <w:t>作指南-供应商（https://service.zcygov.cn/#/knowledges/CW1EtGwBFdiHxlNd6I3m/6IMVAG0BFdiHxlNdQ8Na）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b/>
                <w:bCs/>
                <w:kern w:val="0"/>
                <w:sz w:val="24"/>
              </w:rPr>
              <w:t>11</w:t>
            </w:r>
          </w:p>
        </w:tc>
        <w:tc>
          <w:tcPr>
            <w:tcW w:w="7701" w:type="dxa"/>
            <w:gridSpan w:val="2"/>
            <w:vAlign w:val="center"/>
          </w:tcPr>
          <w:p>
            <w:pPr>
              <w:autoSpaceDE w:val="0"/>
              <w:autoSpaceDN w:val="0"/>
              <w:adjustRightInd w:val="0"/>
              <w:snapToGrid w:val="0"/>
              <w:rPr>
                <w:kern w:val="0"/>
                <w:sz w:val="24"/>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w:t>
            </w:r>
          </w:p>
        </w:tc>
        <w:tc>
          <w:tcPr>
            <w:tcW w:w="2349" w:type="dxa"/>
            <w:vAlign w:val="center"/>
          </w:tcPr>
          <w:p>
            <w:pPr>
              <w:autoSpaceDE w:val="0"/>
              <w:autoSpaceDN w:val="0"/>
              <w:adjustRightInd w:val="0"/>
              <w:snapToGrid w:val="0"/>
              <w:rPr>
                <w:kern w:val="0"/>
                <w:sz w:val="24"/>
              </w:rPr>
            </w:pPr>
            <w:r>
              <w:rPr>
                <w:kern w:val="0"/>
                <w:sz w:val="24"/>
              </w:rPr>
              <w:t>近年财务状况的年份要求</w:t>
            </w:r>
          </w:p>
        </w:tc>
        <w:tc>
          <w:tcPr>
            <w:tcW w:w="5352" w:type="dxa"/>
            <w:vAlign w:val="center"/>
          </w:tcPr>
          <w:p>
            <w:pPr>
              <w:autoSpaceDE w:val="0"/>
              <w:autoSpaceDN w:val="0"/>
              <w:adjustRightInd w:val="0"/>
              <w:snapToGrid w:val="0"/>
              <w:jc w:val="left"/>
              <w:rPr>
                <w:kern w:val="0"/>
                <w:sz w:val="24"/>
              </w:rPr>
            </w:pPr>
            <w:r>
              <w:rPr>
                <w:rFonts w:hint="eastAsia"/>
                <w:kern w:val="0"/>
                <w:sz w:val="24"/>
              </w:rPr>
              <w:t>投标人是</w:t>
            </w:r>
            <w:r>
              <w:rPr>
                <w:rFonts w:hint="eastAsia" w:ascii="Times New Roman" w:hAnsi="Times New Roman" w:eastAsia="宋体" w:cs="Times New Roman"/>
                <w:kern w:val="0"/>
                <w:sz w:val="24"/>
              </w:rPr>
              <w:t>法人的，应提供上年度（</w:t>
            </w:r>
            <w:r>
              <w:rPr>
                <w:rFonts w:hint="eastAsia" w:ascii="Times New Roman" w:hAnsi="Times New Roman" w:eastAsia="宋体" w:cs="Times New Roman"/>
                <w:kern w:val="0"/>
                <w:sz w:val="24"/>
                <w:lang w:eastAsia="zh-CN"/>
              </w:rPr>
              <w:t>2022年度</w:t>
            </w:r>
            <w:r>
              <w:rPr>
                <w:rFonts w:hint="eastAsia" w:ascii="Times New Roman" w:hAnsi="Times New Roman" w:eastAsia="宋体" w:cs="Times New Roman"/>
                <w:kern w:val="0"/>
                <w:sz w:val="24"/>
              </w:rPr>
              <w:t>）财务审计报告或半年内任意一个月财务报表（财务报表应至少包括资产负债表、利润表、现金流量表或财务状况变动表，当月新成立的，不需提供）。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.2</w:t>
            </w:r>
          </w:p>
        </w:tc>
        <w:tc>
          <w:tcPr>
            <w:tcW w:w="2349" w:type="dxa"/>
            <w:vAlign w:val="center"/>
          </w:tcPr>
          <w:p>
            <w:pPr>
              <w:autoSpaceDE w:val="0"/>
              <w:autoSpaceDN w:val="0"/>
              <w:adjustRightInd w:val="0"/>
              <w:snapToGrid w:val="0"/>
              <w:rPr>
                <w:kern w:val="0"/>
                <w:sz w:val="24"/>
              </w:rPr>
            </w:pPr>
            <w:r>
              <w:rPr>
                <w:kern w:val="0"/>
                <w:sz w:val="24"/>
              </w:rPr>
              <w:t>近年完成的类似项目的年份要求</w:t>
            </w:r>
          </w:p>
        </w:tc>
        <w:tc>
          <w:tcPr>
            <w:tcW w:w="5352" w:type="dxa"/>
            <w:vAlign w:val="center"/>
          </w:tcPr>
          <w:p>
            <w:pPr>
              <w:autoSpaceDE w:val="0"/>
              <w:autoSpaceDN w:val="0"/>
              <w:adjustRightInd w:val="0"/>
              <w:snapToGrid w:val="0"/>
              <w:spacing w:after="120" w:afterLines="50"/>
              <w:rPr>
                <w:kern w:val="0"/>
                <w:sz w:val="24"/>
              </w:rPr>
            </w:pPr>
            <w:r>
              <w:rPr>
                <w:kern w:val="0"/>
                <w:sz w:val="24"/>
              </w:rPr>
              <w:t>20</w:t>
            </w:r>
            <w:r>
              <w:rPr>
                <w:rFonts w:hint="eastAsia"/>
                <w:kern w:val="0"/>
                <w:sz w:val="24"/>
              </w:rPr>
              <w:t>20</w:t>
            </w:r>
            <w:r>
              <w:rPr>
                <w:kern w:val="0"/>
                <w:sz w:val="24"/>
              </w:rPr>
              <w:t>年</w:t>
            </w:r>
            <w:r>
              <w:rPr>
                <w:rFonts w:hint="eastAsia"/>
                <w:kern w:val="0"/>
                <w:sz w:val="24"/>
              </w:rPr>
              <w:t>1月1日</w:t>
            </w:r>
            <w:r>
              <w:rPr>
                <w:kern w:val="0"/>
                <w:sz w:val="24"/>
              </w:rPr>
              <w:t>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.3</w:t>
            </w:r>
          </w:p>
        </w:tc>
        <w:tc>
          <w:tcPr>
            <w:tcW w:w="2349" w:type="dxa"/>
            <w:vAlign w:val="center"/>
          </w:tcPr>
          <w:p>
            <w:pPr>
              <w:autoSpaceDE w:val="0"/>
              <w:autoSpaceDN w:val="0"/>
              <w:adjustRightInd w:val="0"/>
              <w:snapToGrid w:val="0"/>
              <w:rPr>
                <w:kern w:val="0"/>
                <w:sz w:val="24"/>
              </w:rPr>
            </w:pPr>
            <w:r>
              <w:rPr>
                <w:kern w:val="0"/>
                <w:sz w:val="24"/>
              </w:rPr>
              <w:t>社保记录年份要求</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提供社保缴纳证明（近半年内任意一月社保缴纳证明，当月新成立的，不需提供）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.4</w:t>
            </w:r>
          </w:p>
        </w:tc>
        <w:tc>
          <w:tcPr>
            <w:tcW w:w="2349" w:type="dxa"/>
            <w:vAlign w:val="center"/>
          </w:tcPr>
          <w:p>
            <w:pPr>
              <w:autoSpaceDE w:val="0"/>
              <w:autoSpaceDN w:val="0"/>
              <w:adjustRightInd w:val="0"/>
              <w:snapToGrid w:val="0"/>
              <w:rPr>
                <w:i/>
                <w:kern w:val="0"/>
                <w:sz w:val="24"/>
              </w:rPr>
            </w:pPr>
            <w:r>
              <w:rPr>
                <w:kern w:val="0"/>
                <w:sz w:val="24"/>
              </w:rPr>
              <w:t>招标代理服务费</w:t>
            </w:r>
          </w:p>
        </w:tc>
        <w:tc>
          <w:tcPr>
            <w:tcW w:w="5352" w:type="dxa"/>
            <w:vAlign w:val="center"/>
          </w:tcPr>
          <w:p>
            <w:pPr>
              <w:autoSpaceDE w:val="0"/>
              <w:autoSpaceDN w:val="0"/>
              <w:adjustRightInd w:val="0"/>
              <w:snapToGrid w:val="0"/>
              <w:spacing w:after="120" w:afterLines="50"/>
              <w:rPr>
                <w:rFonts w:hint="eastAsia" w:ascii="Times New Roman" w:hAnsi="Times New Roman" w:eastAsia="宋体" w:cs="Times New Roman"/>
                <w:b w:val="0"/>
                <w:bCs w:val="0"/>
                <w:kern w:val="0"/>
                <w:sz w:val="24"/>
                <w:lang w:val="en-US" w:eastAsia="zh-CN"/>
              </w:rPr>
            </w:pPr>
            <w:r>
              <w:rPr>
                <w:rFonts w:hint="eastAsia"/>
                <w:lang w:val="en-US" w:eastAsia="zh-CN"/>
              </w:rPr>
              <w:t>1、</w:t>
            </w:r>
            <w:r>
              <w:rPr>
                <w:rFonts w:hint="eastAsia" w:ascii="Times New Roman" w:hAnsi="Times New Roman" w:eastAsia="宋体" w:cs="Times New Roman"/>
                <w:kern w:val="0"/>
                <w:sz w:val="24"/>
                <w:lang w:val="en-US" w:eastAsia="zh-CN"/>
              </w:rPr>
              <w:t>招标代理服务费以两年预算金额为基数按“计价格[2002]1980号”、“发改价格[2011]534号”文</w:t>
            </w:r>
            <w:r>
              <w:rPr>
                <w:rFonts w:hint="eastAsia" w:ascii="Times New Roman" w:hAnsi="Times New Roman" w:eastAsia="宋体" w:cs="Times New Roman"/>
                <w:b w:val="0"/>
                <w:bCs w:val="0"/>
                <w:kern w:val="0"/>
                <w:sz w:val="24"/>
                <w:lang w:val="en-US" w:eastAsia="zh-CN"/>
              </w:rPr>
              <w:t>件规定的货物类标准下浮50%计算，即：</w:t>
            </w:r>
          </w:p>
          <w:p>
            <w:pPr>
              <w:tabs>
                <w:tab w:val="left" w:pos="2520"/>
              </w:tabs>
              <w:autoSpaceDE w:val="0"/>
              <w:autoSpaceDN w:val="0"/>
              <w:adjustRightInd w:val="0"/>
              <w:snapToGrid w:val="0"/>
              <w:jc w:val="left"/>
              <w:rPr>
                <w:b w:val="0"/>
                <w:bCs w:val="0"/>
                <w:kern w:val="0"/>
                <w:sz w:val="24"/>
              </w:rPr>
            </w:pPr>
            <w:r>
              <w:rPr>
                <w:rFonts w:hint="eastAsia"/>
                <w:b w:val="0"/>
                <w:bCs w:val="0"/>
                <w:kern w:val="0"/>
                <w:sz w:val="24"/>
              </w:rPr>
              <w:t>标项1：</w:t>
            </w:r>
            <w:r>
              <w:rPr>
                <w:b w:val="0"/>
                <w:bCs w:val="0"/>
                <w:kern w:val="0"/>
                <w:sz w:val="24"/>
              </w:rPr>
              <w:t>¥</w:t>
            </w:r>
            <w:r>
              <w:rPr>
                <w:rFonts w:hint="eastAsia"/>
                <w:b w:val="0"/>
                <w:bCs w:val="0"/>
                <w:kern w:val="0"/>
                <w:sz w:val="24"/>
                <w:lang w:val="en-US" w:eastAsia="zh-CN"/>
              </w:rPr>
              <w:t>15,200.00</w:t>
            </w:r>
            <w:r>
              <w:rPr>
                <w:b w:val="0"/>
                <w:bCs w:val="0"/>
                <w:kern w:val="0"/>
                <w:sz w:val="24"/>
              </w:rPr>
              <w:t>元；</w:t>
            </w:r>
          </w:p>
          <w:p>
            <w:pPr>
              <w:autoSpaceDE w:val="0"/>
              <w:autoSpaceDN w:val="0"/>
              <w:adjustRightInd w:val="0"/>
              <w:snapToGrid w:val="0"/>
              <w:jc w:val="left"/>
              <w:rPr>
                <w:rFonts w:hint="eastAsia" w:ascii="Times New Roman" w:hAnsi="Times New Roman" w:eastAsia="宋体" w:cs="Times New Roman"/>
                <w:b w:val="0"/>
                <w:bCs w:val="0"/>
                <w:kern w:val="0"/>
                <w:sz w:val="24"/>
                <w:lang w:val="en-US" w:eastAsia="zh-CN"/>
              </w:rPr>
            </w:pPr>
            <w:r>
              <w:rPr>
                <w:rFonts w:hint="eastAsia"/>
                <w:b w:val="0"/>
                <w:bCs w:val="0"/>
                <w:kern w:val="0"/>
                <w:sz w:val="24"/>
              </w:rPr>
              <w:t>标项</w:t>
            </w:r>
            <w:r>
              <w:rPr>
                <w:rFonts w:hint="eastAsia" w:ascii="Times New Roman" w:hAnsi="Times New Roman" w:eastAsia="宋体" w:cs="Times New Roman"/>
                <w:b w:val="0"/>
                <w:bCs w:val="0"/>
                <w:kern w:val="0"/>
                <w:sz w:val="24"/>
                <w:lang w:val="en-US" w:eastAsia="zh-CN"/>
              </w:rPr>
              <w:t>2：¥26,200.00元</w:t>
            </w:r>
            <w:r>
              <w:rPr>
                <w:b w:val="0"/>
                <w:bCs w:val="0"/>
                <w:kern w:val="0"/>
                <w:sz w:val="24"/>
              </w:rPr>
              <w:t>；</w:t>
            </w:r>
          </w:p>
          <w:p>
            <w:pPr>
              <w:autoSpaceDE w:val="0"/>
              <w:autoSpaceDN w:val="0"/>
              <w:adjustRightInd w:val="0"/>
              <w:snapToGrid w:val="0"/>
              <w:jc w:val="left"/>
              <w:rPr>
                <w:rFonts w:hint="default" w:eastAsia="宋体"/>
                <w:b w:val="0"/>
                <w:bCs w:val="0"/>
                <w:lang w:val="en-US" w:eastAsia="zh-CN"/>
              </w:rPr>
            </w:pPr>
            <w:r>
              <w:rPr>
                <w:rFonts w:hint="eastAsia" w:ascii="Times New Roman" w:hAnsi="Times New Roman" w:eastAsia="宋体" w:cs="Times New Roman"/>
                <w:b w:val="0"/>
                <w:bCs w:val="0"/>
                <w:kern w:val="0"/>
                <w:sz w:val="24"/>
                <w:lang w:val="en-US" w:eastAsia="zh-CN"/>
              </w:rPr>
              <w:t>标项3：¥15,750.</w:t>
            </w:r>
            <w:r>
              <w:rPr>
                <w:rFonts w:hint="eastAsia"/>
                <w:b w:val="0"/>
                <w:bCs w:val="0"/>
                <w:kern w:val="0"/>
                <w:sz w:val="24"/>
                <w:lang w:val="en-US" w:eastAsia="zh-CN"/>
              </w:rPr>
              <w:t>00</w:t>
            </w:r>
            <w:r>
              <w:rPr>
                <w:b w:val="0"/>
                <w:bCs w:val="0"/>
                <w:kern w:val="0"/>
                <w:sz w:val="24"/>
              </w:rPr>
              <w:t>元</w:t>
            </w:r>
            <w:r>
              <w:rPr>
                <w:rFonts w:hint="eastAsia"/>
                <w:b w:val="0"/>
                <w:bCs w:val="0"/>
                <w:kern w:val="0"/>
                <w:sz w:val="24"/>
              </w:rPr>
              <w:t>；</w:t>
            </w:r>
          </w:p>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2.代理服务费的交纳方式：在成交通知书发出后</w:t>
            </w:r>
            <w:bookmarkStart w:id="78" w:name="_Hlk87446859"/>
            <w:r>
              <w:rPr>
                <w:rFonts w:hint="eastAsia" w:ascii="Times New Roman" w:hAnsi="Times New Roman" w:eastAsia="宋体" w:cs="Times New Roman"/>
                <w:kern w:val="0"/>
                <w:sz w:val="24"/>
                <w:lang w:val="en-US" w:eastAsia="zh-CN"/>
              </w:rPr>
              <w:t>五个工作日</w:t>
            </w:r>
            <w:bookmarkEnd w:id="78"/>
            <w:r>
              <w:rPr>
                <w:rFonts w:hint="eastAsia" w:ascii="Times New Roman" w:hAnsi="Times New Roman" w:eastAsia="宋体" w:cs="Times New Roman"/>
                <w:kern w:val="0"/>
                <w:sz w:val="24"/>
                <w:lang w:val="en-US" w:eastAsia="zh-CN"/>
              </w:rPr>
              <w:t>内，向采购代理机构交纳代理服务费。可用支票、汇票、电汇、现金等付款方式一次向采购代理机构缴清代理服务费。</w:t>
            </w:r>
          </w:p>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3.缴纳代理服务费账号：</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账户名称：国信招标集团股份有限公司新疆分公司</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 户 行：招商银行股份有限公司乌鲁木齐人民路支行</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开户行号：308881029059</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虚拟银行账号：</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sz w:val="24"/>
              </w:rPr>
              <w:t>标项</w:t>
            </w:r>
            <w:r>
              <w:rPr>
                <w:rFonts w:hint="eastAsia" w:ascii="Times New Roman" w:hAnsi="Times New Roman" w:eastAsia="宋体" w:cs="Times New Roman"/>
                <w:color w:val="auto"/>
                <w:kern w:val="0"/>
                <w:sz w:val="24"/>
                <w:lang w:val="en-US" w:eastAsia="zh-CN"/>
              </w:rPr>
              <w:t>一：9919048608102012300013623</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标项二：9919048608102012300013624</w:t>
            </w:r>
          </w:p>
          <w:p>
            <w:pPr>
              <w:autoSpaceDE w:val="0"/>
              <w:autoSpaceDN w:val="0"/>
              <w:adjustRightInd w:val="0"/>
              <w:snapToGrid w:val="0"/>
              <w:spacing w:after="120" w:afterLines="50"/>
              <w:rPr>
                <w:rFonts w:hint="default"/>
                <w:lang w:val="en-US"/>
              </w:rPr>
            </w:pPr>
            <w:r>
              <w:rPr>
                <w:rFonts w:hint="eastAsia" w:ascii="Times New Roman" w:hAnsi="Times New Roman" w:eastAsia="宋体" w:cs="Times New Roman"/>
                <w:color w:val="auto"/>
                <w:kern w:val="0"/>
                <w:sz w:val="24"/>
                <w:lang w:val="en-US" w:eastAsia="zh-CN"/>
              </w:rPr>
              <w:t>标项三：9919048608102012300013625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.5</w:t>
            </w:r>
          </w:p>
        </w:tc>
        <w:tc>
          <w:tcPr>
            <w:tcW w:w="2349" w:type="dxa"/>
            <w:vAlign w:val="center"/>
          </w:tcPr>
          <w:p>
            <w:pPr>
              <w:autoSpaceDE w:val="0"/>
              <w:autoSpaceDN w:val="0"/>
              <w:adjustRightInd w:val="0"/>
              <w:snapToGrid w:val="0"/>
              <w:rPr>
                <w:kern w:val="0"/>
                <w:sz w:val="24"/>
              </w:rPr>
            </w:pPr>
            <w:r>
              <w:rPr>
                <w:kern w:val="0"/>
                <w:sz w:val="24"/>
              </w:rPr>
              <w:t>最高限价</w:t>
            </w:r>
          </w:p>
        </w:tc>
        <w:tc>
          <w:tcPr>
            <w:tcW w:w="5352" w:type="dxa"/>
            <w:vAlign w:val="center"/>
          </w:tcPr>
          <w:p>
            <w:pPr>
              <w:pStyle w:val="37"/>
              <w:spacing w:beforeAutospacing="0" w:afterAutospacing="0"/>
              <w:jc w:val="both"/>
              <w:rPr>
                <w:b/>
                <w:bCs/>
              </w:rPr>
            </w:pPr>
            <w:r>
              <w:rPr>
                <w:rFonts w:hint="eastAsia"/>
                <w:b/>
                <w:bCs/>
              </w:rPr>
              <w:t>本项目各标项最高限价及标项内每项货物的最高限制单价详见第五章采购需求。</w:t>
            </w:r>
          </w:p>
          <w:p>
            <w:pPr>
              <w:pStyle w:val="37"/>
              <w:spacing w:beforeAutospacing="0" w:afterAutospacing="0"/>
              <w:jc w:val="both"/>
              <w:rPr>
                <w:b/>
                <w:bCs/>
              </w:rPr>
            </w:pPr>
            <w:r>
              <w:rPr>
                <w:b/>
                <w:bCs/>
              </w:rPr>
              <w:t>超出最高限价</w:t>
            </w:r>
            <w:r>
              <w:rPr>
                <w:rFonts w:hint="eastAsia"/>
                <w:b/>
                <w:bCs/>
              </w:rPr>
              <w:t>及单价</w:t>
            </w:r>
            <w:r>
              <w:rPr>
                <w:b/>
                <w:bCs/>
              </w:rPr>
              <w:t>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6</w:t>
            </w:r>
          </w:p>
        </w:tc>
        <w:tc>
          <w:tcPr>
            <w:tcW w:w="2349" w:type="dxa"/>
            <w:vAlign w:val="center"/>
          </w:tcPr>
          <w:p>
            <w:pPr>
              <w:autoSpaceDE w:val="0"/>
              <w:autoSpaceDN w:val="0"/>
              <w:adjustRightInd w:val="0"/>
              <w:snapToGrid w:val="0"/>
              <w:rPr>
                <w:kern w:val="0"/>
                <w:sz w:val="24"/>
              </w:rPr>
            </w:pPr>
            <w:r>
              <w:rPr>
                <w:kern w:val="0"/>
                <w:sz w:val="24"/>
              </w:rPr>
              <w:t>公告发布媒介</w:t>
            </w:r>
          </w:p>
        </w:tc>
        <w:tc>
          <w:tcPr>
            <w:tcW w:w="5352" w:type="dxa"/>
            <w:vAlign w:val="center"/>
          </w:tcPr>
          <w:p>
            <w:pPr>
              <w:autoSpaceDE w:val="0"/>
              <w:autoSpaceDN w:val="0"/>
              <w:adjustRightInd w:val="0"/>
              <w:snapToGrid w:val="0"/>
              <w:rPr>
                <w:kern w:val="0"/>
                <w:sz w:val="24"/>
              </w:rPr>
            </w:pPr>
            <w:r>
              <w:rPr>
                <w:bCs/>
                <w:sz w:val="24"/>
                <w:shd w:val="clear" w:color="auto" w:fill="FFFFFF"/>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.7</w:t>
            </w:r>
          </w:p>
        </w:tc>
        <w:tc>
          <w:tcPr>
            <w:tcW w:w="2349" w:type="dxa"/>
            <w:vAlign w:val="center"/>
          </w:tcPr>
          <w:p>
            <w:pPr>
              <w:autoSpaceDE w:val="0"/>
              <w:autoSpaceDN w:val="0"/>
              <w:adjustRightInd w:val="0"/>
              <w:snapToGrid w:val="0"/>
              <w:rPr>
                <w:kern w:val="0"/>
                <w:sz w:val="24"/>
              </w:rPr>
            </w:pPr>
            <w:r>
              <w:rPr>
                <w:kern w:val="0"/>
                <w:sz w:val="24"/>
              </w:rPr>
              <w:t>付款方式、币种</w:t>
            </w:r>
          </w:p>
        </w:tc>
        <w:tc>
          <w:tcPr>
            <w:tcW w:w="5352" w:type="dxa"/>
            <w:vAlign w:val="center"/>
          </w:tcPr>
          <w:p>
            <w:pPr>
              <w:autoSpaceDE w:val="0"/>
              <w:autoSpaceDN w:val="0"/>
              <w:adjustRightInd w:val="0"/>
              <w:snapToGrid w:val="0"/>
              <w:rPr>
                <w:bCs/>
                <w:kern w:val="0"/>
                <w:sz w:val="24"/>
              </w:rPr>
            </w:pPr>
            <w:r>
              <w:rPr>
                <w:bCs/>
                <w:kern w:val="0"/>
                <w:sz w:val="24"/>
              </w:rPr>
              <w:t>付款方式：最终付款方式以和</w:t>
            </w:r>
            <w:r>
              <w:rPr>
                <w:rFonts w:hint="eastAsia"/>
                <w:bCs/>
                <w:kern w:val="0"/>
                <w:sz w:val="24"/>
              </w:rPr>
              <w:t>采购人</w:t>
            </w:r>
            <w:r>
              <w:rPr>
                <w:bCs/>
                <w:kern w:val="0"/>
                <w:sz w:val="24"/>
              </w:rPr>
              <w:t>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8</w:t>
            </w:r>
          </w:p>
        </w:tc>
        <w:tc>
          <w:tcPr>
            <w:tcW w:w="2349" w:type="dxa"/>
            <w:vAlign w:val="center"/>
          </w:tcPr>
          <w:p>
            <w:pPr>
              <w:autoSpaceDE w:val="0"/>
              <w:autoSpaceDN w:val="0"/>
              <w:adjustRightInd w:val="0"/>
              <w:snapToGrid w:val="0"/>
              <w:jc w:val="left"/>
              <w:rPr>
                <w:kern w:val="0"/>
                <w:sz w:val="24"/>
              </w:rPr>
            </w:pPr>
            <w:r>
              <w:rPr>
                <w:kern w:val="0"/>
                <w:sz w:val="24"/>
              </w:rPr>
              <w:t>质保期</w:t>
            </w:r>
          </w:p>
        </w:tc>
        <w:tc>
          <w:tcPr>
            <w:tcW w:w="5352" w:type="dxa"/>
            <w:vAlign w:val="center"/>
          </w:tcPr>
          <w:p>
            <w:pPr>
              <w:pStyle w:val="19"/>
              <w:spacing w:line="240" w:lineRule="auto"/>
              <w:rPr>
                <w:bCs/>
                <w:kern w:val="0"/>
                <w:sz w:val="24"/>
              </w:rPr>
            </w:pPr>
            <w:r>
              <w:rPr>
                <w:rFonts w:hint="eastAsia"/>
                <w:bCs/>
                <w:kern w:val="0"/>
                <w:sz w:val="24"/>
              </w:rPr>
              <w:t>符合国家和行业相关规定。因医用耗材质保期的特殊性，具体质保期以供应商实际供货时耗材标注的相应质保期为准（招标文件第五章采购需求中有相关要求的，从其规定）。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.9</w:t>
            </w:r>
          </w:p>
        </w:tc>
        <w:tc>
          <w:tcPr>
            <w:tcW w:w="2349" w:type="dxa"/>
            <w:vAlign w:val="center"/>
          </w:tcPr>
          <w:p>
            <w:pPr>
              <w:autoSpaceDE w:val="0"/>
              <w:autoSpaceDN w:val="0"/>
              <w:adjustRightInd w:val="0"/>
              <w:snapToGrid w:val="0"/>
              <w:jc w:val="left"/>
              <w:rPr>
                <w:kern w:val="0"/>
                <w:sz w:val="24"/>
              </w:rPr>
            </w:pPr>
            <w:r>
              <w:rPr>
                <w:kern w:val="0"/>
                <w:sz w:val="24"/>
              </w:rPr>
              <w:t>验收标准</w:t>
            </w:r>
          </w:p>
        </w:tc>
        <w:tc>
          <w:tcPr>
            <w:tcW w:w="5352" w:type="dxa"/>
            <w:vAlign w:val="center"/>
          </w:tcPr>
          <w:p>
            <w:pPr>
              <w:pStyle w:val="19"/>
              <w:spacing w:line="240" w:lineRule="auto"/>
              <w:ind w:firstLine="480" w:firstLineChars="200"/>
              <w:rPr>
                <w:bCs/>
                <w:kern w:val="0"/>
                <w:sz w:val="24"/>
              </w:rPr>
            </w:pPr>
            <w:r>
              <w:rPr>
                <w:bCs/>
                <w:kern w:val="0"/>
                <w:sz w:val="24"/>
              </w:rPr>
              <w:t>按新疆维吾尔自治区人民医院验收标准规定的程序及要求组织实施验收。具体如下：</w:t>
            </w:r>
          </w:p>
          <w:p>
            <w:pPr>
              <w:pStyle w:val="19"/>
              <w:spacing w:line="240" w:lineRule="auto"/>
              <w:ind w:firstLine="480" w:firstLineChars="200"/>
              <w:rPr>
                <w:bCs/>
                <w:kern w:val="0"/>
                <w:sz w:val="24"/>
              </w:rPr>
            </w:pPr>
            <w:r>
              <w:rPr>
                <w:bCs/>
                <w:kern w:val="0"/>
                <w:sz w:val="24"/>
              </w:rPr>
              <w:t>货物到达后，甲乙双方均须在场并确认包装的完好性后，安装</w:t>
            </w:r>
            <w:r>
              <w:rPr>
                <w:rFonts w:hint="eastAsia"/>
                <w:bCs/>
                <w:kern w:val="0"/>
                <w:sz w:val="24"/>
              </w:rPr>
              <w:t>（如有）</w:t>
            </w:r>
            <w:r>
              <w:rPr>
                <w:bCs/>
                <w:kern w:val="0"/>
                <w:sz w:val="24"/>
              </w:rPr>
              <w:t>后由甲方验货。并对</w:t>
            </w:r>
            <w:r>
              <w:rPr>
                <w:rFonts w:hint="eastAsia"/>
                <w:bCs/>
                <w:kern w:val="0"/>
                <w:sz w:val="24"/>
              </w:rPr>
              <w:t xml:space="preserve"> </w:t>
            </w:r>
            <w:r>
              <w:rPr>
                <w:bCs/>
                <w:kern w:val="0"/>
                <w:sz w:val="24"/>
              </w:rPr>
              <w:t xml:space="preserve"> 货物进行清点验收，共同签字确认。如验收不合格，乙方应退货，预缴押金的要全额退还，一切损失由乙方承担。</w:t>
            </w:r>
          </w:p>
          <w:p>
            <w:pPr>
              <w:pStyle w:val="19"/>
              <w:spacing w:line="240" w:lineRule="auto"/>
              <w:ind w:firstLine="480" w:firstLineChars="200"/>
              <w:rPr>
                <w:bCs/>
                <w:kern w:val="0"/>
                <w:sz w:val="24"/>
              </w:rPr>
            </w:pPr>
            <w:r>
              <w:rPr>
                <w:bCs/>
                <w:kern w:val="0"/>
                <w:sz w:val="24"/>
              </w:rPr>
              <w:t>乙方所供货物的技术标准应符合国家相关部门最新颁布的相应标准,确保所供产品必须是最新、最成熟、性能最完善的产品，所提供的软件</w:t>
            </w:r>
            <w:r>
              <w:rPr>
                <w:rFonts w:hint="eastAsia"/>
                <w:bCs/>
                <w:kern w:val="0"/>
                <w:sz w:val="24"/>
              </w:rPr>
              <w:t>（如有）</w:t>
            </w:r>
            <w:r>
              <w:rPr>
                <w:bCs/>
                <w:kern w:val="0"/>
                <w:sz w:val="24"/>
              </w:rPr>
              <w:t>是当前最新软件版本，使用期内软件免费升级。</w:t>
            </w:r>
          </w:p>
          <w:p>
            <w:pPr>
              <w:autoSpaceDE w:val="0"/>
              <w:autoSpaceDN w:val="0"/>
              <w:adjustRightInd w:val="0"/>
              <w:snapToGrid w:val="0"/>
              <w:ind w:firstLine="480" w:firstLineChars="200"/>
              <w:rPr>
                <w:kern w:val="0"/>
                <w:sz w:val="24"/>
                <w:highlight w:val="yellow"/>
              </w:rPr>
            </w:pPr>
            <w:r>
              <w:rPr>
                <w:bCs/>
                <w:kern w:val="0"/>
                <w:sz w:val="24"/>
              </w:rPr>
              <w:t>交货时，乙方必须提供产品检验合格证书、装箱单、产品使用说明书、维修指南</w:t>
            </w:r>
            <w:r>
              <w:rPr>
                <w:rFonts w:hint="eastAsia"/>
                <w:bCs/>
                <w:kern w:val="0"/>
                <w:sz w:val="24"/>
              </w:rPr>
              <w:t>（如有）</w:t>
            </w:r>
            <w:r>
              <w:rPr>
                <w:bCs/>
                <w:kern w:val="0"/>
                <w:sz w:val="24"/>
              </w:rPr>
              <w:t>、服务手册等资料，进口设备</w:t>
            </w:r>
            <w:r>
              <w:rPr>
                <w:rFonts w:hint="eastAsia"/>
                <w:bCs/>
                <w:kern w:val="0"/>
                <w:sz w:val="24"/>
              </w:rPr>
              <w:t>（如适用）</w:t>
            </w:r>
            <w:r>
              <w:rPr>
                <w:bCs/>
                <w:kern w:val="0"/>
                <w:sz w:val="24"/>
              </w:rPr>
              <w:t>须带海关报关单和商品检验单，保证是原产地的原装产品，否则按退货处理。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.10</w:t>
            </w:r>
          </w:p>
        </w:tc>
        <w:tc>
          <w:tcPr>
            <w:tcW w:w="2349" w:type="dxa"/>
            <w:vAlign w:val="center"/>
          </w:tcPr>
          <w:p>
            <w:pPr>
              <w:autoSpaceDE w:val="0"/>
              <w:autoSpaceDN w:val="0"/>
              <w:adjustRightInd w:val="0"/>
              <w:snapToGrid w:val="0"/>
              <w:jc w:val="left"/>
              <w:rPr>
                <w:kern w:val="0"/>
                <w:sz w:val="24"/>
              </w:rPr>
            </w:pPr>
            <w:r>
              <w:rPr>
                <w:kern w:val="0"/>
                <w:sz w:val="24"/>
              </w:rPr>
              <w:t>采购需求其他要求</w:t>
            </w:r>
          </w:p>
        </w:tc>
        <w:tc>
          <w:tcPr>
            <w:tcW w:w="5352" w:type="dxa"/>
            <w:vAlign w:val="center"/>
          </w:tcPr>
          <w:p>
            <w:pPr>
              <w:rPr>
                <w:sz w:val="24"/>
              </w:rPr>
            </w:pPr>
            <w:r>
              <w:rPr>
                <w:rFonts w:hint="eastAsia"/>
                <w:sz w:val="24"/>
              </w:rPr>
              <w:t>投标人应急处理方案、服务体系、仓储设施面积、货物性能及备品库存量等应满足采购人的实际需求</w:t>
            </w:r>
            <w:r>
              <w:rPr>
                <w:sz w:val="24"/>
              </w:rPr>
              <w:t>。售后服务响应时间为接到采购人通知后24小时内到达现场。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11</w:t>
            </w:r>
          </w:p>
        </w:tc>
        <w:tc>
          <w:tcPr>
            <w:tcW w:w="2349" w:type="dxa"/>
            <w:vAlign w:val="center"/>
          </w:tcPr>
          <w:p>
            <w:pPr>
              <w:autoSpaceDE w:val="0"/>
              <w:autoSpaceDN w:val="0"/>
              <w:adjustRightInd w:val="0"/>
              <w:snapToGrid w:val="0"/>
              <w:jc w:val="left"/>
              <w:rPr>
                <w:kern w:val="0"/>
                <w:sz w:val="24"/>
              </w:rPr>
            </w:pPr>
            <w:r>
              <w:rPr>
                <w:rFonts w:hint="eastAsia"/>
                <w:kern w:val="0"/>
                <w:sz w:val="24"/>
                <w:lang w:val="en-US" w:eastAsia="zh-CN"/>
              </w:rPr>
              <w:t>本项目是否要求提供</w:t>
            </w:r>
            <w:r>
              <w:rPr>
                <w:rFonts w:hint="eastAsia"/>
                <w:kern w:val="0"/>
                <w:sz w:val="24"/>
              </w:rPr>
              <w:t>样品</w:t>
            </w:r>
          </w:p>
        </w:tc>
        <w:tc>
          <w:tcPr>
            <w:tcW w:w="5352" w:type="dxa"/>
            <w:vAlign w:val="center"/>
          </w:tcPr>
          <w:p>
            <w:pPr>
              <w:autoSpaceDE w:val="0"/>
              <w:autoSpaceDN w:val="0"/>
              <w:adjustRightInd w:val="0"/>
              <w:snapToGrid w:val="0"/>
              <w:spacing w:after="120" w:afterLines="50"/>
              <w:jc w:val="left"/>
              <w:rPr>
                <w:rFonts w:ascii="Times New Roman" w:hAnsi="Times New Roman" w:cs="宋体"/>
                <w:sz w:val="24"/>
              </w:rPr>
            </w:pPr>
            <w:r>
              <w:rPr>
                <w:rFonts w:hint="eastAsia" w:ascii="Times New Roman" w:hAnsi="Times New Roman" w:cs="宋体"/>
                <w:sz w:val="24"/>
              </w:rPr>
              <w:t>□否</w:t>
            </w:r>
          </w:p>
          <w:p>
            <w:pPr>
              <w:spacing w:line="360" w:lineRule="auto"/>
              <w:rPr>
                <w:rFonts w:hint="eastAsia" w:ascii="Times New Roman" w:hAnsi="Times New Roman" w:cs="宋体"/>
                <w:b/>
                <w:bCs/>
                <w:sz w:val="24"/>
              </w:rPr>
            </w:pPr>
            <w:r>
              <w:rPr>
                <w:rFonts w:hint="eastAsia"/>
                <w:b/>
                <w:bCs/>
                <w:kern w:val="0"/>
                <w:sz w:val="24"/>
              </w:rPr>
              <w:t>☑</w:t>
            </w:r>
            <w:r>
              <w:rPr>
                <w:rFonts w:hint="eastAsia" w:ascii="Times New Roman" w:hAnsi="Times New Roman" w:cs="宋体"/>
                <w:b/>
                <w:bCs/>
                <w:sz w:val="24"/>
              </w:rPr>
              <w:t>是，具体要求：</w:t>
            </w:r>
          </w:p>
          <w:p>
            <w:pPr>
              <w:spacing w:line="360" w:lineRule="auto"/>
              <w:rPr>
                <w:rFonts w:hint="eastAsia" w:ascii="Times New Roman" w:hAnsi="Times New Roman" w:cs="宋体"/>
                <w:b/>
                <w:bCs/>
                <w:sz w:val="24"/>
                <w:lang w:val="en-US" w:eastAsia="zh-CN"/>
              </w:rPr>
            </w:pPr>
            <w:r>
              <w:rPr>
                <w:rFonts w:hint="eastAsia" w:ascii="Times New Roman" w:hAnsi="Times New Roman" w:cs="宋体"/>
                <w:b/>
                <w:bCs/>
                <w:sz w:val="24"/>
                <w:lang w:val="en-US" w:eastAsia="zh-CN"/>
              </w:rPr>
              <w:t>1、要求提供样品的标项：</w:t>
            </w:r>
          </w:p>
          <w:p>
            <w:pPr>
              <w:spacing w:line="360" w:lineRule="auto"/>
              <w:rPr>
                <w:rFonts w:hint="eastAsia" w:ascii="Times New Roman" w:hAnsi="Times New Roman" w:cs="宋体"/>
                <w:sz w:val="24"/>
                <w:lang w:val="en-US" w:eastAsia="zh-CN"/>
              </w:rPr>
            </w:pPr>
            <w:r>
              <w:rPr>
                <w:rFonts w:hint="eastAsia" w:ascii="Times New Roman" w:hAnsi="Times New Roman" w:cs="宋体"/>
                <w:sz w:val="24"/>
                <w:lang w:val="en-US" w:eastAsia="zh-CN"/>
              </w:rPr>
              <w:t>（1）标项号：标项三</w:t>
            </w:r>
          </w:p>
          <w:p>
            <w:pPr>
              <w:spacing w:line="360" w:lineRule="auto"/>
              <w:rPr>
                <w:rFonts w:hint="default" w:ascii="Times New Roman" w:hAnsi="Times New Roman" w:eastAsia="宋体" w:cs="Courier New"/>
                <w:b/>
                <w:bCs/>
                <w:kern w:val="2"/>
                <w:sz w:val="24"/>
                <w:szCs w:val="24"/>
                <w:u w:val="none"/>
                <w:lang w:val="en-US" w:eastAsia="zh-CN" w:bidi="ar-SA"/>
              </w:rPr>
            </w:pPr>
            <w:r>
              <w:rPr>
                <w:rFonts w:hint="eastAsia" w:ascii="Times New Roman" w:hAnsi="Times New Roman" w:cs="宋体"/>
                <w:sz w:val="24"/>
                <w:lang w:val="en-US" w:eastAsia="zh-CN"/>
              </w:rPr>
              <w:t>（2）标项名称：影像中心一次性使用高压造影注射器及附件</w:t>
            </w:r>
          </w:p>
          <w:p>
            <w:pPr>
              <w:pStyle w:val="25"/>
              <w:ind w:left="0" w:leftChars="0" w:firstLine="0" w:firstLineChars="0"/>
              <w:rPr>
                <w:rFonts w:hint="eastAsia" w:ascii="Times New Roman" w:hAnsi="Times New Roman" w:cs="Times New Roman"/>
                <w:b w:val="0"/>
                <w:bCs w:val="0"/>
                <w:sz w:val="24"/>
                <w:szCs w:val="24"/>
                <w:highlight w:val="none"/>
                <w:u w:val="none"/>
                <w:lang w:val="en-US" w:eastAsia="zh-CN"/>
              </w:rPr>
            </w:pPr>
            <w:r>
              <w:rPr>
                <w:rFonts w:hint="eastAsia" w:ascii="Times New Roman" w:hAnsi="Times New Roman"/>
                <w:b/>
                <w:bCs/>
                <w:sz w:val="24"/>
                <w:szCs w:val="24"/>
                <w:highlight w:val="none"/>
                <w:u w:val="none"/>
                <w:lang w:val="en-US" w:eastAsia="zh-CN"/>
              </w:rPr>
              <w:t>2、递交时间</w:t>
            </w:r>
            <w:r>
              <w:rPr>
                <w:rFonts w:hint="default" w:ascii="Times New Roman" w:hAnsi="Times New Roman" w:cs="Times New Roman"/>
                <w:b/>
                <w:bCs/>
                <w:sz w:val="24"/>
                <w:szCs w:val="24"/>
                <w:highlight w:val="none"/>
                <w:u w:val="none"/>
                <w:lang w:val="en-US" w:eastAsia="zh-CN"/>
              </w:rPr>
              <w:t>：</w:t>
            </w:r>
            <w:r>
              <w:rPr>
                <w:rFonts w:hint="default" w:ascii="Times New Roman" w:hAnsi="Times New Roman" w:cs="Times New Roman"/>
                <w:b w:val="0"/>
                <w:bCs w:val="0"/>
                <w:sz w:val="24"/>
                <w:highlight w:val="none"/>
                <w:u w:val="none"/>
                <w:lang w:val="en-US" w:eastAsia="zh-CN"/>
              </w:rPr>
              <w:t>2023年9</w:t>
            </w:r>
            <w:r>
              <w:rPr>
                <w:rFonts w:hint="default" w:ascii="Times New Roman" w:hAnsi="Times New Roman" w:cs="Times New Roman"/>
                <w:b w:val="0"/>
                <w:bCs w:val="0"/>
                <w:color w:val="auto"/>
                <w:sz w:val="24"/>
                <w:highlight w:val="none"/>
                <w:u w:val="none"/>
                <w:lang w:val="en-US" w:eastAsia="zh-CN"/>
              </w:rPr>
              <w:t>月</w:t>
            </w:r>
            <w:r>
              <w:rPr>
                <w:rFonts w:hint="eastAsia" w:ascii="Times New Roman" w:hAnsi="Times New Roman" w:cs="Times New Roman"/>
                <w:b w:val="0"/>
                <w:bCs w:val="0"/>
                <w:color w:val="auto"/>
                <w:sz w:val="24"/>
                <w:highlight w:val="none"/>
                <w:u w:val="none"/>
                <w:lang w:val="en-US" w:eastAsia="zh-CN"/>
              </w:rPr>
              <w:t>07</w:t>
            </w:r>
            <w:r>
              <w:rPr>
                <w:rFonts w:hint="default" w:ascii="Times New Roman" w:hAnsi="Times New Roman" w:cs="Times New Roman"/>
                <w:b w:val="0"/>
                <w:bCs w:val="0"/>
                <w:color w:val="auto"/>
                <w:sz w:val="24"/>
                <w:highlight w:val="none"/>
                <w:u w:val="none"/>
                <w:lang w:val="en-US" w:eastAsia="zh-CN"/>
              </w:rPr>
              <w:t>日</w:t>
            </w:r>
            <w:r>
              <w:rPr>
                <w:rFonts w:hint="default" w:ascii="Times New Roman" w:hAnsi="Times New Roman" w:cs="Times New Roman"/>
                <w:b w:val="0"/>
                <w:bCs w:val="0"/>
                <w:color w:val="auto"/>
                <w:sz w:val="24"/>
                <w:szCs w:val="24"/>
                <w:highlight w:val="none"/>
                <w:u w:val="none"/>
                <w:lang w:eastAsia="zh-CN"/>
              </w:rPr>
              <w:t>上</w:t>
            </w:r>
            <w:r>
              <w:rPr>
                <w:rFonts w:hint="default" w:ascii="Times New Roman" w:hAnsi="Times New Roman" w:cs="Times New Roman"/>
                <w:b w:val="0"/>
                <w:bCs w:val="0"/>
                <w:sz w:val="24"/>
                <w:szCs w:val="24"/>
                <w:highlight w:val="none"/>
                <w:u w:val="none"/>
                <w:lang w:eastAsia="zh-CN"/>
              </w:rPr>
              <w:t>午</w:t>
            </w:r>
            <w:r>
              <w:rPr>
                <w:rFonts w:hint="default" w:ascii="Times New Roman" w:hAnsi="Times New Roman" w:cs="Times New Roman"/>
                <w:b w:val="0"/>
                <w:bCs w:val="0"/>
                <w:sz w:val="24"/>
                <w:szCs w:val="24"/>
                <w:highlight w:val="none"/>
                <w:u w:val="none"/>
                <w:lang w:val="en-US" w:eastAsia="zh-CN"/>
              </w:rPr>
              <w:t>9时30分至10时30分（北京时间）</w:t>
            </w:r>
            <w:r>
              <w:rPr>
                <w:rFonts w:hint="eastAsia" w:ascii="Times New Roman" w:hAnsi="Times New Roman" w:cs="Times New Roman"/>
                <w:b w:val="0"/>
                <w:bCs w:val="0"/>
                <w:sz w:val="24"/>
                <w:szCs w:val="24"/>
                <w:highlight w:val="none"/>
                <w:u w:val="none"/>
                <w:lang w:val="en-US" w:eastAsia="zh-CN"/>
              </w:rPr>
              <w:t>。</w:t>
            </w:r>
          </w:p>
          <w:p>
            <w:pPr>
              <w:pStyle w:val="25"/>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val="0"/>
                <w:bCs w:val="0"/>
                <w:sz w:val="24"/>
                <w:szCs w:val="24"/>
                <w:highlight w:val="none"/>
                <w:u w:val="none"/>
                <w:lang w:val="en-US" w:eastAsia="zh-CN"/>
              </w:rPr>
              <w:t>3、</w:t>
            </w:r>
            <w:r>
              <w:rPr>
                <w:rFonts w:hint="default" w:ascii="Times New Roman" w:hAnsi="Times New Roman" w:cs="Times New Roman"/>
                <w:b/>
                <w:bCs/>
                <w:sz w:val="24"/>
                <w:szCs w:val="24"/>
                <w:highlight w:val="none"/>
                <w:u w:val="none"/>
                <w:lang w:val="en-US" w:eastAsia="zh-CN"/>
              </w:rPr>
              <w:t>递交地点：</w:t>
            </w:r>
            <w:r>
              <w:rPr>
                <w:rFonts w:hint="eastAsia" w:ascii="Times New Roman" w:hAnsi="Times New Roman"/>
                <w:b w:val="0"/>
                <w:bCs w:val="0"/>
                <w:sz w:val="24"/>
                <w:szCs w:val="24"/>
                <w:highlight w:val="none"/>
                <w:u w:val="none"/>
                <w:lang w:eastAsia="zh-CN"/>
              </w:rPr>
              <w:t>国信招标集团股份有限公司新疆分公司（新疆乌鲁木齐市天山区人民路2号乌鲁木齐大厦9层A座）。</w:t>
            </w:r>
          </w:p>
          <w:p>
            <w:pPr>
              <w:pStyle w:val="25"/>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bCs/>
                <w:sz w:val="24"/>
                <w:szCs w:val="24"/>
                <w:highlight w:val="none"/>
                <w:u w:val="none"/>
                <w:lang w:val="en-US" w:eastAsia="zh-CN"/>
              </w:rPr>
              <w:t>4、</w:t>
            </w:r>
            <w:r>
              <w:rPr>
                <w:rFonts w:hint="default" w:ascii="Times New Roman" w:hAnsi="Times New Roman" w:cs="Times New Roman"/>
                <w:b/>
                <w:bCs/>
                <w:sz w:val="24"/>
                <w:szCs w:val="24"/>
                <w:highlight w:val="none"/>
                <w:u w:val="none"/>
                <w:lang w:val="en-US" w:eastAsia="zh-CN"/>
              </w:rPr>
              <w:t>包装要求：</w:t>
            </w:r>
            <w:r>
              <w:rPr>
                <w:rFonts w:hint="eastAsia" w:ascii="Times New Roman" w:hAnsi="Times New Roman"/>
                <w:b w:val="0"/>
                <w:bCs w:val="0"/>
                <w:sz w:val="24"/>
                <w:szCs w:val="24"/>
                <w:highlight w:val="none"/>
                <w:u w:val="none"/>
                <w:lang w:val="en-US" w:eastAsia="zh-CN"/>
              </w:rPr>
              <w:t>同一家投标人所递交的同一标项内所有样品均应密封在一个密封套中，</w:t>
            </w:r>
            <w:r>
              <w:rPr>
                <w:rFonts w:hint="eastAsia" w:ascii="Times New Roman" w:hAnsi="Times New Roman"/>
                <w:b/>
                <w:bCs/>
                <w:sz w:val="24"/>
                <w:szCs w:val="24"/>
                <w:highlight w:val="none"/>
                <w:u w:val="none"/>
                <w:lang w:val="en-US" w:eastAsia="zh-CN"/>
              </w:rPr>
              <w:t>样品本体上或样品出厂包装上不得标注投标人任何信息或标识。</w:t>
            </w:r>
          </w:p>
          <w:p>
            <w:pPr>
              <w:pStyle w:val="25"/>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5、密封要求：样品应密封递交，密封套须注明以下内容，否则不予接收：</w:t>
            </w:r>
          </w:p>
          <w:p>
            <w:pPr>
              <w:pStyle w:val="25"/>
              <w:ind w:left="0" w:leftChars="0" w:firstLine="0" w:firstLineChars="0"/>
              <w:rPr>
                <w:rFonts w:hint="default" w:ascii="Times New Roman" w:hAnsi="Times New Roman"/>
                <w:b w:val="0"/>
                <w:bCs w:val="0"/>
                <w:sz w:val="24"/>
                <w:szCs w:val="24"/>
                <w:highlight w:val="none"/>
                <w:u w:val="single"/>
                <w:lang w:val="en-US" w:eastAsia="zh-CN"/>
              </w:rPr>
            </w:pPr>
            <w:r>
              <w:rPr>
                <w:rFonts w:hint="eastAsia" w:ascii="Times New Roman" w:hAnsi="Times New Roman"/>
                <w:b w:val="0"/>
                <w:bCs w:val="0"/>
                <w:sz w:val="24"/>
                <w:szCs w:val="24"/>
                <w:highlight w:val="none"/>
                <w:u w:val="none"/>
                <w:lang w:val="en-US" w:eastAsia="zh-CN"/>
              </w:rPr>
              <w:t>（1）项目名称：</w:t>
            </w:r>
            <w:r>
              <w:rPr>
                <w:rFonts w:hint="eastAsia" w:ascii="Times New Roman" w:hAnsi="Times New Roman"/>
                <w:b w:val="0"/>
                <w:bCs w:val="0"/>
                <w:sz w:val="24"/>
                <w:szCs w:val="24"/>
                <w:highlight w:val="none"/>
                <w:u w:val="single"/>
                <w:lang w:val="en-US" w:eastAsia="zh-CN"/>
              </w:rPr>
              <w:t xml:space="preserve">           </w:t>
            </w:r>
          </w:p>
          <w:p>
            <w:pPr>
              <w:pStyle w:val="25"/>
              <w:ind w:left="0" w:leftChars="0" w:firstLine="0" w:firstLineChars="0"/>
              <w:rPr>
                <w:rFonts w:hint="default"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（2）项目编号：</w:t>
            </w:r>
            <w:r>
              <w:rPr>
                <w:rFonts w:hint="eastAsia" w:ascii="Times New Roman" w:hAnsi="Times New Roman"/>
                <w:b w:val="0"/>
                <w:bCs w:val="0"/>
                <w:sz w:val="24"/>
                <w:szCs w:val="24"/>
                <w:highlight w:val="none"/>
                <w:u w:val="single"/>
                <w:lang w:val="en-US" w:eastAsia="zh-CN"/>
              </w:rPr>
              <w:t xml:space="preserve">           </w:t>
            </w:r>
          </w:p>
          <w:p>
            <w:pPr>
              <w:pStyle w:val="25"/>
              <w:ind w:left="0" w:leftChars="0" w:firstLine="0" w:firstLineChars="0"/>
              <w:rPr>
                <w:rFonts w:hint="default"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（3）标项号：</w:t>
            </w:r>
            <w:r>
              <w:rPr>
                <w:rFonts w:hint="eastAsia" w:ascii="Times New Roman" w:hAnsi="Times New Roman"/>
                <w:b w:val="0"/>
                <w:bCs w:val="0"/>
                <w:sz w:val="24"/>
                <w:szCs w:val="24"/>
                <w:highlight w:val="none"/>
                <w:u w:val="single"/>
                <w:lang w:val="en-US" w:eastAsia="zh-CN"/>
              </w:rPr>
              <w:t xml:space="preserve">             </w:t>
            </w:r>
          </w:p>
          <w:p>
            <w:pPr>
              <w:pStyle w:val="25"/>
              <w:ind w:left="0" w:leftChars="0" w:firstLine="0" w:firstLineChars="0"/>
              <w:rPr>
                <w:rFonts w:hint="eastAsia" w:ascii="Times New Roman" w:hAnsi="Times New Roman"/>
                <w:b w:val="0"/>
                <w:bCs w:val="0"/>
                <w:sz w:val="24"/>
                <w:szCs w:val="24"/>
                <w:highlight w:val="none"/>
                <w:u w:val="single"/>
                <w:lang w:val="en-US" w:eastAsia="zh-CN"/>
              </w:rPr>
            </w:pPr>
            <w:r>
              <w:rPr>
                <w:rFonts w:hint="eastAsia" w:ascii="Times New Roman" w:hAnsi="Times New Roman"/>
                <w:b w:val="0"/>
                <w:bCs w:val="0"/>
                <w:sz w:val="24"/>
                <w:szCs w:val="24"/>
                <w:highlight w:val="none"/>
                <w:u w:val="none"/>
                <w:lang w:val="en-US" w:eastAsia="zh-CN"/>
              </w:rPr>
              <w:t>（4）标项名称：</w:t>
            </w:r>
            <w:r>
              <w:rPr>
                <w:rFonts w:hint="eastAsia" w:ascii="Times New Roman" w:hAnsi="Times New Roman"/>
                <w:b w:val="0"/>
                <w:bCs w:val="0"/>
                <w:sz w:val="24"/>
                <w:szCs w:val="24"/>
                <w:highlight w:val="none"/>
                <w:u w:val="single"/>
                <w:lang w:val="en-US" w:eastAsia="zh-CN"/>
              </w:rPr>
              <w:t xml:space="preserve">           </w:t>
            </w:r>
          </w:p>
          <w:p>
            <w:pPr>
              <w:pStyle w:val="25"/>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（5）投标人名称：</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（加盖公章）</w:t>
            </w:r>
          </w:p>
          <w:p>
            <w:pPr>
              <w:pStyle w:val="25"/>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（6）样品在</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年</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月</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日</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时</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分前不得开启。</w:t>
            </w:r>
          </w:p>
          <w:p>
            <w:pPr>
              <w:pStyle w:val="25"/>
              <w:ind w:left="0" w:leftChars="0" w:firstLine="0" w:firstLineChars="0"/>
              <w:rPr>
                <w:rFonts w:hint="default"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6、样品退还：样品将退还给未中标单位，具体要求如下：</w:t>
            </w:r>
          </w:p>
          <w:p>
            <w:pPr>
              <w:pStyle w:val="25"/>
              <w:ind w:left="0" w:leftChars="0" w:firstLine="0" w:firstLineChars="0"/>
              <w:rPr>
                <w:rFonts w:hint="eastAsia" w:ascii="Times New Roman" w:hAnsi="Times New Roman" w:cs="Times New Roman"/>
                <w:b w:val="0"/>
                <w:bCs w:val="0"/>
                <w:sz w:val="24"/>
                <w:szCs w:val="24"/>
                <w:highlight w:val="none"/>
                <w:u w:val="none"/>
                <w:lang w:val="en-US" w:eastAsia="zh-CN"/>
              </w:rPr>
            </w:pPr>
            <w:r>
              <w:rPr>
                <w:rFonts w:hint="eastAsia" w:ascii="Times New Roman" w:hAnsi="Times New Roman"/>
                <w:b/>
                <w:bCs/>
                <w:sz w:val="24"/>
                <w:szCs w:val="24"/>
                <w:highlight w:val="none"/>
                <w:u w:val="none"/>
                <w:lang w:val="en-US" w:eastAsia="zh-CN"/>
              </w:rPr>
              <w:t>（1）退还时间</w:t>
            </w:r>
            <w:r>
              <w:rPr>
                <w:rFonts w:hint="default" w:ascii="Times New Roman" w:hAnsi="Times New Roman" w:cs="Times New Roman"/>
                <w:b/>
                <w:bCs/>
                <w:sz w:val="24"/>
                <w:szCs w:val="24"/>
                <w:highlight w:val="none"/>
                <w:u w:val="none"/>
                <w:lang w:val="en-US" w:eastAsia="zh-CN"/>
              </w:rPr>
              <w:t>：</w:t>
            </w:r>
            <w:r>
              <w:rPr>
                <w:rFonts w:hint="eastAsia" w:ascii="Times New Roman" w:hAnsi="Times New Roman" w:cs="Times New Roman"/>
                <w:b w:val="0"/>
                <w:bCs w:val="0"/>
                <w:sz w:val="24"/>
                <w:szCs w:val="24"/>
                <w:highlight w:val="none"/>
                <w:u w:val="none"/>
                <w:lang w:val="en-US" w:eastAsia="zh-CN"/>
              </w:rPr>
              <w:t>自政府采购合同签订</w:t>
            </w:r>
            <w:r>
              <w:rPr>
                <w:rFonts w:hint="eastAsia" w:ascii="Times New Roman" w:hAnsi="Times New Roman" w:cs="Times New Roman"/>
                <w:b w:val="0"/>
                <w:bCs w:val="0"/>
                <w:sz w:val="24"/>
                <w:highlight w:val="none"/>
                <w:u w:val="none"/>
                <w:lang w:val="en-US" w:eastAsia="zh-CN"/>
              </w:rPr>
              <w:t>之日起10个工作日内退还（具体时间以电子邮件发出之日为准）。未中标单位逾期未取回样品的，将视为投标人放弃取回样品，采购人或采购代理机构有权销毁处理。</w:t>
            </w:r>
          </w:p>
          <w:p>
            <w:pPr>
              <w:pStyle w:val="25"/>
              <w:ind w:left="0" w:leftChars="0" w:firstLine="0" w:firstLineChars="0"/>
              <w:rPr>
                <w:rFonts w:hint="eastAsia" w:ascii="Times New Roman" w:hAnsi="Times New Roman"/>
                <w:b w:val="0"/>
                <w:bCs w:val="0"/>
                <w:sz w:val="24"/>
                <w:szCs w:val="24"/>
                <w:highlight w:val="none"/>
                <w:u w:val="none"/>
                <w:lang w:eastAsia="zh-CN"/>
              </w:rPr>
            </w:pPr>
            <w:r>
              <w:rPr>
                <w:rFonts w:hint="eastAsia" w:ascii="Times New Roman" w:hAnsi="Times New Roman" w:cs="Times New Roman"/>
                <w:b/>
                <w:bCs/>
                <w:sz w:val="24"/>
                <w:szCs w:val="24"/>
                <w:highlight w:val="none"/>
                <w:u w:val="none"/>
                <w:lang w:val="en-US" w:eastAsia="zh-CN"/>
              </w:rPr>
              <w:t>（2）退还</w:t>
            </w:r>
            <w:r>
              <w:rPr>
                <w:rFonts w:hint="default" w:ascii="Times New Roman" w:hAnsi="Times New Roman" w:cs="Times New Roman"/>
                <w:b/>
                <w:bCs/>
                <w:sz w:val="24"/>
                <w:szCs w:val="24"/>
                <w:highlight w:val="none"/>
                <w:u w:val="none"/>
                <w:lang w:val="en-US" w:eastAsia="zh-CN"/>
              </w:rPr>
              <w:t>地点：</w:t>
            </w:r>
            <w:r>
              <w:rPr>
                <w:rFonts w:hint="eastAsia" w:ascii="Arial" w:hAnsi="Arial" w:cs="Arial"/>
                <w:b w:val="0"/>
                <w:bCs w:val="0"/>
                <w:snapToGrid w:val="0"/>
                <w:kern w:val="0"/>
                <w:sz w:val="24"/>
                <w:highlight w:val="none"/>
                <w:shd w:val="clear" w:color="auto" w:fill="FFFFFF"/>
                <w:lang w:val="en-US" w:eastAsia="zh-CN"/>
              </w:rPr>
              <w:t>同样品接收地点</w:t>
            </w:r>
            <w:r>
              <w:rPr>
                <w:rFonts w:hint="eastAsia" w:ascii="Times New Roman" w:hAnsi="Times New Roman"/>
                <w:b w:val="0"/>
                <w:bCs w:val="0"/>
                <w:sz w:val="24"/>
                <w:szCs w:val="24"/>
                <w:highlight w:val="none"/>
                <w:u w:val="none"/>
                <w:lang w:eastAsia="zh-CN"/>
              </w:rPr>
              <w:t>。</w:t>
            </w:r>
          </w:p>
          <w:p>
            <w:pPr>
              <w:pStyle w:val="25"/>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bCs/>
                <w:sz w:val="24"/>
                <w:szCs w:val="24"/>
                <w:highlight w:val="none"/>
                <w:u w:val="none"/>
                <w:lang w:val="en-US" w:eastAsia="zh-CN"/>
              </w:rPr>
              <w:t>（3）退还样品的通知方式：</w:t>
            </w:r>
            <w:r>
              <w:rPr>
                <w:rFonts w:hint="eastAsia" w:ascii="Times New Roman" w:hAnsi="Times New Roman" w:cs="Times New Roman"/>
                <w:b w:val="0"/>
                <w:bCs w:val="0"/>
                <w:sz w:val="24"/>
                <w:szCs w:val="24"/>
                <w:highlight w:val="none"/>
                <w:u w:val="none"/>
                <w:lang w:val="en-US" w:eastAsia="zh-CN"/>
              </w:rPr>
              <w:t>采购代理机构将在上述规定的时间通过电子邮箱方式书面通知各投标人前来取回样品，请各投标人留意电子邮件。</w:t>
            </w:r>
          </w:p>
          <w:p>
            <w:pPr>
              <w:pStyle w:val="25"/>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7、样品接收及退还联系方式：</w:t>
            </w:r>
          </w:p>
          <w:p>
            <w:pPr>
              <w:pStyle w:val="25"/>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（1）联系人：任园园、马凝</w:t>
            </w:r>
          </w:p>
          <w:p>
            <w:pPr>
              <w:pStyle w:val="25"/>
              <w:ind w:left="0" w:leftChars="0" w:firstLine="0" w:firstLineChars="0"/>
              <w:rPr>
                <w:rFonts w:hint="eastAsia" w:ascii="Arial" w:hAnsi="Arial" w:cs="Arial"/>
                <w:b w:val="0"/>
                <w:bCs w:val="0"/>
                <w:snapToGrid w:val="0"/>
                <w:kern w:val="0"/>
                <w:sz w:val="24"/>
                <w:highlight w:val="none"/>
                <w:shd w:val="clear" w:color="auto" w:fill="FFFFFF"/>
                <w:lang w:val="en-US" w:eastAsia="zh-CN"/>
              </w:rPr>
            </w:pPr>
            <w:r>
              <w:rPr>
                <w:rFonts w:hint="eastAsia" w:ascii="Times New Roman" w:hAnsi="Times New Roman"/>
                <w:b w:val="0"/>
                <w:bCs w:val="0"/>
                <w:sz w:val="24"/>
                <w:szCs w:val="24"/>
                <w:highlight w:val="none"/>
                <w:u w:val="none"/>
                <w:lang w:val="en-US" w:eastAsia="zh-CN"/>
              </w:rPr>
              <w:t>（2）联系方式：</w:t>
            </w:r>
            <w:r>
              <w:rPr>
                <w:rFonts w:ascii="Arial" w:hAnsi="Arial" w:cs="Arial"/>
                <w:b w:val="0"/>
                <w:bCs w:val="0"/>
                <w:snapToGrid w:val="0"/>
                <w:kern w:val="0"/>
                <w:sz w:val="24"/>
                <w:highlight w:val="none"/>
                <w:shd w:val="clear" w:color="auto" w:fill="FFFFFF"/>
              </w:rPr>
              <w:t>1819591</w:t>
            </w:r>
            <w:r>
              <w:rPr>
                <w:rFonts w:hint="eastAsia" w:ascii="Arial" w:hAnsi="Arial" w:cs="Arial"/>
                <w:b w:val="0"/>
                <w:bCs w:val="0"/>
                <w:snapToGrid w:val="0"/>
                <w:kern w:val="0"/>
                <w:sz w:val="24"/>
                <w:highlight w:val="none"/>
                <w:shd w:val="clear" w:color="auto" w:fill="FFFFFF"/>
                <w:lang w:val="en-US" w:eastAsia="zh-CN"/>
              </w:rPr>
              <w:t>1775（任）、13369657629（马）</w:t>
            </w:r>
          </w:p>
          <w:p>
            <w:pPr>
              <w:pStyle w:val="25"/>
              <w:ind w:left="0" w:leftChars="0" w:firstLine="0" w:firstLineChars="0"/>
              <w:rPr>
                <w:rFonts w:hint="default" w:ascii="Arial" w:hAnsi="Arial" w:cs="Arial"/>
                <w:b w:val="0"/>
                <w:bCs w:val="0"/>
                <w:snapToGrid w:val="0"/>
                <w:kern w:val="0"/>
                <w:sz w:val="24"/>
                <w:highlight w:val="none"/>
                <w:shd w:val="clear" w:color="auto" w:fill="FFFFFF"/>
                <w:lang w:val="en-US" w:eastAsia="zh-CN"/>
              </w:rPr>
            </w:pPr>
            <w:r>
              <w:rPr>
                <w:rFonts w:hint="eastAsia" w:ascii="Arial" w:hAnsi="Arial" w:cs="Arial"/>
                <w:b w:val="0"/>
                <w:bCs w:val="0"/>
                <w:snapToGrid w:val="0"/>
                <w:kern w:val="0"/>
                <w:sz w:val="24"/>
                <w:highlight w:val="none"/>
                <w:shd w:val="clear" w:color="auto" w:fill="FFFFFF"/>
                <w:lang w:val="en-US" w:eastAsia="zh-CN"/>
              </w:rPr>
              <w:t>（3）联系地址：同样品接收地点。</w:t>
            </w:r>
          </w:p>
          <w:p>
            <w:pPr>
              <w:pStyle w:val="25"/>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8、其他事项：</w:t>
            </w:r>
          </w:p>
          <w:p>
            <w:pPr>
              <w:spacing w:line="360" w:lineRule="auto"/>
              <w:ind w:firstLine="480" w:firstLineChars="200"/>
              <w:rPr>
                <w:rFonts w:hint="eastAsia" w:ascii="Times New Roman" w:hAnsi="Times New Roman" w:eastAsia="宋体" w:cs="Times New Roman"/>
                <w:b w:val="0"/>
                <w:bCs w:val="0"/>
                <w:kern w:val="2"/>
                <w:sz w:val="24"/>
                <w:szCs w:val="32"/>
                <w:highlight w:val="none"/>
                <w:lang w:val="en-US" w:eastAsia="zh-CN" w:bidi="ar-SA"/>
              </w:rPr>
            </w:pPr>
            <w:r>
              <w:rPr>
                <w:rFonts w:hint="eastAsia" w:ascii="Times New Roman" w:hAnsi="Times New Roman" w:eastAsia="宋体" w:cs="Times New Roman"/>
                <w:b w:val="0"/>
                <w:bCs w:val="0"/>
                <w:kern w:val="2"/>
                <w:sz w:val="24"/>
                <w:szCs w:val="32"/>
                <w:highlight w:val="none"/>
                <w:lang w:val="en-US" w:eastAsia="zh-CN" w:bidi="ar-SA"/>
              </w:rPr>
              <w:t>中标</w:t>
            </w:r>
            <w:r>
              <w:rPr>
                <w:rFonts w:hint="eastAsia" w:cs="Times New Roman"/>
                <w:b w:val="0"/>
                <w:bCs w:val="0"/>
                <w:kern w:val="2"/>
                <w:sz w:val="24"/>
                <w:szCs w:val="32"/>
                <w:highlight w:val="none"/>
                <w:lang w:val="en-US" w:eastAsia="zh-CN" w:bidi="ar-SA"/>
              </w:rPr>
              <w:t>人</w:t>
            </w:r>
            <w:r>
              <w:rPr>
                <w:rFonts w:hint="eastAsia" w:ascii="Times New Roman" w:hAnsi="Times New Roman" w:eastAsia="宋体" w:cs="Times New Roman"/>
                <w:b w:val="0"/>
                <w:bCs w:val="0"/>
                <w:kern w:val="2"/>
                <w:sz w:val="24"/>
                <w:szCs w:val="32"/>
                <w:highlight w:val="none"/>
                <w:lang w:val="en-US" w:eastAsia="zh-CN" w:bidi="ar-SA"/>
              </w:rPr>
              <w:t>提供的样品将被封存，作为交货验收时的参照物，</w:t>
            </w:r>
            <w:r>
              <w:rPr>
                <w:rFonts w:hint="eastAsia" w:cs="Times New Roman"/>
                <w:b/>
                <w:bCs/>
                <w:kern w:val="2"/>
                <w:sz w:val="24"/>
                <w:szCs w:val="32"/>
                <w:highlight w:val="none"/>
                <w:lang w:val="en-US" w:eastAsia="zh-CN" w:bidi="ar-SA"/>
              </w:rPr>
              <w:t>投标人</w:t>
            </w:r>
            <w:r>
              <w:rPr>
                <w:rFonts w:hint="eastAsia" w:ascii="Times New Roman" w:hAnsi="Times New Roman" w:eastAsia="宋体" w:cs="Times New Roman"/>
                <w:b/>
                <w:bCs/>
                <w:kern w:val="2"/>
                <w:sz w:val="24"/>
                <w:szCs w:val="32"/>
                <w:highlight w:val="none"/>
                <w:lang w:val="en-US" w:eastAsia="zh-CN" w:bidi="ar-SA"/>
              </w:rPr>
              <w:t>是否提供样品不作为资格审查及符合性审查的标准和要求</w:t>
            </w:r>
            <w:r>
              <w:rPr>
                <w:rFonts w:hint="eastAsia" w:cs="Times New Roman"/>
                <w:b/>
                <w:bCs/>
                <w:kern w:val="2"/>
                <w:sz w:val="24"/>
                <w:szCs w:val="32"/>
                <w:highlight w:val="none"/>
                <w:lang w:val="en-US" w:eastAsia="zh-CN" w:bidi="ar-SA"/>
              </w:rPr>
              <w:t>。</w:t>
            </w:r>
          </w:p>
          <w:p>
            <w:pPr>
              <w:spacing w:line="360" w:lineRule="auto"/>
              <w:ind w:firstLine="482" w:firstLineChars="200"/>
              <w:rPr>
                <w:rFonts w:hint="eastAsia"/>
                <w:lang w:eastAsia="zh-CN"/>
              </w:rPr>
            </w:pPr>
            <w:r>
              <w:rPr>
                <w:rFonts w:hint="eastAsia" w:ascii="Times New Roman" w:hAnsi="Times New Roman" w:eastAsia="宋体" w:cs="Times New Roman"/>
                <w:b/>
                <w:bCs/>
                <w:kern w:val="2"/>
                <w:sz w:val="24"/>
                <w:szCs w:val="32"/>
                <w:highlight w:val="none"/>
                <w:lang w:val="en-US" w:eastAsia="zh-CN" w:bidi="ar-SA"/>
              </w:rPr>
              <w:t>投标人未递交样品的（包括未递交全部样品或部分样品），其样品评审不得分，即样品评审得0分（总分3分）。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12</w:t>
            </w:r>
          </w:p>
        </w:tc>
        <w:tc>
          <w:tcPr>
            <w:tcW w:w="2349" w:type="dxa"/>
            <w:vAlign w:val="center"/>
          </w:tcPr>
          <w:p>
            <w:pPr>
              <w:autoSpaceDE w:val="0"/>
              <w:autoSpaceDN w:val="0"/>
              <w:adjustRightInd w:val="0"/>
              <w:snapToGrid w:val="0"/>
              <w:rPr>
                <w:b/>
                <w:bCs/>
                <w:kern w:val="0"/>
                <w:sz w:val="24"/>
              </w:rPr>
            </w:pPr>
            <w:r>
              <w:rPr>
                <w:rFonts w:hint="eastAsia"/>
                <w:b/>
                <w:bCs/>
                <w:kern w:val="0"/>
                <w:sz w:val="24"/>
              </w:rPr>
              <w:t>招标医用耗材数量</w:t>
            </w:r>
          </w:p>
        </w:tc>
        <w:tc>
          <w:tcPr>
            <w:tcW w:w="5352" w:type="dxa"/>
            <w:vAlign w:val="center"/>
          </w:tcPr>
          <w:p>
            <w:pPr>
              <w:rPr>
                <w:b/>
                <w:bCs/>
                <w:sz w:val="24"/>
              </w:rPr>
            </w:pPr>
            <w:r>
              <w:rPr>
                <w:rFonts w:hint="eastAsia"/>
                <w:b/>
                <w:bCs/>
                <w:sz w:val="24"/>
              </w:rPr>
              <w:t>本次招标的医用耗材数量为自买卖合同生效之日起采购人24个月内的实际采购量。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13</w:t>
            </w:r>
          </w:p>
        </w:tc>
        <w:tc>
          <w:tcPr>
            <w:tcW w:w="2349" w:type="dxa"/>
            <w:vAlign w:val="center"/>
          </w:tcPr>
          <w:p>
            <w:pPr>
              <w:autoSpaceDE w:val="0"/>
              <w:autoSpaceDN w:val="0"/>
              <w:adjustRightInd w:val="0"/>
              <w:snapToGrid w:val="0"/>
              <w:jc w:val="left"/>
              <w:rPr>
                <w:kern w:val="0"/>
                <w:sz w:val="24"/>
              </w:rPr>
            </w:pPr>
            <w:r>
              <w:rPr>
                <w:rFonts w:hint="eastAsia"/>
                <w:kern w:val="0"/>
                <w:sz w:val="24"/>
              </w:rPr>
              <w:t>低于成本价不正当</w:t>
            </w:r>
          </w:p>
          <w:p>
            <w:pPr>
              <w:autoSpaceDE w:val="0"/>
              <w:autoSpaceDN w:val="0"/>
              <w:adjustRightInd w:val="0"/>
              <w:snapToGrid w:val="0"/>
              <w:jc w:val="left"/>
              <w:rPr>
                <w:kern w:val="0"/>
                <w:sz w:val="24"/>
              </w:rPr>
            </w:pPr>
            <w:r>
              <w:rPr>
                <w:rFonts w:hint="eastAsia"/>
                <w:kern w:val="0"/>
                <w:sz w:val="24"/>
              </w:rPr>
              <w:t>竞争预防措施</w:t>
            </w:r>
          </w:p>
        </w:tc>
        <w:tc>
          <w:tcPr>
            <w:tcW w:w="5352" w:type="dxa"/>
            <w:vAlign w:val="center"/>
          </w:tcPr>
          <w:p>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11.14</w:t>
            </w:r>
          </w:p>
        </w:tc>
        <w:tc>
          <w:tcPr>
            <w:tcW w:w="2349" w:type="dxa"/>
            <w:vAlign w:val="center"/>
          </w:tcPr>
          <w:p>
            <w:pPr>
              <w:rPr>
                <w:sz w:val="24"/>
              </w:rPr>
            </w:pPr>
            <w:r>
              <w:rPr>
                <w:rFonts w:hint="eastAsia"/>
                <w:sz w:val="24"/>
              </w:rPr>
              <w:t>配送时间及地点</w:t>
            </w:r>
          </w:p>
        </w:tc>
        <w:tc>
          <w:tcPr>
            <w:tcW w:w="5352" w:type="dxa"/>
            <w:vAlign w:val="center"/>
          </w:tcPr>
          <w:p>
            <w:pPr>
              <w:rPr>
                <w:sz w:val="24"/>
              </w:rPr>
            </w:pPr>
            <w:r>
              <w:rPr>
                <w:rFonts w:hint="eastAsia"/>
                <w:sz w:val="24"/>
              </w:rPr>
              <w:t>配送时间：供货商接到采购人供货通知时，必须第一时间安排送货，急救或紧急情况下使用的配送不应超过4小时，一般品种的配送不应超过24小时</w:t>
            </w:r>
            <w:r>
              <w:rPr>
                <w:sz w:val="24"/>
              </w:rPr>
              <w:t>。</w:t>
            </w:r>
          </w:p>
          <w:p>
            <w:pPr>
              <w:rPr>
                <w:sz w:val="24"/>
              </w:rPr>
            </w:pPr>
            <w:r>
              <w:rPr>
                <w:rFonts w:hint="eastAsia"/>
                <w:sz w:val="24"/>
              </w:rPr>
              <w:t>配送地点：新疆维吾尔自治区人民医院，最终按甲方指定地点验收、交货</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19" w:type="dxa"/>
            <w:gridSpan w:val="3"/>
            <w:vAlign w:val="center"/>
          </w:tcPr>
          <w:p>
            <w:pPr>
              <w:rPr>
                <w:sz w:val="24"/>
                <w:highlight w:val="yellow"/>
              </w:rPr>
            </w:pPr>
            <w:r>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719" w:type="dxa"/>
            <w:gridSpan w:val="3"/>
            <w:vAlign w:val="center"/>
          </w:tcPr>
          <w:p>
            <w:pPr>
              <w:rPr>
                <w:sz w:val="24"/>
              </w:rPr>
            </w:pPr>
            <w:r>
              <w:rPr>
                <w:rFonts w:hint="eastAsia"/>
                <w:sz w:val="24"/>
              </w:rPr>
              <w:t>注：所有资格证明文件复印件须在有效期内；医疗器械生产（经营）许可电子证书、医疗器械注册证、变更注册文件电子文件与印制的证书、文件具有同等法律效力。</w:t>
            </w:r>
          </w:p>
        </w:tc>
      </w:tr>
    </w:tbl>
    <w:p>
      <w:pPr>
        <w:autoSpaceDE w:val="0"/>
        <w:autoSpaceDN w:val="0"/>
        <w:adjustRightInd w:val="0"/>
        <w:snapToGrid w:val="0"/>
        <w:spacing w:after="120" w:afterLines="50"/>
        <w:jc w:val="left"/>
        <w:rPr>
          <w:b/>
          <w:bCs/>
          <w:kern w:val="0"/>
          <w:sz w:val="28"/>
          <w:szCs w:val="28"/>
        </w:rPr>
      </w:pPr>
      <w:r>
        <w:rPr>
          <w:b/>
          <w:bCs/>
          <w:sz w:val="24"/>
        </w:rPr>
        <w:t>注：投标人须知正文与本表不一致的以本表为准。</w:t>
      </w:r>
      <w:r>
        <w:rPr>
          <w:b/>
          <w:bCs/>
          <w:kern w:val="0"/>
          <w:szCs w:val="21"/>
        </w:rPr>
        <w:br w:type="page"/>
      </w:r>
    </w:p>
    <w:p>
      <w:pPr>
        <w:autoSpaceDE w:val="0"/>
        <w:autoSpaceDN w:val="0"/>
        <w:adjustRightInd w:val="0"/>
        <w:snapToGrid w:val="0"/>
        <w:spacing w:after="120" w:afterLines="50"/>
        <w:jc w:val="center"/>
        <w:outlineLvl w:val="0"/>
        <w:rPr>
          <w:kern w:val="0"/>
          <w:sz w:val="28"/>
          <w:szCs w:val="28"/>
        </w:rPr>
      </w:pPr>
      <w:bookmarkStart w:id="79" w:name="_Toc9463"/>
      <w:bookmarkStart w:id="80" w:name="_Toc26328"/>
      <w:bookmarkStart w:id="81" w:name="_Toc7646"/>
      <w:r>
        <w:rPr>
          <w:kern w:val="0"/>
          <w:sz w:val="28"/>
          <w:szCs w:val="28"/>
        </w:rPr>
        <w:t>（二）投标人须知</w:t>
      </w:r>
      <w:bookmarkEnd w:id="79"/>
      <w:bookmarkEnd w:id="80"/>
      <w:bookmarkEnd w:id="81"/>
    </w:p>
    <w:p>
      <w:pPr>
        <w:numPr>
          <w:ilvl w:val="0"/>
          <w:numId w:val="2"/>
        </w:numPr>
        <w:autoSpaceDE w:val="0"/>
        <w:autoSpaceDN w:val="0"/>
        <w:adjustRightInd w:val="0"/>
        <w:spacing w:after="120" w:afterLines="50"/>
        <w:outlineLvl w:val="2"/>
        <w:rPr>
          <w:rFonts w:eastAsia="黑体"/>
          <w:kern w:val="0"/>
          <w:sz w:val="24"/>
        </w:rPr>
      </w:pPr>
      <w:bookmarkStart w:id="82" w:name="_Toc9858"/>
      <w:bookmarkStart w:id="83" w:name="_Toc23205"/>
      <w:bookmarkStart w:id="84" w:name="_Toc19444"/>
      <w:bookmarkStart w:id="85" w:name="_Toc195921793"/>
      <w:r>
        <w:rPr>
          <w:rFonts w:eastAsia="黑体"/>
          <w:kern w:val="0"/>
          <w:sz w:val="24"/>
        </w:rPr>
        <w:t>总则</w:t>
      </w:r>
      <w:bookmarkEnd w:id="82"/>
      <w:bookmarkEnd w:id="83"/>
      <w:bookmarkEnd w:id="84"/>
      <w:bookmarkEnd w:id="85"/>
    </w:p>
    <w:p>
      <w:pPr>
        <w:numPr>
          <w:ilvl w:val="1"/>
          <w:numId w:val="2"/>
        </w:numPr>
        <w:autoSpaceDE w:val="0"/>
        <w:autoSpaceDN w:val="0"/>
        <w:adjustRightInd w:val="0"/>
        <w:snapToGrid w:val="0"/>
        <w:spacing w:after="120" w:afterLines="50"/>
        <w:rPr>
          <w:kern w:val="0"/>
          <w:sz w:val="24"/>
        </w:rPr>
      </w:pPr>
      <w:bookmarkStart w:id="86" w:name="_Toc195921794"/>
      <w:r>
        <w:rPr>
          <w:kern w:val="0"/>
          <w:sz w:val="24"/>
        </w:rPr>
        <w:t>项目概况</w:t>
      </w:r>
      <w:bookmarkEnd w:id="86"/>
    </w:p>
    <w:p>
      <w:pPr>
        <w:numPr>
          <w:ilvl w:val="2"/>
          <w:numId w:val="2"/>
        </w:numPr>
        <w:tabs>
          <w:tab w:val="left" w:pos="1260"/>
        </w:tabs>
        <w:autoSpaceDE w:val="0"/>
        <w:autoSpaceDN w:val="0"/>
        <w:adjustRightInd w:val="0"/>
        <w:snapToGrid w:val="0"/>
        <w:spacing w:after="120" w:afterLines="50"/>
        <w:rPr>
          <w:kern w:val="0"/>
          <w:sz w:val="24"/>
        </w:rPr>
      </w:pPr>
      <w:r>
        <w:rPr>
          <w:kern w:val="0"/>
          <w:sz w:val="24"/>
        </w:rPr>
        <w:t>根据《中华人民共和国政府采购法》和《中华人民共和国政府采购法实施条例》等有关法律、法规和规章的规定，对本招标项目进行招标。</w:t>
      </w:r>
    </w:p>
    <w:p>
      <w:pPr>
        <w:numPr>
          <w:ilvl w:val="2"/>
          <w:numId w:val="2"/>
        </w:numPr>
        <w:tabs>
          <w:tab w:val="left" w:pos="1260"/>
        </w:tabs>
        <w:autoSpaceDE w:val="0"/>
        <w:autoSpaceDN w:val="0"/>
        <w:adjustRightInd w:val="0"/>
        <w:snapToGrid w:val="0"/>
        <w:spacing w:after="120" w:afterLines="5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pPr>
        <w:numPr>
          <w:ilvl w:val="2"/>
          <w:numId w:val="2"/>
        </w:numPr>
        <w:tabs>
          <w:tab w:val="left" w:pos="1260"/>
        </w:tabs>
        <w:autoSpaceDE w:val="0"/>
        <w:autoSpaceDN w:val="0"/>
        <w:adjustRightInd w:val="0"/>
        <w:snapToGrid w:val="0"/>
        <w:spacing w:after="120" w:afterLines="5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2"/>
        </w:numPr>
        <w:tabs>
          <w:tab w:val="left" w:pos="1260"/>
        </w:tabs>
        <w:autoSpaceDE w:val="0"/>
        <w:autoSpaceDN w:val="0"/>
        <w:adjustRightInd w:val="0"/>
        <w:snapToGrid w:val="0"/>
        <w:spacing w:after="120" w:afterLines="50"/>
        <w:rPr>
          <w:kern w:val="0"/>
          <w:sz w:val="24"/>
        </w:rPr>
      </w:pPr>
      <w:r>
        <w:rPr>
          <w:kern w:val="0"/>
          <w:sz w:val="24"/>
        </w:rPr>
        <w:t>采购货物名称</w:t>
      </w:r>
    </w:p>
    <w:p>
      <w:pPr>
        <w:autoSpaceDE w:val="0"/>
        <w:autoSpaceDN w:val="0"/>
        <w:adjustRightInd w:val="0"/>
        <w:snapToGrid w:val="0"/>
        <w:spacing w:after="120" w:afterLines="50"/>
        <w:ind w:left="1079"/>
        <w:rPr>
          <w:sz w:val="24"/>
        </w:rPr>
      </w:pPr>
      <w:r>
        <w:rPr>
          <w:sz w:val="24"/>
        </w:rPr>
        <w:t>见招标公告。</w:t>
      </w:r>
    </w:p>
    <w:p>
      <w:pPr>
        <w:autoSpaceDE w:val="0"/>
        <w:autoSpaceDN w:val="0"/>
        <w:adjustRightInd w:val="0"/>
        <w:snapToGrid w:val="0"/>
        <w:spacing w:after="120" w:afterLines="50"/>
        <w:rPr>
          <w:sz w:val="24"/>
        </w:rPr>
      </w:pPr>
      <w:r>
        <w:rPr>
          <w:sz w:val="24"/>
        </w:rPr>
        <w:t>1.1.5    采购标的对应的中小企业划分标准所属行业：</w:t>
      </w:r>
      <w:r>
        <w:rPr>
          <w:kern w:val="0"/>
          <w:sz w:val="24"/>
        </w:rPr>
        <w:t>见投标人须知前附表</w:t>
      </w:r>
    </w:p>
    <w:p>
      <w:pPr>
        <w:numPr>
          <w:ilvl w:val="1"/>
          <w:numId w:val="2"/>
        </w:numPr>
        <w:autoSpaceDE w:val="0"/>
        <w:autoSpaceDN w:val="0"/>
        <w:adjustRightInd w:val="0"/>
        <w:snapToGrid w:val="0"/>
        <w:spacing w:after="120" w:afterLines="50"/>
        <w:rPr>
          <w:kern w:val="0"/>
          <w:sz w:val="24"/>
        </w:rPr>
      </w:pPr>
      <w:bookmarkStart w:id="87" w:name="_Toc195921795"/>
      <w:r>
        <w:rPr>
          <w:kern w:val="0"/>
          <w:sz w:val="24"/>
        </w:rPr>
        <w:t>采购预算</w:t>
      </w:r>
      <w:bookmarkEnd w:id="87"/>
    </w:p>
    <w:p>
      <w:pPr>
        <w:autoSpaceDE w:val="0"/>
        <w:autoSpaceDN w:val="0"/>
        <w:adjustRightInd w:val="0"/>
        <w:snapToGrid w:val="0"/>
        <w:spacing w:after="120" w:afterLines="50"/>
        <w:ind w:left="1079"/>
        <w:rPr>
          <w:sz w:val="24"/>
        </w:rPr>
      </w:pPr>
      <w:r>
        <w:rPr>
          <w:sz w:val="24"/>
        </w:rPr>
        <w:t>见招标公告。</w:t>
      </w:r>
    </w:p>
    <w:p>
      <w:pPr>
        <w:numPr>
          <w:ilvl w:val="1"/>
          <w:numId w:val="2"/>
        </w:numPr>
        <w:autoSpaceDE w:val="0"/>
        <w:autoSpaceDN w:val="0"/>
        <w:adjustRightInd w:val="0"/>
        <w:snapToGrid w:val="0"/>
        <w:spacing w:after="120" w:afterLines="50"/>
        <w:rPr>
          <w:kern w:val="0"/>
          <w:sz w:val="24"/>
        </w:rPr>
      </w:pPr>
      <w:bookmarkStart w:id="88" w:name="_Toc195921796"/>
      <w:r>
        <w:rPr>
          <w:kern w:val="0"/>
          <w:sz w:val="24"/>
        </w:rPr>
        <w:t>最高限价</w:t>
      </w:r>
    </w:p>
    <w:p>
      <w:pPr>
        <w:autoSpaceDE w:val="0"/>
        <w:autoSpaceDN w:val="0"/>
        <w:adjustRightInd w:val="0"/>
        <w:snapToGrid w:val="0"/>
        <w:spacing w:after="120" w:afterLines="50"/>
        <w:ind w:left="1079"/>
        <w:rPr>
          <w:sz w:val="24"/>
        </w:rPr>
      </w:pPr>
      <w:r>
        <w:rPr>
          <w:sz w:val="24"/>
        </w:rPr>
        <w:t>见招标公告。</w:t>
      </w:r>
    </w:p>
    <w:p>
      <w:pPr>
        <w:numPr>
          <w:ilvl w:val="1"/>
          <w:numId w:val="2"/>
        </w:numPr>
        <w:autoSpaceDE w:val="0"/>
        <w:autoSpaceDN w:val="0"/>
        <w:adjustRightInd w:val="0"/>
        <w:snapToGrid w:val="0"/>
        <w:spacing w:after="120" w:afterLines="50"/>
        <w:rPr>
          <w:kern w:val="0"/>
          <w:sz w:val="24"/>
        </w:rPr>
      </w:pPr>
      <w:r>
        <w:rPr>
          <w:kern w:val="0"/>
          <w:sz w:val="24"/>
        </w:rPr>
        <w:t>招标范围、交货期</w:t>
      </w:r>
      <w:r>
        <w:rPr>
          <w:rFonts w:hint="eastAsia"/>
          <w:kern w:val="0"/>
          <w:sz w:val="24"/>
        </w:rPr>
        <w:t>、供货周期</w:t>
      </w:r>
      <w:r>
        <w:rPr>
          <w:kern w:val="0"/>
          <w:sz w:val="24"/>
        </w:rPr>
        <w:t>和质量要求</w:t>
      </w:r>
      <w:bookmarkEnd w:id="88"/>
    </w:p>
    <w:p>
      <w:pPr>
        <w:autoSpaceDE w:val="0"/>
        <w:autoSpaceDN w:val="0"/>
        <w:adjustRightInd w:val="0"/>
        <w:snapToGrid w:val="0"/>
        <w:spacing w:after="120" w:afterLines="50"/>
        <w:ind w:left="1079"/>
        <w:rPr>
          <w:sz w:val="24"/>
        </w:rPr>
      </w:pPr>
      <w:r>
        <w:rPr>
          <w:sz w:val="24"/>
        </w:rPr>
        <w:t>见采购需求。</w:t>
      </w:r>
    </w:p>
    <w:p>
      <w:pPr>
        <w:numPr>
          <w:ilvl w:val="1"/>
          <w:numId w:val="2"/>
        </w:numPr>
        <w:autoSpaceDE w:val="0"/>
        <w:autoSpaceDN w:val="0"/>
        <w:adjustRightInd w:val="0"/>
        <w:snapToGrid w:val="0"/>
        <w:spacing w:after="120" w:afterLines="50"/>
        <w:rPr>
          <w:kern w:val="0"/>
          <w:sz w:val="24"/>
        </w:rPr>
      </w:pPr>
      <w:r>
        <w:rPr>
          <w:kern w:val="0"/>
          <w:sz w:val="24"/>
        </w:rPr>
        <w:t>申请人/投标人：</w:t>
      </w:r>
      <w:r>
        <w:rPr>
          <w:sz w:val="24"/>
        </w:rPr>
        <w:t>指响应招标、参加投标竞争的法人、其他组织或者自然人</w:t>
      </w:r>
      <w:r>
        <w:rPr>
          <w:kern w:val="0"/>
          <w:sz w:val="24"/>
        </w:rPr>
        <w:t>。</w:t>
      </w:r>
    </w:p>
    <w:p>
      <w:pPr>
        <w:numPr>
          <w:ilvl w:val="2"/>
          <w:numId w:val="2"/>
        </w:numPr>
        <w:tabs>
          <w:tab w:val="left" w:pos="1260"/>
        </w:tabs>
        <w:autoSpaceDE w:val="0"/>
        <w:autoSpaceDN w:val="0"/>
        <w:adjustRightInd w:val="0"/>
        <w:snapToGrid w:val="0"/>
        <w:spacing w:after="120" w:afterLines="50"/>
        <w:rPr>
          <w:kern w:val="0"/>
          <w:sz w:val="24"/>
        </w:rPr>
      </w:pPr>
      <w:bookmarkStart w:id="89" w:name="_Ref426956497"/>
      <w:r>
        <w:rPr>
          <w:kern w:val="0"/>
          <w:sz w:val="24"/>
        </w:rPr>
        <w:t>合格的申请人/投标人应具备以下条件：</w:t>
      </w:r>
      <w:bookmarkEnd w:id="89"/>
    </w:p>
    <w:p>
      <w:pPr>
        <w:autoSpaceDE w:val="0"/>
        <w:autoSpaceDN w:val="0"/>
        <w:adjustRightInd w:val="0"/>
        <w:snapToGrid w:val="0"/>
        <w:spacing w:after="120" w:afterLines="50"/>
        <w:ind w:left="1079"/>
        <w:rPr>
          <w:sz w:val="24"/>
        </w:rPr>
      </w:pPr>
      <w:r>
        <w:rPr>
          <w:sz w:val="24"/>
        </w:rPr>
        <w:t>见招标公告。</w:t>
      </w:r>
    </w:p>
    <w:p>
      <w:pPr>
        <w:numPr>
          <w:ilvl w:val="255"/>
          <w:numId w:val="0"/>
        </w:numPr>
        <w:tabs>
          <w:tab w:val="left" w:pos="1260"/>
        </w:tabs>
        <w:autoSpaceDE w:val="0"/>
        <w:autoSpaceDN w:val="0"/>
        <w:adjustRightInd w:val="0"/>
        <w:snapToGrid w:val="0"/>
        <w:spacing w:after="120" w:afterLines="50"/>
        <w:ind w:left="-1134"/>
        <w:rPr>
          <w:kern w:val="0"/>
          <w:sz w:val="24"/>
        </w:rPr>
      </w:pPr>
      <w:r>
        <w:rPr>
          <w:kern w:val="0"/>
          <w:sz w:val="24"/>
        </w:rPr>
        <w:t xml:space="preserve">         1.5.2    是否专门面向中小企业或小型、微型企业采购： 见投标人须知前附表</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1.5.3    投标人应当遵循公平竞争的原则，不得恶意串通，不得妨碍其他投标人的竞争行为，不得损害采购人或者其他投标人的合法权益。</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1.5.4   投标人不得以向采购人、评标委员会成员行贿或者采取其他不正当手段谋取中标。</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1.5.5    本项目将执行在政府采购活动中查询及使用信用记录的规定，具体要求为：</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 xml:space="preserve">信用信息查询的截止时点：投标截止时间。 </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 xml:space="preserve">查询渠道：详见招标公告； </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 xml:space="preserve">信用信息查询记录和证据留存具体方式：投标人的信用信息查询结果网页截图作为查询记录和证据，与其他招标文件一并保存； </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信用信息的使用规则：本政府采购项目的投标人在信用信息查询截止时点（含）之前存在第一章招标公告第六条第2款所述不良信用记录的，投标无效。</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信用信息查询主体：</w:t>
      </w:r>
      <w:r>
        <w:rPr>
          <w:kern w:val="0"/>
          <w:sz w:val="24"/>
        </w:rPr>
        <w:t>见投标人须知前附表</w:t>
      </w:r>
      <w:r>
        <w:rPr>
          <w:sz w:val="24"/>
        </w:rPr>
        <w:t>资格审查主体。</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1.5.6   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fldChar w:fldCharType="separate"/>
      </w:r>
      <w:r>
        <w:rPr>
          <w:kern w:val="0"/>
          <w:sz w:val="24"/>
        </w:rPr>
        <w:t>1.5.1</w:t>
      </w:r>
      <w:r>
        <w:rPr>
          <w:kern w:val="0"/>
          <w:sz w:val="24"/>
        </w:rPr>
        <w:fldChar w:fldCharType="end"/>
      </w:r>
      <w:r>
        <w:rPr>
          <w:kern w:val="0"/>
          <w:sz w:val="24"/>
        </w:rPr>
        <w:t>项和第1.5.5项的要求外，还应遵守以下规定：</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联合体各方应按招标文件提供的格式签订联合体协议书，明确联合体牵头人和各方工作内容和义务；</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联合体各方不得再单独参加或者与其他投标人另外组成联合体参加同一合同项下的投标。</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联合体各方应当共同与采购人签订采购合同，就采购合同约定的事项对采购人承担连带责任。</w:t>
      </w:r>
    </w:p>
    <w:p>
      <w:pPr>
        <w:numPr>
          <w:ilvl w:val="1"/>
          <w:numId w:val="2"/>
        </w:numPr>
        <w:autoSpaceDE w:val="0"/>
        <w:autoSpaceDN w:val="0"/>
        <w:adjustRightInd w:val="0"/>
        <w:snapToGrid w:val="0"/>
        <w:spacing w:after="120" w:afterLines="50"/>
        <w:rPr>
          <w:kern w:val="0"/>
          <w:sz w:val="24"/>
        </w:rPr>
      </w:pPr>
      <w:r>
        <w:rPr>
          <w:kern w:val="0"/>
          <w:sz w:val="24"/>
        </w:rPr>
        <w:t>分包</w:t>
      </w:r>
    </w:p>
    <w:p>
      <w:pPr>
        <w:autoSpaceDE w:val="0"/>
        <w:autoSpaceDN w:val="0"/>
        <w:adjustRightInd w:val="0"/>
        <w:snapToGrid w:val="0"/>
        <w:spacing w:after="120" w:afterLines="50"/>
        <w:ind w:left="1134" w:leftChars="540"/>
        <w:rPr>
          <w:kern w:val="0"/>
          <w:sz w:val="24"/>
        </w:rPr>
      </w:pPr>
      <w:r>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numPr>
          <w:ilvl w:val="1"/>
          <w:numId w:val="2"/>
        </w:numPr>
        <w:autoSpaceDE w:val="0"/>
        <w:autoSpaceDN w:val="0"/>
        <w:adjustRightInd w:val="0"/>
        <w:snapToGrid w:val="0"/>
        <w:spacing w:after="120" w:afterLines="50"/>
        <w:rPr>
          <w:kern w:val="0"/>
          <w:sz w:val="24"/>
        </w:rPr>
      </w:pPr>
      <w:bookmarkStart w:id="90" w:name="_Toc195921799"/>
      <w:r>
        <w:rPr>
          <w:kern w:val="0"/>
          <w:sz w:val="24"/>
        </w:rPr>
        <w:t>合格的货物</w:t>
      </w:r>
    </w:p>
    <w:p>
      <w:pPr>
        <w:numPr>
          <w:ilvl w:val="2"/>
          <w:numId w:val="2"/>
        </w:numPr>
        <w:snapToGrid w:val="0"/>
        <w:spacing w:after="120" w:afterLines="5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fldChar w:fldCharType="separate"/>
      </w:r>
      <w:r>
        <w:rPr>
          <w:sz w:val="24"/>
        </w:rPr>
        <w:t>1.5.1</w:t>
      </w:r>
      <w:r>
        <w:rPr>
          <w:sz w:val="24"/>
        </w:rPr>
        <w:fldChar w:fldCharType="end"/>
      </w:r>
      <w:r>
        <w:rPr>
          <w:sz w:val="24"/>
        </w:rPr>
        <w:t>项所规定的合格投标人。</w:t>
      </w:r>
    </w:p>
    <w:p>
      <w:pPr>
        <w:snapToGrid w:val="0"/>
        <w:spacing w:after="120" w:afterLines="50"/>
        <w:ind w:left="1134" w:leftChars="540"/>
        <w:rPr>
          <w:i/>
          <w:sz w:val="24"/>
        </w:rPr>
      </w:pPr>
      <w:bookmarkStart w:id="91"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1"/>
    </w:p>
    <w:p>
      <w:pPr>
        <w:numPr>
          <w:ilvl w:val="1"/>
          <w:numId w:val="2"/>
        </w:numPr>
        <w:autoSpaceDE w:val="0"/>
        <w:autoSpaceDN w:val="0"/>
        <w:adjustRightInd w:val="0"/>
        <w:snapToGrid w:val="0"/>
        <w:spacing w:after="120" w:afterLines="50"/>
        <w:rPr>
          <w:kern w:val="0"/>
          <w:sz w:val="24"/>
        </w:rPr>
      </w:pPr>
      <w:r>
        <w:rPr>
          <w:kern w:val="0"/>
          <w:sz w:val="24"/>
        </w:rPr>
        <w:t>费用承担</w:t>
      </w:r>
      <w:bookmarkEnd w:id="90"/>
    </w:p>
    <w:p>
      <w:pPr>
        <w:autoSpaceDE w:val="0"/>
        <w:autoSpaceDN w:val="0"/>
        <w:adjustRightInd w:val="0"/>
        <w:snapToGrid w:val="0"/>
        <w:spacing w:after="120" w:afterLines="50"/>
        <w:ind w:left="1134" w:leftChars="540"/>
        <w:rPr>
          <w:kern w:val="0"/>
          <w:sz w:val="24"/>
        </w:rPr>
      </w:pPr>
      <w:r>
        <w:rPr>
          <w:kern w:val="0"/>
          <w:sz w:val="24"/>
        </w:rPr>
        <w:t>投标人准备和参加投标活动发生的费用自理。</w:t>
      </w:r>
    </w:p>
    <w:p>
      <w:pPr>
        <w:numPr>
          <w:ilvl w:val="1"/>
          <w:numId w:val="2"/>
        </w:numPr>
        <w:autoSpaceDE w:val="0"/>
        <w:autoSpaceDN w:val="0"/>
        <w:adjustRightInd w:val="0"/>
        <w:snapToGrid w:val="0"/>
        <w:spacing w:after="120" w:afterLines="50"/>
        <w:rPr>
          <w:kern w:val="0"/>
          <w:sz w:val="24"/>
        </w:rPr>
      </w:pPr>
      <w:bookmarkStart w:id="92" w:name="_Toc195921800"/>
      <w:r>
        <w:rPr>
          <w:kern w:val="0"/>
          <w:sz w:val="24"/>
        </w:rPr>
        <w:t>保密</w:t>
      </w:r>
      <w:bookmarkEnd w:id="92"/>
    </w:p>
    <w:p>
      <w:pPr>
        <w:autoSpaceDE w:val="0"/>
        <w:autoSpaceDN w:val="0"/>
        <w:adjustRightInd w:val="0"/>
        <w:snapToGrid w:val="0"/>
        <w:spacing w:after="120" w:afterLines="50"/>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2"/>
        </w:numPr>
        <w:autoSpaceDE w:val="0"/>
        <w:autoSpaceDN w:val="0"/>
        <w:adjustRightInd w:val="0"/>
        <w:snapToGrid w:val="0"/>
        <w:spacing w:after="120" w:afterLines="50"/>
        <w:rPr>
          <w:kern w:val="0"/>
          <w:sz w:val="24"/>
        </w:rPr>
      </w:pPr>
      <w:bookmarkStart w:id="93" w:name="_Toc195921801"/>
      <w:r>
        <w:rPr>
          <w:kern w:val="0"/>
          <w:sz w:val="24"/>
        </w:rPr>
        <w:t>语言文字</w:t>
      </w:r>
      <w:bookmarkEnd w:id="93"/>
    </w:p>
    <w:p>
      <w:pPr>
        <w:autoSpaceDE w:val="0"/>
        <w:autoSpaceDN w:val="0"/>
        <w:adjustRightInd w:val="0"/>
        <w:snapToGrid w:val="0"/>
        <w:spacing w:after="120" w:afterLines="50"/>
        <w:ind w:left="1134" w:leftChars="540"/>
        <w:rPr>
          <w:kern w:val="0"/>
          <w:sz w:val="24"/>
        </w:rPr>
      </w:pPr>
      <w:r>
        <w:rPr>
          <w:kern w:val="0"/>
          <w:sz w:val="24"/>
        </w:rPr>
        <w:t>除专用术语外，与招标投标有关的语言均使用中文。必要时专用术语应附有中文注释。</w:t>
      </w:r>
    </w:p>
    <w:p>
      <w:pPr>
        <w:numPr>
          <w:ilvl w:val="1"/>
          <w:numId w:val="2"/>
        </w:numPr>
        <w:autoSpaceDE w:val="0"/>
        <w:autoSpaceDN w:val="0"/>
        <w:adjustRightInd w:val="0"/>
        <w:snapToGrid w:val="0"/>
        <w:spacing w:after="120" w:afterLines="50"/>
        <w:rPr>
          <w:kern w:val="0"/>
          <w:sz w:val="24"/>
        </w:rPr>
      </w:pPr>
      <w:bookmarkStart w:id="94" w:name="_Toc195921802"/>
      <w:r>
        <w:rPr>
          <w:kern w:val="0"/>
          <w:sz w:val="24"/>
        </w:rPr>
        <w:t>计量单位</w:t>
      </w:r>
      <w:bookmarkEnd w:id="94"/>
    </w:p>
    <w:p>
      <w:pPr>
        <w:autoSpaceDE w:val="0"/>
        <w:autoSpaceDN w:val="0"/>
        <w:adjustRightInd w:val="0"/>
        <w:snapToGrid w:val="0"/>
        <w:spacing w:after="120" w:afterLines="50"/>
        <w:ind w:left="1134" w:leftChars="540"/>
        <w:rPr>
          <w:kern w:val="0"/>
          <w:sz w:val="24"/>
        </w:rPr>
      </w:pPr>
      <w:r>
        <w:rPr>
          <w:kern w:val="0"/>
          <w:sz w:val="24"/>
        </w:rPr>
        <w:t>所有计量均采用中华人民共和国法定计量单位。</w:t>
      </w:r>
    </w:p>
    <w:p>
      <w:pPr>
        <w:numPr>
          <w:ilvl w:val="0"/>
          <w:numId w:val="2"/>
        </w:numPr>
        <w:autoSpaceDE w:val="0"/>
        <w:autoSpaceDN w:val="0"/>
        <w:adjustRightInd w:val="0"/>
        <w:spacing w:after="120" w:afterLines="50"/>
        <w:outlineLvl w:val="2"/>
        <w:rPr>
          <w:rFonts w:eastAsia="黑体"/>
          <w:kern w:val="0"/>
          <w:sz w:val="24"/>
        </w:rPr>
      </w:pPr>
      <w:bookmarkStart w:id="95" w:name="_Toc29841"/>
      <w:bookmarkStart w:id="96" w:name="_Toc195921807"/>
      <w:bookmarkStart w:id="97" w:name="_Toc24609"/>
      <w:bookmarkStart w:id="98" w:name="_Toc6136"/>
      <w:r>
        <w:rPr>
          <w:rFonts w:eastAsia="黑体"/>
          <w:kern w:val="0"/>
          <w:sz w:val="24"/>
        </w:rPr>
        <w:t>招标文件</w:t>
      </w:r>
      <w:bookmarkEnd w:id="95"/>
      <w:bookmarkEnd w:id="96"/>
      <w:bookmarkEnd w:id="97"/>
      <w:bookmarkEnd w:id="98"/>
    </w:p>
    <w:p>
      <w:pPr>
        <w:numPr>
          <w:ilvl w:val="1"/>
          <w:numId w:val="2"/>
        </w:numPr>
        <w:autoSpaceDE w:val="0"/>
        <w:autoSpaceDN w:val="0"/>
        <w:adjustRightInd w:val="0"/>
        <w:snapToGrid w:val="0"/>
        <w:spacing w:after="120" w:afterLines="50"/>
        <w:rPr>
          <w:kern w:val="0"/>
          <w:sz w:val="24"/>
        </w:rPr>
      </w:pPr>
      <w:bookmarkStart w:id="99" w:name="_Toc195921808"/>
      <w:r>
        <w:rPr>
          <w:kern w:val="0"/>
          <w:sz w:val="24"/>
        </w:rPr>
        <w:t>招标文件的组成</w:t>
      </w:r>
      <w:bookmarkEnd w:id="99"/>
    </w:p>
    <w:p>
      <w:pPr>
        <w:autoSpaceDE w:val="0"/>
        <w:autoSpaceDN w:val="0"/>
        <w:adjustRightInd w:val="0"/>
        <w:snapToGrid w:val="0"/>
        <w:spacing w:after="120" w:afterLines="50"/>
        <w:ind w:left="1134" w:leftChars="540"/>
        <w:rPr>
          <w:kern w:val="0"/>
          <w:sz w:val="24"/>
        </w:rPr>
      </w:pPr>
      <w:r>
        <w:rPr>
          <w:kern w:val="0"/>
          <w:sz w:val="24"/>
        </w:rPr>
        <w:t>本招标文件包括：</w:t>
      </w:r>
    </w:p>
    <w:p>
      <w:pPr>
        <w:autoSpaceDE w:val="0"/>
        <w:autoSpaceDN w:val="0"/>
        <w:adjustRightInd w:val="0"/>
        <w:snapToGrid w:val="0"/>
        <w:spacing w:after="120" w:afterLines="50"/>
        <w:ind w:left="1617" w:leftChars="513" w:hanging="540" w:hangingChars="225"/>
        <w:rPr>
          <w:kern w:val="0"/>
          <w:sz w:val="24"/>
        </w:rPr>
      </w:pPr>
      <w:r>
        <w:rPr>
          <w:kern w:val="0"/>
          <w:sz w:val="24"/>
        </w:rPr>
        <w:t>（1）招标公告（或</w:t>
      </w:r>
      <w:r>
        <w:rPr>
          <w:rFonts w:hint="eastAsia"/>
          <w:kern w:val="0"/>
          <w:sz w:val="24"/>
        </w:rPr>
        <w:t>投标邀请</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（2）投标人须知；</w:t>
      </w:r>
    </w:p>
    <w:p>
      <w:pPr>
        <w:autoSpaceDE w:val="0"/>
        <w:autoSpaceDN w:val="0"/>
        <w:adjustRightInd w:val="0"/>
        <w:snapToGrid w:val="0"/>
        <w:spacing w:after="120" w:afterLines="50"/>
        <w:ind w:left="1617" w:leftChars="513" w:hanging="540" w:hangingChars="225"/>
        <w:rPr>
          <w:kern w:val="0"/>
          <w:sz w:val="24"/>
        </w:rPr>
      </w:pPr>
      <w:r>
        <w:rPr>
          <w:kern w:val="0"/>
          <w:sz w:val="24"/>
        </w:rPr>
        <w:t>（3）资格审查、评标办法和标准；</w:t>
      </w:r>
    </w:p>
    <w:p>
      <w:pPr>
        <w:autoSpaceDE w:val="0"/>
        <w:autoSpaceDN w:val="0"/>
        <w:adjustRightInd w:val="0"/>
        <w:snapToGrid w:val="0"/>
        <w:spacing w:after="120" w:afterLines="50"/>
        <w:ind w:left="1617" w:leftChars="513" w:hanging="540" w:hangingChars="225"/>
        <w:rPr>
          <w:kern w:val="0"/>
          <w:sz w:val="24"/>
        </w:rPr>
      </w:pPr>
      <w:r>
        <w:rPr>
          <w:kern w:val="0"/>
          <w:sz w:val="24"/>
        </w:rPr>
        <w:t>（4）合同条款；</w:t>
      </w:r>
    </w:p>
    <w:p>
      <w:pPr>
        <w:autoSpaceDE w:val="0"/>
        <w:autoSpaceDN w:val="0"/>
        <w:adjustRightInd w:val="0"/>
        <w:snapToGrid w:val="0"/>
        <w:spacing w:after="120" w:afterLines="50"/>
        <w:ind w:left="1617" w:leftChars="513" w:hanging="540" w:hangingChars="225"/>
        <w:rPr>
          <w:kern w:val="0"/>
          <w:sz w:val="24"/>
        </w:rPr>
      </w:pPr>
      <w:r>
        <w:rPr>
          <w:kern w:val="0"/>
          <w:sz w:val="24"/>
        </w:rPr>
        <w:t>（5）</w:t>
      </w:r>
      <w:r>
        <w:rPr>
          <w:sz w:val="24"/>
        </w:rPr>
        <w:t>采购需求</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（6）投标文件格式。</w:t>
      </w:r>
    </w:p>
    <w:p>
      <w:pPr>
        <w:autoSpaceDE w:val="0"/>
        <w:autoSpaceDN w:val="0"/>
        <w:adjustRightInd w:val="0"/>
        <w:snapToGrid w:val="0"/>
        <w:spacing w:after="120" w:afterLines="50"/>
        <w:ind w:left="1134" w:leftChars="540"/>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3款和第</w:t>
      </w:r>
      <w:r>
        <w:rPr>
          <w:kern w:val="0"/>
          <w:sz w:val="24"/>
        </w:rPr>
        <w:fldChar w:fldCharType="begin"/>
      </w:r>
      <w:r>
        <w:rPr>
          <w:kern w:val="0"/>
          <w:sz w:val="24"/>
        </w:rPr>
        <w:instrText xml:space="preserve"> REF _Ref426441954 \r \h  \* MERGEFORMAT </w:instrText>
      </w:r>
      <w:r>
        <w:rPr>
          <w:kern w:val="0"/>
          <w:sz w:val="24"/>
        </w:rPr>
        <w:fldChar w:fldCharType="separate"/>
      </w:r>
      <w:r>
        <w:rPr>
          <w:kern w:val="0"/>
          <w:sz w:val="24"/>
        </w:rPr>
        <w:t>2.</w:t>
      </w:r>
      <w:r>
        <w:rPr>
          <w:kern w:val="0"/>
          <w:sz w:val="24"/>
        </w:rPr>
        <w:fldChar w:fldCharType="end"/>
      </w:r>
      <w:r>
        <w:rPr>
          <w:kern w:val="0"/>
          <w:sz w:val="24"/>
        </w:rPr>
        <w:t>4款对招标文件所作的澄清、修改，构成招标文件的组成部分。</w:t>
      </w:r>
    </w:p>
    <w:p>
      <w:pPr>
        <w:numPr>
          <w:ilvl w:val="1"/>
          <w:numId w:val="2"/>
        </w:numPr>
        <w:autoSpaceDE w:val="0"/>
        <w:autoSpaceDN w:val="0"/>
        <w:adjustRightInd w:val="0"/>
        <w:snapToGrid w:val="0"/>
        <w:spacing w:after="120" w:afterLines="50"/>
        <w:rPr>
          <w:kern w:val="0"/>
          <w:sz w:val="24"/>
        </w:rPr>
      </w:pPr>
      <w:bookmarkStart w:id="100" w:name="_Ref426441946"/>
      <w:bookmarkStart w:id="101" w:name="_Toc195921809"/>
      <w:r>
        <w:rPr>
          <w:kern w:val="0"/>
          <w:sz w:val="24"/>
        </w:rPr>
        <w:t>根据采购项目技术构成、产品价格比重等确定核心产品，核心产品见投标人须知前附表。</w:t>
      </w:r>
    </w:p>
    <w:p>
      <w:pPr>
        <w:numPr>
          <w:ilvl w:val="1"/>
          <w:numId w:val="2"/>
        </w:numPr>
        <w:autoSpaceDE w:val="0"/>
        <w:autoSpaceDN w:val="0"/>
        <w:adjustRightInd w:val="0"/>
        <w:snapToGrid w:val="0"/>
        <w:spacing w:after="120" w:afterLines="50"/>
        <w:rPr>
          <w:kern w:val="0"/>
          <w:sz w:val="24"/>
        </w:rPr>
      </w:pPr>
      <w:r>
        <w:rPr>
          <w:kern w:val="0"/>
          <w:sz w:val="24"/>
        </w:rPr>
        <w:t>招标文件的澄清</w:t>
      </w:r>
      <w:bookmarkEnd w:id="100"/>
      <w:bookmarkEnd w:id="101"/>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投标人应仔细阅读和检查招标文件的全部内容。如发现缺页或附件不全，应及时向采购人提出，以便补齐。</w:t>
      </w:r>
    </w:p>
    <w:p>
      <w:pPr>
        <w:numPr>
          <w:ilvl w:val="2"/>
          <w:numId w:val="2"/>
        </w:numPr>
        <w:tabs>
          <w:tab w:val="left" w:pos="1260"/>
        </w:tabs>
        <w:autoSpaceDE w:val="0"/>
        <w:autoSpaceDN w:val="0"/>
        <w:adjustRightInd w:val="0"/>
        <w:snapToGrid w:val="0"/>
        <w:spacing w:after="120" w:afterLines="5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pPr>
        <w:numPr>
          <w:ilvl w:val="2"/>
          <w:numId w:val="2"/>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以书面形式通知投标人的，投标人应在收到该澄清的24小时内或根据澄清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投标人在收到澄清文件后，应将加盖公章的回执以书面方式通知采购人，确认已收到该澄清。</w:t>
      </w:r>
    </w:p>
    <w:p>
      <w:pPr>
        <w:numPr>
          <w:ilvl w:val="1"/>
          <w:numId w:val="2"/>
        </w:numPr>
        <w:autoSpaceDE w:val="0"/>
        <w:autoSpaceDN w:val="0"/>
        <w:adjustRightInd w:val="0"/>
        <w:snapToGrid w:val="0"/>
        <w:spacing w:after="120" w:afterLines="50"/>
        <w:rPr>
          <w:kern w:val="0"/>
          <w:sz w:val="24"/>
        </w:rPr>
      </w:pPr>
      <w:bookmarkStart w:id="102" w:name="_Toc195921810"/>
      <w:bookmarkStart w:id="103" w:name="_Ref426441954"/>
      <w:r>
        <w:rPr>
          <w:kern w:val="0"/>
          <w:sz w:val="24"/>
        </w:rPr>
        <w:t>招标文件的修改</w:t>
      </w:r>
      <w:bookmarkEnd w:id="102"/>
      <w:bookmarkEnd w:id="103"/>
    </w:p>
    <w:p>
      <w:pPr>
        <w:numPr>
          <w:ilvl w:val="2"/>
          <w:numId w:val="2"/>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在投标截止日前，随时查询招标公告发布媒体的信息，获取对招标文件修改的信息。采购人的修改以书面形式通知投标人的，投标人应在收到该修改通知的24小时内或根据修改通知中要求的时间内予以确认。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投标人收到修改文件后，应将加盖公章的回执以书面方式通知采购人，确认已收到该修改。</w:t>
      </w:r>
    </w:p>
    <w:p>
      <w:pPr>
        <w:numPr>
          <w:ilvl w:val="1"/>
          <w:numId w:val="2"/>
        </w:numPr>
        <w:autoSpaceDE w:val="0"/>
        <w:autoSpaceDN w:val="0"/>
        <w:adjustRightInd w:val="0"/>
        <w:snapToGrid w:val="0"/>
        <w:spacing w:after="120" w:afterLines="50"/>
        <w:rPr>
          <w:kern w:val="0"/>
          <w:sz w:val="24"/>
        </w:rPr>
      </w:pPr>
      <w:r>
        <w:rPr>
          <w:sz w:val="24"/>
        </w:rPr>
        <w:t>投标人认为招标文件使其权益受到损害的，在收到招标文件之日或招标文件公告期限届满之日起七个工作日内，按投标人须知前附表中接收质疑函的方式以书面形式一次性提出质疑。</w:t>
      </w:r>
    </w:p>
    <w:p>
      <w:pPr>
        <w:numPr>
          <w:ilvl w:val="0"/>
          <w:numId w:val="2"/>
        </w:numPr>
        <w:autoSpaceDE w:val="0"/>
        <w:autoSpaceDN w:val="0"/>
        <w:adjustRightInd w:val="0"/>
        <w:spacing w:after="120" w:afterLines="50"/>
        <w:outlineLvl w:val="2"/>
        <w:rPr>
          <w:rFonts w:eastAsia="黑体"/>
          <w:kern w:val="0"/>
          <w:sz w:val="24"/>
        </w:rPr>
      </w:pPr>
      <w:bookmarkStart w:id="104" w:name="_Toc195921811"/>
      <w:bookmarkStart w:id="105" w:name="_Toc23543"/>
      <w:bookmarkStart w:id="106" w:name="_Toc22721"/>
      <w:bookmarkStart w:id="107" w:name="_Toc25864"/>
      <w:r>
        <w:rPr>
          <w:rFonts w:eastAsia="黑体"/>
          <w:kern w:val="0"/>
          <w:sz w:val="24"/>
        </w:rPr>
        <w:t>投标文件</w:t>
      </w:r>
      <w:bookmarkEnd w:id="104"/>
      <w:bookmarkEnd w:id="105"/>
      <w:bookmarkEnd w:id="106"/>
      <w:bookmarkEnd w:id="107"/>
    </w:p>
    <w:p>
      <w:pPr>
        <w:numPr>
          <w:ilvl w:val="1"/>
          <w:numId w:val="2"/>
        </w:numPr>
        <w:autoSpaceDE w:val="0"/>
        <w:autoSpaceDN w:val="0"/>
        <w:adjustRightInd w:val="0"/>
        <w:snapToGrid w:val="0"/>
        <w:spacing w:after="120" w:afterLines="50"/>
        <w:rPr>
          <w:kern w:val="0"/>
          <w:sz w:val="24"/>
        </w:rPr>
      </w:pPr>
      <w:bookmarkStart w:id="108" w:name="_Toc195921812"/>
      <w:r>
        <w:rPr>
          <w:kern w:val="0"/>
          <w:sz w:val="24"/>
        </w:rPr>
        <w:t>投标文件的组成</w:t>
      </w:r>
      <w:bookmarkEnd w:id="108"/>
    </w:p>
    <w:p>
      <w:pPr>
        <w:numPr>
          <w:ilvl w:val="2"/>
          <w:numId w:val="2"/>
        </w:numPr>
        <w:tabs>
          <w:tab w:val="left" w:pos="1260"/>
        </w:tabs>
        <w:autoSpaceDE w:val="0"/>
        <w:autoSpaceDN w:val="0"/>
        <w:adjustRightInd w:val="0"/>
        <w:snapToGrid w:val="0"/>
        <w:spacing w:after="120" w:afterLines="50"/>
        <w:rPr>
          <w:kern w:val="0"/>
          <w:sz w:val="24"/>
        </w:rPr>
      </w:pPr>
      <w:bookmarkStart w:id="109" w:name="_Toc195921813"/>
      <w:r>
        <w:rPr>
          <w:kern w:val="0"/>
          <w:sz w:val="24"/>
        </w:rPr>
        <w:t>投标文件应包括下列内容：</w:t>
      </w:r>
    </w:p>
    <w:p>
      <w:pPr>
        <w:numPr>
          <w:ilvl w:val="0"/>
          <w:numId w:val="5"/>
        </w:numPr>
        <w:autoSpaceDE w:val="0"/>
        <w:autoSpaceDN w:val="0"/>
        <w:adjustRightInd w:val="0"/>
        <w:snapToGrid w:val="0"/>
        <w:spacing w:after="120" w:afterLines="50"/>
        <w:rPr>
          <w:kern w:val="0"/>
          <w:sz w:val="24"/>
        </w:rPr>
      </w:pPr>
      <w:r>
        <w:rPr>
          <w:kern w:val="0"/>
          <w:sz w:val="24"/>
        </w:rPr>
        <w:t>商务部分</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投标明细报价表；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5"/>
        </w:numPr>
        <w:autoSpaceDE w:val="0"/>
        <w:autoSpaceDN w:val="0"/>
        <w:adjustRightInd w:val="0"/>
        <w:snapToGrid w:val="0"/>
        <w:spacing w:after="120" w:afterLines="50"/>
        <w:rPr>
          <w:kern w:val="0"/>
          <w:sz w:val="24"/>
        </w:rPr>
      </w:pPr>
      <w:r>
        <w:rPr>
          <w:kern w:val="0"/>
          <w:sz w:val="24"/>
        </w:rPr>
        <w:t>技术部分：</w:t>
      </w:r>
    </w:p>
    <w:p>
      <w:pPr>
        <w:numPr>
          <w:ilvl w:val="0"/>
          <w:numId w:val="7"/>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5"/>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p>
      <w:pPr>
        <w:numPr>
          <w:ilvl w:val="1"/>
          <w:numId w:val="2"/>
        </w:numPr>
        <w:autoSpaceDE w:val="0"/>
        <w:autoSpaceDN w:val="0"/>
        <w:adjustRightInd w:val="0"/>
        <w:snapToGrid w:val="0"/>
        <w:spacing w:after="120" w:afterLines="50"/>
        <w:ind w:left="1133" w:hanging="1132" w:hangingChars="472"/>
        <w:rPr>
          <w:kern w:val="0"/>
          <w:sz w:val="24"/>
        </w:rPr>
      </w:pPr>
      <w:r>
        <w:rPr>
          <w:kern w:val="0"/>
          <w:sz w:val="24"/>
        </w:rPr>
        <w:t>投标报价</w:t>
      </w:r>
      <w:bookmarkEnd w:id="109"/>
    </w:p>
    <w:p>
      <w:pPr>
        <w:numPr>
          <w:ilvl w:val="2"/>
          <w:numId w:val="2"/>
        </w:numPr>
        <w:tabs>
          <w:tab w:val="left" w:pos="1260"/>
        </w:tabs>
        <w:autoSpaceDE w:val="0"/>
        <w:autoSpaceDN w:val="0"/>
        <w:adjustRightInd w:val="0"/>
        <w:snapToGrid w:val="0"/>
        <w:spacing w:after="120" w:afterLines="50"/>
        <w:rPr>
          <w:kern w:val="0"/>
          <w:sz w:val="24"/>
        </w:rPr>
      </w:pPr>
      <w:bookmarkStart w:id="110" w:name="_Toc195921814"/>
      <w:r>
        <w:rPr>
          <w:kern w:val="0"/>
          <w:sz w:val="24"/>
        </w:rPr>
        <w:t>投标人应按招标文件第六章提供的格式进行投标报价。</w:t>
      </w:r>
    </w:p>
    <w:p>
      <w:pPr>
        <w:numPr>
          <w:ilvl w:val="2"/>
          <w:numId w:val="2"/>
        </w:numPr>
        <w:tabs>
          <w:tab w:val="left" w:pos="1260"/>
        </w:tabs>
        <w:autoSpaceDE w:val="0"/>
        <w:autoSpaceDN w:val="0"/>
        <w:adjustRightInd w:val="0"/>
        <w:snapToGrid w:val="0"/>
        <w:spacing w:after="120" w:afterLines="50"/>
        <w:rPr>
          <w:kern w:val="0"/>
          <w:sz w:val="24"/>
        </w:rPr>
      </w:pPr>
      <w:r>
        <w:rPr>
          <w:kern w:val="0"/>
          <w:sz w:val="24"/>
        </w:rPr>
        <w:t>所有根据合同或其它原因应由投标人支付的税款和其它应交纳的费用都应包括在投标人提交的投标价格中。</w:t>
      </w:r>
    </w:p>
    <w:p>
      <w:pPr>
        <w:numPr>
          <w:ilvl w:val="2"/>
          <w:numId w:val="2"/>
        </w:numPr>
        <w:tabs>
          <w:tab w:val="left" w:pos="1260"/>
        </w:tabs>
        <w:autoSpaceDE w:val="0"/>
        <w:autoSpaceDN w:val="0"/>
        <w:adjustRightInd w:val="0"/>
        <w:snapToGrid w:val="0"/>
        <w:spacing w:after="120" w:afterLines="50"/>
        <w:rPr>
          <w:kern w:val="0"/>
          <w:sz w:val="24"/>
        </w:rPr>
      </w:pPr>
      <w:r>
        <w:rPr>
          <w:kern w:val="0"/>
          <w:sz w:val="24"/>
        </w:rPr>
        <w:t>报价应包含本项目所有税项。</w:t>
      </w:r>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投标人应仔细阅读所有招标文件，填报自己认为正确的报价。</w:t>
      </w:r>
    </w:p>
    <w:p>
      <w:pPr>
        <w:numPr>
          <w:ilvl w:val="1"/>
          <w:numId w:val="2"/>
        </w:numPr>
        <w:autoSpaceDE w:val="0"/>
        <w:autoSpaceDN w:val="0"/>
        <w:adjustRightInd w:val="0"/>
        <w:snapToGrid w:val="0"/>
        <w:spacing w:after="120" w:afterLines="50"/>
        <w:rPr>
          <w:kern w:val="0"/>
          <w:sz w:val="24"/>
        </w:rPr>
      </w:pPr>
      <w:r>
        <w:rPr>
          <w:kern w:val="0"/>
          <w:sz w:val="24"/>
        </w:rPr>
        <w:t>投标人对采购内容只允许有一个报价，采购人不接受任何有选择的报价。</w:t>
      </w:r>
    </w:p>
    <w:p>
      <w:pPr>
        <w:numPr>
          <w:ilvl w:val="1"/>
          <w:numId w:val="2"/>
        </w:numPr>
        <w:autoSpaceDE w:val="0"/>
        <w:autoSpaceDN w:val="0"/>
        <w:adjustRightInd w:val="0"/>
        <w:snapToGrid w:val="0"/>
        <w:spacing w:after="120" w:afterLines="50"/>
        <w:rPr>
          <w:kern w:val="0"/>
          <w:sz w:val="24"/>
        </w:rPr>
      </w:pPr>
      <w:r>
        <w:rPr>
          <w:kern w:val="0"/>
          <w:sz w:val="24"/>
        </w:rPr>
        <w:t>投标人根据本招标文件的规定将投标价分成几部分，只是为了方便采购人对投标文件进行比较，并不限制采购人以上述任何条件订立合同的权力。</w:t>
      </w:r>
    </w:p>
    <w:p>
      <w:pPr>
        <w:numPr>
          <w:ilvl w:val="1"/>
          <w:numId w:val="2"/>
        </w:numPr>
        <w:autoSpaceDE w:val="0"/>
        <w:autoSpaceDN w:val="0"/>
        <w:adjustRightInd w:val="0"/>
        <w:snapToGrid w:val="0"/>
        <w:spacing w:after="120" w:afterLines="50"/>
        <w:rPr>
          <w:kern w:val="0"/>
          <w:sz w:val="24"/>
        </w:rPr>
      </w:pPr>
      <w:r>
        <w:rPr>
          <w:kern w:val="0"/>
          <w:sz w:val="24"/>
        </w:rPr>
        <w:t>除非合同另有约定，投标人所报的投标价在合同执行过程中是固定不变的，不得以任何理由予以变更。任何包含价格调整要求的投标，将被认为是非响应性投标而予以拒绝。</w:t>
      </w:r>
    </w:p>
    <w:p>
      <w:pPr>
        <w:numPr>
          <w:ilvl w:val="1"/>
          <w:numId w:val="2"/>
        </w:numPr>
        <w:autoSpaceDE w:val="0"/>
        <w:autoSpaceDN w:val="0"/>
        <w:adjustRightInd w:val="0"/>
        <w:snapToGrid w:val="0"/>
        <w:spacing w:after="120" w:afterLines="50"/>
        <w:ind w:left="1133" w:hanging="1132" w:hangingChars="472"/>
        <w:rPr>
          <w:kern w:val="0"/>
          <w:sz w:val="24"/>
        </w:rPr>
      </w:pPr>
      <w:bookmarkStart w:id="111" w:name="_Ref421009326"/>
      <w:r>
        <w:rPr>
          <w:kern w:val="0"/>
          <w:sz w:val="24"/>
        </w:rPr>
        <w:t>投标有效期</w:t>
      </w:r>
      <w:bookmarkEnd w:id="110"/>
      <w:bookmarkEnd w:id="111"/>
    </w:p>
    <w:p>
      <w:pPr>
        <w:numPr>
          <w:ilvl w:val="2"/>
          <w:numId w:val="2"/>
        </w:numPr>
        <w:tabs>
          <w:tab w:val="left" w:pos="1260"/>
        </w:tabs>
        <w:autoSpaceDE w:val="0"/>
        <w:autoSpaceDN w:val="0"/>
        <w:adjustRightInd w:val="0"/>
        <w:snapToGrid w:val="0"/>
        <w:spacing w:after="120" w:afterLines="5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pPr>
        <w:numPr>
          <w:ilvl w:val="2"/>
          <w:numId w:val="2"/>
        </w:numPr>
        <w:tabs>
          <w:tab w:val="left" w:pos="1260"/>
        </w:tabs>
        <w:autoSpaceDE w:val="0"/>
        <w:autoSpaceDN w:val="0"/>
        <w:adjustRightInd w:val="0"/>
        <w:snapToGrid w:val="0"/>
        <w:spacing w:after="120" w:afterLines="50"/>
        <w:rPr>
          <w:kern w:val="0"/>
          <w:sz w:val="24"/>
        </w:rPr>
      </w:pPr>
      <w:r>
        <w:rPr>
          <w:kern w:val="0"/>
          <w:sz w:val="24"/>
        </w:rPr>
        <w:t>在投标人须知前附表规定的投标有效期内，投标人</w:t>
      </w:r>
      <w:r>
        <w:t>不得要求</w:t>
      </w:r>
      <w:r>
        <w:rPr>
          <w:kern w:val="0"/>
          <w:sz w:val="24"/>
        </w:rPr>
        <w:t>修改其投标文件。</w:t>
      </w:r>
    </w:p>
    <w:p>
      <w:pPr>
        <w:numPr>
          <w:ilvl w:val="1"/>
          <w:numId w:val="2"/>
        </w:numPr>
        <w:autoSpaceDE w:val="0"/>
        <w:autoSpaceDN w:val="0"/>
        <w:adjustRightInd w:val="0"/>
        <w:snapToGrid w:val="0"/>
        <w:spacing w:after="120" w:afterLines="50"/>
        <w:ind w:left="1133" w:hanging="1132" w:hangingChars="472"/>
        <w:rPr>
          <w:kern w:val="0"/>
          <w:sz w:val="24"/>
        </w:rPr>
      </w:pPr>
      <w:bookmarkStart w:id="112" w:name="_Toc195921815"/>
      <w:r>
        <w:rPr>
          <w:kern w:val="0"/>
          <w:sz w:val="24"/>
        </w:rPr>
        <w:t>投标保证金</w:t>
      </w:r>
      <w:bookmarkEnd w:id="112"/>
    </w:p>
    <w:p>
      <w:pPr>
        <w:numPr>
          <w:ilvl w:val="2"/>
          <w:numId w:val="2"/>
        </w:numPr>
        <w:tabs>
          <w:tab w:val="left" w:pos="1260"/>
        </w:tabs>
        <w:autoSpaceDE w:val="0"/>
        <w:autoSpaceDN w:val="0"/>
        <w:adjustRightInd w:val="0"/>
        <w:snapToGrid w:val="0"/>
        <w:spacing w:after="120" w:afterLines="50"/>
        <w:rPr>
          <w:kern w:val="0"/>
          <w:sz w:val="24"/>
        </w:rPr>
      </w:pPr>
      <w:bookmarkStart w:id="113"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3"/>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投标人不按本章第</w:t>
      </w:r>
      <w:r>
        <w:rPr>
          <w:kern w:val="0"/>
          <w:sz w:val="24"/>
        </w:rPr>
        <w:fldChar w:fldCharType="begin"/>
      </w:r>
      <w:r>
        <w:rPr>
          <w:kern w:val="0"/>
          <w:sz w:val="24"/>
        </w:rPr>
        <w:instrText xml:space="preserve"> REF _Ref419361076 \r \h  \* MERGEFORMAT </w:instrText>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2"/>
        </w:numPr>
        <w:tabs>
          <w:tab w:val="left" w:pos="1260"/>
        </w:tabs>
        <w:autoSpaceDE w:val="0"/>
        <w:autoSpaceDN w:val="0"/>
        <w:adjustRightInd w:val="0"/>
        <w:snapToGrid w:val="0"/>
        <w:spacing w:after="120" w:afterLines="50"/>
        <w:rPr>
          <w:sz w:val="24"/>
        </w:rPr>
      </w:pPr>
      <w:bookmarkStart w:id="114" w:name="_Ref419361088"/>
      <w:r>
        <w:rPr>
          <w:sz w:val="24"/>
        </w:rPr>
        <w:t>投标人在投标截止时间3日前，按招标文件的要求向招标代理机构递交投标保证金，投标截止时间之后递交的投标保证金投标将被拒绝。</w:t>
      </w:r>
      <w:bookmarkEnd w:id="114"/>
    </w:p>
    <w:p>
      <w:pPr>
        <w:numPr>
          <w:ilvl w:val="2"/>
          <w:numId w:val="2"/>
        </w:numPr>
        <w:tabs>
          <w:tab w:val="left" w:pos="1260"/>
        </w:tabs>
        <w:autoSpaceDE w:val="0"/>
        <w:autoSpaceDN w:val="0"/>
        <w:adjustRightInd w:val="0"/>
        <w:snapToGrid w:val="0"/>
        <w:spacing w:after="120" w:afterLines="50"/>
        <w:rPr>
          <w:sz w:val="24"/>
        </w:rPr>
      </w:pPr>
      <w:r>
        <w:rPr>
          <w:sz w:val="24"/>
        </w:rPr>
        <w:t>投标人在汇款时务必注明所投标项目的项目编号及用途，否则，因款项用途不明导致投标无效等后果由投标人自行承担。</w:t>
      </w:r>
    </w:p>
    <w:p>
      <w:pPr>
        <w:numPr>
          <w:ilvl w:val="2"/>
          <w:numId w:val="2"/>
        </w:numPr>
        <w:tabs>
          <w:tab w:val="left" w:pos="1260"/>
        </w:tabs>
        <w:autoSpaceDE w:val="0"/>
        <w:autoSpaceDN w:val="0"/>
        <w:adjustRightInd w:val="0"/>
        <w:snapToGrid w:val="0"/>
        <w:spacing w:after="120" w:afterLines="50"/>
        <w:rPr>
          <w:kern w:val="0"/>
          <w:sz w:val="24"/>
        </w:rPr>
      </w:pPr>
      <w:r>
        <w:rPr>
          <w:kern w:val="0"/>
          <w:sz w:val="24"/>
        </w:rPr>
        <w:t>采购人或者采购代理机构应当自中标通知书发出之日起5个工作日内退还未中标人的投标保证金，自政府采购合同签订之日起5个工作日内退还中标人的投标保证金</w:t>
      </w:r>
      <w:r>
        <w:rPr>
          <w:sz w:val="24"/>
        </w:rPr>
        <w:t>或者转为中标人的履约保证金</w:t>
      </w:r>
      <w:r>
        <w:rPr>
          <w:kern w:val="0"/>
          <w:sz w:val="24"/>
        </w:rPr>
        <w:t>。</w:t>
      </w:r>
    </w:p>
    <w:p>
      <w:pPr>
        <w:tabs>
          <w:tab w:val="left" w:pos="1260"/>
        </w:tabs>
        <w:autoSpaceDE w:val="0"/>
        <w:autoSpaceDN w:val="0"/>
        <w:adjustRightInd w:val="0"/>
        <w:snapToGrid w:val="0"/>
        <w:spacing w:after="120" w:afterLines="50"/>
        <w:ind w:left="1058" w:hanging="1058" w:hangingChars="441"/>
        <w:rPr>
          <w:kern w:val="0"/>
          <w:sz w:val="24"/>
        </w:rPr>
      </w:pPr>
      <w:r>
        <w:rPr>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pPr>
        <w:numPr>
          <w:ilvl w:val="2"/>
          <w:numId w:val="2"/>
        </w:numPr>
        <w:tabs>
          <w:tab w:val="left" w:pos="1260"/>
        </w:tabs>
        <w:autoSpaceDE w:val="0"/>
        <w:autoSpaceDN w:val="0"/>
        <w:adjustRightInd w:val="0"/>
        <w:snapToGrid w:val="0"/>
        <w:spacing w:after="120" w:afterLines="50"/>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（1）投标人在投标有效期内撤销投标文件的；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（5）招标文件规定应由中标人缴纳招标服务费而中标人未缴纳的，扣除相同金额以用于缴纳服务费；</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（7）存在其他违法违规行为的。</w:t>
      </w:r>
    </w:p>
    <w:p>
      <w:pPr>
        <w:numPr>
          <w:ilvl w:val="1"/>
          <w:numId w:val="2"/>
        </w:numPr>
        <w:autoSpaceDE w:val="0"/>
        <w:autoSpaceDN w:val="0"/>
        <w:adjustRightInd w:val="0"/>
        <w:snapToGrid w:val="0"/>
        <w:spacing w:after="120" w:afterLines="50"/>
        <w:ind w:left="1133" w:hanging="1132" w:hangingChars="472"/>
        <w:rPr>
          <w:kern w:val="0"/>
          <w:sz w:val="24"/>
        </w:rPr>
      </w:pPr>
      <w:bookmarkStart w:id="115" w:name="_Toc195921818"/>
      <w:r>
        <w:rPr>
          <w:kern w:val="0"/>
          <w:sz w:val="24"/>
        </w:rPr>
        <w:t>投标文件的编制</w:t>
      </w:r>
      <w:bookmarkEnd w:id="115"/>
    </w:p>
    <w:p>
      <w:pPr>
        <w:numPr>
          <w:ilvl w:val="2"/>
          <w:numId w:val="2"/>
        </w:numPr>
        <w:tabs>
          <w:tab w:val="left" w:pos="1260"/>
        </w:tabs>
        <w:autoSpaceDE w:val="0"/>
        <w:autoSpaceDN w:val="0"/>
        <w:adjustRightInd w:val="0"/>
        <w:snapToGrid w:val="0"/>
        <w:spacing w:after="120" w:afterLines="50"/>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ind w:left="1134"/>
        <w:rPr>
          <w:kern w:val="0"/>
          <w:sz w:val="24"/>
        </w:rPr>
      </w:pPr>
      <w:r>
        <w:rPr>
          <w:kern w:val="0"/>
          <w:sz w:val="24"/>
        </w:rPr>
        <w:t>投标文件应当对招标文件有关交货期、投标有效期、对招标范围以及</w:t>
      </w:r>
      <w:r>
        <w:rPr>
          <w:sz w:val="24"/>
        </w:rPr>
        <w:t>采购项目的技术规格、数量、服务标准、验收</w:t>
      </w:r>
      <w:r>
        <w:rPr>
          <w:kern w:val="0"/>
          <w:sz w:val="24"/>
        </w:rPr>
        <w:t>等实质性内容作出响应。</w:t>
      </w:r>
    </w:p>
    <w:p>
      <w:pPr>
        <w:numPr>
          <w:ilvl w:val="2"/>
          <w:numId w:val="2"/>
        </w:numPr>
        <w:tabs>
          <w:tab w:val="left" w:pos="1260"/>
        </w:tabs>
        <w:autoSpaceDE w:val="0"/>
        <w:autoSpaceDN w:val="0"/>
        <w:adjustRightInd w:val="0"/>
        <w:snapToGrid w:val="0"/>
        <w:spacing w:after="120" w:afterLines="50"/>
        <w:rPr>
          <w:kern w:val="0"/>
          <w:sz w:val="24"/>
        </w:rPr>
      </w:pPr>
      <w:r>
        <w:rPr>
          <w:kern w:val="0"/>
          <w:sz w:val="24"/>
        </w:rPr>
        <w:t>投标人的法定代表人或经授权的代表须根据招标文件第六章的规定在投标文件中需要签字或盖章的位置签字（加盖人名章）或加盖单位公章。授权代表须</w:t>
      </w:r>
      <w:r>
        <w:rPr>
          <w:rFonts w:hint="eastAsia"/>
          <w:kern w:val="0"/>
          <w:sz w:val="24"/>
        </w:rPr>
        <w:t>将</w:t>
      </w:r>
      <w:r>
        <w:rPr>
          <w:kern w:val="0"/>
          <w:sz w:val="24"/>
        </w:rPr>
        <w:t>“法定代表人授权书”（标准格式附后）附在投标文件中。签字或加盖人名章的其他要求见投标人须知前附表。</w:t>
      </w:r>
    </w:p>
    <w:p>
      <w:pPr>
        <w:tabs>
          <w:tab w:val="left" w:pos="1260"/>
        </w:tabs>
        <w:autoSpaceDE w:val="0"/>
        <w:autoSpaceDN w:val="0"/>
        <w:adjustRightInd w:val="0"/>
        <w:snapToGrid w:val="0"/>
        <w:spacing w:after="120" w:afterLines="50"/>
        <w:ind w:left="1134" w:leftChars="540"/>
        <w:rPr>
          <w:kern w:val="0"/>
          <w:sz w:val="24"/>
        </w:rPr>
      </w:pPr>
      <w:r>
        <w:rPr>
          <w:kern w:val="0"/>
          <w:sz w:val="24"/>
        </w:rPr>
        <w:t>投标截止时间前，如对投标文件进行了修改，包括对投标文件行间插字、涂改和增删，应</w:t>
      </w:r>
      <w:r>
        <w:rPr>
          <w:rFonts w:hint="eastAsia"/>
          <w:kern w:val="0"/>
          <w:sz w:val="24"/>
        </w:rPr>
        <w:t>按政采云电子平台的相关规定在投标截止时间前撤回电子投标文件（如政采云平台支持），修改后电子投标文件应按招标文件规定</w:t>
      </w:r>
      <w:r>
        <w:rPr>
          <w:kern w:val="0"/>
          <w:sz w:val="24"/>
        </w:rPr>
        <w:t>由投标人的法定代表人或经正式授权的代表</w:t>
      </w:r>
      <w:r>
        <w:rPr>
          <w:rFonts w:hint="eastAsia"/>
          <w:kern w:val="0"/>
          <w:sz w:val="24"/>
        </w:rPr>
        <w:t>电子签章后重新提交上传至政采云平台</w:t>
      </w:r>
      <w:r>
        <w:rPr>
          <w:kern w:val="0"/>
          <w:sz w:val="24"/>
        </w:rPr>
        <w:t>。</w:t>
      </w:r>
    </w:p>
    <w:p>
      <w:pPr>
        <w:numPr>
          <w:ilvl w:val="2"/>
          <w:numId w:val="2"/>
        </w:numPr>
        <w:tabs>
          <w:tab w:val="left" w:pos="1260"/>
        </w:tabs>
        <w:autoSpaceDE w:val="0"/>
        <w:autoSpaceDN w:val="0"/>
        <w:adjustRightInd w:val="0"/>
        <w:snapToGrid w:val="0"/>
        <w:spacing w:after="120" w:afterLines="50" w:line="360" w:lineRule="auto"/>
        <w:rPr>
          <w:kern w:val="0"/>
          <w:sz w:val="24"/>
        </w:rPr>
      </w:pPr>
      <w:r>
        <w:rPr>
          <w:rFonts w:hint="eastAsia"/>
          <w:kern w:val="0"/>
          <w:sz w:val="24"/>
        </w:rPr>
        <w:t>电子</w:t>
      </w:r>
      <w:r>
        <w:rPr>
          <w:kern w:val="0"/>
          <w:sz w:val="24"/>
        </w:rPr>
        <w:t>投标文件</w:t>
      </w:r>
      <w:r>
        <w:rPr>
          <w:rFonts w:hint="eastAsia"/>
          <w:kern w:val="0"/>
          <w:sz w:val="24"/>
        </w:rPr>
        <w:t>的要求见</w:t>
      </w:r>
      <w:r>
        <w:rPr>
          <w:kern w:val="0"/>
          <w:sz w:val="24"/>
        </w:rPr>
        <w:t>投标人须知前附表。</w:t>
      </w:r>
    </w:p>
    <w:p>
      <w:pPr>
        <w:numPr>
          <w:ilvl w:val="0"/>
          <w:numId w:val="2"/>
        </w:numPr>
        <w:autoSpaceDE w:val="0"/>
        <w:autoSpaceDN w:val="0"/>
        <w:adjustRightInd w:val="0"/>
        <w:spacing w:after="120" w:afterLines="50"/>
        <w:outlineLvl w:val="2"/>
        <w:rPr>
          <w:rFonts w:eastAsia="黑体"/>
          <w:kern w:val="0"/>
          <w:sz w:val="24"/>
        </w:rPr>
      </w:pPr>
      <w:bookmarkStart w:id="116" w:name="_Toc17490"/>
      <w:r>
        <w:rPr>
          <w:rFonts w:hint="eastAsia" w:eastAsia="黑体"/>
          <w:kern w:val="0"/>
          <w:sz w:val="24"/>
        </w:rPr>
        <w:t>加密电子投标文件</w:t>
      </w:r>
      <w:bookmarkEnd w:id="116"/>
    </w:p>
    <w:p>
      <w:pPr>
        <w:numPr>
          <w:ilvl w:val="2"/>
          <w:numId w:val="2"/>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投标人应在投标截止时间前将电子加密投标文件成功上传递交至政府采购云平台，否则投标无效。投标文件递交截止时间以新疆政府采购网上发布的本项目投标截止时间为准。</w:t>
      </w:r>
    </w:p>
    <w:p>
      <w:pPr>
        <w:pStyle w:val="428"/>
        <w:numPr>
          <w:ilvl w:val="1"/>
          <w:numId w:val="2"/>
        </w:numPr>
        <w:autoSpaceDE w:val="0"/>
        <w:autoSpaceDN w:val="0"/>
        <w:adjustRightInd w:val="0"/>
        <w:snapToGrid w:val="0"/>
        <w:spacing w:after="120" w:afterLines="50" w:line="360" w:lineRule="auto"/>
        <w:ind w:firstLineChars="0"/>
        <w:rPr>
          <w:kern w:val="0"/>
          <w:sz w:val="24"/>
        </w:rPr>
      </w:pPr>
      <w:bookmarkStart w:id="117" w:name="_Toc195921821"/>
      <w:r>
        <w:rPr>
          <w:kern w:val="0"/>
          <w:sz w:val="24"/>
        </w:rPr>
        <w:t>投标文件的递交</w:t>
      </w:r>
      <w:bookmarkEnd w:id="117"/>
    </w:p>
    <w:p>
      <w:pPr>
        <w:numPr>
          <w:ilvl w:val="255"/>
          <w:numId w:val="0"/>
        </w:numPr>
        <w:tabs>
          <w:tab w:val="left" w:pos="1021"/>
        </w:tabs>
        <w:autoSpaceDE w:val="0"/>
        <w:autoSpaceDN w:val="0"/>
        <w:adjustRightInd w:val="0"/>
        <w:snapToGrid w:val="0"/>
        <w:spacing w:after="120" w:afterLines="50" w:line="360" w:lineRule="auto"/>
        <w:ind w:left="1200" w:hanging="1200" w:hangingChars="500"/>
        <w:rPr>
          <w:b/>
          <w:bCs/>
          <w:kern w:val="0"/>
          <w:sz w:val="24"/>
        </w:rPr>
      </w:pPr>
      <w:r>
        <w:rPr>
          <w:rFonts w:hint="eastAsia"/>
          <w:kern w:val="0"/>
          <w:sz w:val="24"/>
        </w:rPr>
        <w:t>4</w:t>
      </w:r>
      <w:r>
        <w:rPr>
          <w:kern w:val="0"/>
          <w:sz w:val="24"/>
        </w:rPr>
        <w:t xml:space="preserve">.2.1      </w:t>
      </w:r>
      <w:r>
        <w:rPr>
          <w:b/>
          <w:bCs/>
          <w:kern w:val="0"/>
          <w:sz w:val="24"/>
        </w:rPr>
        <w:t>投标人应在招标文件要求提交投标文件的截止时间前，</w:t>
      </w:r>
      <w:r>
        <w:rPr>
          <w:rFonts w:hint="eastAsia"/>
          <w:b/>
          <w:bCs/>
          <w:kern w:val="0"/>
          <w:sz w:val="24"/>
        </w:rPr>
        <w:t>投标人应将加密的电子投标文件上传到政采云平台https://www.zcygov.cn对应位置（逾期未上传的或未按规定加密的投标文件将被拒绝接收）。</w:t>
      </w:r>
    </w:p>
    <w:p>
      <w:pPr>
        <w:pStyle w:val="428"/>
        <w:numPr>
          <w:ilvl w:val="2"/>
          <w:numId w:val="8"/>
        </w:numPr>
        <w:tabs>
          <w:tab w:val="left" w:pos="1021"/>
        </w:tabs>
        <w:autoSpaceDE w:val="0"/>
        <w:autoSpaceDN w:val="0"/>
        <w:adjustRightInd w:val="0"/>
        <w:snapToGrid w:val="0"/>
        <w:spacing w:after="120" w:afterLines="50"/>
        <w:ind w:firstLineChars="0"/>
        <w:rPr>
          <w:kern w:val="0"/>
          <w:sz w:val="24"/>
        </w:rPr>
      </w:pPr>
      <w:r>
        <w:rPr>
          <w:rFonts w:hint="eastAsia"/>
          <w:kern w:val="0"/>
          <w:sz w:val="24"/>
        </w:rPr>
        <w:t xml:space="preserve"> </w:t>
      </w:r>
      <w:r>
        <w:rPr>
          <w:kern w:val="0"/>
          <w:sz w:val="24"/>
        </w:rPr>
        <w:t>投标人递交投标文件的地点：见招标公告。</w:t>
      </w:r>
    </w:p>
    <w:p>
      <w:pPr>
        <w:pStyle w:val="428"/>
        <w:numPr>
          <w:ilvl w:val="2"/>
          <w:numId w:val="8"/>
        </w:numPr>
        <w:tabs>
          <w:tab w:val="left" w:pos="1021"/>
        </w:tabs>
        <w:autoSpaceDE w:val="0"/>
        <w:autoSpaceDN w:val="0"/>
        <w:adjustRightInd w:val="0"/>
        <w:snapToGrid w:val="0"/>
        <w:spacing w:after="120" w:afterLines="50"/>
        <w:ind w:firstLineChars="0"/>
        <w:rPr>
          <w:kern w:val="0"/>
          <w:sz w:val="24"/>
        </w:rPr>
      </w:pPr>
      <w:r>
        <w:rPr>
          <w:kern w:val="0"/>
          <w:sz w:val="24"/>
        </w:rPr>
        <w:t xml:space="preserve"> 除投标人不足3家未开标情形外，投标人所递交的投标文件不予退还。</w:t>
      </w:r>
    </w:p>
    <w:p>
      <w:pPr>
        <w:pStyle w:val="428"/>
        <w:numPr>
          <w:ilvl w:val="2"/>
          <w:numId w:val="8"/>
        </w:numPr>
        <w:tabs>
          <w:tab w:val="left" w:pos="1021"/>
        </w:tabs>
        <w:autoSpaceDE w:val="0"/>
        <w:autoSpaceDN w:val="0"/>
        <w:adjustRightInd w:val="0"/>
        <w:snapToGrid w:val="0"/>
        <w:spacing w:after="120" w:afterLines="50"/>
        <w:ind w:firstLineChars="0"/>
        <w:jc w:val="left"/>
        <w:rPr>
          <w:kern w:val="0"/>
          <w:sz w:val="24"/>
        </w:rPr>
      </w:pPr>
      <w:r>
        <w:rPr>
          <w:kern w:val="0"/>
          <w:sz w:val="24"/>
        </w:rPr>
        <w:t xml:space="preserve"> 逾期送达或者未按照招标文件要求</w:t>
      </w:r>
      <w:r>
        <w:rPr>
          <w:rFonts w:hint="eastAsia"/>
          <w:kern w:val="0"/>
          <w:sz w:val="24"/>
        </w:rPr>
        <w:t>加密</w:t>
      </w:r>
      <w:r>
        <w:rPr>
          <w:kern w:val="0"/>
          <w:sz w:val="24"/>
        </w:rPr>
        <w:t>的投标文件，采购人、采购代</w:t>
      </w:r>
      <w:r>
        <w:rPr>
          <w:rFonts w:hint="eastAsia"/>
          <w:kern w:val="0"/>
          <w:sz w:val="24"/>
        </w:rPr>
        <w:t xml:space="preserve"> </w:t>
      </w:r>
    </w:p>
    <w:p>
      <w:pPr>
        <w:pStyle w:val="428"/>
        <w:tabs>
          <w:tab w:val="left" w:pos="1021"/>
        </w:tabs>
        <w:autoSpaceDE w:val="0"/>
        <w:autoSpaceDN w:val="0"/>
        <w:adjustRightInd w:val="0"/>
        <w:snapToGrid w:val="0"/>
        <w:spacing w:after="120" w:afterLines="50"/>
        <w:ind w:firstLine="240" w:firstLineChars="100"/>
        <w:jc w:val="left"/>
        <w:rPr>
          <w:kern w:val="0"/>
          <w:sz w:val="24"/>
        </w:rPr>
      </w:pPr>
      <w:r>
        <w:rPr>
          <w:rFonts w:hint="eastAsia"/>
          <w:kern w:val="0"/>
          <w:sz w:val="24"/>
        </w:rPr>
        <w:t xml:space="preserve">       </w:t>
      </w:r>
      <w:r>
        <w:rPr>
          <w:kern w:val="0"/>
          <w:sz w:val="24"/>
        </w:rPr>
        <w:t>理机构应当拒收。</w:t>
      </w:r>
    </w:p>
    <w:p>
      <w:pPr>
        <w:numPr>
          <w:ilvl w:val="1"/>
          <w:numId w:val="9"/>
        </w:numPr>
        <w:autoSpaceDE w:val="0"/>
        <w:autoSpaceDN w:val="0"/>
        <w:adjustRightInd w:val="0"/>
        <w:snapToGrid w:val="0"/>
        <w:spacing w:after="120" w:afterLines="50"/>
        <w:rPr>
          <w:kern w:val="0"/>
          <w:sz w:val="24"/>
        </w:rPr>
      </w:pPr>
      <w:bookmarkStart w:id="118" w:name="_Toc195921822"/>
      <w:r>
        <w:rPr>
          <w:kern w:val="0"/>
          <w:sz w:val="24"/>
        </w:rPr>
        <w:t>投标文件的修改与撤回</w:t>
      </w:r>
      <w:bookmarkEnd w:id="118"/>
    </w:p>
    <w:p>
      <w:pPr>
        <w:numPr>
          <w:ilvl w:val="255"/>
          <w:numId w:val="0"/>
        </w:numPr>
        <w:autoSpaceDE w:val="0"/>
        <w:autoSpaceDN w:val="0"/>
        <w:adjustRightInd w:val="0"/>
        <w:snapToGrid w:val="0"/>
        <w:spacing w:after="120" w:afterLines="50"/>
        <w:ind w:left="1200" w:hanging="1200" w:hangingChars="500"/>
        <w:rPr>
          <w:kern w:val="0"/>
          <w:sz w:val="24"/>
        </w:rPr>
      </w:pPr>
      <w:r>
        <w:rPr>
          <w:kern w:val="0"/>
          <w:sz w:val="24"/>
        </w:rPr>
        <w:t>4.3.1</w:t>
      </w:r>
      <w:r>
        <w:rPr>
          <w:rFonts w:hint="eastAsia"/>
          <w:kern w:val="0"/>
          <w:sz w:val="24"/>
        </w:rPr>
        <w:t xml:space="preserve">      投标人</w:t>
      </w:r>
      <w:r>
        <w:rPr>
          <w:kern w:val="0"/>
          <w:sz w:val="24"/>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投标文件撤回。投标截止时间后传输递交的投标文件，“政府采购云平台”将予以拒收。投标截止时间后，</w:t>
      </w:r>
      <w:r>
        <w:rPr>
          <w:rFonts w:hint="eastAsia"/>
          <w:kern w:val="0"/>
          <w:sz w:val="24"/>
        </w:rPr>
        <w:t>投标人</w:t>
      </w:r>
      <w:r>
        <w:rPr>
          <w:kern w:val="0"/>
          <w:sz w:val="24"/>
        </w:rPr>
        <w:t>不得修改（补充）或撤回其投标文件。</w:t>
      </w:r>
    </w:p>
    <w:p>
      <w:pPr>
        <w:numPr>
          <w:ilvl w:val="0"/>
          <w:numId w:val="2"/>
        </w:numPr>
        <w:autoSpaceDE w:val="0"/>
        <w:autoSpaceDN w:val="0"/>
        <w:adjustRightInd w:val="0"/>
        <w:spacing w:after="120" w:afterLines="50"/>
        <w:outlineLvl w:val="2"/>
        <w:rPr>
          <w:rFonts w:eastAsia="黑体"/>
          <w:kern w:val="0"/>
          <w:sz w:val="24"/>
        </w:rPr>
      </w:pPr>
      <w:bookmarkStart w:id="119" w:name="_Toc3444"/>
      <w:bookmarkStart w:id="120" w:name="_Toc195921823"/>
      <w:bookmarkStart w:id="121" w:name="_Toc16836"/>
      <w:bookmarkStart w:id="122" w:name="_Toc10465"/>
      <w:r>
        <w:rPr>
          <w:rFonts w:hint="eastAsia" w:eastAsia="黑体"/>
          <w:kern w:val="0"/>
          <w:sz w:val="24"/>
        </w:rPr>
        <w:t>开标</w:t>
      </w:r>
      <w:bookmarkEnd w:id="119"/>
      <w:bookmarkEnd w:id="120"/>
      <w:bookmarkEnd w:id="121"/>
      <w:bookmarkEnd w:id="122"/>
    </w:p>
    <w:p>
      <w:pPr>
        <w:autoSpaceDE w:val="0"/>
        <w:autoSpaceDN w:val="0"/>
        <w:adjustRightInd w:val="0"/>
        <w:snapToGrid w:val="0"/>
        <w:spacing w:after="120" w:afterLines="50"/>
        <w:ind w:left="-991" w:leftChars="-472" w:firstLine="960" w:firstLineChars="400"/>
        <w:rPr>
          <w:kern w:val="0"/>
          <w:sz w:val="24"/>
        </w:rPr>
      </w:pPr>
      <w:bookmarkStart w:id="123" w:name="_Toc195921824"/>
      <w:r>
        <w:rPr>
          <w:rFonts w:hint="eastAsia"/>
          <w:kern w:val="0"/>
          <w:sz w:val="24"/>
        </w:rPr>
        <w:t xml:space="preserve">5.1       </w:t>
      </w:r>
      <w:bookmarkEnd w:id="123"/>
      <w:r>
        <w:rPr>
          <w:kern w:val="0"/>
          <w:sz w:val="24"/>
        </w:rPr>
        <w:t>开标时间和地点</w:t>
      </w:r>
    </w:p>
    <w:p>
      <w:pPr>
        <w:tabs>
          <w:tab w:val="left" w:pos="1260"/>
        </w:tabs>
        <w:autoSpaceDE w:val="0"/>
        <w:autoSpaceDN w:val="0"/>
        <w:adjustRightInd w:val="0"/>
        <w:snapToGrid w:val="0"/>
        <w:spacing w:after="120" w:afterLines="50"/>
        <w:ind w:left="1134"/>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pPr>
        <w:autoSpaceDE w:val="0"/>
        <w:autoSpaceDN w:val="0"/>
        <w:adjustRightInd w:val="0"/>
        <w:snapToGrid w:val="0"/>
        <w:spacing w:after="120" w:afterLines="50"/>
        <w:ind w:left="1175" w:leftChars="-12" w:hanging="1200" w:hangingChars="500"/>
        <w:jc w:val="left"/>
        <w:rPr>
          <w:color w:val="FF0000"/>
          <w:kern w:val="0"/>
          <w:sz w:val="24"/>
        </w:rPr>
      </w:pPr>
      <w:r>
        <w:rPr>
          <w:rFonts w:hint="eastAsia"/>
          <w:kern w:val="0"/>
          <w:sz w:val="24"/>
        </w:rPr>
        <w:t xml:space="preserve">5.2       </w:t>
      </w:r>
      <w:r>
        <w:rPr>
          <w:kern w:val="0"/>
          <w:sz w:val="24"/>
        </w:rPr>
        <w:t>开标时，</w:t>
      </w:r>
      <w:r>
        <w:rPr>
          <w:rFonts w:hint="eastAsia"/>
          <w:kern w:val="0"/>
          <w:sz w:val="24"/>
        </w:rPr>
        <w:t>经工作人员</w:t>
      </w:r>
      <w:r>
        <w:rPr>
          <w:kern w:val="0"/>
          <w:sz w:val="24"/>
        </w:rPr>
        <w:t>检查</w:t>
      </w:r>
      <w:r>
        <w:rPr>
          <w:rFonts w:hint="eastAsia"/>
          <w:kern w:val="0"/>
          <w:sz w:val="24"/>
        </w:rPr>
        <w:t>电子</w:t>
      </w:r>
      <w:r>
        <w:rPr>
          <w:kern w:val="0"/>
          <w:sz w:val="24"/>
        </w:rPr>
        <w:t>投标文件的</w:t>
      </w:r>
      <w:r>
        <w:rPr>
          <w:rFonts w:hint="eastAsia"/>
          <w:kern w:val="0"/>
          <w:sz w:val="24"/>
        </w:rPr>
        <w:t>加密</w:t>
      </w:r>
      <w:r>
        <w:rPr>
          <w:kern w:val="0"/>
          <w:sz w:val="24"/>
        </w:rPr>
        <w:t>情况；经确认无误后，由</w:t>
      </w:r>
      <w:r>
        <w:rPr>
          <w:sz w:val="24"/>
        </w:rPr>
        <w:t>采购人或者采购代理机构工作人员当众</w:t>
      </w:r>
      <w:r>
        <w:rPr>
          <w:rFonts w:hint="eastAsia"/>
          <w:sz w:val="24"/>
        </w:rPr>
        <w:t>开启解密</w:t>
      </w:r>
      <w:r>
        <w:rPr>
          <w:sz w:val="24"/>
        </w:rPr>
        <w:t>，</w:t>
      </w:r>
      <w:r>
        <w:rPr>
          <w:rFonts w:hint="eastAsia"/>
          <w:sz w:val="24"/>
        </w:rPr>
        <w:t>宣布投标人名称、投标价格和招标文件规定的需要宣布的其他内容</w:t>
      </w:r>
      <w:r>
        <w:rPr>
          <w:rFonts w:hint="eastAsia"/>
          <w:kern w:val="0"/>
          <w:sz w:val="24"/>
        </w:rPr>
        <w:t>。</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投标人不足3家的，不进行开标。</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5.3       </w:t>
      </w:r>
      <w:r>
        <w:rPr>
          <w:kern w:val="0"/>
          <w:sz w:val="24"/>
        </w:rPr>
        <w:t>开标过程由</w:t>
      </w:r>
      <w:r>
        <w:rPr>
          <w:rFonts w:hint="eastAsia"/>
          <w:kern w:val="0"/>
          <w:sz w:val="24"/>
        </w:rPr>
        <w:t>采购人或者采购代理机构负责记录</w:t>
      </w:r>
      <w:r>
        <w:rPr>
          <w:kern w:val="0"/>
          <w:sz w:val="24"/>
        </w:rPr>
        <w:t>，由参加开标的各投标人代表和相关工作人员签字确认后随招标文件一并存档。</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5.4       </w:t>
      </w:r>
      <w:r>
        <w:rPr>
          <w:kern w:val="0"/>
          <w:sz w:val="24"/>
        </w:rPr>
        <w:t>投标人对开标过程有疑义的，在开标结束后七个工作日内，按本须知2.5款接收质疑函的方式以书面形式一次性提出质疑。</w:t>
      </w:r>
    </w:p>
    <w:p>
      <w:pPr>
        <w:autoSpaceDE w:val="0"/>
        <w:autoSpaceDN w:val="0"/>
        <w:adjustRightInd w:val="0"/>
        <w:snapToGrid w:val="0"/>
        <w:spacing w:after="120" w:afterLines="50"/>
        <w:ind w:left="-991" w:leftChars="-472"/>
        <w:rPr>
          <w:kern w:val="0"/>
          <w:sz w:val="24"/>
        </w:rPr>
      </w:pPr>
    </w:p>
    <w:p>
      <w:pPr>
        <w:numPr>
          <w:ilvl w:val="0"/>
          <w:numId w:val="2"/>
        </w:numPr>
        <w:autoSpaceDE w:val="0"/>
        <w:autoSpaceDN w:val="0"/>
        <w:adjustRightInd w:val="0"/>
        <w:spacing w:after="120" w:afterLines="50"/>
        <w:outlineLvl w:val="2"/>
        <w:rPr>
          <w:rFonts w:eastAsia="黑体"/>
          <w:kern w:val="0"/>
          <w:sz w:val="24"/>
        </w:rPr>
      </w:pPr>
      <w:bookmarkStart w:id="124" w:name="_Toc20161"/>
      <w:bookmarkStart w:id="125" w:name="_Toc28911"/>
      <w:bookmarkStart w:id="126" w:name="_Toc6719"/>
      <w:r>
        <w:rPr>
          <w:rFonts w:hint="eastAsia" w:eastAsia="黑体"/>
          <w:kern w:val="0"/>
          <w:sz w:val="24"/>
        </w:rPr>
        <w:t>资格审查</w:t>
      </w:r>
      <w:bookmarkEnd w:id="124"/>
      <w:bookmarkEnd w:id="125"/>
      <w:bookmarkEnd w:id="126"/>
    </w:p>
    <w:p>
      <w:pPr>
        <w:autoSpaceDE w:val="0"/>
        <w:autoSpaceDN w:val="0"/>
        <w:adjustRightInd w:val="0"/>
        <w:snapToGrid w:val="0"/>
        <w:spacing w:after="120" w:afterLines="50"/>
        <w:ind w:left="1175" w:leftChars="-12" w:hanging="1200" w:hangingChars="500"/>
        <w:rPr>
          <w:kern w:val="0"/>
          <w:sz w:val="24"/>
        </w:rPr>
      </w:pPr>
      <w:bookmarkStart w:id="127" w:name="_Toc195921826"/>
      <w:r>
        <w:rPr>
          <w:rFonts w:hint="eastAsia"/>
          <w:kern w:val="0"/>
          <w:sz w:val="24"/>
        </w:rPr>
        <w:t xml:space="preserve">6.1       </w:t>
      </w:r>
      <w:r>
        <w:rPr>
          <w:kern w:val="0"/>
          <w:sz w:val="24"/>
        </w:rPr>
        <w:t>开标结束后，采购人</w:t>
      </w:r>
      <w:r>
        <w:rPr>
          <w:rFonts w:hint="eastAsia"/>
          <w:kern w:val="0"/>
          <w:sz w:val="24"/>
        </w:rPr>
        <w:t>或其委托的采购代理机构</w:t>
      </w:r>
      <w:r>
        <w:rPr>
          <w:kern w:val="0"/>
          <w:sz w:val="24"/>
        </w:rPr>
        <w:t>依法对投标人的资格进行审查。</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2"/>
        </w:numPr>
        <w:autoSpaceDE w:val="0"/>
        <w:autoSpaceDN w:val="0"/>
        <w:adjustRightInd w:val="0"/>
        <w:spacing w:after="120" w:afterLines="50"/>
        <w:outlineLvl w:val="2"/>
        <w:rPr>
          <w:rFonts w:eastAsia="黑体"/>
          <w:kern w:val="0"/>
          <w:sz w:val="24"/>
        </w:rPr>
      </w:pPr>
      <w:bookmarkStart w:id="128" w:name="_Toc30234"/>
      <w:bookmarkStart w:id="129" w:name="_Toc8893"/>
      <w:bookmarkStart w:id="130" w:name="_Toc7462"/>
      <w:r>
        <w:rPr>
          <w:rFonts w:eastAsia="黑体"/>
          <w:kern w:val="0"/>
          <w:sz w:val="24"/>
        </w:rPr>
        <w:t>评标</w:t>
      </w:r>
      <w:bookmarkEnd w:id="127"/>
      <w:bookmarkEnd w:id="128"/>
      <w:bookmarkEnd w:id="129"/>
      <w:bookmarkEnd w:id="130"/>
    </w:p>
    <w:p>
      <w:pPr>
        <w:numPr>
          <w:ilvl w:val="1"/>
          <w:numId w:val="2"/>
        </w:numPr>
        <w:autoSpaceDE w:val="0"/>
        <w:autoSpaceDN w:val="0"/>
        <w:adjustRightInd w:val="0"/>
        <w:snapToGrid w:val="0"/>
        <w:spacing w:after="120" w:afterLines="50"/>
        <w:ind w:left="1133" w:hanging="1132" w:hangingChars="472"/>
        <w:rPr>
          <w:kern w:val="0"/>
          <w:sz w:val="24"/>
        </w:rPr>
      </w:pPr>
      <w:bookmarkStart w:id="131" w:name="_Toc195921827"/>
      <w:r>
        <w:rPr>
          <w:kern w:val="0"/>
          <w:sz w:val="24"/>
        </w:rPr>
        <w:t>评标委员会</w:t>
      </w:r>
      <w:bookmarkEnd w:id="131"/>
    </w:p>
    <w:p>
      <w:pPr>
        <w:numPr>
          <w:ilvl w:val="2"/>
          <w:numId w:val="2"/>
        </w:numPr>
        <w:tabs>
          <w:tab w:val="left" w:pos="1260"/>
        </w:tabs>
        <w:autoSpaceDE w:val="0"/>
        <w:autoSpaceDN w:val="0"/>
        <w:adjustRightInd w:val="0"/>
        <w:snapToGrid w:val="0"/>
        <w:spacing w:after="120" w:afterLines="50"/>
        <w:rPr>
          <w:kern w:val="0"/>
          <w:sz w:val="24"/>
        </w:rPr>
      </w:pPr>
      <w:r>
        <w:rPr>
          <w:kern w:val="0"/>
          <w:sz w:val="24"/>
        </w:rPr>
        <w:t>评标由采购人依法组建的评标委员会负责。评标委员会由采购人代表和有关技术、经济等方面的专家组成。</w:t>
      </w:r>
    </w:p>
    <w:p>
      <w:pPr>
        <w:numPr>
          <w:ilvl w:val="2"/>
          <w:numId w:val="2"/>
        </w:numPr>
        <w:tabs>
          <w:tab w:val="left" w:pos="1260"/>
        </w:tabs>
        <w:autoSpaceDE w:val="0"/>
        <w:autoSpaceDN w:val="0"/>
        <w:adjustRightInd w:val="0"/>
        <w:snapToGrid w:val="0"/>
        <w:spacing w:after="120" w:afterLines="50"/>
        <w:rPr>
          <w:kern w:val="0"/>
          <w:sz w:val="24"/>
        </w:rPr>
      </w:pPr>
      <w:r>
        <w:rPr>
          <w:kern w:val="0"/>
          <w:sz w:val="24"/>
        </w:rPr>
        <w:t>评标委员会成员有下列情形之一的，应当回避：</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numPr>
          <w:ilvl w:val="2"/>
          <w:numId w:val="2"/>
        </w:numPr>
        <w:tabs>
          <w:tab w:val="left" w:pos="1260"/>
          <w:tab w:val="left" w:pos="1418"/>
          <w:tab w:val="left" w:pos="1800"/>
        </w:tabs>
        <w:autoSpaceDE w:val="0"/>
        <w:autoSpaceDN w:val="0"/>
        <w:adjustRightInd w:val="0"/>
        <w:snapToGrid w:val="0"/>
        <w:spacing w:before="120" w:after="120" w:afterLines="50"/>
        <w:rPr>
          <w:kern w:val="0"/>
          <w:sz w:val="24"/>
        </w:rPr>
      </w:pPr>
      <w:r>
        <w:rPr>
          <w:kern w:val="0"/>
          <w:sz w:val="24"/>
        </w:rPr>
        <w:t>评标委员会</w:t>
      </w:r>
      <w:r>
        <w:rPr>
          <w:sz w:val="24"/>
        </w:rPr>
        <w:t>负责具体评标事务，并独立履行下列职责</w:t>
      </w:r>
      <w:r>
        <w:rPr>
          <w:kern w:val="0"/>
          <w:sz w:val="24"/>
        </w:rPr>
        <w:t>：</w:t>
      </w:r>
    </w:p>
    <w:p>
      <w:pPr>
        <w:pStyle w:val="430"/>
        <w:snapToGrid w:val="0"/>
        <w:spacing w:after="120" w:afterLines="50"/>
        <w:ind w:left="1840" w:leftChars="539" w:hanging="708" w:hangingChars="295"/>
        <w:rPr>
          <w:rFonts w:ascii="Times New Roman" w:hAnsi="Times New Roman" w:cs="Times New Roman"/>
          <w:sz w:val="24"/>
          <w:szCs w:val="24"/>
        </w:rPr>
      </w:pPr>
      <w:bookmarkStart w:id="132" w:name="_Toc195921828"/>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numPr>
          <w:ilvl w:val="1"/>
          <w:numId w:val="2"/>
        </w:numPr>
        <w:autoSpaceDE w:val="0"/>
        <w:autoSpaceDN w:val="0"/>
        <w:adjustRightInd w:val="0"/>
        <w:snapToGrid w:val="0"/>
        <w:spacing w:after="120" w:afterLines="50"/>
        <w:ind w:left="1133" w:hanging="1132" w:hangingChars="472"/>
        <w:rPr>
          <w:kern w:val="0"/>
          <w:sz w:val="24"/>
        </w:rPr>
      </w:pPr>
      <w:r>
        <w:rPr>
          <w:sz w:val="24"/>
        </w:rPr>
        <w:t>评标委员会应当对符合资格的投标人的投标文件进行符合性审查，以确定其是否满足招标文件的实质性要求。</w:t>
      </w:r>
      <w:bookmarkEnd w:id="132"/>
    </w:p>
    <w:p>
      <w:pPr>
        <w:numPr>
          <w:ilvl w:val="1"/>
          <w:numId w:val="2"/>
        </w:numPr>
        <w:autoSpaceDE w:val="0"/>
        <w:autoSpaceDN w:val="0"/>
        <w:adjustRightInd w:val="0"/>
        <w:snapToGrid w:val="0"/>
        <w:spacing w:after="120" w:afterLines="50"/>
        <w:ind w:left="1133" w:hanging="1132" w:hangingChars="472"/>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ind w:left="1132" w:leftChars="539"/>
        <w:rPr>
          <w:kern w:val="0"/>
          <w:sz w:val="24"/>
        </w:rPr>
      </w:pPr>
      <w:r>
        <w:rPr>
          <w:kern w:val="0"/>
          <w:sz w:val="24"/>
        </w:rPr>
        <w:t>非单一产品采购项目，多家投标人提供的核心产品品牌相同的，按前款规定处理。</w:t>
      </w:r>
    </w:p>
    <w:p>
      <w:pPr>
        <w:numPr>
          <w:ilvl w:val="1"/>
          <w:numId w:val="2"/>
        </w:numPr>
        <w:autoSpaceDE w:val="0"/>
        <w:autoSpaceDN w:val="0"/>
        <w:adjustRightInd w:val="0"/>
        <w:snapToGrid w:val="0"/>
        <w:spacing w:after="120" w:afterLines="50"/>
        <w:ind w:left="1133" w:hanging="1132" w:hangingChars="472"/>
        <w:rPr>
          <w:sz w:val="24"/>
        </w:rPr>
      </w:pP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numPr>
          <w:ilvl w:val="1"/>
          <w:numId w:val="2"/>
        </w:numPr>
        <w:autoSpaceDE w:val="0"/>
        <w:autoSpaceDN w:val="0"/>
        <w:adjustRightInd w:val="0"/>
        <w:snapToGrid w:val="0"/>
        <w:spacing w:after="120" w:afterLines="50"/>
        <w:ind w:left="1133" w:hanging="1132" w:hangingChars="472"/>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numPr>
          <w:ilvl w:val="1"/>
          <w:numId w:val="2"/>
        </w:numPr>
        <w:autoSpaceDE w:val="0"/>
        <w:autoSpaceDN w:val="0"/>
        <w:adjustRightInd w:val="0"/>
        <w:snapToGrid w:val="0"/>
        <w:spacing w:after="120" w:afterLines="50"/>
        <w:ind w:left="1133" w:hanging="1132" w:hangingChars="472"/>
        <w:rPr>
          <w:sz w:val="24"/>
        </w:rPr>
      </w:pPr>
      <w:r>
        <w:rPr>
          <w:sz w:val="24"/>
        </w:rPr>
        <w:t>公开招标数额标准以上的采购项目，投标截止后投标人不足3家或者通过资格审查或符合性审查的投标人不足3家的，除采购任务取消情形外，将重新招标或采用其他采购方式采购。</w:t>
      </w:r>
    </w:p>
    <w:p>
      <w:pPr>
        <w:numPr>
          <w:ilvl w:val="255"/>
          <w:numId w:val="0"/>
        </w:numPr>
        <w:autoSpaceDE w:val="0"/>
        <w:autoSpaceDN w:val="0"/>
        <w:adjustRightInd w:val="0"/>
        <w:snapToGrid w:val="0"/>
        <w:spacing w:after="120" w:afterLines="50"/>
        <w:rPr>
          <w:sz w:val="24"/>
        </w:rPr>
      </w:pPr>
    </w:p>
    <w:p>
      <w:pPr>
        <w:numPr>
          <w:ilvl w:val="0"/>
          <w:numId w:val="2"/>
        </w:numPr>
        <w:autoSpaceDE w:val="0"/>
        <w:autoSpaceDN w:val="0"/>
        <w:adjustRightInd w:val="0"/>
        <w:spacing w:after="120" w:afterLines="50"/>
        <w:outlineLvl w:val="2"/>
        <w:rPr>
          <w:rFonts w:eastAsia="黑体"/>
          <w:kern w:val="0"/>
          <w:sz w:val="24"/>
        </w:rPr>
      </w:pPr>
      <w:bookmarkStart w:id="133" w:name="_Toc19223"/>
      <w:bookmarkStart w:id="134" w:name="_Toc195921830"/>
      <w:bookmarkStart w:id="135" w:name="_Toc476"/>
      <w:bookmarkStart w:id="136" w:name="_Toc22849"/>
      <w:r>
        <w:rPr>
          <w:rFonts w:eastAsia="黑体"/>
          <w:kern w:val="0"/>
          <w:sz w:val="24"/>
        </w:rPr>
        <w:t>合同授予</w:t>
      </w:r>
      <w:bookmarkEnd w:id="133"/>
      <w:bookmarkEnd w:id="134"/>
      <w:bookmarkEnd w:id="135"/>
      <w:bookmarkEnd w:id="136"/>
    </w:p>
    <w:p>
      <w:pPr>
        <w:numPr>
          <w:ilvl w:val="1"/>
          <w:numId w:val="2"/>
        </w:numPr>
        <w:autoSpaceDE w:val="0"/>
        <w:autoSpaceDN w:val="0"/>
        <w:adjustRightInd w:val="0"/>
        <w:snapToGrid w:val="0"/>
        <w:spacing w:after="120" w:afterLines="50"/>
        <w:ind w:left="1680" w:hanging="1680" w:hangingChars="700"/>
        <w:rPr>
          <w:kern w:val="0"/>
          <w:sz w:val="24"/>
        </w:rPr>
      </w:pPr>
      <w:bookmarkStart w:id="137" w:name="_Toc195921831"/>
      <w:r>
        <w:rPr>
          <w:kern w:val="0"/>
          <w:sz w:val="24"/>
        </w:rPr>
        <w:t>定标方式</w:t>
      </w:r>
      <w:bookmarkEnd w:id="137"/>
    </w:p>
    <w:p>
      <w:pPr>
        <w:tabs>
          <w:tab w:val="left" w:pos="1260"/>
        </w:tabs>
        <w:autoSpaceDE w:val="0"/>
        <w:autoSpaceDN w:val="0"/>
        <w:adjustRightInd w:val="0"/>
        <w:snapToGrid w:val="0"/>
        <w:spacing w:after="120" w:afterLines="50"/>
        <w:ind w:left="1134"/>
        <w:rPr>
          <w:kern w:val="0"/>
          <w:sz w:val="24"/>
        </w:rPr>
      </w:pPr>
      <w:r>
        <w:rPr>
          <w:sz w:val="24"/>
        </w:rPr>
        <w:t>采购人按评标报告确定的中标候选人名单中按顺序确定中标人。评标委员会确定的中标候选人的人数见投标人须知前附表。</w:t>
      </w:r>
    </w:p>
    <w:p>
      <w:pPr>
        <w:numPr>
          <w:ilvl w:val="1"/>
          <w:numId w:val="2"/>
        </w:numPr>
        <w:autoSpaceDE w:val="0"/>
        <w:autoSpaceDN w:val="0"/>
        <w:adjustRightInd w:val="0"/>
        <w:snapToGrid w:val="0"/>
        <w:spacing w:after="120" w:afterLines="50"/>
        <w:ind w:left="1680" w:hanging="1680" w:hangingChars="700"/>
        <w:rPr>
          <w:kern w:val="0"/>
          <w:sz w:val="24"/>
        </w:rPr>
      </w:pPr>
      <w:r>
        <w:rPr>
          <w:kern w:val="0"/>
          <w:sz w:val="24"/>
        </w:rPr>
        <w:t>中标公告</w:t>
      </w:r>
    </w:p>
    <w:p>
      <w:pPr>
        <w:numPr>
          <w:ilvl w:val="2"/>
          <w:numId w:val="2"/>
        </w:numPr>
        <w:tabs>
          <w:tab w:val="left" w:pos="1260"/>
        </w:tabs>
        <w:autoSpaceDE w:val="0"/>
        <w:autoSpaceDN w:val="0"/>
        <w:adjustRightInd w:val="0"/>
        <w:snapToGrid w:val="0"/>
        <w:spacing w:after="120" w:afterLines="50"/>
        <w:rPr>
          <w:sz w:val="24"/>
        </w:rPr>
      </w:pPr>
      <w:r>
        <w:rPr>
          <w:sz w:val="24"/>
        </w:rPr>
        <w:t>采购人或者采购代理机构应当自中标人确定之日起2个工作日内，在省级以上财政部门指定的媒体上公告中标结果。</w:t>
      </w:r>
    </w:p>
    <w:p>
      <w:pPr>
        <w:tabs>
          <w:tab w:val="left" w:pos="1260"/>
        </w:tabs>
        <w:autoSpaceDE w:val="0"/>
        <w:autoSpaceDN w:val="0"/>
        <w:adjustRightInd w:val="0"/>
        <w:snapToGrid w:val="0"/>
        <w:spacing w:after="120" w:afterLines="50"/>
        <w:ind w:left="1134"/>
        <w:rPr>
          <w:sz w:val="24"/>
        </w:rPr>
      </w:pPr>
      <w:r>
        <w:rPr>
          <w:sz w:val="24"/>
        </w:rPr>
        <w:t>中标公告期限为1个工作日。</w:t>
      </w:r>
    </w:p>
    <w:p>
      <w:pPr>
        <w:numPr>
          <w:ilvl w:val="2"/>
          <w:numId w:val="2"/>
        </w:numPr>
        <w:tabs>
          <w:tab w:val="left" w:pos="1260"/>
        </w:tabs>
        <w:autoSpaceDE w:val="0"/>
        <w:autoSpaceDN w:val="0"/>
        <w:adjustRightInd w:val="0"/>
        <w:snapToGrid w:val="0"/>
        <w:spacing w:after="120" w:afterLines="50"/>
        <w:rPr>
          <w:sz w:val="24"/>
        </w:rPr>
      </w:pPr>
      <w:r>
        <w:rPr>
          <w:kern w:val="0"/>
          <w:sz w:val="24"/>
        </w:rPr>
        <w:t>投标人认为中标结果使自己的权益受到损害的，在中标公告期限届满之日</w:t>
      </w:r>
      <w:r>
        <w:rPr>
          <w:sz w:val="24"/>
        </w:rPr>
        <w:t>起七个工作日内，按本须知2.5款接收质疑函的方式以书面形式一次性提出对中标结果的质疑。</w:t>
      </w:r>
    </w:p>
    <w:p>
      <w:pPr>
        <w:numPr>
          <w:ilvl w:val="1"/>
          <w:numId w:val="2"/>
        </w:numPr>
        <w:autoSpaceDE w:val="0"/>
        <w:autoSpaceDN w:val="0"/>
        <w:adjustRightInd w:val="0"/>
        <w:snapToGrid w:val="0"/>
        <w:spacing w:after="120" w:afterLines="50"/>
        <w:ind w:left="1680" w:hanging="1680" w:hangingChars="700"/>
        <w:rPr>
          <w:kern w:val="0"/>
          <w:sz w:val="24"/>
        </w:rPr>
      </w:pPr>
      <w:bookmarkStart w:id="138" w:name="_Toc195921832"/>
      <w:r>
        <w:rPr>
          <w:kern w:val="0"/>
          <w:sz w:val="24"/>
        </w:rPr>
        <w:t>中标通知</w:t>
      </w:r>
      <w:bookmarkEnd w:id="138"/>
    </w:p>
    <w:p>
      <w:pPr>
        <w:tabs>
          <w:tab w:val="left" w:pos="1260"/>
        </w:tabs>
        <w:autoSpaceDE w:val="0"/>
        <w:autoSpaceDN w:val="0"/>
        <w:adjustRightInd w:val="0"/>
        <w:snapToGrid w:val="0"/>
        <w:spacing w:after="120" w:afterLines="50"/>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ind w:left="1134"/>
        <w:rPr>
          <w:kern w:val="0"/>
          <w:sz w:val="24"/>
        </w:rPr>
      </w:pPr>
      <w:r>
        <w:rPr>
          <w:sz w:val="24"/>
        </w:rPr>
        <w:t>中标通知书发出后，采购人不得违法改变中标结果，中标人无正当理由不得放弃中标。</w:t>
      </w:r>
    </w:p>
    <w:p>
      <w:pPr>
        <w:numPr>
          <w:ilvl w:val="1"/>
          <w:numId w:val="2"/>
        </w:numPr>
        <w:autoSpaceDE w:val="0"/>
        <w:autoSpaceDN w:val="0"/>
        <w:adjustRightInd w:val="0"/>
        <w:snapToGrid w:val="0"/>
        <w:spacing w:after="120" w:afterLines="50"/>
        <w:ind w:left="1133" w:hanging="1132" w:hangingChars="472"/>
        <w:rPr>
          <w:kern w:val="0"/>
          <w:sz w:val="24"/>
        </w:rPr>
      </w:pPr>
      <w:r>
        <w:rPr>
          <w:kern w:val="0"/>
          <w:sz w:val="24"/>
        </w:rPr>
        <w:t>履约保证金</w:t>
      </w:r>
    </w:p>
    <w:p>
      <w:pPr>
        <w:numPr>
          <w:ilvl w:val="2"/>
          <w:numId w:val="2"/>
        </w:numPr>
        <w:tabs>
          <w:tab w:val="left" w:pos="1260"/>
        </w:tabs>
        <w:autoSpaceDE w:val="0"/>
        <w:autoSpaceDN w:val="0"/>
        <w:adjustRightInd w:val="0"/>
        <w:snapToGrid w:val="0"/>
        <w:spacing w:after="120" w:afterLines="50"/>
        <w:rPr>
          <w:kern w:val="0"/>
          <w:sz w:val="24"/>
        </w:rPr>
      </w:pPr>
      <w:bookmarkStart w:id="139" w:name="_Ref421009348"/>
      <w:r>
        <w:rPr>
          <w:kern w:val="0"/>
          <w:sz w:val="24"/>
        </w:rPr>
        <w:t>在签订合同前，中标人应按投标人须知前附表规定的金额、担保形式和招标文件第四章“合同条款及格式”规定的履约保证金格式向采购人提交履约保证金。</w:t>
      </w:r>
      <w:bookmarkEnd w:id="139"/>
    </w:p>
    <w:p>
      <w:pPr>
        <w:numPr>
          <w:ilvl w:val="2"/>
          <w:numId w:val="2"/>
        </w:numPr>
        <w:tabs>
          <w:tab w:val="left" w:pos="1260"/>
        </w:tabs>
        <w:autoSpaceDE w:val="0"/>
        <w:autoSpaceDN w:val="0"/>
        <w:adjustRightInd w:val="0"/>
        <w:snapToGrid w:val="0"/>
        <w:spacing w:after="120" w:afterLines="50"/>
        <w:rPr>
          <w:kern w:val="0"/>
          <w:sz w:val="24"/>
        </w:rPr>
      </w:pPr>
      <w:r>
        <w:rPr>
          <w:kern w:val="0"/>
          <w:sz w:val="24"/>
        </w:rPr>
        <w:t>中标人不能按本章第</w:t>
      </w:r>
      <w:r>
        <w:rPr>
          <w:kern w:val="0"/>
          <w:sz w:val="24"/>
        </w:rPr>
        <w:fldChar w:fldCharType="begin"/>
      </w:r>
      <w:r>
        <w:rPr>
          <w:kern w:val="0"/>
          <w:sz w:val="24"/>
        </w:rPr>
        <w:instrText xml:space="preserve"> REF _Ref421009348 \r \h  \* MERGEFORMAT </w:instrText>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pPr>
        <w:numPr>
          <w:ilvl w:val="1"/>
          <w:numId w:val="2"/>
        </w:numPr>
        <w:autoSpaceDE w:val="0"/>
        <w:autoSpaceDN w:val="0"/>
        <w:adjustRightInd w:val="0"/>
        <w:snapToGrid w:val="0"/>
        <w:spacing w:after="120" w:afterLines="50"/>
        <w:ind w:left="1133" w:hanging="1132" w:hangingChars="472"/>
        <w:rPr>
          <w:kern w:val="0"/>
          <w:sz w:val="24"/>
        </w:rPr>
      </w:pPr>
      <w:bookmarkStart w:id="140" w:name="_Toc195921834"/>
      <w:r>
        <w:rPr>
          <w:kern w:val="0"/>
          <w:sz w:val="24"/>
        </w:rPr>
        <w:t>签订合同</w:t>
      </w:r>
      <w:bookmarkEnd w:id="140"/>
    </w:p>
    <w:p>
      <w:pPr>
        <w:numPr>
          <w:ilvl w:val="2"/>
          <w:numId w:val="2"/>
        </w:numPr>
        <w:tabs>
          <w:tab w:val="left" w:pos="1260"/>
        </w:tabs>
        <w:autoSpaceDE w:val="0"/>
        <w:autoSpaceDN w:val="0"/>
        <w:adjustRightInd w:val="0"/>
        <w:snapToGrid w:val="0"/>
        <w:spacing w:after="120" w:afterLines="50"/>
        <w:rPr>
          <w:kern w:val="0"/>
          <w:sz w:val="24"/>
        </w:rPr>
      </w:pP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ind w:left="1134"/>
        <w:rPr>
          <w:sz w:val="24"/>
        </w:rPr>
      </w:pPr>
      <w:r>
        <w:rPr>
          <w:sz w:val="24"/>
        </w:rPr>
        <w:t>采购人不得向中标人提出任何不合理的要求作为签订合同的条件。</w:t>
      </w:r>
    </w:p>
    <w:p>
      <w:pPr>
        <w:numPr>
          <w:ilvl w:val="2"/>
          <w:numId w:val="2"/>
        </w:numPr>
        <w:tabs>
          <w:tab w:val="left" w:pos="1260"/>
        </w:tabs>
        <w:autoSpaceDE w:val="0"/>
        <w:autoSpaceDN w:val="0"/>
        <w:adjustRightInd w:val="0"/>
        <w:snapToGrid w:val="0"/>
        <w:spacing w:after="120" w:afterLines="5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pPr>
        <w:numPr>
          <w:ilvl w:val="2"/>
          <w:numId w:val="2"/>
        </w:numPr>
        <w:tabs>
          <w:tab w:val="left" w:pos="1260"/>
        </w:tabs>
        <w:autoSpaceDE w:val="0"/>
        <w:autoSpaceDN w:val="0"/>
        <w:adjustRightInd w:val="0"/>
        <w:snapToGrid w:val="0"/>
        <w:spacing w:after="120" w:afterLines="50"/>
        <w:rPr>
          <w:kern w:val="0"/>
          <w:sz w:val="24"/>
        </w:rPr>
      </w:pPr>
      <w:r>
        <w:rPr>
          <w:kern w:val="0"/>
          <w:sz w:val="24"/>
        </w:rPr>
        <w:t>发出中标通知书后，采购人无正当理由拒签合同的，采购人向中标人退还投标保证金；给中标人造成损失的，还应当赔偿损失。</w:t>
      </w:r>
    </w:p>
    <w:p>
      <w:pPr>
        <w:numPr>
          <w:ilvl w:val="2"/>
          <w:numId w:val="2"/>
        </w:numPr>
        <w:tabs>
          <w:tab w:val="left" w:pos="1260"/>
        </w:tabs>
        <w:autoSpaceDE w:val="0"/>
        <w:autoSpaceDN w:val="0"/>
        <w:adjustRightInd w:val="0"/>
        <w:snapToGrid w:val="0"/>
        <w:spacing w:after="120" w:afterLines="50"/>
        <w:rPr>
          <w:kern w:val="0"/>
          <w:sz w:val="24"/>
        </w:rPr>
      </w:pPr>
      <w:r>
        <w:rPr>
          <w:kern w:val="0"/>
          <w:sz w:val="24"/>
        </w:rPr>
        <w:t>依据《政府采购促进中小企业发展管理办法》（财库〔2020〕46号）</w:t>
      </w:r>
      <w:r>
        <w:rPr>
          <w:rFonts w:hint="eastAsia"/>
          <w:kern w:val="0"/>
          <w:sz w:val="24"/>
        </w:rPr>
        <w:t>及《关于进一步加大政府采购支持中小企业力度的通知》（财库〔2022〕19号）</w:t>
      </w:r>
      <w:r>
        <w:rPr>
          <w:kern w:val="0"/>
          <w:sz w:val="24"/>
        </w:rPr>
        <w:t>规定享受扶持政策获得政府采购合同的，小微企业不得将合同分包给大中型企业，中型企业不得将合同分包给大型企业。</w:t>
      </w:r>
    </w:p>
    <w:p>
      <w:pPr>
        <w:numPr>
          <w:ilvl w:val="0"/>
          <w:numId w:val="2"/>
        </w:numPr>
        <w:autoSpaceDE w:val="0"/>
        <w:autoSpaceDN w:val="0"/>
        <w:adjustRightInd w:val="0"/>
        <w:spacing w:after="120" w:afterLines="50"/>
        <w:outlineLvl w:val="2"/>
        <w:rPr>
          <w:rFonts w:eastAsia="黑体"/>
          <w:kern w:val="0"/>
          <w:sz w:val="24"/>
        </w:rPr>
      </w:pPr>
      <w:bookmarkStart w:id="141" w:name="_Toc28634"/>
      <w:bookmarkStart w:id="142" w:name="_Toc29750"/>
      <w:bookmarkStart w:id="143" w:name="_Toc195921838"/>
      <w:bookmarkStart w:id="144" w:name="_Toc2343"/>
      <w:r>
        <w:rPr>
          <w:rFonts w:eastAsia="黑体"/>
          <w:kern w:val="0"/>
          <w:sz w:val="24"/>
        </w:rPr>
        <w:t>纪律和监督</w:t>
      </w:r>
      <w:bookmarkEnd w:id="141"/>
      <w:bookmarkEnd w:id="142"/>
      <w:bookmarkEnd w:id="143"/>
      <w:bookmarkEnd w:id="144"/>
    </w:p>
    <w:p>
      <w:pPr>
        <w:numPr>
          <w:ilvl w:val="1"/>
          <w:numId w:val="2"/>
        </w:numPr>
        <w:autoSpaceDE w:val="0"/>
        <w:autoSpaceDN w:val="0"/>
        <w:adjustRightInd w:val="0"/>
        <w:snapToGrid w:val="0"/>
        <w:spacing w:after="120" w:afterLines="50"/>
        <w:ind w:left="1133" w:hanging="1132" w:hangingChars="472"/>
        <w:rPr>
          <w:kern w:val="0"/>
          <w:sz w:val="24"/>
        </w:rPr>
      </w:pPr>
      <w:bookmarkStart w:id="145" w:name="_Toc195921839"/>
      <w:r>
        <w:rPr>
          <w:kern w:val="0"/>
          <w:sz w:val="24"/>
        </w:rPr>
        <w:t>对采购人的要求</w:t>
      </w:r>
      <w:bookmarkEnd w:id="145"/>
    </w:p>
    <w:p>
      <w:pPr>
        <w:tabs>
          <w:tab w:val="left" w:pos="1260"/>
        </w:tabs>
        <w:autoSpaceDE w:val="0"/>
        <w:autoSpaceDN w:val="0"/>
        <w:adjustRightInd w:val="0"/>
        <w:snapToGrid w:val="0"/>
        <w:spacing w:after="120" w:afterLines="5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numPr>
          <w:ilvl w:val="1"/>
          <w:numId w:val="2"/>
        </w:numPr>
        <w:autoSpaceDE w:val="0"/>
        <w:autoSpaceDN w:val="0"/>
        <w:adjustRightInd w:val="0"/>
        <w:snapToGrid w:val="0"/>
        <w:spacing w:after="120" w:afterLines="50"/>
        <w:ind w:left="1133" w:hanging="1132" w:hangingChars="472"/>
        <w:rPr>
          <w:kern w:val="0"/>
          <w:sz w:val="24"/>
        </w:rPr>
      </w:pPr>
      <w:bookmarkStart w:id="146" w:name="_Toc195921840"/>
      <w:r>
        <w:rPr>
          <w:kern w:val="0"/>
          <w:sz w:val="24"/>
        </w:rPr>
        <w:t>对采购代理机构的要求</w:t>
      </w:r>
    </w:p>
    <w:p>
      <w:pPr>
        <w:tabs>
          <w:tab w:val="left" w:pos="1260"/>
        </w:tabs>
        <w:autoSpaceDE w:val="0"/>
        <w:autoSpaceDN w:val="0"/>
        <w:adjustRightInd w:val="0"/>
        <w:snapToGrid w:val="0"/>
        <w:spacing w:after="120" w:afterLines="50"/>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numPr>
          <w:ilvl w:val="1"/>
          <w:numId w:val="2"/>
        </w:numPr>
        <w:autoSpaceDE w:val="0"/>
        <w:autoSpaceDN w:val="0"/>
        <w:adjustRightInd w:val="0"/>
        <w:snapToGrid w:val="0"/>
        <w:spacing w:after="120" w:afterLines="50"/>
        <w:ind w:left="1133" w:hanging="1132" w:hangingChars="472"/>
        <w:rPr>
          <w:kern w:val="0"/>
          <w:sz w:val="24"/>
        </w:rPr>
      </w:pPr>
      <w:r>
        <w:rPr>
          <w:kern w:val="0"/>
          <w:sz w:val="24"/>
        </w:rPr>
        <w:t>对投标人的纪律要求</w:t>
      </w:r>
      <w:bookmarkEnd w:id="146"/>
    </w:p>
    <w:p>
      <w:pPr>
        <w:tabs>
          <w:tab w:val="left" w:pos="1260"/>
        </w:tabs>
        <w:autoSpaceDE w:val="0"/>
        <w:autoSpaceDN w:val="0"/>
        <w:adjustRightInd w:val="0"/>
        <w:snapToGrid w:val="0"/>
        <w:spacing w:after="120" w:afterLines="5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numPr>
          <w:ilvl w:val="1"/>
          <w:numId w:val="2"/>
        </w:numPr>
        <w:autoSpaceDE w:val="0"/>
        <w:autoSpaceDN w:val="0"/>
        <w:adjustRightInd w:val="0"/>
        <w:snapToGrid w:val="0"/>
        <w:spacing w:after="120" w:afterLines="50"/>
        <w:ind w:left="1133" w:hanging="1132" w:hangingChars="472"/>
        <w:rPr>
          <w:kern w:val="0"/>
          <w:sz w:val="24"/>
        </w:rPr>
      </w:pPr>
      <w:bookmarkStart w:id="147" w:name="_Toc195921841"/>
      <w:r>
        <w:rPr>
          <w:kern w:val="0"/>
          <w:sz w:val="24"/>
        </w:rPr>
        <w:t>评标委员会及其成员不得有下列行为</w:t>
      </w:r>
      <w:bookmarkEnd w:id="147"/>
    </w:p>
    <w:p>
      <w:pPr>
        <w:snapToGrid w:val="0"/>
        <w:spacing w:after="120" w:afterLines="50"/>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ind w:left="1840" w:leftChars="539" w:hanging="708" w:hangingChars="295"/>
        <w:rPr>
          <w:sz w:val="24"/>
        </w:rPr>
      </w:pPr>
      <w:r>
        <w:rPr>
          <w:sz w:val="24"/>
        </w:rPr>
        <w:t>（7）</w:t>
      </w:r>
      <w:r>
        <w:rPr>
          <w:sz w:val="24"/>
        </w:rPr>
        <w:tab/>
      </w:r>
      <w:r>
        <w:rPr>
          <w:sz w:val="24"/>
        </w:rPr>
        <w:t>其他不遵守评标纪律的行为。</w:t>
      </w:r>
    </w:p>
    <w:p>
      <w:pPr>
        <w:numPr>
          <w:ilvl w:val="1"/>
          <w:numId w:val="2"/>
        </w:numPr>
        <w:autoSpaceDE w:val="0"/>
        <w:autoSpaceDN w:val="0"/>
        <w:adjustRightInd w:val="0"/>
        <w:snapToGrid w:val="0"/>
        <w:spacing w:after="120" w:afterLines="50"/>
        <w:ind w:left="1133" w:hanging="1132" w:hangingChars="472"/>
        <w:rPr>
          <w:kern w:val="0"/>
          <w:sz w:val="24"/>
        </w:rPr>
      </w:pPr>
      <w:bookmarkStart w:id="148" w:name="_Toc195921842"/>
      <w:r>
        <w:rPr>
          <w:kern w:val="0"/>
          <w:sz w:val="24"/>
        </w:rPr>
        <w:t>对与评标活动有关的工作人员的纪律要求</w:t>
      </w:r>
      <w:bookmarkEnd w:id="148"/>
    </w:p>
    <w:p>
      <w:pPr>
        <w:tabs>
          <w:tab w:val="left" w:pos="1260"/>
        </w:tabs>
        <w:autoSpaceDE w:val="0"/>
        <w:autoSpaceDN w:val="0"/>
        <w:adjustRightInd w:val="0"/>
        <w:snapToGrid w:val="0"/>
        <w:spacing w:after="120" w:afterLines="5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2"/>
        </w:numPr>
        <w:autoSpaceDE w:val="0"/>
        <w:autoSpaceDN w:val="0"/>
        <w:adjustRightInd w:val="0"/>
        <w:snapToGrid w:val="0"/>
        <w:spacing w:after="120" w:afterLines="50"/>
        <w:ind w:left="1920" w:hanging="1920" w:hangingChars="800"/>
        <w:rPr>
          <w:kern w:val="0"/>
          <w:sz w:val="24"/>
        </w:rPr>
      </w:pPr>
      <w:bookmarkStart w:id="149" w:name="_Toc195921843"/>
      <w:r>
        <w:rPr>
          <w:kern w:val="0"/>
          <w:sz w:val="24"/>
        </w:rPr>
        <w:t>投诉</w:t>
      </w:r>
      <w:bookmarkEnd w:id="149"/>
    </w:p>
    <w:p>
      <w:pPr>
        <w:tabs>
          <w:tab w:val="left" w:pos="1260"/>
        </w:tabs>
        <w:autoSpaceDE w:val="0"/>
        <w:autoSpaceDN w:val="0"/>
        <w:adjustRightInd w:val="0"/>
        <w:snapToGrid w:val="0"/>
        <w:spacing w:after="120" w:afterLines="50"/>
        <w:ind w:left="1134"/>
        <w:rPr>
          <w:kern w:val="0"/>
          <w:sz w:val="24"/>
        </w:rPr>
      </w:pPr>
      <w:r>
        <w:rPr>
          <w:kern w:val="0"/>
          <w:sz w:val="24"/>
        </w:rPr>
        <w:t>投标人和其他利害关系人认为本次招标活动违反法律、法规和规章规定的，有权向有关行政监督部门投诉。</w:t>
      </w:r>
    </w:p>
    <w:p>
      <w:pPr>
        <w:numPr>
          <w:ilvl w:val="0"/>
          <w:numId w:val="2"/>
        </w:numPr>
        <w:autoSpaceDE w:val="0"/>
        <w:autoSpaceDN w:val="0"/>
        <w:adjustRightInd w:val="0"/>
        <w:spacing w:after="120" w:afterLines="50"/>
        <w:outlineLvl w:val="2"/>
        <w:rPr>
          <w:rFonts w:eastAsia="黑体"/>
          <w:kern w:val="0"/>
          <w:sz w:val="24"/>
        </w:rPr>
      </w:pPr>
      <w:bookmarkStart w:id="150" w:name="_Toc19233"/>
      <w:bookmarkStart w:id="151" w:name="_Toc195921844"/>
      <w:bookmarkStart w:id="152" w:name="_Toc29652"/>
      <w:bookmarkStart w:id="153" w:name="_Toc25557"/>
      <w:r>
        <w:rPr>
          <w:rFonts w:ascii="Times New Roman" w:hAnsi="Times New Roman" w:eastAsia="黑体" w:cs="Times New Roman"/>
          <w:b w:val="0"/>
          <w:bCs w:val="0"/>
          <w:kern w:val="0"/>
          <w:sz w:val="24"/>
          <w:szCs w:val="24"/>
          <w:lang w:val="en-US" w:eastAsia="zh-CN" w:bidi="ar-SA"/>
        </w:rPr>
        <w:t>是否采用电子招标投标</w:t>
      </w:r>
      <w:bookmarkEnd w:id="150"/>
    </w:p>
    <w:p>
      <w:pPr>
        <w:pStyle w:val="19"/>
        <w:widowControl/>
        <w:pBdr>
          <w:top w:val="none" w:color="auto" w:sz="0" w:space="1"/>
          <w:left w:val="none" w:color="auto" w:sz="0" w:space="4"/>
          <w:bottom w:val="none" w:color="auto" w:sz="0" w:space="1"/>
          <w:right w:val="none" w:color="auto" w:sz="0" w:space="4"/>
        </w:pBdr>
        <w:wordWrap w:val="0"/>
        <w:ind w:firstLine="1200" w:firstLineChars="500"/>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本招标项目是否采用电子招标投标方式，见投标人须知前附表。</w:t>
      </w:r>
    </w:p>
    <w:p>
      <w:pPr>
        <w:numPr>
          <w:ilvl w:val="0"/>
          <w:numId w:val="2"/>
        </w:numPr>
        <w:autoSpaceDE w:val="0"/>
        <w:autoSpaceDN w:val="0"/>
        <w:adjustRightInd w:val="0"/>
        <w:spacing w:after="120" w:afterLines="50"/>
        <w:outlineLvl w:val="2"/>
        <w:rPr>
          <w:rFonts w:eastAsia="黑体"/>
          <w:kern w:val="0"/>
          <w:sz w:val="24"/>
        </w:rPr>
      </w:pPr>
      <w:bookmarkStart w:id="154" w:name="_Toc20007"/>
      <w:r>
        <w:rPr>
          <w:rFonts w:eastAsia="黑体"/>
          <w:kern w:val="0"/>
          <w:sz w:val="24"/>
        </w:rPr>
        <w:t>需要补充的其他内容</w:t>
      </w:r>
      <w:bookmarkEnd w:id="151"/>
      <w:bookmarkEnd w:id="152"/>
      <w:bookmarkEnd w:id="153"/>
      <w:bookmarkEnd w:id="154"/>
    </w:p>
    <w:p>
      <w:pPr>
        <w:numPr>
          <w:ilvl w:val="0"/>
          <w:numId w:val="10"/>
        </w:numPr>
        <w:tabs>
          <w:tab w:val="left" w:pos="1843"/>
        </w:tabs>
        <w:autoSpaceDE w:val="0"/>
        <w:autoSpaceDN w:val="0"/>
        <w:adjustRightInd w:val="0"/>
        <w:snapToGrid w:val="0"/>
        <w:spacing w:after="120" w:afterLines="5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numPr>
          <w:ilvl w:val="0"/>
          <w:numId w:val="10"/>
        </w:numPr>
        <w:tabs>
          <w:tab w:val="left" w:pos="1843"/>
        </w:tabs>
        <w:autoSpaceDE w:val="0"/>
        <w:autoSpaceDN w:val="0"/>
        <w:adjustRightInd w:val="0"/>
        <w:snapToGrid w:val="0"/>
        <w:spacing w:after="120" w:afterLines="50"/>
        <w:ind w:left="1843" w:hanging="822"/>
        <w:rPr>
          <w:kern w:val="0"/>
          <w:sz w:val="24"/>
        </w:rPr>
      </w:pPr>
      <w:r>
        <w:rPr>
          <w:kern w:val="0"/>
          <w:sz w:val="24"/>
        </w:rPr>
        <w:t>需要补充的其他内容：见投标人须知前附表。</w:t>
      </w:r>
    </w:p>
    <w:p>
      <w:pPr>
        <w:autoSpaceDE w:val="0"/>
        <w:autoSpaceDN w:val="0"/>
        <w:adjustRightInd w:val="0"/>
        <w:snapToGrid w:val="0"/>
        <w:spacing w:after="120" w:afterLines="50"/>
        <w:jc w:val="center"/>
        <w:outlineLvl w:val="0"/>
        <w:rPr>
          <w:kern w:val="0"/>
          <w:sz w:val="32"/>
          <w:szCs w:val="32"/>
        </w:rPr>
      </w:pPr>
      <w:r>
        <w:br w:type="page"/>
      </w:r>
      <w:bookmarkStart w:id="155" w:name="_Toc195921851"/>
      <w:bookmarkStart w:id="156" w:name="_Toc29029"/>
      <w:bookmarkStart w:id="157" w:name="_Toc14517"/>
      <w:bookmarkStart w:id="158" w:name="_Toc28166"/>
      <w:r>
        <w:rPr>
          <w:rFonts w:eastAsia="黑体"/>
          <w:kern w:val="0"/>
          <w:sz w:val="32"/>
          <w:szCs w:val="32"/>
        </w:rPr>
        <w:t>第三章 资格审查、评标办法</w:t>
      </w:r>
      <w:bookmarkEnd w:id="155"/>
      <w:r>
        <w:rPr>
          <w:rFonts w:eastAsia="黑体"/>
          <w:kern w:val="0"/>
          <w:sz w:val="32"/>
          <w:szCs w:val="32"/>
        </w:rPr>
        <w:t>和标准</w:t>
      </w:r>
      <w:bookmarkEnd w:id="156"/>
      <w:bookmarkEnd w:id="157"/>
      <w:bookmarkEnd w:id="158"/>
    </w:p>
    <w:p>
      <w:pPr>
        <w:autoSpaceDE w:val="0"/>
        <w:autoSpaceDN w:val="0"/>
        <w:adjustRightInd w:val="0"/>
        <w:snapToGrid w:val="0"/>
        <w:spacing w:after="120" w:afterLines="50"/>
        <w:jc w:val="left"/>
        <w:rPr>
          <w:kern w:val="0"/>
          <w:szCs w:val="21"/>
        </w:rPr>
      </w:pPr>
    </w:p>
    <w:p>
      <w:pPr>
        <w:numPr>
          <w:ilvl w:val="0"/>
          <w:numId w:val="11"/>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59" w:name="_Toc15712"/>
      <w:bookmarkStart w:id="160" w:name="_Toc13499"/>
      <w:bookmarkStart w:id="161" w:name="_Toc31577"/>
      <w:r>
        <w:rPr>
          <w:rFonts w:eastAsia="黑体"/>
          <w:kern w:val="0"/>
          <w:sz w:val="24"/>
        </w:rPr>
        <w:t>资格审查及标准</w:t>
      </w:r>
      <w:bookmarkEnd w:id="159"/>
      <w:bookmarkEnd w:id="160"/>
      <w:bookmarkEnd w:id="161"/>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1"/>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2" w:name="_Toc17611"/>
      <w:bookmarkStart w:id="163" w:name="_Toc10671"/>
      <w:bookmarkStart w:id="164" w:name="_Toc25398"/>
      <w:r>
        <w:rPr>
          <w:rFonts w:eastAsia="黑体"/>
          <w:kern w:val="0"/>
          <w:sz w:val="24"/>
        </w:rPr>
        <w:t>评标方法</w:t>
      </w:r>
      <w:bookmarkEnd w:id="162"/>
      <w:bookmarkEnd w:id="163"/>
      <w:bookmarkEnd w:id="164"/>
    </w:p>
    <w:p>
      <w:pPr>
        <w:autoSpaceDE w:val="0"/>
        <w:autoSpaceDN w:val="0"/>
        <w:adjustRightInd w:val="0"/>
        <w:snapToGrid w:val="0"/>
        <w:spacing w:after="120" w:afterLines="50"/>
        <w:ind w:left="991" w:leftChars="472"/>
        <w:rPr>
          <w:kern w:val="0"/>
          <w:sz w:val="24"/>
        </w:rPr>
      </w:pPr>
      <w:bookmarkStart w:id="165" w:name="_Toc23815"/>
      <w:bookmarkStart w:id="166" w:name="_Toc12642"/>
      <w:bookmarkStart w:id="167" w:name="_Toc17609"/>
      <w:r>
        <w:rPr>
          <w:kern w:val="0"/>
          <w:sz w:val="24"/>
        </w:rPr>
        <w:t>本次评标采用综合评分法。评标委员会对满足招标文件实质性要求的投标文件，按照本章第</w:t>
      </w:r>
      <w:r>
        <w:rPr>
          <w:kern w:val="0"/>
          <w:sz w:val="24"/>
        </w:rPr>
        <w:fldChar w:fldCharType="begin"/>
      </w:r>
      <w:r>
        <w:rPr>
          <w:kern w:val="0"/>
          <w:sz w:val="24"/>
        </w:rPr>
        <w:instrText xml:space="preserve"> REF _Ref507665740 \r \h  \* MERGEFORMAT </w:instrText>
      </w:r>
      <w:r>
        <w:rPr>
          <w:kern w:val="0"/>
          <w:sz w:val="24"/>
        </w:rPr>
        <w:fldChar w:fldCharType="separate"/>
      </w:r>
      <w:r>
        <w:rPr>
          <w:kern w:val="0"/>
          <w:sz w:val="24"/>
        </w:rPr>
        <w:t>3</w:t>
      </w:r>
      <w:r>
        <w:rPr>
          <w:kern w:val="0"/>
          <w:sz w:val="24"/>
        </w:rPr>
        <w:fldChar w:fldCharType="end"/>
      </w:r>
      <w:r>
        <w:rPr>
          <w:kern w:val="0"/>
          <w:sz w:val="24"/>
        </w:rPr>
        <w:t>条规定的评审标准进行打分，并按得分由高到低顺序推荐中标候选人，或根据采购人授权直接确定中标人。</w:t>
      </w:r>
      <w:bookmarkEnd w:id="165"/>
      <w:bookmarkEnd w:id="166"/>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67"/>
    </w:p>
    <w:p>
      <w:pPr>
        <w:numPr>
          <w:ilvl w:val="0"/>
          <w:numId w:val="11"/>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8" w:name="_Toc1775"/>
      <w:bookmarkStart w:id="169" w:name="_Toc12479"/>
      <w:bookmarkStart w:id="170" w:name="_Toc17932"/>
      <w:r>
        <w:rPr>
          <w:rFonts w:eastAsia="黑体"/>
          <w:kern w:val="0"/>
          <w:sz w:val="24"/>
        </w:rPr>
        <w:t>评审标准</w:t>
      </w:r>
      <w:bookmarkEnd w:id="168"/>
      <w:bookmarkEnd w:id="169"/>
      <w:bookmarkEnd w:id="170"/>
    </w:p>
    <w:p>
      <w:pPr>
        <w:numPr>
          <w:ilvl w:val="1"/>
          <w:numId w:val="11"/>
        </w:numPr>
        <w:tabs>
          <w:tab w:val="left" w:pos="993"/>
        </w:tabs>
        <w:autoSpaceDE w:val="0"/>
        <w:autoSpaceDN w:val="0"/>
        <w:adjustRightInd w:val="0"/>
        <w:snapToGrid w:val="0"/>
        <w:spacing w:after="120" w:afterLines="50"/>
        <w:jc w:val="left"/>
        <w:rPr>
          <w:kern w:val="0"/>
          <w:sz w:val="24"/>
        </w:rPr>
      </w:pPr>
      <w:r>
        <w:rPr>
          <w:kern w:val="0"/>
          <w:sz w:val="24"/>
        </w:rPr>
        <w:t>符合性评审标准：见附表二。投标人须满足附表二符合性审查表的全部内容，否则其投标无效。</w:t>
      </w:r>
    </w:p>
    <w:p>
      <w:pPr>
        <w:numPr>
          <w:ilvl w:val="1"/>
          <w:numId w:val="11"/>
        </w:numPr>
        <w:tabs>
          <w:tab w:val="left" w:pos="993"/>
        </w:tabs>
        <w:autoSpaceDE w:val="0"/>
        <w:autoSpaceDN w:val="0"/>
        <w:adjustRightInd w:val="0"/>
        <w:snapToGrid w:val="0"/>
        <w:spacing w:after="120" w:afterLines="50"/>
        <w:jc w:val="left"/>
        <w:rPr>
          <w:kern w:val="0"/>
          <w:sz w:val="24"/>
        </w:rPr>
      </w:pPr>
      <w:r>
        <w:rPr>
          <w:kern w:val="0"/>
          <w:sz w:val="24"/>
        </w:rPr>
        <w:t>分值构成</w:t>
      </w:r>
    </w:p>
    <w:p>
      <w:pPr>
        <w:tabs>
          <w:tab w:val="left" w:pos="993"/>
        </w:tabs>
        <w:autoSpaceDE w:val="0"/>
        <w:autoSpaceDN w:val="0"/>
        <w:adjustRightInd w:val="0"/>
        <w:snapToGrid w:val="0"/>
        <w:spacing w:after="120" w:afterLines="50"/>
        <w:ind w:firstLine="960" w:firstLineChars="400"/>
        <w:jc w:val="left"/>
        <w:rPr>
          <w:kern w:val="0"/>
          <w:sz w:val="24"/>
        </w:rPr>
      </w:pPr>
      <w:r>
        <w:rPr>
          <w:kern w:val="0"/>
          <w:sz w:val="24"/>
        </w:rPr>
        <w:t>分值构成：总分100分</w:t>
      </w:r>
    </w:p>
    <w:p>
      <w:pPr>
        <w:numPr>
          <w:ilvl w:val="1"/>
          <w:numId w:val="11"/>
        </w:numPr>
        <w:tabs>
          <w:tab w:val="left" w:pos="993"/>
        </w:tabs>
        <w:autoSpaceDE w:val="0"/>
        <w:autoSpaceDN w:val="0"/>
        <w:adjustRightInd w:val="0"/>
        <w:snapToGrid w:val="0"/>
        <w:spacing w:after="120" w:afterLines="50"/>
        <w:jc w:val="left"/>
        <w:rPr>
          <w:kern w:val="0"/>
          <w:sz w:val="24"/>
        </w:rPr>
      </w:pPr>
      <w:bookmarkStart w:id="171" w:name="_Ref426362114"/>
      <w:r>
        <w:rPr>
          <w:kern w:val="0"/>
          <w:sz w:val="24"/>
        </w:rPr>
        <w:t>商务和技术评审标准</w:t>
      </w:r>
      <w:bookmarkEnd w:id="171"/>
    </w:p>
    <w:p>
      <w:pPr>
        <w:numPr>
          <w:ilvl w:val="2"/>
          <w:numId w:val="11"/>
        </w:numPr>
        <w:tabs>
          <w:tab w:val="left" w:pos="993"/>
        </w:tabs>
        <w:autoSpaceDE w:val="0"/>
        <w:autoSpaceDN w:val="0"/>
        <w:adjustRightInd w:val="0"/>
        <w:snapToGrid w:val="0"/>
        <w:spacing w:after="120" w:afterLines="50"/>
        <w:ind w:left="993" w:hanging="993"/>
        <w:jc w:val="left"/>
        <w:rPr>
          <w:kern w:val="0"/>
          <w:sz w:val="24"/>
        </w:rPr>
      </w:pPr>
      <w:bookmarkStart w:id="172" w:name="_Ref426362140"/>
      <w:r>
        <w:rPr>
          <w:kern w:val="0"/>
          <w:sz w:val="24"/>
        </w:rPr>
        <w:t>商务部分评分标准：见附表</w:t>
      </w:r>
      <w:bookmarkEnd w:id="172"/>
      <w:r>
        <w:rPr>
          <w:kern w:val="0"/>
          <w:sz w:val="24"/>
        </w:rPr>
        <w:t>三</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bookmarkStart w:id="173" w:name="_Ref426362158"/>
      <w:r>
        <w:rPr>
          <w:kern w:val="0"/>
          <w:sz w:val="24"/>
        </w:rPr>
        <w:t>技术部分评分标准：</w:t>
      </w:r>
      <w:bookmarkEnd w:id="173"/>
      <w:bookmarkStart w:id="174" w:name="_Ref426362176"/>
      <w:r>
        <w:rPr>
          <w:kern w:val="0"/>
          <w:sz w:val="24"/>
        </w:rPr>
        <w:t>见附表三</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投标报价评分标准：</w:t>
      </w:r>
      <w:bookmarkEnd w:id="174"/>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w:t>
      </w:r>
      <w:r>
        <w:rPr>
          <w:rFonts w:hint="eastAsia"/>
          <w:kern w:val="0"/>
          <w:sz w:val="24"/>
        </w:rPr>
        <w:t>及《关于进一步加大政府采购支持中小企业力度的通知》（财库〔2022〕19号）</w:t>
      </w:r>
      <w:r>
        <w:rPr>
          <w:kern w:val="0"/>
          <w:sz w:val="24"/>
        </w:rPr>
        <w:t>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w:t>
      </w:r>
      <w:r>
        <w:rPr>
          <w:rFonts w:hint="eastAsia"/>
          <w:kern w:val="0"/>
          <w:sz w:val="24"/>
        </w:rPr>
        <w:t>10</w:t>
      </w:r>
      <w:r>
        <w:rPr>
          <w:kern w:val="0"/>
          <w:sz w:val="24"/>
        </w:rPr>
        <w:t>%的扣除。或</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注：联合体各方均为小型、微型企业的，联合体视同小型、微型企业；监狱企业、残疾人福利性单位视同</w:t>
      </w:r>
      <w:r>
        <w:rPr>
          <w:rFonts w:hint="eastAsia"/>
          <w:kern w:val="0"/>
          <w:sz w:val="24"/>
        </w:rPr>
        <w:t>小微</w:t>
      </w:r>
      <w:r>
        <w:rPr>
          <w:kern w:val="0"/>
          <w:sz w:val="24"/>
        </w:rPr>
        <w:t>企业；监狱企业、残疾人福利性单位属于小微企业的，不重复享受政策。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w:t>
      </w:r>
      <w:r>
        <w:rPr>
          <w:rFonts w:hint="eastAsia"/>
          <w:kern w:val="0"/>
          <w:sz w:val="24"/>
        </w:rPr>
        <w:t>×0.30×100</w:t>
      </w:r>
    </w:p>
    <w:p>
      <w:pPr>
        <w:numPr>
          <w:ilvl w:val="0"/>
          <w:numId w:val="11"/>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5" w:name="_Toc11590"/>
      <w:r>
        <w:rPr>
          <w:rFonts w:eastAsia="黑体"/>
          <w:kern w:val="0"/>
          <w:sz w:val="24"/>
        </w:rPr>
        <w:t>评审程序</w:t>
      </w:r>
      <w:bookmarkEnd w:id="175"/>
    </w:p>
    <w:p>
      <w:pPr>
        <w:numPr>
          <w:ilvl w:val="1"/>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符合性检查。</w:t>
      </w:r>
    </w:p>
    <w:p>
      <w:pPr>
        <w:numPr>
          <w:ilvl w:val="2"/>
          <w:numId w:val="11"/>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pPr>
        <w:numPr>
          <w:ilvl w:val="2"/>
          <w:numId w:val="11"/>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澄清有关问题。</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（1）</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（2）</w:t>
      </w:r>
      <w:r>
        <w:rPr>
          <w:kern w:val="0"/>
          <w:sz w:val="24"/>
        </w:rPr>
        <w:tab/>
      </w:r>
      <w:r>
        <w:rPr>
          <w:kern w:val="0"/>
          <w:sz w:val="24"/>
        </w:rPr>
        <w:t>评标委员会不接受投标人主动提出的澄清、说明或补正。</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（3）</w:t>
      </w:r>
      <w:r>
        <w:rPr>
          <w:kern w:val="0"/>
          <w:sz w:val="24"/>
        </w:rPr>
        <w:tab/>
      </w:r>
      <w:r>
        <w:rPr>
          <w:kern w:val="0"/>
          <w:sz w:val="24"/>
        </w:rPr>
        <w:t>投标人的书面澄清、说明和补正属于投标文件的组成部分。</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（4）</w:t>
      </w:r>
      <w:r>
        <w:rPr>
          <w:kern w:val="0"/>
          <w:sz w:val="24"/>
        </w:rPr>
        <w:tab/>
      </w:r>
      <w:r>
        <w:rPr>
          <w:kern w:val="0"/>
          <w:sz w:val="24"/>
        </w:rPr>
        <w:t>评标委员会对投标人提交的澄清、说明或补正有疑问的，可以要求投标人进一步澄清、说明或补正，直至满足评标委员会的要求。</w:t>
      </w:r>
    </w:p>
    <w:p>
      <w:pPr>
        <w:numPr>
          <w:ilvl w:val="2"/>
          <w:numId w:val="11"/>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投标文件报价出现前后不一致的，除招标文件另有规定外，按照下列规定修正：</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w:t>
      </w:r>
      <w:r>
        <w:rPr>
          <w:kern w:val="0"/>
          <w:sz w:val="24"/>
        </w:rPr>
        <w:tab/>
      </w:r>
      <w:r>
        <w:rPr>
          <w:kern w:val="0"/>
          <w:sz w:val="24"/>
        </w:rPr>
        <w:t>投标文件中开标一览表（报价表）内容与投标文件中相应内容不一致的，以开标一览表（报价表）为准；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（2）</w:t>
      </w:r>
      <w:r>
        <w:rPr>
          <w:kern w:val="0"/>
          <w:sz w:val="24"/>
        </w:rPr>
        <w:tab/>
      </w:r>
      <w:r>
        <w:rPr>
          <w:kern w:val="0"/>
          <w:sz w:val="24"/>
        </w:rPr>
        <w:t>大写金额和小写金额不一致的，以大写金额为准；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（3）</w:t>
      </w:r>
      <w:r>
        <w:rPr>
          <w:kern w:val="0"/>
          <w:sz w:val="24"/>
        </w:rPr>
        <w:tab/>
      </w:r>
      <w:r>
        <w:rPr>
          <w:kern w:val="0"/>
          <w:sz w:val="24"/>
        </w:rPr>
        <w:t>单价金额小数点或者百分比有明显错位的，以开标一览表（报价表）的总价为准，并修改单价；</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（4）</w:t>
      </w:r>
      <w:r>
        <w:rPr>
          <w:kern w:val="0"/>
          <w:sz w:val="24"/>
        </w:rPr>
        <w:tab/>
      </w:r>
      <w:r>
        <w:rPr>
          <w:kern w:val="0"/>
          <w:sz w:val="24"/>
        </w:rPr>
        <w:t>总价金额与按单价汇总金额不一致的，以单价金额计算结果为准。</w:t>
      </w:r>
    </w:p>
    <w:p>
      <w:pPr>
        <w:tabs>
          <w:tab w:val="left" w:pos="993"/>
        </w:tabs>
        <w:snapToGrid w:val="0"/>
        <w:spacing w:after="120" w:afterLines="50"/>
        <w:ind w:left="991" w:leftChars="472" w:firstLine="2"/>
        <w:rPr>
          <w:sz w:val="24"/>
        </w:rPr>
      </w:pPr>
      <w:r>
        <w:rPr>
          <w:sz w:val="24"/>
        </w:rPr>
        <w:t>同时出现两种以上不一致的，按照前款规定的顺序修正。修正后的报价经投标人确认后产生约束力，投标人不确认的，其投标无效。</w:t>
      </w:r>
    </w:p>
    <w:p>
      <w:pPr>
        <w:tabs>
          <w:tab w:val="left" w:pos="993"/>
        </w:tabs>
        <w:snapToGrid w:val="0"/>
        <w:spacing w:after="120" w:afterLines="50"/>
        <w:ind w:left="991" w:leftChars="472" w:firstLine="2"/>
        <w:rPr>
          <w:sz w:val="24"/>
        </w:rPr>
      </w:pPr>
      <w:r>
        <w:rPr>
          <w:sz w:val="24"/>
        </w:rPr>
        <w:t>投标人的确认应当采用书面形式，并加盖公章，或者由法定代表人或其授权的代表签字。</w:t>
      </w:r>
    </w:p>
    <w:p>
      <w:pPr>
        <w:numPr>
          <w:ilvl w:val="1"/>
          <w:numId w:val="11"/>
        </w:numPr>
        <w:tabs>
          <w:tab w:val="left" w:pos="993"/>
        </w:tabs>
        <w:autoSpaceDE w:val="0"/>
        <w:autoSpaceDN w:val="0"/>
        <w:adjustRightInd w:val="0"/>
        <w:snapToGrid w:val="0"/>
        <w:spacing w:after="120" w:afterLines="50"/>
        <w:jc w:val="left"/>
        <w:rPr>
          <w:kern w:val="0"/>
          <w:sz w:val="24"/>
        </w:rPr>
      </w:pPr>
      <w:r>
        <w:rPr>
          <w:kern w:val="0"/>
          <w:sz w:val="24"/>
        </w:rPr>
        <w:t>商务和技术评审</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比较与评价</w:t>
      </w:r>
    </w:p>
    <w:p>
      <w:pPr>
        <w:tabs>
          <w:tab w:val="left" w:pos="993"/>
        </w:tabs>
        <w:autoSpaceDE w:val="0"/>
        <w:autoSpaceDN w:val="0"/>
        <w:adjustRightInd w:val="0"/>
        <w:snapToGrid w:val="0"/>
        <w:spacing w:after="120" w:afterLines="50"/>
        <w:ind w:left="2039" w:leftChars="810" w:hanging="338" w:hangingChars="141"/>
        <w:jc w:val="left"/>
        <w:rPr>
          <w:i/>
          <w:kern w:val="0"/>
          <w:sz w:val="24"/>
        </w:rPr>
      </w:pPr>
    </w:p>
    <w:p>
      <w:bookmarkStart w:id="176" w:name="_Toc17270"/>
      <w:bookmarkStart w:id="177" w:name="_Toc18755"/>
      <w:r>
        <w:br w:type="page"/>
      </w:r>
    </w:p>
    <w:bookmarkEnd w:id="176"/>
    <w:bookmarkEnd w:id="177"/>
    <w:p>
      <w:pPr>
        <w:tabs>
          <w:tab w:val="left" w:pos="993"/>
        </w:tabs>
        <w:autoSpaceDE w:val="0"/>
        <w:autoSpaceDN w:val="0"/>
        <w:adjustRightInd w:val="0"/>
        <w:snapToGrid w:val="0"/>
        <w:spacing w:before="120" w:after="120" w:afterLines="50"/>
        <w:ind w:left="991" w:leftChars="472"/>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ind w:left="991" w:leftChars="472"/>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3.3.1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项规定的评审因素和分值对报价部分计算出得分C。</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评分分值计算保留小数点后两位，小数点后第三位“四舍五入”。</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投标人得分=A＋B＋C</w:t>
      </w:r>
    </w:p>
    <w:p>
      <w:pPr>
        <w:numPr>
          <w:ilvl w:val="1"/>
          <w:numId w:val="11"/>
        </w:numPr>
        <w:tabs>
          <w:tab w:val="left" w:pos="993"/>
        </w:tabs>
        <w:autoSpaceDE w:val="0"/>
        <w:autoSpaceDN w:val="0"/>
        <w:adjustRightInd w:val="0"/>
        <w:snapToGrid w:val="0"/>
        <w:spacing w:after="120" w:afterLines="50"/>
        <w:jc w:val="left"/>
        <w:rPr>
          <w:kern w:val="0"/>
          <w:sz w:val="24"/>
        </w:rPr>
      </w:pPr>
      <w:r>
        <w:rPr>
          <w:kern w:val="0"/>
          <w:sz w:val="24"/>
        </w:rPr>
        <w:t>评标结果</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除第二章“投标人须知”前附表授权直接确定中标人外，评标委员会按照得分由高到低的顺序推荐中标候选人。</w:t>
      </w:r>
    </w:p>
    <w:p>
      <w:pPr>
        <w:numPr>
          <w:ilvl w:val="2"/>
          <w:numId w:val="11"/>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评标委员会完成评标后，应当向采购人提交书面评标报告。</w:t>
      </w:r>
    </w:p>
    <w:p>
      <w:pPr>
        <w:tabs>
          <w:tab w:val="left" w:pos="993"/>
        </w:tabs>
        <w:autoSpaceDE w:val="0"/>
        <w:autoSpaceDN w:val="0"/>
        <w:adjustRightInd w:val="0"/>
        <w:snapToGrid w:val="0"/>
        <w:spacing w:after="120" w:afterLines="50"/>
        <w:jc w:val="left"/>
        <w:rPr>
          <w:kern w:val="0"/>
          <w:sz w:val="24"/>
        </w:rPr>
      </w:pPr>
    </w:p>
    <w:p>
      <w:pPr>
        <w:snapToGrid w:val="0"/>
        <w:spacing w:after="120" w:afterLines="50"/>
        <w:ind w:left="1591" w:leftChars="472" w:hanging="600" w:hangingChars="250"/>
        <w:rPr>
          <w:sz w:val="24"/>
        </w:rPr>
      </w:pPr>
    </w:p>
    <w:p>
      <w:pPr>
        <w:snapToGrid w:val="0"/>
        <w:spacing w:after="120" w:afterLines="50"/>
        <w:ind w:left="420" w:leftChars="200"/>
        <w:rPr>
          <w:sz w:val="24"/>
        </w:rPr>
      </w:pPr>
    </w:p>
    <w:p>
      <w:pPr>
        <w:snapToGrid w:val="0"/>
        <w:spacing w:after="120" w:afterLines="50"/>
        <w:ind w:left="1591" w:leftChars="472" w:hanging="600" w:hangingChars="250"/>
        <w:rPr>
          <w:sz w:val="24"/>
        </w:rPr>
      </w:pPr>
    </w:p>
    <w:p>
      <w:pPr>
        <w:snapToGrid w:val="0"/>
        <w:spacing w:after="120" w:afterLines="50"/>
        <w:ind w:left="1591" w:leftChars="472" w:hanging="600" w:hangingChars="250"/>
        <w:rPr>
          <w:sz w:val="24"/>
        </w:rPr>
      </w:pPr>
    </w:p>
    <w:p>
      <w:pPr>
        <w:rPr>
          <w:b/>
          <w:sz w:val="28"/>
          <w:szCs w:val="28"/>
        </w:rPr>
      </w:pPr>
      <w:bookmarkStart w:id="178" w:name="_Toc17062"/>
      <w:bookmarkStart w:id="179" w:name="_Toc28300"/>
      <w:bookmarkStart w:id="180" w:name="_Toc414446032"/>
      <w:bookmarkStart w:id="181" w:name="_Toc410631196"/>
      <w:bookmarkStart w:id="182" w:name="_Toc19011"/>
      <w:bookmarkStart w:id="183" w:name="_Toc26132"/>
      <w:bookmarkStart w:id="184" w:name="_Toc414446033"/>
      <w:bookmarkStart w:id="185" w:name="_Toc410631197"/>
      <w:bookmarkStart w:id="186" w:name="_Toc23856"/>
      <w:bookmarkStart w:id="187" w:name="_Toc6054"/>
      <w:bookmarkStart w:id="188" w:name="_Toc14622"/>
      <w:bookmarkStart w:id="189" w:name="_Toc9913"/>
      <w:r>
        <w:rPr>
          <w:b/>
          <w:sz w:val="28"/>
          <w:szCs w:val="28"/>
        </w:rPr>
        <w:br w:type="page"/>
      </w:r>
    </w:p>
    <w:p>
      <w:pPr>
        <w:tabs>
          <w:tab w:val="left" w:pos="-94"/>
          <w:tab w:val="left" w:pos="428"/>
        </w:tabs>
        <w:adjustRightInd w:val="0"/>
        <w:spacing w:line="360" w:lineRule="auto"/>
        <w:ind w:left="23" w:leftChars="11"/>
        <w:jc w:val="both"/>
        <w:textAlignment w:val="baseline"/>
        <w:outlineLvl w:val="1"/>
        <w:rPr>
          <w:rFonts w:hint="eastAsia" w:eastAsia="黑体"/>
          <w:b w:val="0"/>
          <w:bCs w:val="0"/>
          <w:sz w:val="28"/>
          <w:szCs w:val="28"/>
        </w:rPr>
      </w:pPr>
      <w:bookmarkStart w:id="190" w:name="_Toc21037"/>
      <w:r>
        <w:rPr>
          <w:rFonts w:hint="eastAsia" w:eastAsia="黑体"/>
          <w:b w:val="0"/>
          <w:bCs w:val="0"/>
          <w:sz w:val="28"/>
          <w:szCs w:val="28"/>
        </w:rPr>
        <w:t>适用于标项一</w:t>
      </w:r>
      <w:bookmarkEnd w:id="190"/>
    </w:p>
    <w:tbl>
      <w:tblPr>
        <w:tblStyle w:val="40"/>
        <w:tblpPr w:leftFromText="180" w:rightFromText="180" w:vertAnchor="text" w:horzAnchor="page" w:tblpX="1719" w:tblpY="756"/>
        <w:tblOverlap w:val="never"/>
        <w:tblW w:w="8522" w:type="dxa"/>
        <w:tblInd w:w="0" w:type="dxa"/>
        <w:tblLayout w:type="fixed"/>
        <w:tblCellMar>
          <w:top w:w="0" w:type="dxa"/>
          <w:left w:w="108" w:type="dxa"/>
          <w:bottom w:w="0" w:type="dxa"/>
          <w:right w:w="108" w:type="dxa"/>
        </w:tblCellMar>
      </w:tblPr>
      <w:tblGrid>
        <w:gridCol w:w="463"/>
        <w:gridCol w:w="1708"/>
        <w:gridCol w:w="4986"/>
        <w:gridCol w:w="425"/>
        <w:gridCol w:w="425"/>
        <w:gridCol w:w="515"/>
      </w:tblGrid>
      <w:tr>
        <w:tblPrEx>
          <w:tblCellMar>
            <w:top w:w="0" w:type="dxa"/>
            <w:left w:w="108" w:type="dxa"/>
            <w:bottom w:w="0" w:type="dxa"/>
            <w:right w:w="108" w:type="dxa"/>
          </w:tblCellMar>
        </w:tblPrEx>
        <w:tc>
          <w:tcPr>
            <w:tcW w:w="217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审查内容</w:t>
            </w:r>
          </w:p>
        </w:tc>
        <w:tc>
          <w:tcPr>
            <w:tcW w:w="4986" w:type="dxa"/>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投标</w:t>
            </w:r>
            <w:r>
              <w:rPr>
                <w:rFonts w:hint="eastAsia" w:ascii="Times New Roman" w:hAnsi="Times New Roman" w:cs="Times New Roman"/>
                <w:kern w:val="0"/>
              </w:rPr>
              <w:t>人</w:t>
            </w:r>
            <w:r>
              <w:rPr>
                <w:rFonts w:ascii="Times New Roman" w:hAnsi="Times New Roman" w:cs="Times New Roman"/>
                <w:kern w:val="0"/>
              </w:rPr>
              <w:t>名称</w:t>
            </w:r>
          </w:p>
        </w:tc>
      </w:tr>
      <w:tr>
        <w:tblPrEx>
          <w:tblCellMar>
            <w:top w:w="0" w:type="dxa"/>
            <w:left w:w="108" w:type="dxa"/>
            <w:bottom w:w="0" w:type="dxa"/>
            <w:right w:w="108" w:type="dxa"/>
          </w:tblCellMar>
        </w:tblPrEx>
        <w:tc>
          <w:tcPr>
            <w:tcW w:w="2171"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w:t>
            </w: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ascii="Times New Roman" w:hAnsi="Times New Roman" w:cs="宋体"/>
                <w:spacing w:val="-2"/>
              </w:rPr>
              <w:t>投标人代表身份证明</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w:t>
            </w:r>
            <w:r>
              <w:rPr>
                <w:rFonts w:hint="eastAsia"/>
                <w:szCs w:val="21"/>
              </w:rPr>
              <w:t>（</w:t>
            </w:r>
            <w:r>
              <w:rPr>
                <w:rFonts w:hint="eastAsia"/>
                <w:szCs w:val="21"/>
                <w:lang w:eastAsia="zh-CN"/>
              </w:rPr>
              <w:t>2022年度</w:t>
            </w:r>
            <w:r>
              <w:rPr>
                <w:rFonts w:hint="eastAsia"/>
                <w:szCs w:val="21"/>
              </w:rPr>
              <w:t>）</w:t>
            </w:r>
            <w:r>
              <w:rPr>
                <w:szCs w:val="21"/>
              </w:rPr>
              <w:t>财务审计报告或半年内任意一个月财务报表（财务报表应至少包括资产负债表、利润表、现金流量表或财务状况变动表，当月新成立的，不需提供）。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提供的近半年内任意一月依法缴纳税收证明，当月新成立的，不需提供；无需纳税或免税的也需提供相应证明材料。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9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4986"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szCs w:val="21"/>
                <w:lang w:val="en-US" w:eastAsia="zh-CN"/>
              </w:rPr>
              <w:t>9</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rPr>
              <w:t>重大税收违法失信主体；</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2、“中国执行信息公开网”（http://zxgk.court.gov.cn/）未被列入失信被执行人；</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kern w:val="0"/>
                <w:szCs w:val="21"/>
                <w:lang w:eastAsia="zh-CN"/>
              </w:rPr>
            </w:pPr>
            <w:r>
              <w:rPr>
                <w:kern w:val="0"/>
                <w:szCs w:val="21"/>
              </w:rPr>
              <w:t>1</w:t>
            </w:r>
            <w:r>
              <w:rPr>
                <w:rFonts w:hint="eastAsia"/>
                <w:kern w:val="0"/>
                <w:szCs w:val="21"/>
                <w:lang w:val="en-US" w:eastAsia="zh-CN"/>
              </w:rPr>
              <w:t>0</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740" w:hRule="atLeast"/>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kern w:val="0"/>
                <w:szCs w:val="21"/>
                <w:lang w:eastAsia="zh-CN"/>
              </w:rPr>
            </w:pPr>
            <w:r>
              <w:rPr>
                <w:kern w:val="0"/>
                <w:szCs w:val="21"/>
              </w:rPr>
              <w:t>1</w:t>
            </w:r>
            <w:r>
              <w:rPr>
                <w:rFonts w:hint="eastAsia"/>
                <w:kern w:val="0"/>
                <w:szCs w:val="21"/>
                <w:lang w:val="en-US" w:eastAsia="zh-CN"/>
              </w:rPr>
              <w:t>1</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418" w:hRule="atLeast"/>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bl>
    <w:p>
      <w:r>
        <w:rPr>
          <w:b/>
          <w:sz w:val="28"/>
          <w:szCs w:val="28"/>
        </w:rPr>
        <w:t>附表一 资格审查表</w:t>
      </w:r>
      <w:bookmarkEnd w:id="178"/>
      <w:bookmarkEnd w:id="179"/>
      <w:bookmarkEnd w:id="180"/>
      <w:bookmarkEnd w:id="181"/>
      <w:bookmarkEnd w:id="182"/>
      <w:r>
        <w:rPr>
          <w:b/>
          <w:sz w:val="28"/>
          <w:szCs w:val="28"/>
        </w:rPr>
        <w:br w:type="textWrapping"/>
      </w:r>
      <w:r>
        <w:rPr>
          <w:b/>
          <w:sz w:val="28"/>
          <w:szCs w:val="28"/>
        </w:rPr>
        <w:br w:type="textWrapping"/>
      </w:r>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pPr>
        <w:tabs>
          <w:tab w:val="left" w:pos="-94"/>
          <w:tab w:val="left" w:pos="428"/>
        </w:tabs>
        <w:adjustRightInd w:val="0"/>
        <w:spacing w:line="360" w:lineRule="auto"/>
        <w:ind w:left="23" w:leftChars="11"/>
        <w:jc w:val="both"/>
        <w:textAlignment w:val="baseline"/>
        <w:outlineLvl w:val="1"/>
        <w:rPr>
          <w:rFonts w:hint="eastAsia" w:eastAsia="黑体"/>
          <w:b w:val="0"/>
          <w:bCs w:val="0"/>
          <w:sz w:val="28"/>
          <w:szCs w:val="28"/>
          <w:lang w:val="en-US" w:eastAsia="zh-CN"/>
        </w:rPr>
      </w:pPr>
      <w:bookmarkStart w:id="191" w:name="_Toc16679"/>
      <w:r>
        <w:rPr>
          <w:b/>
          <w:sz w:val="28"/>
          <w:szCs w:val="28"/>
        </w:rPr>
        <w:br w:type="column"/>
      </w:r>
      <w:r>
        <w:rPr>
          <w:rFonts w:hint="eastAsia" w:eastAsia="黑体"/>
          <w:b w:val="0"/>
          <w:bCs w:val="0"/>
          <w:sz w:val="28"/>
          <w:szCs w:val="28"/>
        </w:rPr>
        <w:t>适用于标项</w:t>
      </w:r>
      <w:r>
        <w:rPr>
          <w:rFonts w:hint="eastAsia" w:eastAsia="黑体"/>
          <w:b w:val="0"/>
          <w:bCs w:val="0"/>
          <w:sz w:val="28"/>
          <w:szCs w:val="28"/>
          <w:lang w:val="en-US" w:eastAsia="zh-CN"/>
        </w:rPr>
        <w:t>二、标项三</w:t>
      </w:r>
      <w:bookmarkEnd w:id="191"/>
    </w:p>
    <w:tbl>
      <w:tblPr>
        <w:tblStyle w:val="40"/>
        <w:tblpPr w:leftFromText="180" w:rightFromText="180" w:vertAnchor="text" w:horzAnchor="page" w:tblpX="1959" w:tblpY="692"/>
        <w:tblOverlap w:val="never"/>
        <w:tblW w:w="8522" w:type="dxa"/>
        <w:tblInd w:w="0" w:type="dxa"/>
        <w:tblLayout w:type="fixed"/>
        <w:tblCellMar>
          <w:top w:w="0" w:type="dxa"/>
          <w:left w:w="108" w:type="dxa"/>
          <w:bottom w:w="0" w:type="dxa"/>
          <w:right w:w="108" w:type="dxa"/>
        </w:tblCellMar>
      </w:tblPr>
      <w:tblGrid>
        <w:gridCol w:w="463"/>
        <w:gridCol w:w="1708"/>
        <w:gridCol w:w="4986"/>
        <w:gridCol w:w="425"/>
        <w:gridCol w:w="425"/>
        <w:gridCol w:w="515"/>
      </w:tblGrid>
      <w:tr>
        <w:tblPrEx>
          <w:tblCellMar>
            <w:top w:w="0" w:type="dxa"/>
            <w:left w:w="108" w:type="dxa"/>
            <w:bottom w:w="0" w:type="dxa"/>
            <w:right w:w="108" w:type="dxa"/>
          </w:tblCellMar>
        </w:tblPrEx>
        <w:tc>
          <w:tcPr>
            <w:tcW w:w="217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审查内容</w:t>
            </w:r>
          </w:p>
        </w:tc>
        <w:tc>
          <w:tcPr>
            <w:tcW w:w="4986" w:type="dxa"/>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投标</w:t>
            </w:r>
            <w:r>
              <w:rPr>
                <w:rFonts w:hint="eastAsia" w:ascii="Times New Roman" w:hAnsi="Times New Roman" w:cs="Times New Roman"/>
                <w:kern w:val="0"/>
              </w:rPr>
              <w:t>人</w:t>
            </w:r>
            <w:r>
              <w:rPr>
                <w:rFonts w:ascii="Times New Roman" w:hAnsi="Times New Roman" w:cs="Times New Roman"/>
                <w:kern w:val="0"/>
              </w:rPr>
              <w:t>名称</w:t>
            </w:r>
          </w:p>
        </w:tc>
      </w:tr>
      <w:tr>
        <w:tc>
          <w:tcPr>
            <w:tcW w:w="2171"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w:t>
            </w: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ascii="Times New Roman" w:hAnsi="Times New Roman" w:cs="宋体"/>
                <w:spacing w:val="-2"/>
              </w:rPr>
              <w:t>投标人代表身份证明</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w:t>
            </w:r>
            <w:r>
              <w:rPr>
                <w:rFonts w:hint="eastAsia"/>
                <w:szCs w:val="21"/>
              </w:rPr>
              <w:t>（</w:t>
            </w:r>
            <w:r>
              <w:rPr>
                <w:rFonts w:hint="eastAsia"/>
                <w:szCs w:val="21"/>
                <w:lang w:eastAsia="zh-CN"/>
              </w:rPr>
              <w:t>2022年度</w:t>
            </w:r>
            <w:r>
              <w:rPr>
                <w:rFonts w:hint="eastAsia"/>
                <w:szCs w:val="21"/>
              </w:rPr>
              <w:t>）</w:t>
            </w:r>
            <w:r>
              <w:rPr>
                <w:szCs w:val="21"/>
              </w:rPr>
              <w:t>财务审计报告或半年内任意一个月财务报表（财务报表应至少包括资产负债表、利润表、现金流量表或财务状况变动表，当月新成立的，不需提供）。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提供的近半年内任意一月依法缴纳税收证明，当月新成立的，不需提供；无需纳税或免税的也需提供相应证明材料。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9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4986"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落实政府采购政策需满足的资格要求</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本项目为专门面向中小企业采购的项目，投标人所投产品生产厂家应均为中小微企业或监狱企业或残疾人福利性单位；</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投标人应按招标文件要求提供《中小企业声明函》或《残疾人福利性单位声明函》或监狱企业证明材料；</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rPr>
              <w:t>重大税收违法失信主体；</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2、“中国执行信息公开网”（http://zxgk.court.gov.cn/）未被列入失信被执行人；</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11</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740" w:hRule="atLeast"/>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12</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rPr>
          <w:trHeight w:val="418" w:hRule="atLeast"/>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bl>
    <w:p>
      <w:pPr>
        <w:tabs>
          <w:tab w:val="left" w:pos="-94"/>
          <w:tab w:val="left" w:pos="428"/>
        </w:tabs>
        <w:adjustRightInd w:val="0"/>
        <w:spacing w:line="360" w:lineRule="auto"/>
        <w:ind w:left="23" w:leftChars="11"/>
        <w:jc w:val="both"/>
        <w:textAlignment w:val="baseline"/>
        <w:outlineLvl w:val="1"/>
        <w:rPr>
          <w:b/>
          <w:sz w:val="28"/>
          <w:szCs w:val="28"/>
        </w:rPr>
      </w:pPr>
      <w:bookmarkStart w:id="192" w:name="_Toc10969"/>
      <w:r>
        <w:rPr>
          <w:b/>
          <w:sz w:val="28"/>
          <w:szCs w:val="28"/>
        </w:rPr>
        <w:t>附表一 资格审查表</w:t>
      </w:r>
      <w:r>
        <w:rPr>
          <w:szCs w:val="21"/>
        </w:rPr>
        <w:br w:type="page"/>
      </w:r>
      <w:bookmarkEnd w:id="192"/>
    </w:p>
    <w:p>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p>
      <w:pPr>
        <w:rPr>
          <w:b/>
          <w:sz w:val="28"/>
          <w:szCs w:val="28"/>
        </w:rPr>
      </w:pPr>
      <w:r>
        <w:rPr>
          <w:b/>
          <w:sz w:val="28"/>
          <w:szCs w:val="28"/>
        </w:rPr>
        <w:br w:type="page"/>
      </w:r>
    </w:p>
    <w:p>
      <w:pPr>
        <w:tabs>
          <w:tab w:val="left" w:pos="-94"/>
          <w:tab w:val="left" w:pos="428"/>
        </w:tabs>
        <w:adjustRightInd w:val="0"/>
        <w:spacing w:line="360" w:lineRule="auto"/>
        <w:ind w:left="23" w:leftChars="11"/>
        <w:jc w:val="both"/>
        <w:textAlignment w:val="baseline"/>
        <w:outlineLvl w:val="1"/>
        <w:rPr>
          <w:rFonts w:hint="eastAsia" w:eastAsia="黑体"/>
          <w:b w:val="0"/>
          <w:bCs w:val="0"/>
          <w:sz w:val="28"/>
          <w:szCs w:val="28"/>
          <w:lang w:eastAsia="zh-CN"/>
        </w:rPr>
      </w:pPr>
      <w:bookmarkStart w:id="193" w:name="_Toc6868"/>
      <w:r>
        <w:rPr>
          <w:rFonts w:hint="eastAsia" w:eastAsia="黑体"/>
          <w:b w:val="0"/>
          <w:bCs w:val="0"/>
          <w:sz w:val="28"/>
          <w:szCs w:val="28"/>
        </w:rPr>
        <w:t>适用于所有标项</w:t>
      </w:r>
      <w:r>
        <w:rPr>
          <w:rFonts w:hint="eastAsia" w:eastAsia="黑体"/>
          <w:b w:val="0"/>
          <w:bCs w:val="0"/>
          <w:sz w:val="28"/>
          <w:szCs w:val="28"/>
          <w:lang w:eastAsia="zh-CN"/>
        </w:rPr>
        <w:t>：</w:t>
      </w:r>
      <w:bookmarkEnd w:id="193"/>
    </w:p>
    <w:p>
      <w:pPr>
        <w:tabs>
          <w:tab w:val="left" w:pos="-94"/>
          <w:tab w:val="left" w:pos="428"/>
        </w:tabs>
        <w:adjustRightInd w:val="0"/>
        <w:spacing w:line="360" w:lineRule="auto"/>
        <w:ind w:left="23" w:leftChars="11"/>
        <w:jc w:val="center"/>
        <w:textAlignment w:val="baseline"/>
        <w:outlineLvl w:val="1"/>
        <w:rPr>
          <w:b/>
          <w:sz w:val="28"/>
          <w:szCs w:val="28"/>
        </w:rPr>
      </w:pPr>
      <w:bookmarkStart w:id="194" w:name="_Toc4318"/>
      <w:r>
        <w:rPr>
          <w:b/>
          <w:sz w:val="28"/>
          <w:szCs w:val="28"/>
        </w:rPr>
        <w:t>附表二 符合性审查表</w:t>
      </w:r>
      <w:bookmarkEnd w:id="183"/>
      <w:bookmarkEnd w:id="184"/>
      <w:bookmarkEnd w:id="185"/>
      <w:bookmarkEnd w:id="186"/>
      <w:bookmarkEnd w:id="187"/>
      <w:bookmarkEnd w:id="194"/>
    </w:p>
    <w:tbl>
      <w:tblPr>
        <w:tblStyle w:val="40"/>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szCs w:val="21"/>
              </w:rPr>
              <w:t>投标文件有效期是否满足招标文件要求的；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rFonts w:hint="eastAsia"/>
                <w:szCs w:val="21"/>
              </w:rPr>
              <w:t>是否提供</w:t>
            </w:r>
            <w:r>
              <w:rPr>
                <w:szCs w:val="21"/>
              </w:rPr>
              <w:t>产品医疗器械注册证或备案证明</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rFonts w:hint="eastAsia"/>
                <w:szCs w:val="21"/>
              </w:rPr>
              <w:t>4</w:t>
            </w:r>
          </w:p>
        </w:tc>
        <w:tc>
          <w:tcPr>
            <w:tcW w:w="6136" w:type="dxa"/>
            <w:tcBorders>
              <w:right w:val="single" w:color="auto" w:sz="4" w:space="0"/>
            </w:tcBorders>
            <w:vAlign w:val="center"/>
          </w:tcPr>
          <w:p>
            <w:pPr>
              <w:textAlignment w:val="center"/>
              <w:rPr>
                <w:rFonts w:ascii="Times New Roman" w:hAnsi="Times New Roman" w:eastAsia="宋体" w:cs="Times New Roman"/>
                <w:kern w:val="2"/>
                <w:sz w:val="21"/>
                <w:szCs w:val="21"/>
                <w:lang w:val="en-US" w:eastAsia="zh-CN" w:bidi="ar-SA"/>
              </w:rPr>
            </w:pPr>
            <w:r>
              <w:rPr>
                <w:szCs w:val="21"/>
              </w:rPr>
              <w:t>投标文件是否按照要求签署、盖章；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5</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rFonts w:hint="eastAsia"/>
                <w:szCs w:val="21"/>
              </w:rPr>
              <w:t>投标</w:t>
            </w:r>
            <w:r>
              <w:rPr>
                <w:szCs w:val="21"/>
              </w:rPr>
              <w:t>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6</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rFonts w:hint="eastAsia"/>
                <w:szCs w:val="21"/>
              </w:rPr>
              <w:t>投标人</w:t>
            </w:r>
            <w:r>
              <w:rPr>
                <w:szCs w:val="21"/>
              </w:rPr>
              <w:t>所报</w:t>
            </w:r>
            <w:r>
              <w:rPr>
                <w:rFonts w:hint="eastAsia"/>
                <w:szCs w:val="21"/>
              </w:rPr>
              <w:t>交货期</w:t>
            </w:r>
            <w:r>
              <w:rPr>
                <w:szCs w:val="21"/>
              </w:rPr>
              <w:t>限是否超过招标文件规定期限的；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7</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szCs w:val="21"/>
              </w:rPr>
              <w:t>是否满足招标文件规定免费质保年限（以售后服务承诺为准）</w:t>
            </w:r>
            <w:r>
              <w:rPr>
                <w:rFonts w:hint="eastAsia"/>
                <w:szCs w:val="21"/>
              </w:rPr>
              <w:t>；</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8</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szCs w:val="21"/>
              </w:rPr>
              <w:t>是否存在法律、法规和招标文件规定的其他无效情形</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Cs/>
          <w:szCs w:val="21"/>
        </w:rPr>
      </w:pPr>
      <w:r>
        <w:rPr>
          <w:bCs/>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b/>
          <w:szCs w:val="21"/>
        </w:rPr>
      </w:pPr>
      <w:r>
        <w:rPr>
          <w:b/>
          <w:szCs w:val="21"/>
        </w:rPr>
        <w:br w:type="page"/>
      </w:r>
    </w:p>
    <w:p>
      <w:pPr>
        <w:tabs>
          <w:tab w:val="left" w:pos="-94"/>
          <w:tab w:val="left" w:pos="428"/>
        </w:tabs>
        <w:adjustRightInd w:val="0"/>
        <w:spacing w:line="360" w:lineRule="auto"/>
        <w:ind w:left="23" w:leftChars="11"/>
        <w:jc w:val="left"/>
        <w:textAlignment w:val="baseline"/>
        <w:outlineLvl w:val="1"/>
        <w:rPr>
          <w:b/>
          <w:sz w:val="28"/>
          <w:szCs w:val="28"/>
        </w:rPr>
      </w:pPr>
      <w:bookmarkStart w:id="195" w:name="_Toc13630"/>
      <w:bookmarkStart w:id="196" w:name="_Toc8395"/>
      <w:bookmarkStart w:id="197" w:name="_Toc410631198"/>
      <w:bookmarkStart w:id="198" w:name="_Toc414446034"/>
      <w:bookmarkStart w:id="199" w:name="_Toc11463"/>
      <w:bookmarkStart w:id="200" w:name="_Toc15146"/>
      <w:r>
        <w:rPr>
          <w:rFonts w:hint="eastAsia" w:eastAsia="黑体"/>
          <w:b w:val="0"/>
          <w:bCs w:val="0"/>
          <w:sz w:val="28"/>
          <w:szCs w:val="28"/>
        </w:rPr>
        <w:t>适用于</w:t>
      </w:r>
      <w:r>
        <w:rPr>
          <w:rFonts w:hint="eastAsia" w:eastAsia="黑体"/>
          <w:b w:val="0"/>
          <w:bCs w:val="0"/>
          <w:sz w:val="28"/>
          <w:szCs w:val="28"/>
          <w:lang w:eastAsia="zh-CN"/>
        </w:rPr>
        <w:t>：</w:t>
      </w:r>
      <w:r>
        <w:rPr>
          <w:rFonts w:hint="eastAsia" w:eastAsia="黑体"/>
          <w:b w:val="0"/>
          <w:bCs w:val="0"/>
          <w:sz w:val="28"/>
          <w:szCs w:val="28"/>
        </w:rPr>
        <w:t>标项</w:t>
      </w:r>
      <w:r>
        <w:rPr>
          <w:rFonts w:hint="eastAsia" w:eastAsia="黑体"/>
          <w:b w:val="0"/>
          <w:bCs w:val="0"/>
          <w:sz w:val="28"/>
          <w:szCs w:val="28"/>
          <w:lang w:val="en-US" w:eastAsia="zh-CN"/>
        </w:rPr>
        <w:t>一、标项二</w:t>
      </w:r>
      <w:r>
        <w:rPr>
          <w:rFonts w:hint="eastAsia" w:eastAsia="黑体"/>
          <w:b/>
          <w:bCs/>
          <w:sz w:val="32"/>
          <w:szCs w:val="40"/>
        </w:rPr>
        <w:t>（</w:t>
      </w:r>
      <w:r>
        <w:rPr>
          <w:rFonts w:hint="eastAsia" w:eastAsia="黑体"/>
          <w:b/>
          <w:bCs/>
          <w:sz w:val="32"/>
          <w:szCs w:val="40"/>
          <w:lang w:val="en-US" w:eastAsia="zh-CN"/>
        </w:rPr>
        <w:t>无</w:t>
      </w:r>
      <w:r>
        <w:rPr>
          <w:rFonts w:hint="eastAsia" w:eastAsia="黑体"/>
          <w:b/>
          <w:bCs/>
          <w:sz w:val="32"/>
          <w:szCs w:val="40"/>
        </w:rPr>
        <w:t>样品评审）</w:t>
      </w:r>
      <w:bookmarkEnd w:id="195"/>
    </w:p>
    <w:p>
      <w:pPr>
        <w:tabs>
          <w:tab w:val="left" w:pos="-94"/>
          <w:tab w:val="left" w:pos="428"/>
        </w:tabs>
        <w:adjustRightInd w:val="0"/>
        <w:spacing w:line="360" w:lineRule="auto"/>
        <w:ind w:left="23" w:leftChars="11"/>
        <w:jc w:val="left"/>
        <w:textAlignment w:val="baseline"/>
        <w:outlineLvl w:val="1"/>
        <w:rPr>
          <w:b/>
          <w:sz w:val="28"/>
          <w:szCs w:val="28"/>
        </w:rPr>
      </w:pPr>
      <w:bookmarkStart w:id="201" w:name="_Toc27475"/>
      <w:r>
        <w:rPr>
          <w:b/>
          <w:sz w:val="28"/>
          <w:szCs w:val="28"/>
        </w:rPr>
        <w:t>附表三 详细评审表</w:t>
      </w:r>
      <w:bookmarkEnd w:id="196"/>
      <w:bookmarkEnd w:id="201"/>
    </w:p>
    <w:p>
      <w:pPr>
        <w:spacing w:line="440" w:lineRule="exact"/>
        <w:jc w:val="center"/>
        <w:rPr>
          <w:rFonts w:eastAsia="黑体"/>
          <w:b/>
          <w:bCs/>
          <w:sz w:val="32"/>
          <w:szCs w:val="40"/>
        </w:rPr>
      </w:pPr>
      <w:r>
        <w:rPr>
          <w:rFonts w:hint="eastAsia"/>
          <w:b/>
          <w:sz w:val="30"/>
          <w:szCs w:val="30"/>
        </w:rPr>
        <w:t>详细评审</w:t>
      </w:r>
      <w:r>
        <w:rPr>
          <w:b/>
          <w:sz w:val="30"/>
          <w:szCs w:val="30"/>
        </w:rPr>
        <w:t>评分标准</w:t>
      </w:r>
      <w:bookmarkEnd w:id="197"/>
      <w:bookmarkEnd w:id="198"/>
      <w:bookmarkEnd w:id="199"/>
      <w:bookmarkEnd w:id="200"/>
    </w:p>
    <w:p>
      <w:pPr>
        <w:jc w:val="center"/>
        <w:rPr>
          <w:rFonts w:eastAsia="黑体"/>
          <w:sz w:val="28"/>
          <w:szCs w:val="36"/>
        </w:rPr>
      </w:pPr>
      <w:r>
        <w:rPr>
          <w:rFonts w:hint="eastAsia" w:eastAsia="黑体"/>
          <w:sz w:val="28"/>
          <w:szCs w:val="36"/>
        </w:rPr>
        <w:t>商务和技术部分（70分）</w:t>
      </w:r>
    </w:p>
    <w:tbl>
      <w:tblPr>
        <w:tblStyle w:val="40"/>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34" w:type="dxa"/>
            <w:vAlign w:val="center"/>
          </w:tcPr>
          <w:p>
            <w:pPr>
              <w:jc w:val="center"/>
            </w:pPr>
            <w:r>
              <w:rPr>
                <w:rFonts w:hint="eastAsia"/>
              </w:rPr>
              <w:t>1</w:t>
            </w:r>
          </w:p>
        </w:tc>
        <w:tc>
          <w:tcPr>
            <w:tcW w:w="1417" w:type="dxa"/>
            <w:vAlign w:val="center"/>
          </w:tcPr>
          <w:p>
            <w:pPr>
              <w:jc w:val="center"/>
            </w:pPr>
            <w:r>
              <w:rPr>
                <w:rFonts w:hint="eastAsia"/>
              </w:rPr>
              <w:t>产品符合性（45分）</w:t>
            </w:r>
          </w:p>
        </w:tc>
        <w:tc>
          <w:tcPr>
            <w:tcW w:w="6739" w:type="dxa"/>
            <w:vAlign w:val="center"/>
          </w:tcPr>
          <w:p>
            <w:pPr>
              <w:jc w:val="left"/>
              <w:rPr>
                <w:rFonts w:hint="eastAsia"/>
              </w:rPr>
            </w:pPr>
            <w:r>
              <w:rPr>
                <w:rFonts w:hint="eastAsia"/>
              </w:rPr>
              <w:t>根据投标人的产品技术规格、参数响应程度打分，所投产品所有技术参数全部满足的招标文件要求的得基本分45分，每有一项指标低于招标文件要求的扣5分，此项最高得45分，最低得0分。</w:t>
            </w:r>
          </w:p>
          <w:p>
            <w:pPr>
              <w:jc w:val="left"/>
            </w:pPr>
            <w:r>
              <w:rPr>
                <w:rFonts w:hint="eastAsia"/>
              </w:rPr>
              <w:t>以投标人提供的第三方检测机构出具的关于本次招标产品的检测报告中检测结果数据或医疗器械注册证内容为依据进行评分。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34" w:type="dxa"/>
            <w:vAlign w:val="center"/>
          </w:tcPr>
          <w:p>
            <w:pPr>
              <w:jc w:val="center"/>
            </w:pPr>
            <w:r>
              <w:rPr>
                <w:rFonts w:hint="eastAsia"/>
              </w:rPr>
              <w:t>2</w:t>
            </w:r>
          </w:p>
        </w:tc>
        <w:tc>
          <w:tcPr>
            <w:tcW w:w="1417" w:type="dxa"/>
            <w:vAlign w:val="center"/>
          </w:tcPr>
          <w:p>
            <w:pPr>
              <w:jc w:val="center"/>
            </w:pPr>
            <w:r>
              <w:rPr>
                <w:rFonts w:hint="eastAsia"/>
              </w:rPr>
              <w:t>配送方案  （3分）</w:t>
            </w:r>
          </w:p>
        </w:tc>
        <w:tc>
          <w:tcPr>
            <w:tcW w:w="6739" w:type="dxa"/>
            <w:vAlign w:val="center"/>
          </w:tcPr>
          <w:p>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4" w:type="dxa"/>
            <w:vAlign w:val="center"/>
          </w:tcPr>
          <w:p>
            <w:pPr>
              <w:jc w:val="center"/>
            </w:pPr>
            <w:r>
              <w:rPr>
                <w:rFonts w:hint="eastAsia"/>
              </w:rPr>
              <w:t>3</w:t>
            </w:r>
          </w:p>
        </w:tc>
        <w:tc>
          <w:tcPr>
            <w:tcW w:w="1417" w:type="dxa"/>
            <w:vAlign w:val="center"/>
          </w:tcPr>
          <w:p>
            <w:pPr>
              <w:jc w:val="center"/>
            </w:pPr>
            <w:r>
              <w:rPr>
                <w:rFonts w:hint="eastAsia"/>
              </w:rPr>
              <w:t>应急处理方案（3分）</w:t>
            </w:r>
          </w:p>
        </w:tc>
        <w:tc>
          <w:tcPr>
            <w:tcW w:w="6739" w:type="dxa"/>
            <w:vAlign w:val="center"/>
          </w:tcPr>
          <w:p>
            <w:pPr>
              <w:jc w:val="left"/>
            </w:pPr>
            <w:r>
              <w:rPr>
                <w:rFonts w:hint="eastAsia"/>
              </w:rPr>
              <w:t>从①应急小组人员构成、②应急设备设施投入、③应急预案、④应急保障体系等方面进行评价，满足需求、完整合理、针对性强的得3分，不够完善的每项得2分，极不完善的得1分，未提供的不得分。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34" w:type="dxa"/>
            <w:vAlign w:val="center"/>
          </w:tcPr>
          <w:p>
            <w:pPr>
              <w:jc w:val="center"/>
            </w:pPr>
            <w:r>
              <w:rPr>
                <w:rFonts w:hint="eastAsia"/>
              </w:rPr>
              <w:t>4</w:t>
            </w:r>
          </w:p>
        </w:tc>
        <w:tc>
          <w:tcPr>
            <w:tcW w:w="1417" w:type="dxa"/>
            <w:vAlign w:val="center"/>
          </w:tcPr>
          <w:p>
            <w:pPr>
              <w:jc w:val="center"/>
            </w:pPr>
            <w:r>
              <w:rPr>
                <w:rFonts w:hint="eastAsia"/>
              </w:rPr>
              <w:t>服务体系  （6分）</w:t>
            </w:r>
          </w:p>
        </w:tc>
        <w:tc>
          <w:tcPr>
            <w:tcW w:w="6739" w:type="dxa"/>
            <w:vAlign w:val="center"/>
          </w:tcPr>
          <w:p>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34" w:type="dxa"/>
            <w:vAlign w:val="center"/>
          </w:tcPr>
          <w:p>
            <w:pPr>
              <w:jc w:val="center"/>
            </w:pPr>
            <w:r>
              <w:rPr>
                <w:rFonts w:hint="eastAsia"/>
              </w:rPr>
              <w:t>5</w:t>
            </w:r>
          </w:p>
        </w:tc>
        <w:tc>
          <w:tcPr>
            <w:tcW w:w="1417" w:type="dxa"/>
            <w:vAlign w:val="center"/>
          </w:tcPr>
          <w:p>
            <w:pPr>
              <w:jc w:val="center"/>
            </w:pPr>
            <w:r>
              <w:rPr>
                <w:rFonts w:hint="eastAsia"/>
              </w:rPr>
              <w:t>仓储设施设备及备品库存（4分）</w:t>
            </w:r>
          </w:p>
        </w:tc>
        <w:tc>
          <w:tcPr>
            <w:tcW w:w="6739" w:type="dxa"/>
            <w:vAlign w:val="center"/>
          </w:tcPr>
          <w:p>
            <w:pPr>
              <w:jc w:val="left"/>
            </w:pPr>
            <w:r>
              <w:rPr>
                <w:rFonts w:hint="eastAsia"/>
              </w:rPr>
              <w:t>从①仓存面积、②冷冻冷藏环境、③仓存设备配置、④备品库存情况等方面进行评价，要求仓存面积合理、符合冷冻冷藏要求（根据产品需要），仓存设备配置完善、备品库存合理得4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4" w:type="dxa"/>
            <w:vAlign w:val="center"/>
          </w:tcPr>
          <w:p>
            <w:pPr>
              <w:jc w:val="center"/>
            </w:pPr>
            <w:r>
              <w:rPr>
                <w:rFonts w:hint="eastAsia"/>
              </w:rPr>
              <w:t>6</w:t>
            </w:r>
          </w:p>
        </w:tc>
        <w:tc>
          <w:tcPr>
            <w:tcW w:w="1417" w:type="dxa"/>
            <w:vAlign w:val="center"/>
          </w:tcPr>
          <w:p>
            <w:pPr>
              <w:jc w:val="center"/>
            </w:pPr>
            <w:r>
              <w:rPr>
                <w:rFonts w:hint="eastAsia"/>
              </w:rPr>
              <w:t>产品市场使用情况（3分）</w:t>
            </w:r>
          </w:p>
        </w:tc>
        <w:tc>
          <w:tcPr>
            <w:tcW w:w="6739" w:type="dxa"/>
            <w:vAlign w:val="center"/>
          </w:tcPr>
          <w:p>
            <w:pPr>
              <w:jc w:val="left"/>
            </w:pPr>
            <w:r>
              <w:rPr>
                <w:rFonts w:hint="eastAsia"/>
              </w:rPr>
              <w:t>根据所投产品在国内医疗系统市场使用情况进行打分，每提供一个单位加1分，此项最多3分。（需提供产品在其他医疗机构签订的供货合同复印件）未提供相关证明的该项为0分。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34" w:type="dxa"/>
            <w:vAlign w:val="center"/>
          </w:tcPr>
          <w:p>
            <w:pPr>
              <w:jc w:val="center"/>
            </w:pPr>
            <w:r>
              <w:rPr>
                <w:rFonts w:hint="eastAsia"/>
              </w:rPr>
              <w:t>7</w:t>
            </w:r>
          </w:p>
        </w:tc>
        <w:tc>
          <w:tcPr>
            <w:tcW w:w="1417" w:type="dxa"/>
            <w:vAlign w:val="center"/>
          </w:tcPr>
          <w:p>
            <w:pPr>
              <w:jc w:val="center"/>
            </w:pPr>
            <w:r>
              <w:rPr>
                <w:rFonts w:hint="eastAsia"/>
              </w:rPr>
              <w:t>经营业绩  （6分）</w:t>
            </w:r>
          </w:p>
        </w:tc>
        <w:tc>
          <w:tcPr>
            <w:tcW w:w="6739" w:type="dxa"/>
            <w:vAlign w:val="center"/>
          </w:tcPr>
          <w:p>
            <w:pPr>
              <w:jc w:val="left"/>
            </w:pPr>
            <w:r>
              <w:rPr>
                <w:rFonts w:hint="eastAsia"/>
              </w:rPr>
              <w:t>根据投标文件所提供2020年1月1日至投标截止日所投产品的同类项目经营业绩进行比较：（有效业绩需附合同或中标通知书复印件，每一份有效业绩加1分，直至满6分。未提供相关证明的该项为0分。</w:t>
            </w:r>
          </w:p>
        </w:tc>
      </w:tr>
    </w:tbl>
    <w:p>
      <w:pPr>
        <w:tabs>
          <w:tab w:val="left" w:pos="0"/>
        </w:tabs>
        <w:adjustRightInd w:val="0"/>
        <w:snapToGrid w:val="0"/>
        <w:spacing w:line="440" w:lineRule="exact"/>
        <w:ind w:firstLine="562" w:firstLineChars="200"/>
        <w:jc w:val="center"/>
        <w:rPr>
          <w:rFonts w:eastAsia="黑体"/>
          <w:b/>
          <w:bCs/>
          <w:sz w:val="28"/>
          <w:szCs w:val="36"/>
        </w:rPr>
        <w:sectPr>
          <w:footerReference r:id="rId5" w:type="default"/>
          <w:pgSz w:w="11906" w:h="16838"/>
          <w:pgMar w:top="1440" w:right="1440"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tabs>
          <w:tab w:val="left" w:pos="-94"/>
          <w:tab w:val="left" w:pos="428"/>
        </w:tabs>
        <w:adjustRightInd w:val="0"/>
        <w:spacing w:line="360" w:lineRule="auto"/>
        <w:ind w:left="23" w:leftChars="11"/>
        <w:jc w:val="left"/>
        <w:textAlignment w:val="baseline"/>
        <w:outlineLvl w:val="1"/>
        <w:rPr>
          <w:rFonts w:hint="eastAsia" w:eastAsia="黑体"/>
          <w:b w:val="0"/>
          <w:bCs w:val="0"/>
          <w:sz w:val="28"/>
          <w:szCs w:val="28"/>
          <w:lang w:val="en-US" w:eastAsia="zh-CN"/>
        </w:rPr>
      </w:pPr>
      <w:bookmarkStart w:id="202" w:name="_Toc31586"/>
      <w:r>
        <w:rPr>
          <w:rFonts w:hint="eastAsia" w:eastAsia="黑体"/>
          <w:b w:val="0"/>
          <w:bCs w:val="0"/>
          <w:sz w:val="28"/>
          <w:szCs w:val="28"/>
        </w:rPr>
        <w:t>适用于</w:t>
      </w:r>
      <w:r>
        <w:rPr>
          <w:rFonts w:hint="eastAsia" w:eastAsia="黑体"/>
          <w:b w:val="0"/>
          <w:bCs w:val="0"/>
          <w:sz w:val="28"/>
          <w:szCs w:val="28"/>
          <w:lang w:eastAsia="zh-CN"/>
        </w:rPr>
        <w:t>：</w:t>
      </w:r>
      <w:r>
        <w:rPr>
          <w:rFonts w:hint="eastAsia" w:eastAsia="黑体"/>
          <w:b w:val="0"/>
          <w:bCs w:val="0"/>
          <w:sz w:val="28"/>
          <w:szCs w:val="28"/>
        </w:rPr>
        <w:t>标项</w:t>
      </w:r>
      <w:r>
        <w:rPr>
          <w:rFonts w:hint="eastAsia" w:eastAsia="黑体"/>
          <w:b w:val="0"/>
          <w:bCs w:val="0"/>
          <w:sz w:val="28"/>
          <w:szCs w:val="28"/>
          <w:lang w:val="en-US" w:eastAsia="zh-CN"/>
        </w:rPr>
        <w:t>三</w:t>
      </w:r>
      <w:r>
        <w:rPr>
          <w:rFonts w:hint="eastAsia" w:eastAsia="黑体"/>
          <w:b/>
          <w:bCs/>
          <w:sz w:val="32"/>
          <w:szCs w:val="40"/>
        </w:rPr>
        <w:t>（有样品评审）</w:t>
      </w:r>
      <w:bookmarkEnd w:id="202"/>
    </w:p>
    <w:p>
      <w:pPr>
        <w:tabs>
          <w:tab w:val="left" w:pos="-94"/>
          <w:tab w:val="left" w:pos="428"/>
        </w:tabs>
        <w:adjustRightInd w:val="0"/>
        <w:spacing w:line="360" w:lineRule="auto"/>
        <w:ind w:left="23" w:leftChars="11"/>
        <w:jc w:val="both"/>
        <w:textAlignment w:val="baseline"/>
        <w:outlineLvl w:val="1"/>
        <w:rPr>
          <w:b/>
          <w:sz w:val="28"/>
          <w:szCs w:val="28"/>
        </w:rPr>
      </w:pPr>
      <w:bookmarkStart w:id="203" w:name="_Toc8317"/>
      <w:r>
        <w:rPr>
          <w:b/>
          <w:sz w:val="28"/>
          <w:szCs w:val="28"/>
        </w:rPr>
        <w:t>附表三 详细评审表</w:t>
      </w:r>
      <w:bookmarkEnd w:id="203"/>
    </w:p>
    <w:p>
      <w:pPr>
        <w:spacing w:line="440" w:lineRule="exact"/>
        <w:jc w:val="center"/>
        <w:rPr>
          <w:rFonts w:eastAsia="黑体"/>
          <w:b/>
          <w:bCs/>
          <w:sz w:val="32"/>
          <w:szCs w:val="40"/>
        </w:rPr>
      </w:pPr>
      <w:r>
        <w:rPr>
          <w:rFonts w:hint="eastAsia"/>
          <w:b/>
          <w:sz w:val="30"/>
          <w:szCs w:val="30"/>
        </w:rPr>
        <w:t>详细评审</w:t>
      </w:r>
      <w:r>
        <w:rPr>
          <w:b/>
          <w:sz w:val="30"/>
          <w:szCs w:val="30"/>
        </w:rPr>
        <w:t>评分标准</w:t>
      </w:r>
    </w:p>
    <w:p>
      <w:pPr>
        <w:jc w:val="center"/>
        <w:rPr>
          <w:rFonts w:eastAsia="黑体"/>
          <w:sz w:val="28"/>
          <w:szCs w:val="36"/>
        </w:rPr>
      </w:pPr>
      <w:r>
        <w:rPr>
          <w:rFonts w:hint="eastAsia" w:eastAsia="黑体"/>
          <w:sz w:val="28"/>
          <w:szCs w:val="36"/>
        </w:rPr>
        <w:t>商务和技术部分（70分）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pPr>
            <w:r>
              <w:rPr>
                <w:rFonts w:hint="eastAsia"/>
              </w:rPr>
              <w:t>1</w:t>
            </w:r>
          </w:p>
        </w:tc>
        <w:tc>
          <w:tcPr>
            <w:tcW w:w="1417" w:type="dxa"/>
            <w:vAlign w:val="center"/>
          </w:tcPr>
          <w:p>
            <w:pPr>
              <w:jc w:val="center"/>
              <w:rPr>
                <w:highlight w:val="none"/>
              </w:rPr>
            </w:pPr>
            <w:r>
              <w:rPr>
                <w:rFonts w:hint="eastAsia"/>
                <w:highlight w:val="none"/>
              </w:rPr>
              <w:t>产品符合性（</w:t>
            </w:r>
            <w:r>
              <w:rPr>
                <w:rFonts w:hint="eastAsia"/>
                <w:highlight w:val="none"/>
                <w:lang w:val="en-US" w:eastAsia="zh-CN"/>
              </w:rPr>
              <w:t>45</w:t>
            </w:r>
            <w:r>
              <w:rPr>
                <w:rFonts w:hint="eastAsia"/>
                <w:highlight w:val="none"/>
              </w:rPr>
              <w:t>分）</w:t>
            </w:r>
          </w:p>
        </w:tc>
        <w:tc>
          <w:tcPr>
            <w:tcW w:w="6739" w:type="dxa"/>
            <w:vAlign w:val="center"/>
          </w:tcPr>
          <w:p>
            <w:pPr>
              <w:jc w:val="left"/>
              <w:rPr>
                <w:rFonts w:hint="eastAsia"/>
                <w:highlight w:val="none"/>
              </w:rPr>
            </w:pPr>
            <w:r>
              <w:rPr>
                <w:rFonts w:hint="eastAsia"/>
                <w:highlight w:val="none"/>
              </w:rPr>
              <w:t>根据投标人的产品技术规格、参数响应程度打分，所投产品所有技术参数全部满足的招标文件要求的得基本分</w:t>
            </w:r>
            <w:r>
              <w:rPr>
                <w:rFonts w:hint="eastAsia"/>
                <w:highlight w:val="none"/>
                <w:lang w:val="en-US" w:eastAsia="zh-CN"/>
              </w:rPr>
              <w:t>45</w:t>
            </w:r>
            <w:r>
              <w:rPr>
                <w:rFonts w:hint="eastAsia"/>
                <w:highlight w:val="none"/>
              </w:rPr>
              <w:t>分，每有一项指标低于招标文件要求的扣5分，此项最高得</w:t>
            </w:r>
            <w:r>
              <w:rPr>
                <w:rFonts w:hint="eastAsia"/>
                <w:highlight w:val="none"/>
                <w:lang w:val="en-US" w:eastAsia="zh-CN"/>
              </w:rPr>
              <w:t>45</w:t>
            </w:r>
            <w:r>
              <w:rPr>
                <w:rFonts w:hint="eastAsia"/>
                <w:highlight w:val="none"/>
              </w:rPr>
              <w:t>分，最低得0分。</w:t>
            </w:r>
          </w:p>
          <w:p>
            <w:pPr>
              <w:jc w:val="left"/>
              <w:rPr>
                <w:highlight w:val="none"/>
              </w:rPr>
            </w:pPr>
            <w:r>
              <w:rPr>
                <w:rFonts w:hint="eastAsia"/>
                <w:highlight w:val="none"/>
              </w:rPr>
              <w:t>以投标人提供的第三方检测机构出具的关于本次招标产品的检测报告中检测结果数据或医疗器械注册证内容为依据进行评分。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highlight w:val="yellow"/>
                <w:lang w:val="en-US" w:eastAsia="zh-CN"/>
              </w:rPr>
            </w:pPr>
            <w:r>
              <w:rPr>
                <w:rFonts w:hint="eastAsia"/>
                <w:b/>
                <w:bCs/>
                <w:sz w:val="22"/>
                <w:szCs w:val="28"/>
                <w:highlight w:val="none"/>
                <w:lang w:val="en-US" w:eastAsia="zh-CN"/>
              </w:rPr>
              <w:t>2</w:t>
            </w:r>
          </w:p>
        </w:tc>
        <w:tc>
          <w:tcPr>
            <w:tcW w:w="1417" w:type="dxa"/>
            <w:vAlign w:val="center"/>
          </w:tcPr>
          <w:p>
            <w:pPr>
              <w:jc w:val="center"/>
              <w:rPr>
                <w:rFonts w:hint="eastAsia"/>
                <w:highlight w:val="none"/>
              </w:rPr>
            </w:pPr>
            <w:r>
              <w:rPr>
                <w:rFonts w:hint="eastAsia"/>
                <w:highlight w:val="none"/>
              </w:rPr>
              <w:t>样品评审</w:t>
            </w:r>
          </w:p>
          <w:p>
            <w:pPr>
              <w:jc w:val="center"/>
              <w:rPr>
                <w:rFonts w:hint="eastAsia"/>
                <w:highlight w:val="none"/>
              </w:rPr>
            </w:pPr>
            <w:r>
              <w:rPr>
                <w:rFonts w:hint="eastAsia"/>
                <w:highlight w:val="none"/>
              </w:rPr>
              <w:t>（</w:t>
            </w:r>
            <w:r>
              <w:rPr>
                <w:rFonts w:hint="eastAsia"/>
                <w:highlight w:val="none"/>
                <w:lang w:val="en-US" w:eastAsia="zh-CN"/>
              </w:rPr>
              <w:t>3</w:t>
            </w:r>
            <w:r>
              <w:rPr>
                <w:rFonts w:hint="eastAsia"/>
                <w:highlight w:val="none"/>
              </w:rPr>
              <w:t>分）</w:t>
            </w:r>
          </w:p>
        </w:tc>
        <w:tc>
          <w:tcPr>
            <w:tcW w:w="6739" w:type="dxa"/>
            <w:vAlign w:val="center"/>
          </w:tcPr>
          <w:p>
            <w:pPr>
              <w:jc w:val="both"/>
              <w:rPr>
                <w:b/>
                <w:bCs/>
                <w:highlight w:val="none"/>
              </w:rPr>
            </w:pPr>
            <w:r>
              <w:rPr>
                <w:b/>
                <w:bCs/>
                <w:highlight w:val="none"/>
              </w:rPr>
              <w:t>根据</w:t>
            </w:r>
            <w:r>
              <w:rPr>
                <w:rFonts w:hint="eastAsia"/>
                <w:b/>
                <w:bCs/>
                <w:highlight w:val="none"/>
                <w:lang w:val="en-US" w:eastAsia="zh-CN"/>
              </w:rPr>
              <w:t>投标人</w:t>
            </w:r>
            <w:r>
              <w:rPr>
                <w:b/>
                <w:bCs/>
                <w:highlight w:val="none"/>
              </w:rPr>
              <w:t>提供</w:t>
            </w:r>
            <w:r>
              <w:rPr>
                <w:rFonts w:hint="eastAsia"/>
                <w:b/>
                <w:bCs/>
                <w:highlight w:val="none"/>
                <w:lang w:val="en-US" w:eastAsia="zh-CN"/>
              </w:rPr>
              <w:t>的每一项</w:t>
            </w:r>
            <w:r>
              <w:rPr>
                <w:b/>
                <w:bCs/>
                <w:highlight w:val="none"/>
              </w:rPr>
              <w:t>样品的材质、封闭性能、制作工艺</w:t>
            </w:r>
            <w:r>
              <w:rPr>
                <w:rFonts w:hint="eastAsia"/>
                <w:b/>
                <w:bCs/>
                <w:highlight w:val="none"/>
                <w:lang w:eastAsia="zh-CN"/>
              </w:rPr>
              <w:t>、</w:t>
            </w:r>
            <w:r>
              <w:rPr>
                <w:rFonts w:hint="eastAsia"/>
                <w:b/>
                <w:bCs/>
                <w:highlight w:val="none"/>
                <w:lang w:val="en-US" w:eastAsia="zh-CN"/>
              </w:rPr>
              <w:t>外观等方面逐一</w:t>
            </w:r>
            <w:r>
              <w:rPr>
                <w:b/>
                <w:bCs/>
                <w:highlight w:val="none"/>
              </w:rPr>
              <w:t>进行评价：</w:t>
            </w:r>
          </w:p>
          <w:p>
            <w:pPr>
              <w:jc w:val="both"/>
              <w:rPr>
                <w:highlight w:val="none"/>
              </w:rPr>
            </w:pPr>
            <w:r>
              <w:rPr>
                <w:rFonts w:hint="eastAsia"/>
                <w:highlight w:val="none"/>
                <w:lang w:val="en-US" w:eastAsia="zh-CN"/>
              </w:rPr>
              <w:t>①</w:t>
            </w:r>
            <w:r>
              <w:rPr>
                <w:rFonts w:hint="eastAsia"/>
                <w:highlight w:val="none"/>
              </w:rPr>
              <w:t>造影注射器及附件</w:t>
            </w:r>
            <w:r>
              <w:rPr>
                <w:rFonts w:hint="eastAsia"/>
                <w:highlight w:val="none"/>
                <w:lang w:val="en-US" w:eastAsia="zh-CN"/>
              </w:rPr>
              <w:t>材质良好；</w:t>
            </w:r>
            <w:r>
              <w:rPr>
                <w:highlight w:val="none"/>
              </w:rPr>
              <w:t>封闭性能良好</w:t>
            </w:r>
            <w:r>
              <w:rPr>
                <w:rFonts w:hint="eastAsia"/>
                <w:highlight w:val="none"/>
                <w:lang w:eastAsia="zh-CN"/>
              </w:rPr>
              <w:t>；</w:t>
            </w:r>
            <w:r>
              <w:rPr>
                <w:highlight w:val="none"/>
              </w:rPr>
              <w:t>制作工艺精细</w:t>
            </w:r>
            <w:r>
              <w:rPr>
                <w:rFonts w:hint="eastAsia"/>
                <w:highlight w:val="none"/>
                <w:lang w:eastAsia="zh-CN"/>
              </w:rPr>
              <w:t>；</w:t>
            </w:r>
            <w:r>
              <w:rPr>
                <w:rFonts w:hint="eastAsia"/>
                <w:highlight w:val="none"/>
                <w:lang w:val="en-US" w:eastAsia="zh-CN"/>
              </w:rPr>
              <w:t>外观</w:t>
            </w:r>
            <w:r>
              <w:rPr>
                <w:rFonts w:hint="eastAsia"/>
                <w:highlight w:val="none"/>
              </w:rPr>
              <w:t>光滑</w:t>
            </w:r>
            <w:r>
              <w:rPr>
                <w:rFonts w:hint="eastAsia"/>
                <w:highlight w:val="none"/>
                <w:lang w:eastAsia="zh-CN"/>
              </w:rPr>
              <w:t>，</w:t>
            </w:r>
            <w:r>
              <w:rPr>
                <w:rFonts w:hint="eastAsia"/>
                <w:highlight w:val="none"/>
              </w:rPr>
              <w:t>无杂质</w:t>
            </w:r>
            <w:r>
              <w:rPr>
                <w:rFonts w:hint="eastAsia"/>
                <w:highlight w:val="none"/>
                <w:lang w:eastAsia="zh-CN"/>
              </w:rPr>
              <w:t>，</w:t>
            </w:r>
            <w:r>
              <w:rPr>
                <w:rFonts w:hint="eastAsia"/>
                <w:highlight w:val="none"/>
              </w:rPr>
              <w:t>无毛边、</w:t>
            </w:r>
            <w:r>
              <w:rPr>
                <w:rFonts w:hint="eastAsia"/>
                <w:highlight w:val="none"/>
                <w:lang w:val="en-US" w:eastAsia="zh-CN"/>
              </w:rPr>
              <w:t>无</w:t>
            </w:r>
            <w:r>
              <w:rPr>
                <w:rFonts w:hint="eastAsia"/>
                <w:highlight w:val="none"/>
              </w:rPr>
              <w:t>毛刺、</w:t>
            </w:r>
            <w:r>
              <w:rPr>
                <w:rFonts w:hint="eastAsia"/>
                <w:highlight w:val="none"/>
                <w:lang w:val="en-US" w:eastAsia="zh-CN"/>
              </w:rPr>
              <w:t>无</w:t>
            </w:r>
            <w:r>
              <w:rPr>
                <w:rFonts w:hint="eastAsia"/>
                <w:highlight w:val="none"/>
              </w:rPr>
              <w:t>塑流、</w:t>
            </w:r>
            <w:r>
              <w:rPr>
                <w:rFonts w:hint="eastAsia"/>
                <w:highlight w:val="none"/>
                <w:lang w:val="en-US" w:eastAsia="zh-CN"/>
              </w:rPr>
              <w:t>无</w:t>
            </w:r>
            <w:r>
              <w:rPr>
                <w:rFonts w:hint="eastAsia"/>
                <w:highlight w:val="none"/>
              </w:rPr>
              <w:t>塑化不均</w:t>
            </w:r>
            <w:r>
              <w:rPr>
                <w:rFonts w:hint="eastAsia"/>
                <w:highlight w:val="none"/>
                <w:lang w:val="en-US" w:eastAsia="zh-CN"/>
              </w:rPr>
              <w:t>；样品综合评定良好的，</w:t>
            </w:r>
            <w:r>
              <w:rPr>
                <w:highlight w:val="none"/>
              </w:rPr>
              <w:t>得</w:t>
            </w:r>
            <w:r>
              <w:rPr>
                <w:rFonts w:hint="eastAsia"/>
                <w:highlight w:val="none"/>
                <w:lang w:val="en-US" w:eastAsia="zh-CN"/>
              </w:rPr>
              <w:t>1</w:t>
            </w:r>
            <w:r>
              <w:rPr>
                <w:highlight w:val="none"/>
              </w:rPr>
              <w:t>分；</w:t>
            </w:r>
          </w:p>
          <w:p>
            <w:pPr>
              <w:jc w:val="both"/>
              <w:rPr>
                <w:highlight w:val="none"/>
              </w:rPr>
            </w:pPr>
            <w:r>
              <w:rPr>
                <w:rFonts w:hint="eastAsia"/>
                <w:highlight w:val="none"/>
              </w:rPr>
              <w:t>②造影注射器及附件</w:t>
            </w:r>
            <w:r>
              <w:rPr>
                <w:rFonts w:hint="eastAsia"/>
                <w:highlight w:val="none"/>
                <w:lang w:val="en-US" w:eastAsia="zh-CN"/>
              </w:rPr>
              <w:t>材质</w:t>
            </w:r>
            <w:r>
              <w:rPr>
                <w:highlight w:val="none"/>
              </w:rPr>
              <w:t>一般</w:t>
            </w:r>
            <w:r>
              <w:rPr>
                <w:rFonts w:hint="eastAsia"/>
                <w:highlight w:val="none"/>
                <w:lang w:val="en-US" w:eastAsia="zh-CN"/>
              </w:rPr>
              <w:t>；</w:t>
            </w:r>
            <w:r>
              <w:rPr>
                <w:highlight w:val="none"/>
              </w:rPr>
              <w:t>封闭性能一般</w:t>
            </w:r>
            <w:r>
              <w:rPr>
                <w:rFonts w:hint="eastAsia"/>
                <w:highlight w:val="none"/>
                <w:lang w:eastAsia="zh-CN"/>
              </w:rPr>
              <w:t>；</w:t>
            </w:r>
            <w:r>
              <w:rPr>
                <w:highlight w:val="none"/>
              </w:rPr>
              <w:t>制作工艺一般</w:t>
            </w:r>
            <w:r>
              <w:rPr>
                <w:rFonts w:hint="eastAsia"/>
                <w:highlight w:val="none"/>
                <w:lang w:eastAsia="zh-CN"/>
              </w:rPr>
              <w:t>；</w:t>
            </w:r>
            <w:r>
              <w:rPr>
                <w:rFonts w:hint="eastAsia"/>
                <w:highlight w:val="none"/>
                <w:lang w:val="en-US" w:eastAsia="zh-CN"/>
              </w:rPr>
              <w:t>外观较光滑，无</w:t>
            </w:r>
            <w:r>
              <w:rPr>
                <w:rFonts w:hint="eastAsia"/>
                <w:highlight w:val="none"/>
              </w:rPr>
              <w:t>杂质</w:t>
            </w:r>
            <w:r>
              <w:rPr>
                <w:rFonts w:hint="eastAsia"/>
                <w:highlight w:val="none"/>
                <w:lang w:eastAsia="zh-CN"/>
              </w:rPr>
              <w:t>，</w:t>
            </w:r>
            <w:r>
              <w:rPr>
                <w:rFonts w:hint="eastAsia"/>
                <w:highlight w:val="none"/>
                <w:lang w:val="en-US" w:eastAsia="zh-CN"/>
              </w:rPr>
              <w:t>无</w:t>
            </w:r>
            <w:r>
              <w:rPr>
                <w:rFonts w:hint="eastAsia"/>
                <w:highlight w:val="none"/>
              </w:rPr>
              <w:t>毛刺、</w:t>
            </w:r>
            <w:r>
              <w:rPr>
                <w:rFonts w:hint="eastAsia"/>
                <w:highlight w:val="none"/>
                <w:lang w:val="en-US" w:eastAsia="zh-CN"/>
              </w:rPr>
              <w:t>无</w:t>
            </w:r>
            <w:r>
              <w:rPr>
                <w:rFonts w:hint="eastAsia"/>
                <w:highlight w:val="none"/>
              </w:rPr>
              <w:t>塑流、</w:t>
            </w:r>
            <w:r>
              <w:rPr>
                <w:rFonts w:hint="eastAsia"/>
                <w:highlight w:val="none"/>
                <w:lang w:val="en-US" w:eastAsia="zh-CN"/>
              </w:rPr>
              <w:t>无</w:t>
            </w:r>
            <w:r>
              <w:rPr>
                <w:rFonts w:hint="eastAsia"/>
                <w:highlight w:val="none"/>
              </w:rPr>
              <w:t>塑化不均</w:t>
            </w:r>
            <w:r>
              <w:rPr>
                <w:rFonts w:hint="eastAsia"/>
                <w:highlight w:val="none"/>
                <w:lang w:val="en-US" w:eastAsia="zh-CN"/>
              </w:rPr>
              <w:t>；样品综合评定一般的，</w:t>
            </w:r>
            <w:r>
              <w:rPr>
                <w:highlight w:val="none"/>
              </w:rPr>
              <w:t>得</w:t>
            </w:r>
            <w:r>
              <w:rPr>
                <w:rFonts w:hint="eastAsia"/>
                <w:highlight w:val="none"/>
                <w:lang w:val="en-US" w:eastAsia="zh-CN"/>
              </w:rPr>
              <w:t>0.5</w:t>
            </w:r>
            <w:r>
              <w:rPr>
                <w:highlight w:val="none"/>
              </w:rPr>
              <w:t>分；</w:t>
            </w:r>
          </w:p>
          <w:p>
            <w:pPr>
              <w:jc w:val="both"/>
              <w:rPr>
                <w:rFonts w:hint="eastAsia" w:eastAsia="宋体"/>
                <w:highlight w:val="none"/>
                <w:lang w:eastAsia="zh-CN"/>
              </w:rPr>
            </w:pPr>
            <w:r>
              <w:rPr>
                <w:rFonts w:hint="eastAsia"/>
                <w:highlight w:val="none"/>
              </w:rPr>
              <w:t>③造影注射器及附件</w:t>
            </w:r>
            <w:r>
              <w:rPr>
                <w:rFonts w:hint="eastAsia"/>
                <w:highlight w:val="none"/>
                <w:lang w:val="en-US" w:eastAsia="zh-CN"/>
              </w:rPr>
              <w:t>材质</w:t>
            </w:r>
            <w:r>
              <w:rPr>
                <w:highlight w:val="none"/>
              </w:rPr>
              <w:t>较差</w:t>
            </w:r>
            <w:r>
              <w:rPr>
                <w:rFonts w:hint="eastAsia"/>
                <w:highlight w:val="none"/>
                <w:lang w:val="en-US" w:eastAsia="zh-CN"/>
              </w:rPr>
              <w:t>；</w:t>
            </w:r>
            <w:r>
              <w:rPr>
                <w:highlight w:val="none"/>
              </w:rPr>
              <w:t>封闭性能较差</w:t>
            </w:r>
            <w:r>
              <w:rPr>
                <w:rFonts w:hint="eastAsia"/>
                <w:highlight w:val="none"/>
                <w:lang w:eastAsia="zh-CN"/>
              </w:rPr>
              <w:t>；</w:t>
            </w:r>
            <w:r>
              <w:rPr>
                <w:highlight w:val="none"/>
              </w:rPr>
              <w:t>制作工艺较差</w:t>
            </w:r>
            <w:r>
              <w:rPr>
                <w:rFonts w:hint="eastAsia"/>
                <w:highlight w:val="none"/>
                <w:lang w:eastAsia="zh-CN"/>
              </w:rPr>
              <w:t>；</w:t>
            </w:r>
            <w:r>
              <w:rPr>
                <w:rFonts w:hint="eastAsia"/>
                <w:highlight w:val="none"/>
                <w:lang w:val="en-US" w:eastAsia="zh-CN"/>
              </w:rPr>
              <w:t>外观不光滑，有</w:t>
            </w:r>
            <w:r>
              <w:rPr>
                <w:rFonts w:hint="eastAsia"/>
                <w:highlight w:val="none"/>
              </w:rPr>
              <w:t>杂质</w:t>
            </w:r>
            <w:r>
              <w:rPr>
                <w:rFonts w:hint="eastAsia"/>
                <w:highlight w:val="none"/>
                <w:lang w:eastAsia="zh-CN"/>
              </w:rPr>
              <w:t>、</w:t>
            </w:r>
            <w:r>
              <w:rPr>
                <w:rFonts w:hint="eastAsia"/>
                <w:highlight w:val="none"/>
                <w:lang w:val="en-US" w:eastAsia="zh-CN"/>
              </w:rPr>
              <w:t>有</w:t>
            </w:r>
            <w:r>
              <w:rPr>
                <w:rFonts w:hint="eastAsia"/>
                <w:highlight w:val="none"/>
              </w:rPr>
              <w:t>毛刺、</w:t>
            </w:r>
            <w:r>
              <w:rPr>
                <w:rFonts w:hint="eastAsia"/>
                <w:highlight w:val="none"/>
                <w:lang w:val="en-US" w:eastAsia="zh-CN"/>
              </w:rPr>
              <w:t>有</w:t>
            </w:r>
            <w:r>
              <w:rPr>
                <w:rFonts w:hint="eastAsia"/>
                <w:highlight w:val="none"/>
              </w:rPr>
              <w:t>塑流、</w:t>
            </w:r>
            <w:r>
              <w:rPr>
                <w:rFonts w:hint="eastAsia"/>
                <w:highlight w:val="none"/>
                <w:lang w:val="en-US" w:eastAsia="zh-CN"/>
              </w:rPr>
              <w:t>有</w:t>
            </w:r>
            <w:r>
              <w:rPr>
                <w:rFonts w:hint="eastAsia"/>
                <w:highlight w:val="none"/>
              </w:rPr>
              <w:t>塑化不均</w:t>
            </w:r>
            <w:r>
              <w:rPr>
                <w:rFonts w:hint="eastAsia"/>
                <w:highlight w:val="none"/>
                <w:lang w:val="en-US" w:eastAsia="zh-CN"/>
              </w:rPr>
              <w:t>；样品综合评定较差的，</w:t>
            </w:r>
            <w:r>
              <w:rPr>
                <w:highlight w:val="none"/>
              </w:rPr>
              <w:t>得</w:t>
            </w:r>
            <w:r>
              <w:rPr>
                <w:rFonts w:hint="eastAsia"/>
                <w:highlight w:val="none"/>
                <w:lang w:val="en-US" w:eastAsia="zh-CN"/>
              </w:rPr>
              <w:t>0.2</w:t>
            </w:r>
            <w:r>
              <w:rPr>
                <w:highlight w:val="none"/>
              </w:rPr>
              <w:t>分</w:t>
            </w:r>
            <w:r>
              <w:rPr>
                <w:rFonts w:hint="eastAsia"/>
                <w:highlight w:val="none"/>
                <w:lang w:eastAsia="zh-CN"/>
              </w:rPr>
              <w:t>。</w:t>
            </w:r>
          </w:p>
          <w:p>
            <w:pPr>
              <w:jc w:val="both"/>
              <w:rPr>
                <w:rFonts w:hint="default" w:eastAsia="宋体"/>
                <w:highlight w:val="none"/>
                <w:lang w:val="en-US" w:eastAsia="zh-CN"/>
              </w:rPr>
            </w:pPr>
            <w:r>
              <w:rPr>
                <w:rFonts w:hint="eastAsia"/>
                <w:b/>
                <w:bCs/>
                <w:sz w:val="24"/>
                <w:szCs w:val="32"/>
                <w:highlight w:val="none"/>
                <w:lang w:val="en-US" w:eastAsia="zh-CN"/>
              </w:rPr>
              <w:t>注：本项目标项三共3项样品。评标委员会根据评分标准对每一项样品进行单独评审，每项样品最高得1分。3项样品评审得分累计最高得3分。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3</w:t>
            </w:r>
          </w:p>
        </w:tc>
        <w:tc>
          <w:tcPr>
            <w:tcW w:w="1417" w:type="dxa"/>
            <w:vAlign w:val="center"/>
          </w:tcPr>
          <w:p>
            <w:pPr>
              <w:jc w:val="center"/>
            </w:pPr>
            <w:r>
              <w:rPr>
                <w:rFonts w:hint="eastAsia"/>
              </w:rPr>
              <w:t>配送方案  （3分）</w:t>
            </w:r>
          </w:p>
        </w:tc>
        <w:tc>
          <w:tcPr>
            <w:tcW w:w="6739" w:type="dxa"/>
            <w:vAlign w:val="center"/>
          </w:tcPr>
          <w:p>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4</w:t>
            </w:r>
          </w:p>
        </w:tc>
        <w:tc>
          <w:tcPr>
            <w:tcW w:w="1417" w:type="dxa"/>
            <w:vAlign w:val="center"/>
          </w:tcPr>
          <w:p>
            <w:pPr>
              <w:jc w:val="center"/>
            </w:pPr>
            <w:r>
              <w:rPr>
                <w:rFonts w:hint="eastAsia"/>
              </w:rPr>
              <w:t>应急处理方案（3分）</w:t>
            </w:r>
          </w:p>
        </w:tc>
        <w:tc>
          <w:tcPr>
            <w:tcW w:w="6739" w:type="dxa"/>
            <w:vAlign w:val="center"/>
          </w:tcPr>
          <w:p>
            <w:pPr>
              <w:jc w:val="left"/>
            </w:pPr>
            <w:r>
              <w:rPr>
                <w:rFonts w:hint="eastAsia"/>
              </w:rPr>
              <w:t>从①应急小组人员构成、②应急设备设施投入、③应急预案、④应急保障体系等方面进行评价，满足需求、完整合理、针对性强的得3分，不够完善的每项得2分，极不完善的得1分，未提供的不得分。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5</w:t>
            </w:r>
          </w:p>
        </w:tc>
        <w:tc>
          <w:tcPr>
            <w:tcW w:w="1417" w:type="dxa"/>
            <w:vAlign w:val="center"/>
          </w:tcPr>
          <w:p>
            <w:pPr>
              <w:jc w:val="center"/>
            </w:pPr>
            <w:r>
              <w:rPr>
                <w:rFonts w:hint="eastAsia"/>
              </w:rPr>
              <w:t>服务体系  （6分）</w:t>
            </w:r>
          </w:p>
        </w:tc>
        <w:tc>
          <w:tcPr>
            <w:tcW w:w="6739" w:type="dxa"/>
            <w:vAlign w:val="center"/>
          </w:tcPr>
          <w:p>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6</w:t>
            </w:r>
          </w:p>
        </w:tc>
        <w:tc>
          <w:tcPr>
            <w:tcW w:w="1417" w:type="dxa"/>
            <w:vAlign w:val="center"/>
          </w:tcPr>
          <w:p>
            <w:pPr>
              <w:jc w:val="center"/>
            </w:pPr>
            <w:r>
              <w:rPr>
                <w:rFonts w:hint="eastAsia"/>
              </w:rPr>
              <w:t>仓储设施设备及备品库存（</w:t>
            </w:r>
            <w:r>
              <w:rPr>
                <w:rFonts w:hint="eastAsia"/>
                <w:lang w:val="en-US" w:eastAsia="zh-CN"/>
              </w:rPr>
              <w:t>3</w:t>
            </w:r>
            <w:r>
              <w:rPr>
                <w:rFonts w:hint="eastAsia"/>
              </w:rPr>
              <w:t>分）</w:t>
            </w:r>
          </w:p>
        </w:tc>
        <w:tc>
          <w:tcPr>
            <w:tcW w:w="6739" w:type="dxa"/>
            <w:vAlign w:val="center"/>
          </w:tcPr>
          <w:p>
            <w:pPr>
              <w:jc w:val="left"/>
            </w:pPr>
            <w:r>
              <w:rPr>
                <w:rFonts w:hint="eastAsia"/>
              </w:rPr>
              <w:t>从①仓存面积、②冷冻冷藏环境、③仓存设备配置、④备品库存情况等方面进行评价，要求仓存面积合理、符合冷冻冷藏要求（根据产品需要），仓存设备配置完善、备品库存合理得</w:t>
            </w:r>
            <w:r>
              <w:rPr>
                <w:rFonts w:hint="eastAsia"/>
                <w:lang w:val="en-US" w:eastAsia="zh-CN"/>
              </w:rPr>
              <w:t>3</w:t>
            </w:r>
            <w:r>
              <w:rPr>
                <w:rFonts w:hint="eastAsia"/>
              </w:rPr>
              <w:t>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7</w:t>
            </w:r>
          </w:p>
        </w:tc>
        <w:tc>
          <w:tcPr>
            <w:tcW w:w="1417" w:type="dxa"/>
            <w:vAlign w:val="center"/>
          </w:tcPr>
          <w:p>
            <w:pPr>
              <w:jc w:val="center"/>
            </w:pPr>
            <w:r>
              <w:rPr>
                <w:rFonts w:hint="eastAsia"/>
              </w:rPr>
              <w:t>产品市场使用情况（3分）</w:t>
            </w:r>
          </w:p>
        </w:tc>
        <w:tc>
          <w:tcPr>
            <w:tcW w:w="6739" w:type="dxa"/>
            <w:vAlign w:val="center"/>
          </w:tcPr>
          <w:p>
            <w:pPr>
              <w:jc w:val="left"/>
            </w:pPr>
            <w:r>
              <w:rPr>
                <w:rFonts w:hint="eastAsia"/>
              </w:rPr>
              <w:t>根据所投产品在国内医疗系统市场使用情况进行打分，每提供一个单位加1分，此项最多3分。（需提供产品在其他医疗机构签订的供货合同复印件）未提供相关证明的该项为0分。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pPr>
              <w:jc w:val="center"/>
              <w:rPr>
                <w:rFonts w:hint="eastAsia" w:eastAsia="宋体"/>
                <w:lang w:eastAsia="zh-CN"/>
              </w:rPr>
            </w:pPr>
            <w:r>
              <w:rPr>
                <w:rFonts w:hint="eastAsia"/>
                <w:lang w:val="en-US" w:eastAsia="zh-CN"/>
              </w:rPr>
              <w:t>8</w:t>
            </w:r>
          </w:p>
        </w:tc>
        <w:tc>
          <w:tcPr>
            <w:tcW w:w="1417" w:type="dxa"/>
            <w:vAlign w:val="center"/>
          </w:tcPr>
          <w:p>
            <w:pPr>
              <w:jc w:val="center"/>
            </w:pPr>
            <w:r>
              <w:rPr>
                <w:rFonts w:hint="eastAsia"/>
              </w:rPr>
              <w:t>经营业绩  （</w:t>
            </w:r>
            <w:r>
              <w:rPr>
                <w:rFonts w:hint="eastAsia"/>
                <w:lang w:val="en-US" w:eastAsia="zh-CN"/>
              </w:rPr>
              <w:t>4</w:t>
            </w:r>
            <w:r>
              <w:rPr>
                <w:rFonts w:hint="eastAsia"/>
              </w:rPr>
              <w:t>分）</w:t>
            </w:r>
          </w:p>
        </w:tc>
        <w:tc>
          <w:tcPr>
            <w:tcW w:w="6739" w:type="dxa"/>
            <w:vAlign w:val="center"/>
          </w:tcPr>
          <w:p>
            <w:pPr>
              <w:jc w:val="left"/>
            </w:pPr>
            <w:r>
              <w:rPr>
                <w:rFonts w:hint="eastAsia"/>
              </w:rPr>
              <w:t>根据投标文件所提供2020年1月1日至投标截止日所投产品的同类项目经营业绩进行比较：（有效业绩需附合同或中标通知书复印件，每一份有效业绩加1分，直至满</w:t>
            </w:r>
            <w:r>
              <w:rPr>
                <w:rFonts w:hint="eastAsia"/>
                <w:lang w:val="en-US" w:eastAsia="zh-CN"/>
              </w:rPr>
              <w:t>4</w:t>
            </w:r>
            <w:r>
              <w:rPr>
                <w:rFonts w:hint="eastAsia"/>
              </w:rPr>
              <w:t>分。未提供相关证明的该项为0分。</w:t>
            </w:r>
          </w:p>
        </w:tc>
      </w:tr>
    </w:tbl>
    <w:p>
      <w:pPr>
        <w:jc w:val="center"/>
        <w:rPr>
          <w:rFonts w:hint="eastAsia" w:eastAsia="黑体"/>
          <w:sz w:val="28"/>
          <w:szCs w:val="36"/>
        </w:rPr>
      </w:pPr>
    </w:p>
    <w:p>
      <w:pPr>
        <w:rPr>
          <w:rFonts w:hint="eastAsia" w:eastAsia="黑体"/>
          <w:sz w:val="28"/>
          <w:szCs w:val="36"/>
        </w:rPr>
      </w:pPr>
      <w:r>
        <w:rPr>
          <w:rFonts w:hint="eastAsia" w:eastAsia="黑体"/>
          <w:sz w:val="28"/>
          <w:szCs w:val="36"/>
        </w:rPr>
        <w:br w:type="page"/>
      </w:r>
    </w:p>
    <w:p>
      <w:pPr>
        <w:jc w:val="center"/>
        <w:rPr>
          <w:rFonts w:eastAsia="黑体"/>
          <w:b/>
          <w:bCs/>
          <w:sz w:val="28"/>
          <w:szCs w:val="36"/>
        </w:rPr>
      </w:pPr>
      <w:r>
        <w:rPr>
          <w:rFonts w:hint="eastAsia" w:eastAsia="黑体"/>
          <w:sz w:val="28"/>
          <w:szCs w:val="36"/>
        </w:rPr>
        <w:t>投标报价（30分）</w:t>
      </w:r>
    </w:p>
    <w:tbl>
      <w:tblPr>
        <w:tblStyle w:val="4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vAlign w:val="center"/>
          </w:tcPr>
          <w:p>
            <w:pPr>
              <w:jc w:val="center"/>
            </w:pPr>
            <w:r>
              <w:rPr>
                <w:rFonts w:hint="eastAsia"/>
                <w:b/>
                <w:bCs/>
              </w:rPr>
              <w:t>序号</w:t>
            </w:r>
          </w:p>
        </w:tc>
        <w:tc>
          <w:tcPr>
            <w:tcW w:w="1276" w:type="dxa"/>
            <w:vAlign w:val="center"/>
          </w:tcPr>
          <w:p>
            <w:pPr>
              <w:jc w:val="center"/>
            </w:pPr>
            <w:r>
              <w:rPr>
                <w:rFonts w:hint="eastAsia"/>
                <w:b/>
                <w:bCs/>
              </w:rPr>
              <w:t>评审项目</w:t>
            </w:r>
          </w:p>
        </w:tc>
        <w:tc>
          <w:tcPr>
            <w:tcW w:w="6662" w:type="dxa"/>
            <w:vAlign w:val="center"/>
          </w:tcPr>
          <w:p>
            <w:pPr>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9" w:type="dxa"/>
            <w:vAlign w:val="center"/>
          </w:tcPr>
          <w:p>
            <w:pPr>
              <w:jc w:val="center"/>
            </w:pPr>
            <w:r>
              <w:rPr>
                <w:rFonts w:hint="eastAsia"/>
              </w:rPr>
              <w:t>1</w:t>
            </w:r>
          </w:p>
        </w:tc>
        <w:tc>
          <w:tcPr>
            <w:tcW w:w="1276" w:type="dxa"/>
            <w:vAlign w:val="center"/>
          </w:tcPr>
          <w:p>
            <w:pPr>
              <w:jc w:val="center"/>
            </w:pPr>
            <w:r>
              <w:rPr>
                <w:rFonts w:hint="eastAsia"/>
              </w:rPr>
              <w:t>投标报价</w:t>
            </w:r>
          </w:p>
        </w:tc>
        <w:tc>
          <w:tcPr>
            <w:tcW w:w="6662" w:type="dxa"/>
            <w:vAlign w:val="center"/>
          </w:tcPr>
          <w:p>
            <w:pPr>
              <w:jc w:val="left"/>
            </w:pPr>
            <w:r>
              <w:rPr>
                <w:rFonts w:hint="eastAsia"/>
              </w:rPr>
              <w:t>在满足招标文件要求的前提下，取各投标人有效报价的最低投标报价（投标单价合计）作为评标基准价,满分为30分；</w:t>
            </w:r>
          </w:p>
          <w:p>
            <w:pPr>
              <w:jc w:val="left"/>
            </w:pPr>
            <w:r>
              <w:rPr>
                <w:rFonts w:hint="eastAsia"/>
              </w:rPr>
              <w:t>价格分的计算投标报价得分=(评标基准价／投标报价)×</w:t>
            </w:r>
            <w:r>
              <w:t>30</w:t>
            </w:r>
            <w:r>
              <w:rPr>
                <w:rFonts w:hint="eastAsia"/>
              </w:rPr>
              <w:t>。</w:t>
            </w:r>
          </w:p>
          <w:p>
            <w:pPr>
              <w:jc w:val="left"/>
            </w:pPr>
            <w:r>
              <w:rPr>
                <w:rFonts w:hint="eastAsia"/>
              </w:rPr>
              <w:t>（计算分值时，百分比按四舍五入原则，保留小数点后二位数）</w:t>
            </w:r>
          </w:p>
        </w:tc>
      </w:tr>
      <w:bookmarkEnd w:id="188"/>
      <w:bookmarkEnd w:id="189"/>
    </w:tbl>
    <w:p>
      <w:pPr>
        <w:tabs>
          <w:tab w:val="left" w:pos="0"/>
        </w:tabs>
        <w:adjustRightInd w:val="0"/>
        <w:snapToGrid w:val="0"/>
        <w:spacing w:line="440" w:lineRule="exact"/>
        <w:ind w:firstLine="420" w:firstLineChars="200"/>
        <w:rPr>
          <w:bCs/>
          <w:szCs w:val="21"/>
        </w:rPr>
      </w:pPr>
      <w:bookmarkStart w:id="204" w:name="_Toc7522"/>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pPr>
      <w:r>
        <w:rPr>
          <w:rFonts w:hint="eastAsia"/>
          <w:bCs/>
          <w:szCs w:val="21"/>
        </w:rPr>
        <w:t>（一）</w:t>
      </w:r>
      <w:r>
        <w:rPr>
          <w:rFonts w:hint="eastAsia"/>
        </w:rPr>
        <w:t>节能产品及环保产品价格折扣比例及方法</w:t>
      </w:r>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40"/>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《政府采购促进中小企业发展管理办法》（财库〔2020〕46号）及《关于进一步加大政府采购支持中小企业力度的通知》（财库〔2022〕19号）</w:t>
            </w:r>
            <w:r>
              <w:rPr>
                <w:szCs w:val="21"/>
              </w:rPr>
              <w:t>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34"/>
              <w:spacing w:line="300" w:lineRule="auto"/>
              <w:ind w:firstLine="420" w:firstLineChars="200"/>
              <w:rPr>
                <w:rFonts w:ascii="Times New Roman" w:hAnsi="Times New Roman"/>
                <w:szCs w:val="21"/>
              </w:rPr>
            </w:pPr>
            <w:r>
              <w:rPr>
                <w:rFonts w:hint="eastAsia" w:ascii="Times New Roman" w:hAnsi="Times New Roman" w:cs="宋体"/>
                <w:szCs w:val="21"/>
              </w:rPr>
              <w:t>①</w:t>
            </w:r>
            <w:r>
              <w:rPr>
                <w:rFonts w:ascii="Times New Roman" w:hAnsi="Times New Roman"/>
                <w:szCs w:val="21"/>
              </w:rPr>
              <w:t>符合中小企业划分标准（按《关于印发中小企业划型标准规定的通知》（工信部联企业〔2011〕300号）执行）；</w:t>
            </w:r>
          </w:p>
          <w:p>
            <w:pPr>
              <w:pStyle w:val="434"/>
              <w:spacing w:line="300" w:lineRule="auto"/>
              <w:ind w:firstLine="420" w:firstLineChars="200"/>
              <w:rPr>
                <w:rFonts w:ascii="Times New Roman" w:hAnsi="Times New Roman"/>
                <w:szCs w:val="21"/>
              </w:rPr>
            </w:pPr>
            <w:r>
              <w:rPr>
                <w:rFonts w:hint="eastAsia" w:ascii="Times New Roman" w:hAnsi="Times New Roman"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34"/>
              <w:spacing w:line="300" w:lineRule="auto"/>
              <w:ind w:firstLine="420" w:firstLineChars="200"/>
              <w:rPr>
                <w:rFonts w:ascii="Times New Roman" w:hAnsi="Times New Roman"/>
                <w:szCs w:val="21"/>
              </w:rPr>
            </w:pPr>
            <w:r>
              <w:rPr>
                <w:rFonts w:hint="eastAsia" w:ascii="Times New Roman" w:hAnsi="Times New Roman"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34"/>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hint="eastAsia" w:ascii="Times New Roman" w:hAnsi="Times New Roman"/>
                <w:szCs w:val="21"/>
              </w:rPr>
              <w:t>10</w:t>
            </w:r>
            <w:r>
              <w:rPr>
                <w:rFonts w:ascii="Times New Roman" w:hAnsi="Times New Roman"/>
                <w:szCs w:val="21"/>
              </w:rPr>
              <w:t>%的扣除，用扣除后的价格参与价格的评审。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pPr>
              <w:pStyle w:val="434"/>
              <w:spacing w:line="300" w:lineRule="auto"/>
              <w:ind w:firstLine="420" w:firstLineChars="200"/>
              <w:rPr>
                <w:rFonts w:ascii="Times New Roman" w:hAnsi="Times New Roman"/>
                <w:szCs w:val="21"/>
              </w:rPr>
            </w:pPr>
            <w:r>
              <w:rPr>
                <w:rFonts w:hint="eastAsia" w:ascii="Times New Roman" w:hAnsi="Times New Roman"/>
                <w:szCs w:val="21"/>
              </w:rPr>
              <w:t>供应商</w:t>
            </w:r>
            <w:r>
              <w:rPr>
                <w:rFonts w:ascii="Times New Roman" w:hAnsi="Times New Roman"/>
                <w:szCs w:val="21"/>
              </w:rPr>
              <w:t>应提供以上材料，否则将不给予价格扣除。若所供应产品为进口产品的，不适用《政府采购促进中小企业发展暂行办法》。</w:t>
            </w:r>
          </w:p>
          <w:p>
            <w:pPr>
              <w:pStyle w:val="434"/>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05" w:name="_Toc11460"/>
      <w:r>
        <w:rPr>
          <w:rFonts w:eastAsia="黑体"/>
          <w:kern w:val="0"/>
          <w:sz w:val="32"/>
          <w:szCs w:val="32"/>
        </w:rPr>
        <w:t>第四章 合同条款</w:t>
      </w:r>
      <w:bookmarkEnd w:id="204"/>
      <w:bookmarkEnd w:id="205"/>
    </w:p>
    <w:p>
      <w:pPr>
        <w:jc w:val="center"/>
        <w:rPr>
          <w:sz w:val="24"/>
        </w:rPr>
      </w:pPr>
    </w:p>
    <w:p>
      <w:pPr>
        <w:jc w:val="center"/>
        <w:rPr>
          <w:sz w:val="24"/>
        </w:rPr>
      </w:pPr>
      <w:bookmarkStart w:id="206"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206"/>
    </w:p>
    <w:p>
      <w:pPr>
        <w:pStyle w:val="79"/>
        <w:snapToGrid w:val="0"/>
        <w:spacing w:after="120" w:afterLines="50"/>
        <w:jc w:val="cente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黑体" w:hAnsi="黑体" w:eastAsia="黑体"/>
          <w:b/>
          <w:bCs/>
          <w:sz w:val="32"/>
          <w:szCs w:val="32"/>
        </w:rPr>
      </w:pPr>
      <w:r>
        <w:rPr>
          <w:rFonts w:hint="eastAsia" w:ascii="黑体" w:hAnsi="黑体" w:eastAsia="黑体"/>
          <w:b/>
          <w:bCs/>
          <w:sz w:val="32"/>
          <w:szCs w:val="32"/>
        </w:rPr>
        <w:t>政府采购货物合同书</w:t>
      </w:r>
    </w:p>
    <w:p>
      <w:pPr>
        <w:jc w:val="center"/>
        <w:rPr>
          <w:b/>
          <w:bCs/>
          <w:sz w:val="24"/>
        </w:rPr>
      </w:pPr>
      <w:bookmarkStart w:id="207" w:name="_Toc15719"/>
      <w:bookmarkStart w:id="208" w:name="_Toc13956"/>
      <w:bookmarkStart w:id="209" w:name="_Toc27567"/>
      <w:bookmarkStart w:id="210" w:name="_Hlk89854468"/>
    </w:p>
    <w:p>
      <w:pPr>
        <w:jc w:val="center"/>
        <w:rPr>
          <w:b/>
          <w:bCs/>
          <w:sz w:val="24"/>
        </w:rPr>
      </w:pPr>
      <w:r>
        <w:rPr>
          <w:b/>
          <w:bCs/>
          <w:sz w:val="24"/>
        </w:rPr>
        <w:t>医用耗材采购合同</w:t>
      </w:r>
      <w:bookmarkEnd w:id="207"/>
      <w:bookmarkEnd w:id="208"/>
      <w:bookmarkEnd w:id="209"/>
    </w:p>
    <w:p>
      <w:pPr>
        <w:snapToGrid w:val="0"/>
        <w:spacing w:after="62"/>
        <w:jc w:val="center"/>
        <w:rPr>
          <w:rFonts w:ascii="楷体_GB2312" w:eastAsia="楷体_GB2312"/>
          <w:b/>
          <w:bCs/>
        </w:rPr>
      </w:pPr>
    </w:p>
    <w:p>
      <w:pPr>
        <w:pStyle w:val="25"/>
        <w:snapToGrid w:val="0"/>
        <w:spacing w:line="360" w:lineRule="auto"/>
        <w:ind w:firstLine="419" w:firstLineChars="174"/>
        <w:rPr>
          <w:rFonts w:ascii="Times New Roman" w:hAnsi="Times New Roman"/>
          <w:b/>
          <w:bCs/>
          <w:sz w:val="24"/>
          <w:szCs w:val="24"/>
        </w:rPr>
      </w:pPr>
      <w:r>
        <w:rPr>
          <w:rFonts w:ascii="Times New Roman" w:hAnsi="Times New Roman"/>
          <w:b/>
          <w:bCs/>
          <w:sz w:val="24"/>
          <w:szCs w:val="24"/>
        </w:rPr>
        <w:t xml:space="preserve">甲方：新疆维吾尔自治区人民医院                       </w:t>
      </w:r>
    </w:p>
    <w:p>
      <w:pPr>
        <w:tabs>
          <w:tab w:val="right" w:pos="8306"/>
        </w:tabs>
        <w:rPr>
          <w:b/>
        </w:rPr>
      </w:pPr>
      <w:r>
        <w:rPr>
          <w:rFonts w:hint="eastAsia"/>
          <w:b/>
          <w:bCs/>
        </w:rPr>
        <w:t xml:space="preserve">    乙方:  </w:t>
      </w:r>
    </w:p>
    <w:p>
      <w:pPr>
        <w:tabs>
          <w:tab w:val="right" w:pos="8306"/>
        </w:tabs>
        <w:ind w:firstLine="555"/>
        <w:rPr>
          <w:b/>
          <w:sz w:val="28"/>
          <w:szCs w:val="28"/>
        </w:rPr>
      </w:pPr>
    </w:p>
    <w:p>
      <w:pPr>
        <w:spacing w:line="360" w:lineRule="auto"/>
        <w:ind w:left="995" w:leftChars="124" w:hanging="735" w:hangingChars="350"/>
        <w:rPr>
          <w:u w:val="single"/>
        </w:rPr>
      </w:pPr>
      <w:r>
        <w:rPr>
          <w:rFonts w:hint="eastAsia"/>
        </w:rPr>
        <w:t>根据《中华人民共和国政府采购法》、《中华人民共和国民法典》等的有关规定，经甲、乙双方平等协商，签订本合同.</w:t>
      </w:r>
    </w:p>
    <w:p>
      <w:pPr>
        <w:snapToGrid w:val="0"/>
        <w:spacing w:line="360" w:lineRule="auto"/>
        <w:ind w:firstLine="422" w:firstLineChars="200"/>
        <w:outlineLvl w:val="0"/>
        <w:rPr>
          <w:b/>
          <w:bCs/>
        </w:rPr>
      </w:pPr>
      <w:bookmarkStart w:id="211" w:name="_Toc25303"/>
      <w:bookmarkStart w:id="212" w:name="_Toc100232993"/>
      <w:bookmarkStart w:id="213" w:name="_Toc5563"/>
      <w:bookmarkStart w:id="214" w:name="_Toc14778"/>
      <w:bookmarkStart w:id="215" w:name="_Toc100233085"/>
      <w:bookmarkStart w:id="216" w:name="_Toc32265"/>
      <w:r>
        <w:rPr>
          <w:rFonts w:hint="eastAsia"/>
          <w:b/>
          <w:bCs/>
        </w:rPr>
        <w:t>一、合同产品、价格、支付方式：</w:t>
      </w:r>
      <w:bookmarkEnd w:id="211"/>
      <w:bookmarkEnd w:id="212"/>
      <w:bookmarkEnd w:id="213"/>
      <w:bookmarkEnd w:id="214"/>
      <w:bookmarkEnd w:id="215"/>
      <w:bookmarkEnd w:id="216"/>
    </w:p>
    <w:p>
      <w:pPr>
        <w:snapToGrid w:val="0"/>
        <w:spacing w:line="360" w:lineRule="auto"/>
        <w:ind w:left="562"/>
        <w:rPr>
          <w:bCs/>
        </w:rPr>
      </w:pPr>
      <w:r>
        <w:rPr>
          <w:rFonts w:hint="eastAsia"/>
        </w:rPr>
        <w:t>1.乙方按甲方需求量向甲方提供合</w:t>
      </w:r>
      <w:r>
        <w:rPr>
          <w:rFonts w:hint="eastAsia"/>
          <w:bCs/>
        </w:rPr>
        <w:t>同产品，产品目录见附表。</w:t>
      </w:r>
    </w:p>
    <w:p>
      <w:pPr>
        <w:snapToGrid w:val="0"/>
        <w:spacing w:line="360" w:lineRule="auto"/>
        <w:ind w:left="562"/>
        <w:rPr>
          <w:bCs/>
        </w:rPr>
      </w:pPr>
      <w:r>
        <w:rPr>
          <w:rFonts w:hint="eastAsia"/>
          <w:bCs/>
        </w:rPr>
        <w:t>2.乙方所提供产品的剩余有效期应占提供产品保质期的三分之二以上。</w:t>
      </w:r>
    </w:p>
    <w:p>
      <w:pPr>
        <w:snapToGrid w:val="0"/>
        <w:spacing w:line="360" w:lineRule="auto"/>
        <w:ind w:firstLine="539" w:firstLineChars="257"/>
        <w:rPr>
          <w:bCs/>
        </w:rPr>
      </w:pPr>
      <w:r>
        <w:rPr>
          <w:rFonts w:hint="eastAsia"/>
          <w:bCs/>
        </w:rPr>
        <w:t>3.乙方需提供医用耗材的备货服务，乙方按甲方要求提供耗材在甲方处备货。</w:t>
      </w:r>
    </w:p>
    <w:p>
      <w:pPr>
        <w:snapToGrid w:val="0"/>
        <w:spacing w:line="360" w:lineRule="auto"/>
        <w:ind w:firstLine="539" w:firstLineChars="257"/>
        <w:rPr>
          <w:bCs/>
        </w:rPr>
      </w:pPr>
      <w:r>
        <w:rPr>
          <w:rFonts w:hint="eastAsia"/>
          <w:bCs/>
        </w:rPr>
        <w:t>4.乙方需提供合法有效的正式发票，销售产品所需要的资质文件。</w:t>
      </w:r>
    </w:p>
    <w:p>
      <w:pPr>
        <w:snapToGrid w:val="0"/>
        <w:spacing w:line="360" w:lineRule="auto"/>
        <w:ind w:firstLine="539" w:firstLineChars="257"/>
        <w:rPr>
          <w:bCs/>
        </w:rPr>
      </w:pPr>
      <w:r>
        <w:rPr>
          <w:rFonts w:hint="eastAsia"/>
          <w:bCs/>
        </w:rPr>
        <w:t>5.甲方根据乙方实际采购量付款，用转账、承兑汇票等银行结算付款方式结算。</w:t>
      </w:r>
    </w:p>
    <w:p>
      <w:pPr>
        <w:snapToGrid w:val="0"/>
        <w:spacing w:line="360" w:lineRule="auto"/>
        <w:ind w:firstLine="539" w:firstLineChars="257"/>
        <w:rPr>
          <w:bCs/>
        </w:rPr>
      </w:pPr>
      <w:r>
        <w:rPr>
          <w:rFonts w:hint="eastAsia"/>
          <w:bCs/>
        </w:rPr>
        <w:t>（1）最终付款方式以和甲方单位签订合同为主。</w:t>
      </w:r>
    </w:p>
    <w:p>
      <w:pPr>
        <w:snapToGrid w:val="0"/>
        <w:spacing w:line="360" w:lineRule="auto"/>
        <w:ind w:firstLine="539" w:firstLineChars="257"/>
        <w:rPr>
          <w:bCs/>
        </w:rPr>
      </w:pPr>
      <w:r>
        <w:rPr>
          <w:rFonts w:hint="eastAsia"/>
          <w:bCs/>
        </w:rPr>
        <w:t>（2）付款币种本次招标所述的项目资金均以人民币支付。</w:t>
      </w:r>
    </w:p>
    <w:p>
      <w:pPr>
        <w:snapToGrid w:val="0"/>
        <w:spacing w:line="360" w:lineRule="auto"/>
        <w:ind w:firstLine="422" w:firstLineChars="200"/>
        <w:outlineLvl w:val="0"/>
        <w:rPr>
          <w:b/>
          <w:bCs/>
        </w:rPr>
      </w:pPr>
      <w:bookmarkStart w:id="217" w:name="_Toc1747"/>
      <w:bookmarkStart w:id="218" w:name="_Toc100232994"/>
      <w:bookmarkStart w:id="219" w:name="_Toc10438"/>
      <w:bookmarkStart w:id="220" w:name="_Toc100233086"/>
      <w:bookmarkStart w:id="221" w:name="_Toc230"/>
      <w:bookmarkStart w:id="222" w:name="_Toc831"/>
      <w:bookmarkStart w:id="223" w:name="_Toc82440797"/>
      <w:r>
        <w:rPr>
          <w:rFonts w:hint="eastAsia"/>
          <w:b/>
          <w:bCs/>
        </w:rPr>
        <w:t>二、技术标准</w:t>
      </w:r>
      <w:bookmarkEnd w:id="217"/>
      <w:bookmarkEnd w:id="218"/>
      <w:bookmarkEnd w:id="219"/>
      <w:bookmarkEnd w:id="220"/>
      <w:bookmarkEnd w:id="221"/>
      <w:bookmarkEnd w:id="222"/>
      <w:bookmarkEnd w:id="223"/>
    </w:p>
    <w:p>
      <w:pPr>
        <w:snapToGrid w:val="0"/>
        <w:spacing w:line="360" w:lineRule="auto"/>
        <w:ind w:firstLine="420" w:firstLineChars="200"/>
        <w:rPr>
          <w:bCs/>
        </w:rPr>
      </w:pPr>
      <w:r>
        <w:rPr>
          <w:rFonts w:hint="eastAsia"/>
          <w:bCs/>
        </w:rPr>
        <w:t>本合同项下所供产品的技术标准应与医院临床需要的医疗服务标准产品相一致。所供产品（包括其包装）则应符合相应的国家或有关部门最新颁布的正式标准。</w:t>
      </w:r>
    </w:p>
    <w:p>
      <w:pPr>
        <w:snapToGrid w:val="0"/>
        <w:spacing w:line="360" w:lineRule="auto"/>
        <w:ind w:firstLine="422" w:firstLineChars="200"/>
        <w:outlineLvl w:val="0"/>
        <w:rPr>
          <w:b/>
          <w:bCs/>
        </w:rPr>
      </w:pPr>
      <w:bookmarkStart w:id="224" w:name="_Toc100233087"/>
      <w:bookmarkStart w:id="225" w:name="_Toc82440798"/>
      <w:bookmarkStart w:id="226" w:name="_Toc29332"/>
      <w:bookmarkStart w:id="227" w:name="_Toc15981"/>
      <w:bookmarkStart w:id="228" w:name="_Toc881"/>
      <w:bookmarkStart w:id="229" w:name="_Toc27690"/>
      <w:bookmarkStart w:id="230" w:name="_Toc100232995"/>
      <w:r>
        <w:rPr>
          <w:rFonts w:hint="eastAsia"/>
          <w:b/>
          <w:bCs/>
        </w:rPr>
        <w:t>三、规格</w:t>
      </w:r>
      <w:bookmarkEnd w:id="224"/>
      <w:bookmarkEnd w:id="225"/>
      <w:bookmarkEnd w:id="226"/>
      <w:bookmarkEnd w:id="227"/>
      <w:bookmarkEnd w:id="228"/>
      <w:bookmarkEnd w:id="229"/>
      <w:bookmarkEnd w:id="230"/>
    </w:p>
    <w:p>
      <w:pPr>
        <w:snapToGrid w:val="0"/>
        <w:spacing w:line="360" w:lineRule="auto"/>
        <w:ind w:firstLine="420" w:firstLineChars="200"/>
        <w:rPr>
          <w:bCs/>
        </w:rPr>
      </w:pPr>
      <w:r>
        <w:rPr>
          <w:bCs/>
        </w:rPr>
        <w:t>1</w:t>
      </w:r>
      <w:r>
        <w:rPr>
          <w:rFonts w:hint="eastAsia"/>
          <w:bCs/>
        </w:rPr>
        <w:t>．交付产品的规格、数量应与采购计划相一致。</w:t>
      </w:r>
    </w:p>
    <w:p>
      <w:pPr>
        <w:snapToGrid w:val="0"/>
        <w:spacing w:line="360" w:lineRule="auto"/>
        <w:ind w:firstLine="420" w:firstLineChars="200"/>
        <w:rPr>
          <w:bCs/>
        </w:rPr>
      </w:pPr>
      <w:r>
        <w:rPr>
          <w:bCs/>
        </w:rPr>
        <w:t>2</w:t>
      </w:r>
      <w:r>
        <w:rPr>
          <w:rFonts w:hint="eastAsia"/>
          <w:bCs/>
        </w:rPr>
        <w:t>．计量、数量单位应使用国家通用的计量、数量单位。</w:t>
      </w:r>
    </w:p>
    <w:p>
      <w:pPr>
        <w:snapToGrid w:val="0"/>
        <w:spacing w:line="360" w:lineRule="auto"/>
        <w:ind w:firstLine="422" w:firstLineChars="200"/>
        <w:outlineLvl w:val="0"/>
        <w:rPr>
          <w:b/>
          <w:bCs/>
        </w:rPr>
      </w:pPr>
      <w:bookmarkStart w:id="231" w:name="_Toc82440799"/>
      <w:bookmarkStart w:id="232" w:name="_Toc100232996"/>
      <w:bookmarkStart w:id="233" w:name="_Toc100233088"/>
      <w:bookmarkStart w:id="234" w:name="_Toc21029"/>
      <w:bookmarkStart w:id="235" w:name="_Toc18247"/>
      <w:bookmarkStart w:id="236" w:name="_Toc10741"/>
      <w:bookmarkStart w:id="237" w:name="_Toc25174"/>
      <w:r>
        <w:rPr>
          <w:rFonts w:hint="eastAsia"/>
          <w:b/>
          <w:bCs/>
        </w:rPr>
        <w:t>四、包装</w:t>
      </w:r>
      <w:bookmarkEnd w:id="231"/>
      <w:bookmarkEnd w:id="232"/>
      <w:bookmarkEnd w:id="233"/>
      <w:bookmarkEnd w:id="234"/>
      <w:bookmarkEnd w:id="235"/>
      <w:bookmarkEnd w:id="236"/>
      <w:bookmarkEnd w:id="237"/>
    </w:p>
    <w:p>
      <w:pPr>
        <w:snapToGrid w:val="0"/>
        <w:spacing w:line="360" w:lineRule="auto"/>
        <w:ind w:firstLine="420" w:firstLineChars="200"/>
        <w:rPr>
          <w:bCs/>
        </w:rPr>
      </w:pPr>
      <w:r>
        <w:rPr>
          <w:rFonts w:hint="eastAsia"/>
          <w:bCs/>
        </w:rPr>
        <w:t>乙方提供的全部产品均应按标准保护措施进行包装，以防止产品在转运中损坏或变质，确保产品安全无损运抵指定地点。</w:t>
      </w:r>
    </w:p>
    <w:p>
      <w:pPr>
        <w:snapToGrid w:val="0"/>
        <w:spacing w:line="360" w:lineRule="auto"/>
        <w:ind w:firstLine="422" w:firstLineChars="200"/>
        <w:outlineLvl w:val="0"/>
        <w:rPr>
          <w:b/>
          <w:bCs/>
        </w:rPr>
      </w:pPr>
      <w:bookmarkStart w:id="238" w:name="_Toc23582"/>
      <w:bookmarkStart w:id="239" w:name="_Toc16969"/>
      <w:bookmarkStart w:id="240" w:name="_Toc100232997"/>
      <w:bookmarkStart w:id="241" w:name="_Toc82440800"/>
      <w:bookmarkStart w:id="242" w:name="_Toc27642"/>
      <w:bookmarkStart w:id="243" w:name="_Toc5602"/>
      <w:bookmarkStart w:id="244" w:name="_Toc100233089"/>
      <w:r>
        <w:rPr>
          <w:rFonts w:hint="eastAsia"/>
          <w:b/>
          <w:bCs/>
        </w:rPr>
        <w:t>五、交货</w:t>
      </w:r>
      <w:bookmarkEnd w:id="238"/>
      <w:bookmarkEnd w:id="239"/>
      <w:bookmarkEnd w:id="240"/>
      <w:bookmarkEnd w:id="241"/>
      <w:bookmarkEnd w:id="242"/>
      <w:bookmarkEnd w:id="243"/>
      <w:bookmarkEnd w:id="244"/>
    </w:p>
    <w:p>
      <w:pPr>
        <w:snapToGrid w:val="0"/>
        <w:spacing w:line="360" w:lineRule="auto"/>
        <w:ind w:firstLine="420" w:firstLineChars="200"/>
        <w:rPr>
          <w:bCs/>
        </w:rPr>
      </w:pPr>
      <w:r>
        <w:rPr>
          <w:bCs/>
        </w:rPr>
        <w:t>1</w:t>
      </w:r>
      <w:r>
        <w:rPr>
          <w:rFonts w:hint="eastAsia"/>
          <w:bCs/>
        </w:rPr>
        <w:t>．一般情况下定货后24小时内送达，紧急用产品需4小时内送达。</w:t>
      </w:r>
    </w:p>
    <w:p>
      <w:pPr>
        <w:snapToGrid w:val="0"/>
        <w:spacing w:line="360" w:lineRule="auto"/>
        <w:ind w:firstLine="420" w:firstLineChars="200"/>
        <w:rPr>
          <w:bCs/>
        </w:rPr>
      </w:pPr>
      <w:r>
        <w:rPr>
          <w:rFonts w:hint="eastAsia"/>
          <w:bCs/>
        </w:rPr>
        <w:t>2.</w:t>
      </w:r>
      <w:r>
        <w:rPr>
          <w:bCs/>
        </w:rPr>
        <w:t xml:space="preserve"> </w:t>
      </w:r>
      <w:r>
        <w:rPr>
          <w:rFonts w:hint="eastAsia"/>
          <w:bCs/>
        </w:rPr>
        <w:t>乙方负责办理运输和保险，将货物运抵甲方仓库，有关运输和保险的一切费用由乙方承担。</w:t>
      </w:r>
    </w:p>
    <w:p>
      <w:pPr>
        <w:snapToGrid w:val="0"/>
        <w:spacing w:line="360" w:lineRule="auto"/>
        <w:ind w:firstLine="420" w:firstLineChars="200"/>
        <w:rPr>
          <w:bCs/>
          <w:highlight w:val="none"/>
        </w:rPr>
      </w:pPr>
      <w:r>
        <w:rPr>
          <w:rFonts w:hint="eastAsia"/>
          <w:bCs/>
          <w:highlight w:val="none"/>
        </w:rPr>
        <w:t>3.</w:t>
      </w:r>
      <w:r>
        <w:rPr>
          <w:bCs/>
          <w:highlight w:val="none"/>
        </w:rPr>
        <w:t xml:space="preserve"> </w:t>
      </w:r>
      <w:r>
        <w:rPr>
          <w:rFonts w:hint="eastAsia"/>
          <w:bCs/>
          <w:highlight w:val="none"/>
        </w:rPr>
        <w:t>所有货物运抵甲方收货地点的日期为交货日期。</w:t>
      </w:r>
    </w:p>
    <w:p>
      <w:pPr>
        <w:snapToGrid w:val="0"/>
        <w:spacing w:line="360" w:lineRule="auto"/>
        <w:ind w:firstLine="420" w:firstLineChars="200"/>
        <w:rPr>
          <w:bCs/>
          <w:highlight w:val="none"/>
        </w:rPr>
      </w:pPr>
      <w:r>
        <w:rPr>
          <w:rFonts w:hint="eastAsia"/>
          <w:bCs/>
          <w:highlight w:val="none"/>
        </w:rPr>
        <w:t>4、有效期在半年内的产品甲方拒绝入库（产品有效期在半年，一年的）等特殊情况除外。</w:t>
      </w:r>
    </w:p>
    <w:p>
      <w:pPr>
        <w:snapToGrid w:val="0"/>
        <w:spacing w:line="360" w:lineRule="auto"/>
        <w:ind w:firstLine="420" w:firstLineChars="200"/>
        <w:rPr>
          <w:bCs/>
        </w:rPr>
      </w:pPr>
      <w:r>
        <w:rPr>
          <w:rFonts w:hint="eastAsia"/>
          <w:bCs/>
        </w:rPr>
        <w:t>5、</w:t>
      </w:r>
      <w:r>
        <w:rPr>
          <w:rFonts w:hint="eastAsia" w:ascii="楷体_GB2312"/>
        </w:rPr>
        <w:t>特殊储存要求的物品，按要求储存配送（冷链或恒温）。如有未按要求配送，</w:t>
      </w:r>
      <w:r>
        <w:rPr>
          <w:rFonts w:hint="eastAsia"/>
          <w:bCs/>
        </w:rPr>
        <w:t>甲方拒绝入库。</w:t>
      </w:r>
    </w:p>
    <w:p>
      <w:pPr>
        <w:snapToGrid w:val="0"/>
        <w:spacing w:line="360" w:lineRule="auto"/>
        <w:ind w:firstLine="422" w:firstLineChars="200"/>
        <w:outlineLvl w:val="0"/>
        <w:rPr>
          <w:b/>
          <w:bCs/>
        </w:rPr>
      </w:pPr>
      <w:bookmarkStart w:id="245" w:name="_Toc100233090"/>
      <w:bookmarkStart w:id="246" w:name="_Toc100232998"/>
      <w:bookmarkStart w:id="247" w:name="_Toc11600"/>
      <w:bookmarkStart w:id="248" w:name="_Toc30632"/>
      <w:bookmarkStart w:id="249" w:name="_Toc1323"/>
      <w:bookmarkStart w:id="250" w:name="_Toc8685"/>
      <w:r>
        <w:rPr>
          <w:rFonts w:hint="eastAsia"/>
          <w:b/>
          <w:bCs/>
        </w:rPr>
        <w:t>六、伴随服务</w:t>
      </w:r>
      <w:bookmarkEnd w:id="245"/>
      <w:bookmarkEnd w:id="246"/>
      <w:bookmarkEnd w:id="247"/>
      <w:bookmarkEnd w:id="248"/>
      <w:bookmarkEnd w:id="249"/>
      <w:bookmarkEnd w:id="250"/>
    </w:p>
    <w:p>
      <w:pPr>
        <w:snapToGrid w:val="0"/>
        <w:spacing w:line="360" w:lineRule="auto"/>
        <w:ind w:firstLine="420" w:firstLineChars="200"/>
        <w:rPr>
          <w:bCs/>
        </w:rPr>
      </w:pPr>
      <w:r>
        <w:rPr>
          <w:rFonts w:hint="eastAsia"/>
          <w:bCs/>
        </w:rPr>
        <w:t>1.对开箱时发现的破损、近效期产品或其它不合格包装产品无条件退换。</w:t>
      </w:r>
    </w:p>
    <w:p>
      <w:pPr>
        <w:snapToGrid w:val="0"/>
        <w:spacing w:line="360" w:lineRule="auto"/>
        <w:ind w:firstLine="420" w:firstLineChars="200"/>
        <w:rPr>
          <w:bCs/>
        </w:rPr>
      </w:pPr>
      <w:r>
        <w:rPr>
          <w:bCs/>
        </w:rPr>
        <w:t>2</w:t>
      </w:r>
      <w:r>
        <w:rPr>
          <w:rFonts w:hint="eastAsia"/>
          <w:bCs/>
        </w:rPr>
        <w:t>．乙方应具备解决紧急问题的能力，例如甲方在使用货物的过程中发现问题，乙方应及时到甲方现场解决。</w:t>
      </w:r>
    </w:p>
    <w:p>
      <w:pPr>
        <w:spacing w:line="360" w:lineRule="auto"/>
        <w:ind w:firstLine="420" w:firstLineChars="200"/>
        <w:rPr>
          <w:rFonts w:ascii="Arial" w:hAnsi="Arial" w:cs="Arial"/>
        </w:rPr>
      </w:pPr>
      <w:r>
        <w:rPr>
          <w:rFonts w:hint="eastAsia"/>
          <w:bCs/>
        </w:rPr>
        <w:t>3.</w:t>
      </w:r>
      <w:r>
        <w:rPr>
          <w:rFonts w:hint="eastAsia" w:ascii="Arial" w:hAnsi="Arial" w:cs="Arial"/>
        </w:rPr>
        <w:t xml:space="preserve"> 甲方与乙方发生经济业务时，乙方不得向甲方工作人员或科室提供任何形式的商业贿赂。</w:t>
      </w:r>
    </w:p>
    <w:p>
      <w:pPr>
        <w:spacing w:line="360" w:lineRule="auto"/>
        <w:ind w:firstLine="420" w:firstLineChars="200"/>
        <w:rPr>
          <w:rFonts w:ascii="Arial" w:hAnsi="Arial" w:cs="Arial"/>
        </w:rPr>
      </w:pPr>
      <w:r>
        <w:rPr>
          <w:rFonts w:hint="eastAsia" w:ascii="Arial" w:hAnsi="Arial" w:cs="Arial"/>
        </w:rPr>
        <w:t>4.乙方在采购期内不得更换生产厂家，产品系列，规格。</w:t>
      </w:r>
    </w:p>
    <w:p>
      <w:pPr>
        <w:spacing w:line="360" w:lineRule="auto"/>
        <w:ind w:firstLine="420" w:firstLineChars="200"/>
        <w:rPr>
          <w:rFonts w:ascii="Arial" w:hAnsi="Arial" w:cs="Arial"/>
        </w:rPr>
      </w:pPr>
      <w:r>
        <w:rPr>
          <w:rFonts w:hint="eastAsia" w:ascii="Arial" w:hAnsi="Arial" w:cs="Arial"/>
        </w:rPr>
        <w:t>5.乙方在采购期内保证提供资质及其他有关产品资料的真实性，并承诺遵守国家及医院有关廉洁自律的规定。</w:t>
      </w:r>
    </w:p>
    <w:p>
      <w:pPr>
        <w:snapToGrid w:val="0"/>
        <w:spacing w:line="360" w:lineRule="auto"/>
        <w:ind w:firstLine="422" w:firstLineChars="200"/>
        <w:outlineLvl w:val="0"/>
        <w:rPr>
          <w:b/>
          <w:bCs/>
        </w:rPr>
      </w:pPr>
      <w:bookmarkStart w:id="251" w:name="_Toc15411"/>
      <w:bookmarkStart w:id="252" w:name="_Toc14415"/>
      <w:bookmarkStart w:id="253" w:name="_Toc100233091"/>
      <w:bookmarkStart w:id="254" w:name="_Toc82440801"/>
      <w:bookmarkStart w:id="255" w:name="_Toc26505"/>
      <w:bookmarkStart w:id="256" w:name="_Toc100232999"/>
      <w:bookmarkStart w:id="257" w:name="_Toc28487"/>
      <w:r>
        <w:rPr>
          <w:rFonts w:hint="eastAsia"/>
          <w:b/>
          <w:bCs/>
        </w:rPr>
        <w:t>七、质量保证</w:t>
      </w:r>
      <w:bookmarkEnd w:id="251"/>
      <w:bookmarkEnd w:id="252"/>
      <w:bookmarkEnd w:id="253"/>
      <w:bookmarkEnd w:id="254"/>
      <w:bookmarkEnd w:id="255"/>
      <w:bookmarkEnd w:id="256"/>
      <w:bookmarkEnd w:id="257"/>
      <w:r>
        <w:rPr>
          <w:rFonts w:hint="eastAsia"/>
          <w:b/>
          <w:bCs/>
        </w:rPr>
        <w:t xml:space="preserve"> </w:t>
      </w:r>
    </w:p>
    <w:p>
      <w:pPr>
        <w:snapToGrid w:val="0"/>
        <w:spacing w:line="360" w:lineRule="auto"/>
        <w:ind w:firstLine="420" w:firstLineChars="200"/>
        <w:rPr>
          <w:bCs/>
        </w:rPr>
      </w:pPr>
      <w:r>
        <w:rPr>
          <w:bCs/>
        </w:rPr>
        <w:t>1</w:t>
      </w:r>
      <w:r>
        <w:rPr>
          <w:rFonts w:hint="eastAsia"/>
          <w:bCs/>
        </w:rPr>
        <w:t>．按合同交付的产品质量应符合国家承认的相应标准，并与向医院承诺的质量相一致，以确保临床使用安全有效。</w:t>
      </w:r>
    </w:p>
    <w:p>
      <w:pPr>
        <w:spacing w:line="360" w:lineRule="auto"/>
        <w:ind w:firstLine="424" w:firstLineChars="202"/>
      </w:pPr>
      <w:r>
        <w:rPr>
          <w:bCs/>
        </w:rPr>
        <w:t>2</w:t>
      </w:r>
      <w:r>
        <w:rPr>
          <w:rFonts w:hint="eastAsia"/>
          <w:bCs/>
        </w:rPr>
        <w:t>．如果乙方提供的医用耗材因质量问题在使用过程中造成的一切不良后果或医疗纠纷，责任由乙方承担负责。</w:t>
      </w:r>
    </w:p>
    <w:p>
      <w:pPr>
        <w:snapToGrid w:val="0"/>
        <w:spacing w:line="360" w:lineRule="auto"/>
        <w:ind w:firstLine="420" w:firstLineChars="200"/>
        <w:rPr>
          <w:bCs/>
        </w:rPr>
      </w:pPr>
      <w:r>
        <w:rPr>
          <w:rFonts w:hint="eastAsia"/>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22" w:firstLineChars="200"/>
        <w:outlineLvl w:val="0"/>
        <w:rPr>
          <w:b/>
          <w:bCs/>
        </w:rPr>
      </w:pPr>
      <w:bookmarkStart w:id="258" w:name="_Toc11520"/>
      <w:bookmarkStart w:id="259" w:name="_Toc5000"/>
      <w:bookmarkStart w:id="260" w:name="_Toc9631"/>
      <w:bookmarkStart w:id="261" w:name="_Toc100233000"/>
      <w:bookmarkStart w:id="262" w:name="_Toc100233092"/>
      <w:bookmarkStart w:id="263" w:name="_Toc82440802"/>
      <w:bookmarkStart w:id="264" w:name="_Toc24674"/>
      <w:r>
        <w:rPr>
          <w:rFonts w:hint="eastAsia"/>
          <w:b/>
          <w:bCs/>
        </w:rPr>
        <w:t>八、甲方履约义务</w:t>
      </w:r>
      <w:bookmarkEnd w:id="258"/>
      <w:bookmarkEnd w:id="259"/>
      <w:bookmarkEnd w:id="260"/>
      <w:bookmarkEnd w:id="261"/>
      <w:bookmarkEnd w:id="262"/>
      <w:bookmarkEnd w:id="263"/>
      <w:bookmarkEnd w:id="264"/>
    </w:p>
    <w:p>
      <w:pPr>
        <w:pStyle w:val="25"/>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1．甲方按中标品种目录根据临床需要分期分批采购中标品种。</w:t>
      </w:r>
    </w:p>
    <w:p>
      <w:pPr>
        <w:pStyle w:val="25"/>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2．甲方须按照合同规定及时结算货款。</w:t>
      </w:r>
    </w:p>
    <w:p>
      <w:pPr>
        <w:snapToGrid w:val="0"/>
        <w:spacing w:line="360" w:lineRule="auto"/>
        <w:ind w:firstLine="420" w:firstLineChars="199"/>
        <w:outlineLvl w:val="0"/>
        <w:rPr>
          <w:b/>
          <w:bCs/>
        </w:rPr>
      </w:pPr>
      <w:bookmarkStart w:id="265" w:name="_Toc100233001"/>
      <w:bookmarkStart w:id="266" w:name="_Toc9809"/>
      <w:bookmarkStart w:id="267" w:name="_Toc82440803"/>
      <w:bookmarkStart w:id="268" w:name="_Toc26528"/>
      <w:bookmarkStart w:id="269" w:name="_Toc16242"/>
      <w:bookmarkStart w:id="270" w:name="_Toc6544"/>
      <w:bookmarkStart w:id="271" w:name="_Toc100233093"/>
      <w:r>
        <w:rPr>
          <w:rFonts w:hint="eastAsia"/>
          <w:b/>
          <w:bCs/>
        </w:rPr>
        <w:t>九、违约终止合同</w:t>
      </w:r>
      <w:bookmarkEnd w:id="265"/>
      <w:bookmarkEnd w:id="266"/>
      <w:bookmarkEnd w:id="267"/>
      <w:bookmarkEnd w:id="268"/>
      <w:bookmarkEnd w:id="269"/>
      <w:bookmarkEnd w:id="270"/>
      <w:bookmarkEnd w:id="271"/>
    </w:p>
    <w:p>
      <w:pPr>
        <w:snapToGrid w:val="0"/>
        <w:spacing w:line="360" w:lineRule="auto"/>
        <w:ind w:firstLine="420" w:firstLineChars="20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20" w:firstLineChars="200"/>
        <w:rPr>
          <w:bCs/>
        </w:rPr>
      </w:pPr>
      <w:r>
        <w:rPr>
          <w:bCs/>
        </w:rPr>
        <w:t>2</w:t>
      </w:r>
      <w:r>
        <w:rPr>
          <w:rFonts w:hint="eastAsia"/>
          <w:bCs/>
        </w:rPr>
        <w:t>．如果甲方根据上述规定，终止了部分合同，乙方应继续执行合同中未终止的部分。并对已执行部分承担相应责任。</w:t>
      </w:r>
    </w:p>
    <w:p>
      <w:pPr>
        <w:snapToGrid w:val="0"/>
        <w:spacing w:line="360" w:lineRule="auto"/>
        <w:ind w:firstLine="420" w:firstLineChars="200"/>
        <w:rPr>
          <w:bCs/>
        </w:rPr>
      </w:pPr>
      <w:r>
        <w:rPr>
          <w:rFonts w:hint="eastAsia"/>
          <w:bCs/>
        </w:rPr>
        <w:t>3．乙方三次提供不合格产品的，甲方有权终止合同。</w:t>
      </w:r>
    </w:p>
    <w:p>
      <w:pPr>
        <w:snapToGrid w:val="0"/>
        <w:spacing w:line="360" w:lineRule="auto"/>
        <w:ind w:firstLine="420" w:firstLineChars="200"/>
        <w:rPr>
          <w:bCs/>
        </w:rPr>
      </w:pPr>
      <w:r>
        <w:rPr>
          <w:rFonts w:hint="eastAsia"/>
          <w:bCs/>
        </w:rPr>
        <w:t>4、乙方不能提供销售产品的资质文件，或提供虚假文件的，甲方有权终止合同。</w:t>
      </w:r>
    </w:p>
    <w:p>
      <w:pPr>
        <w:snapToGrid w:val="0"/>
        <w:spacing w:line="360" w:lineRule="auto"/>
        <w:ind w:firstLine="422" w:firstLineChars="200"/>
        <w:outlineLvl w:val="0"/>
        <w:rPr>
          <w:b/>
          <w:bCs/>
        </w:rPr>
      </w:pPr>
      <w:bookmarkStart w:id="272" w:name="_Toc31815"/>
      <w:bookmarkStart w:id="273" w:name="_Toc4329"/>
      <w:bookmarkStart w:id="274" w:name="_Toc23273"/>
      <w:bookmarkStart w:id="275" w:name="_Toc100233002"/>
      <w:bookmarkStart w:id="276" w:name="_Toc82440804"/>
      <w:bookmarkStart w:id="277" w:name="_Toc100233094"/>
      <w:bookmarkStart w:id="278" w:name="_Toc28784"/>
      <w:r>
        <w:rPr>
          <w:rFonts w:hint="eastAsia"/>
          <w:b/>
          <w:bCs/>
        </w:rPr>
        <w:t>十、争议的解决</w:t>
      </w:r>
      <w:bookmarkEnd w:id="272"/>
      <w:bookmarkEnd w:id="273"/>
      <w:bookmarkEnd w:id="274"/>
      <w:bookmarkEnd w:id="275"/>
      <w:bookmarkEnd w:id="276"/>
      <w:bookmarkEnd w:id="277"/>
      <w:bookmarkEnd w:id="278"/>
    </w:p>
    <w:p>
      <w:pPr>
        <w:spacing w:line="360" w:lineRule="auto"/>
        <w:ind w:firstLine="630" w:firstLineChars="300"/>
        <w:rPr>
          <w:bCs/>
        </w:rPr>
      </w:pPr>
      <w:r>
        <w:rPr>
          <w:rFonts w:hint="eastAsia"/>
          <w:bCs/>
        </w:rPr>
        <w:t>因合同引起的或与本合同有关的任何争议，由双方当事人协商解决，协商或调解不成，任何一方均可向甲方所在地人民法院起诉解决。</w:t>
      </w:r>
    </w:p>
    <w:p>
      <w:pPr>
        <w:spacing w:line="360" w:lineRule="auto"/>
        <w:ind w:firstLine="422" w:firstLineChars="200"/>
        <w:outlineLvl w:val="0"/>
      </w:pPr>
      <w:bookmarkStart w:id="279" w:name="_Toc1395"/>
      <w:bookmarkStart w:id="280" w:name="_Toc23536"/>
      <w:bookmarkStart w:id="281" w:name="_Toc12784"/>
      <w:bookmarkStart w:id="282" w:name="_Toc100233003"/>
      <w:bookmarkStart w:id="283" w:name="_Toc23795"/>
      <w:bookmarkStart w:id="284" w:name="_Toc82440805"/>
      <w:bookmarkStart w:id="285" w:name="_Toc100233095"/>
      <w:r>
        <w:rPr>
          <w:rFonts w:hint="eastAsia"/>
          <w:b/>
        </w:rPr>
        <w:t>十一、合同生效</w:t>
      </w:r>
      <w:r>
        <w:rPr>
          <w:rFonts w:hint="eastAsia"/>
        </w:rPr>
        <w:t>：</w:t>
      </w:r>
      <w:bookmarkEnd w:id="279"/>
      <w:bookmarkEnd w:id="280"/>
      <w:bookmarkEnd w:id="281"/>
      <w:bookmarkEnd w:id="282"/>
      <w:bookmarkEnd w:id="283"/>
      <w:bookmarkEnd w:id="284"/>
      <w:bookmarkEnd w:id="285"/>
    </w:p>
    <w:p>
      <w:pPr>
        <w:spacing w:line="360" w:lineRule="auto"/>
        <w:ind w:firstLine="420" w:firstLineChars="200"/>
      </w:pPr>
      <w:r>
        <w:rPr>
          <w:rFonts w:hint="eastAsia"/>
        </w:rPr>
        <w:t>1.本合同一式五份，甲方三份、乙方二份；</w:t>
      </w:r>
    </w:p>
    <w:p>
      <w:pPr>
        <w:spacing w:line="360" w:lineRule="auto"/>
        <w:ind w:firstLine="420" w:firstLineChars="200"/>
      </w:pPr>
      <w:r>
        <w:rPr>
          <w:rFonts w:hint="eastAsia"/>
        </w:rPr>
        <w:t>2.本合同修改须经双方书面认可；</w:t>
      </w:r>
    </w:p>
    <w:p>
      <w:pPr>
        <w:spacing w:line="360" w:lineRule="auto"/>
        <w:ind w:left="1050" w:leftChars="200" w:hanging="630" w:hangingChars="300"/>
      </w:pPr>
      <w:r>
        <w:rPr>
          <w:rFonts w:hint="eastAsia"/>
        </w:rPr>
        <w:t>3.本合同经双方代表签字、盖章后生效。</w:t>
      </w:r>
    </w:p>
    <w:p>
      <w:pPr>
        <w:spacing w:line="360" w:lineRule="auto"/>
        <w:ind w:firstLine="420" w:firstLineChars="200"/>
      </w:pPr>
      <w:r>
        <w:rPr>
          <w:rFonts w:hint="eastAsia"/>
        </w:rPr>
        <w:t>4.本协议有效期24个月。（如在合同执行期间，政府有相关医用耗材新政策出台，医院有相应产品的招标事项，本协议自行终止）</w:t>
      </w:r>
    </w:p>
    <w:p>
      <w:pPr>
        <w:spacing w:line="360" w:lineRule="auto"/>
        <w:ind w:firstLine="420" w:firstLineChars="200"/>
      </w:pPr>
      <w:r>
        <w:rPr>
          <w:rFonts w:hint="eastAsia"/>
        </w:rPr>
        <w:t>5.如政府或上级主管部门对所涉及的供货品种重新招标并确定了新的供应商，则本协议自动终止。</w:t>
      </w:r>
    </w:p>
    <w:p>
      <w:pPr>
        <w:snapToGrid w:val="0"/>
        <w:spacing w:line="360" w:lineRule="auto"/>
      </w:pPr>
      <w:r>
        <w:t xml:space="preserve">甲方（盖章）：                      </w:t>
      </w:r>
      <w:r>
        <w:rPr>
          <w:rFonts w:hint="eastAsia"/>
        </w:rPr>
        <w:t xml:space="preserve">        </w:t>
      </w:r>
      <w:r>
        <w:t xml:space="preserve"> 乙方（盖章）：</w:t>
      </w:r>
    </w:p>
    <w:p>
      <w:pPr>
        <w:pStyle w:val="25"/>
        <w:snapToGrid w:val="0"/>
        <w:spacing w:line="360" w:lineRule="auto"/>
        <w:ind w:firstLine="482" w:firstLineChars="200"/>
        <w:rPr>
          <w:rFonts w:ascii="Times New Roman" w:hAnsi="Times New Roman"/>
          <w:b/>
          <w:bCs/>
          <w:sz w:val="24"/>
          <w:szCs w:val="24"/>
        </w:rPr>
      </w:pPr>
    </w:p>
    <w:p>
      <w:pPr>
        <w:pStyle w:val="25"/>
        <w:snapToGrid w:val="0"/>
        <w:spacing w:line="360" w:lineRule="auto"/>
        <w:ind w:firstLine="482"/>
        <w:rPr>
          <w:rFonts w:ascii="Times New Roman" w:hAnsi="Times New Roman"/>
          <w:b/>
          <w:bCs/>
          <w:sz w:val="24"/>
          <w:szCs w:val="24"/>
        </w:rPr>
      </w:pPr>
    </w:p>
    <w:p>
      <w:pPr>
        <w:pStyle w:val="25"/>
        <w:snapToGrid w:val="0"/>
        <w:spacing w:line="360" w:lineRule="auto"/>
        <w:ind w:firstLine="482"/>
        <w:rPr>
          <w:rFonts w:ascii="Times New Roman" w:hAnsi="Times New Roman"/>
          <w:b/>
          <w:bCs/>
          <w:sz w:val="24"/>
          <w:szCs w:val="24"/>
        </w:rPr>
      </w:pPr>
    </w:p>
    <w:p>
      <w:pPr>
        <w:pStyle w:val="25"/>
        <w:snapToGrid w:val="0"/>
        <w:spacing w:line="360" w:lineRule="auto"/>
        <w:ind w:firstLine="482"/>
        <w:rPr>
          <w:rFonts w:ascii="Times New Roman" w:hAnsi="Times New Roman"/>
          <w:b/>
          <w:bCs/>
          <w:sz w:val="24"/>
          <w:szCs w:val="24"/>
        </w:rPr>
      </w:pPr>
      <w:r>
        <w:rPr>
          <w:rFonts w:ascii="Times New Roman" w:hAnsi="Times New Roman"/>
          <w:b/>
          <w:bCs/>
          <w:sz w:val="24"/>
          <w:szCs w:val="24"/>
        </w:rPr>
        <w:t>法人代表：                                  法人代表：</w:t>
      </w:r>
    </w:p>
    <w:p>
      <w:pPr>
        <w:pStyle w:val="25"/>
        <w:snapToGrid w:val="0"/>
        <w:spacing w:line="360" w:lineRule="auto"/>
        <w:ind w:firstLine="482"/>
        <w:rPr>
          <w:rFonts w:ascii="Times New Roman" w:hAnsi="Times New Roman"/>
          <w:b/>
          <w:bCs/>
          <w:sz w:val="24"/>
          <w:szCs w:val="24"/>
        </w:rPr>
      </w:pPr>
    </w:p>
    <w:p>
      <w:pPr>
        <w:pStyle w:val="25"/>
        <w:snapToGrid w:val="0"/>
        <w:spacing w:line="360" w:lineRule="auto"/>
        <w:ind w:firstLine="482"/>
        <w:rPr>
          <w:rFonts w:ascii="Times New Roman" w:hAnsi="Times New Roman"/>
          <w:b/>
          <w:bCs/>
          <w:sz w:val="24"/>
          <w:szCs w:val="24"/>
        </w:rPr>
      </w:pPr>
      <w:r>
        <w:rPr>
          <w:rFonts w:ascii="Times New Roman" w:hAnsi="Times New Roman"/>
          <w:b/>
          <w:bCs/>
          <w:sz w:val="24"/>
          <w:szCs w:val="24"/>
        </w:rPr>
        <w:t>日期：                                      日期：</w:t>
      </w:r>
    </w:p>
    <w:p>
      <w:pPr>
        <w:pStyle w:val="21"/>
        <w:tabs>
          <w:tab w:val="left" w:pos="540"/>
        </w:tabs>
        <w:spacing w:line="400" w:lineRule="exact"/>
        <w:rPr>
          <w:rFonts w:ascii="Times New Roman" w:hAnsi="Times New Roman"/>
        </w:rPr>
      </w:pPr>
      <w:bookmarkStart w:id="286" w:name="_Toc9829"/>
      <w:bookmarkStart w:id="287" w:name="_Toc20275"/>
      <w:r>
        <w:rPr>
          <w:rFonts w:hint="eastAsia"/>
        </w:rPr>
        <w:t>注：最终合同以实际签订为准。</w:t>
      </w:r>
      <w:bookmarkEnd w:id="210"/>
      <w:bookmarkEnd w:id="286"/>
      <w:bookmarkEnd w:id="287"/>
    </w:p>
    <w:p>
      <w:pPr>
        <w:pStyle w:val="79"/>
        <w:snapToGrid w:val="0"/>
        <w:spacing w:after="120" w:afterLines="50"/>
        <w:rPr>
          <w:rFonts w:ascii="Times New Roman" w:hAnsi="Times New Roman" w:cs="Times New Roman"/>
          <w:sz w:val="24"/>
          <w:szCs w:val="24"/>
        </w:rPr>
      </w:pPr>
    </w:p>
    <w:p>
      <w:pPr>
        <w:widowControl/>
        <w:jc w:val="left"/>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88" w:name="_Toc12898"/>
      <w:bookmarkStart w:id="289" w:name="_Toc26370"/>
      <w:bookmarkStart w:id="290" w:name="_Toc5432"/>
      <w:r>
        <w:rPr>
          <w:rFonts w:eastAsia="黑体"/>
          <w:kern w:val="0"/>
          <w:sz w:val="32"/>
          <w:szCs w:val="32"/>
        </w:rPr>
        <w:t>第五章 采购需求</w:t>
      </w:r>
      <w:bookmarkEnd w:id="288"/>
      <w:bookmarkEnd w:id="289"/>
      <w:bookmarkEnd w:id="290"/>
    </w:p>
    <w:p>
      <w:pPr>
        <w:pStyle w:val="4"/>
        <w:numPr>
          <w:ilvl w:val="0"/>
          <w:numId w:val="12"/>
        </w:numPr>
        <w:spacing w:before="120" w:after="120"/>
        <w:ind w:left="2" w:leftChars="0" w:hanging="2" w:firstLineChars="0"/>
        <w:rPr>
          <w:rFonts w:ascii="Times New Roman" w:hAnsi="Times New Roman"/>
          <w:sz w:val="24"/>
          <w:szCs w:val="24"/>
        </w:rPr>
      </w:pPr>
      <w:bookmarkStart w:id="291" w:name="_Toc12542"/>
      <w:bookmarkStart w:id="292" w:name="_Toc1195"/>
      <w:r>
        <w:rPr>
          <w:rFonts w:hint="eastAsia" w:ascii="Times New Roman" w:hAnsi="Times New Roman"/>
          <w:sz w:val="24"/>
          <w:szCs w:val="24"/>
        </w:rPr>
        <w:t>投标产品质量要求:</w:t>
      </w:r>
      <w:bookmarkEnd w:id="291"/>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投标产品实际品牌、规格型号、生产厂家、质量必须与投标函内所投产品描述一致。</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highlight w:val="none"/>
          <w:shd w:val="clear" w:color="auto" w:fill="FFFFFF"/>
        </w:rPr>
        <w:t>1</w:t>
      </w:r>
      <w:r>
        <w:rPr>
          <w:rFonts w:hint="eastAsia" w:ascii="Times New Roman" w:hAnsi="Times New Roman" w:eastAsia="宋体" w:cs="Times New Roman"/>
          <w:sz w:val="24"/>
          <w:szCs w:val="24"/>
          <w:highlight w:val="none"/>
          <w:shd w:val="clear" w:color="auto" w:fill="FFFFFF"/>
        </w:rPr>
        <w:t>.</w:t>
      </w:r>
      <w:r>
        <w:rPr>
          <w:rFonts w:ascii="Times New Roman" w:hAnsi="Times New Roman" w:eastAsia="宋体" w:cs="Times New Roman"/>
          <w:sz w:val="24"/>
          <w:szCs w:val="24"/>
          <w:highlight w:val="none"/>
          <w:shd w:val="clear" w:color="auto" w:fill="FFFFFF"/>
        </w:rPr>
        <w:t>3</w:t>
      </w:r>
      <w:r>
        <w:rPr>
          <w:rFonts w:hint="eastAsia" w:ascii="Times New Roman" w:hAnsi="Times New Roman" w:eastAsia="宋体" w:cs="Times New Roman"/>
          <w:sz w:val="24"/>
          <w:szCs w:val="24"/>
          <w:highlight w:val="none"/>
          <w:shd w:val="clear" w:color="auto" w:fill="FFFFFF"/>
        </w:rPr>
        <w:t>保质期（有效期）不足半年的禁止入库（特殊情况除外），在院</w:t>
      </w:r>
      <w:r>
        <w:rPr>
          <w:rFonts w:hint="eastAsia" w:ascii="Times New Roman" w:hAnsi="Times New Roman" w:eastAsia="宋体" w:cs="Times New Roman"/>
          <w:sz w:val="24"/>
          <w:szCs w:val="24"/>
          <w:shd w:val="clear" w:color="auto" w:fill="FFFFFF"/>
        </w:rPr>
        <w:t>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rPr>
        <w:t>投标人必须提供投标人及产品的有效资质证明文件，具备该行业国家规定必备的资质、资格。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12"/>
        </w:numPr>
        <w:spacing w:before="120" w:after="120"/>
        <w:ind w:left="2" w:leftChars="0" w:hanging="2" w:firstLineChars="0"/>
        <w:rPr>
          <w:rFonts w:ascii="Times New Roman" w:hAnsi="Times New Roman"/>
          <w:sz w:val="24"/>
          <w:szCs w:val="24"/>
        </w:rPr>
      </w:pPr>
      <w:bookmarkStart w:id="293" w:name="_Toc17023"/>
      <w:r>
        <w:rPr>
          <w:rFonts w:hint="eastAsia" w:ascii="Times New Roman" w:hAnsi="Times New Roman"/>
          <w:sz w:val="24"/>
          <w:szCs w:val="24"/>
        </w:rPr>
        <w:t>供货周期及供货量</w:t>
      </w:r>
      <w:bookmarkEnd w:id="293"/>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中标人自公布中标结果之日起成为院方中标供应商；</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中标供应商自签订中标合同五个工作日后，按院方要求供货24个月；</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中标人必须保证在合同有效期内24个月的供货。</w:t>
      </w:r>
    </w:p>
    <w:p>
      <w:pPr>
        <w:pStyle w:val="4"/>
        <w:numPr>
          <w:ilvl w:val="0"/>
          <w:numId w:val="12"/>
        </w:numPr>
        <w:spacing w:before="120" w:after="120"/>
        <w:ind w:left="2" w:leftChars="0" w:hanging="2" w:firstLineChars="0"/>
        <w:rPr>
          <w:rFonts w:ascii="Times New Roman" w:hAnsi="Times New Roman"/>
          <w:sz w:val="24"/>
          <w:szCs w:val="24"/>
        </w:rPr>
      </w:pPr>
      <w:bookmarkStart w:id="294" w:name="_Toc2000"/>
      <w:r>
        <w:rPr>
          <w:rFonts w:hint="eastAsia" w:ascii="Times New Roman" w:hAnsi="Times New Roman"/>
          <w:sz w:val="24"/>
          <w:szCs w:val="24"/>
        </w:rPr>
        <w:t>其他要求</w:t>
      </w:r>
      <w:bookmarkEnd w:id="294"/>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合同期限内，国家对医用耗材有相关法律法规有另行规定的，双方按法律法规协商执行。</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431"/>
        <w:spacing w:line="360" w:lineRule="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备注：</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（1）开标一览表不得更改格式。</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（2）投标人需对所投分包中所有项进行报价，不得缺项漏项。如果报价不符合要求则为无效投标，不得自行更改格式及文本信息。</w:t>
      </w:r>
    </w:p>
    <w:p>
      <w:pPr>
        <w:pStyle w:val="431"/>
        <w:spacing w:line="360" w:lineRule="auto"/>
        <w:ind w:firstLine="482" w:firstLineChars="200"/>
        <w:jc w:val="both"/>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pPr>
        <w:pStyle w:val="19"/>
        <w:ind w:firstLine="480" w:firstLineChars="200"/>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p>
    <w:p>
      <w:pPr>
        <w:pStyle w:val="4"/>
        <w:numPr>
          <w:ilvl w:val="0"/>
          <w:numId w:val="12"/>
        </w:numPr>
        <w:spacing w:before="120" w:after="120"/>
        <w:ind w:left="2" w:leftChars="0" w:hanging="2" w:firstLineChars="0"/>
        <w:rPr>
          <w:rFonts w:ascii="Times New Roman" w:hAnsi="Times New Roman"/>
          <w:sz w:val="24"/>
          <w:szCs w:val="24"/>
        </w:rPr>
      </w:pPr>
      <w:bookmarkStart w:id="295" w:name="_Toc12756"/>
      <w:bookmarkStart w:id="296" w:name="_Toc98232230"/>
      <w:r>
        <w:rPr>
          <w:rFonts w:ascii="Times New Roman" w:hAnsi="Times New Roman"/>
          <w:sz w:val="24"/>
          <w:szCs w:val="24"/>
        </w:rPr>
        <w:t>商务要求</w:t>
      </w:r>
      <w:bookmarkEnd w:id="295"/>
      <w:bookmarkEnd w:id="296"/>
    </w:p>
    <w:p>
      <w:pPr>
        <w:pStyle w:val="19"/>
        <w:ind w:firstLine="482" w:firstLineChars="200"/>
        <w:rPr>
          <w:sz w:val="24"/>
        </w:rPr>
      </w:pPr>
      <w:r>
        <w:rPr>
          <w:b/>
          <w:bCs/>
          <w:sz w:val="24"/>
        </w:rPr>
        <w:t>4</w:t>
      </w:r>
      <w:r>
        <w:rPr>
          <w:rFonts w:hint="eastAsia"/>
          <w:b/>
          <w:bCs/>
          <w:sz w:val="24"/>
        </w:rPr>
        <w:t>.</w:t>
      </w:r>
      <w:r>
        <w:rPr>
          <w:b/>
          <w:bCs/>
          <w:sz w:val="24"/>
        </w:rPr>
        <w:t>1投标报价：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19"/>
        <w:ind w:firstLine="482" w:firstLineChars="200"/>
        <w:rPr>
          <w:b/>
          <w:bCs/>
          <w:sz w:val="24"/>
        </w:rPr>
      </w:pPr>
      <w:r>
        <w:rPr>
          <w:b/>
          <w:bCs/>
          <w:sz w:val="24"/>
        </w:rPr>
        <w:t>4</w:t>
      </w:r>
      <w:r>
        <w:rPr>
          <w:rFonts w:hint="eastAsia"/>
          <w:b/>
          <w:bCs/>
          <w:sz w:val="24"/>
        </w:rPr>
        <w:t>.</w:t>
      </w:r>
      <w:r>
        <w:rPr>
          <w:b/>
          <w:bCs/>
          <w:sz w:val="24"/>
        </w:rPr>
        <w:t>2付款方式：</w:t>
      </w:r>
      <w:r>
        <w:rPr>
          <w:bCs/>
          <w:kern w:val="0"/>
          <w:sz w:val="24"/>
        </w:rPr>
        <w:t>最终付款方式以和</w:t>
      </w:r>
      <w:r>
        <w:rPr>
          <w:rFonts w:hint="eastAsia"/>
          <w:bCs/>
          <w:kern w:val="0"/>
          <w:sz w:val="24"/>
        </w:rPr>
        <w:t>采购人</w:t>
      </w:r>
      <w:r>
        <w:rPr>
          <w:bCs/>
          <w:kern w:val="0"/>
          <w:sz w:val="24"/>
        </w:rPr>
        <w:t>签订合同为准。</w:t>
      </w:r>
    </w:p>
    <w:p>
      <w:pPr>
        <w:pStyle w:val="19"/>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sz w:val="24"/>
        </w:rPr>
        <w:t>供货商接到采购人供货通知时，必须第一时间安排送货，急救或紧急情况下使用的配送不应超过4小时，一般品种的配送不应超过24小时</w:t>
      </w:r>
      <w:r>
        <w:rPr>
          <w:sz w:val="24"/>
        </w:rPr>
        <w:t>。</w:t>
      </w:r>
    </w:p>
    <w:p>
      <w:pPr>
        <w:pStyle w:val="19"/>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新疆维吾尔自治区人民医院，最终按甲方指定地点验收、交货</w:t>
      </w:r>
      <w:r>
        <w:rPr>
          <w:sz w:val="24"/>
        </w:rPr>
        <w:t>。</w:t>
      </w:r>
    </w:p>
    <w:p>
      <w:pPr>
        <w:pStyle w:val="19"/>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19"/>
        <w:ind w:firstLine="482" w:firstLineChars="200"/>
        <w:rPr>
          <w:sz w:val="24"/>
        </w:rPr>
      </w:pPr>
      <w:bookmarkStart w:id="297" w:name="_Hlk86920487"/>
      <w:r>
        <w:rPr>
          <w:b/>
          <w:bCs/>
          <w:sz w:val="24"/>
        </w:rPr>
        <w:t>4</w:t>
      </w:r>
      <w:r>
        <w:rPr>
          <w:rFonts w:hint="eastAsia"/>
          <w:b/>
          <w:bCs/>
          <w:sz w:val="24"/>
        </w:rPr>
        <w:t>.</w:t>
      </w:r>
      <w:r>
        <w:rPr>
          <w:b/>
          <w:bCs/>
          <w:sz w:val="24"/>
        </w:rPr>
        <w:t>6验收标准：</w:t>
      </w:r>
      <w:r>
        <w:rPr>
          <w:sz w:val="24"/>
        </w:rPr>
        <w:t>按新疆维吾尔自治区人民医院验收标准规定的程序及要求组织实施验收。</w:t>
      </w:r>
    </w:p>
    <w:p>
      <w:pPr>
        <w:pStyle w:val="19"/>
        <w:ind w:firstLine="480" w:firstLineChars="200"/>
        <w:rPr>
          <w:b/>
          <w:bCs/>
          <w:sz w:val="24"/>
        </w:rPr>
      </w:pPr>
      <w:r>
        <w:rPr>
          <w:sz w:val="24"/>
        </w:rPr>
        <w:t>货物到达后，甲乙双方均须在场并确认包装的完好性后，由甲方验货。并对货物进行清点验收，共同签字确认。如验收不合格，乙方应退货，预缴押金的要全额退还，一切损失由乙方承担。</w:t>
      </w:r>
    </w:p>
    <w:p>
      <w:pPr>
        <w:pStyle w:val="19"/>
        <w:ind w:firstLine="480" w:firstLineChars="200"/>
        <w:rPr>
          <w:sz w:val="24"/>
        </w:rPr>
      </w:pPr>
      <w:r>
        <w:rPr>
          <w:sz w:val="24"/>
        </w:rPr>
        <w:t>乙方所供货物的技术标准应符合国家相关部门最新颁布的相应标准,确保所供产品必须是最新、最成熟、性能最完善的产品。</w:t>
      </w:r>
    </w:p>
    <w:p>
      <w:pPr>
        <w:pStyle w:val="19"/>
        <w:ind w:firstLine="480" w:firstLineChars="200"/>
        <w:rPr>
          <w:sz w:val="24"/>
        </w:rPr>
      </w:pPr>
      <w:r>
        <w:rPr>
          <w:sz w:val="24"/>
        </w:rPr>
        <w:t>交货时，乙方必须提供产品检验合格证书、装箱单、产品安装使用说明书、维修指南、服务手册等资料。</w:t>
      </w:r>
    </w:p>
    <w:p>
      <w:pPr>
        <w:pStyle w:val="19"/>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库存及运输要求：需要冷冻、冷藏保管的产品应保存在相关低温环境内，并经常检查温度。提供运输设备清单（含运输车辆、冷藏设备等）。其他产品按产品要求存放在适宜温度环境内</w:t>
      </w:r>
      <w:r>
        <w:rPr>
          <w:sz w:val="24"/>
        </w:rPr>
        <w:t>。</w:t>
      </w:r>
    </w:p>
    <w:bookmarkEnd w:id="297"/>
    <w:p>
      <w:pPr>
        <w:pStyle w:val="19"/>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19"/>
        <w:ind w:firstLine="482" w:firstLineChars="200"/>
        <w:rPr>
          <w:sz w:val="24"/>
        </w:rPr>
      </w:pPr>
      <w:bookmarkStart w:id="298" w:name="_Toc87614578"/>
      <w:bookmarkStart w:id="299" w:name="_Toc98232231"/>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2"/>
        </w:numPr>
        <w:spacing w:before="120" w:after="120"/>
        <w:ind w:left="0" w:leftChars="-1" w:hanging="2"/>
        <w:rPr>
          <w:rFonts w:ascii="Times New Roman" w:hAnsi="Times New Roman"/>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numPr>
          <w:ilvl w:val="0"/>
          <w:numId w:val="12"/>
        </w:numPr>
        <w:spacing w:before="120" w:after="120"/>
        <w:ind w:left="2" w:leftChars="0" w:hanging="2" w:firstLineChars="0"/>
        <w:rPr>
          <w:rFonts w:ascii="Times New Roman" w:hAnsi="Times New Roman"/>
          <w:sz w:val="24"/>
          <w:szCs w:val="24"/>
        </w:rPr>
      </w:pPr>
      <w:bookmarkStart w:id="300" w:name="_Toc17889"/>
      <w:r>
        <w:rPr>
          <w:rFonts w:ascii="Times New Roman" w:hAnsi="Times New Roman"/>
          <w:sz w:val="24"/>
          <w:szCs w:val="24"/>
        </w:rPr>
        <w:t>技术参数要求</w:t>
      </w:r>
      <w:bookmarkEnd w:id="300"/>
    </w:p>
    <w:p>
      <w:pPr>
        <w:pStyle w:val="2"/>
        <w:spacing w:before="0" w:after="0" w:line="360" w:lineRule="auto"/>
        <w:rPr>
          <w:sz w:val="24"/>
          <w:szCs w:val="24"/>
        </w:rPr>
      </w:pPr>
      <w:bookmarkStart w:id="301" w:name="_Toc19332"/>
      <w:r>
        <w:rPr>
          <w:sz w:val="24"/>
          <w:szCs w:val="24"/>
        </w:rPr>
        <w:t>标项一</w:t>
      </w:r>
      <w:bookmarkEnd w:id="301"/>
    </w:p>
    <w:p>
      <w:pPr>
        <w:pStyle w:val="37"/>
        <w:widowControl/>
        <w:spacing w:beforeAutospacing="0" w:afterAutospacing="0" w:line="360" w:lineRule="auto"/>
        <w:jc w:val="both"/>
        <w:rPr>
          <w:shd w:val="clear" w:color="auto" w:fill="FFFFFF"/>
        </w:rPr>
      </w:pPr>
      <w:r>
        <w:rPr>
          <w:shd w:val="clear" w:color="auto" w:fill="FFFFFF"/>
        </w:rPr>
        <w:t>标项名</w:t>
      </w:r>
      <w:r>
        <w:rPr>
          <w:rFonts w:ascii="Times New Roman" w:hAnsi="Times New Roman" w:eastAsia="宋体" w:cs="Times New Roman"/>
          <w:shd w:val="clear" w:color="auto" w:fill="FFFFFF"/>
        </w:rPr>
        <w:t>称：</w:t>
      </w:r>
      <w:r>
        <w:rPr>
          <w:rFonts w:hint="eastAsia" w:cs="Times New Roman"/>
          <w:shd w:val="clear" w:color="auto" w:fill="FFFFFF"/>
          <w:lang w:val="en-US" w:eastAsia="zh-CN"/>
        </w:rPr>
        <w:t>麻醉科耗材</w:t>
      </w:r>
    </w:p>
    <w:tbl>
      <w:tblPr>
        <w:tblStyle w:val="40"/>
        <w:tblW w:w="8394" w:type="dxa"/>
        <w:jc w:val="center"/>
        <w:tblLayout w:type="fixed"/>
        <w:tblCellMar>
          <w:top w:w="0" w:type="dxa"/>
          <w:left w:w="108" w:type="dxa"/>
          <w:bottom w:w="0" w:type="dxa"/>
          <w:right w:w="108" w:type="dxa"/>
        </w:tblCellMar>
      </w:tblPr>
      <w:tblGrid>
        <w:gridCol w:w="484"/>
        <w:gridCol w:w="776"/>
        <w:gridCol w:w="1464"/>
        <w:gridCol w:w="427"/>
        <w:gridCol w:w="3040"/>
        <w:gridCol w:w="1360"/>
        <w:gridCol w:w="843"/>
      </w:tblGrid>
      <w:tr>
        <w:tblPrEx>
          <w:tblCellMar>
            <w:top w:w="0" w:type="dxa"/>
            <w:left w:w="108" w:type="dxa"/>
            <w:bottom w:w="0" w:type="dxa"/>
            <w:right w:w="108" w:type="dxa"/>
          </w:tblCellMar>
        </w:tblPrEx>
        <w:trPr>
          <w:trHeight w:val="1216" w:hRule="atLeast"/>
          <w:tblHeader/>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rPr>
              <w:t>序号</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  名称</w:t>
            </w:r>
          </w:p>
        </w:tc>
        <w:tc>
          <w:tcPr>
            <w:tcW w:w="146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eastAsia" w:ascii="Arial" w:hAnsi="Arial" w:cs="Arial"/>
                <w:b/>
                <w:bCs/>
                <w:kern w:val="0"/>
                <w:sz w:val="21"/>
                <w:szCs w:val="21"/>
                <w:lang w:val="en-US" w:eastAsia="zh-CN" w:bidi="ar-SA"/>
              </w:rPr>
              <w:t>型号</w:t>
            </w:r>
          </w:p>
        </w:tc>
        <w:tc>
          <w:tcPr>
            <w:tcW w:w="42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单位</w:t>
            </w:r>
          </w:p>
        </w:tc>
        <w:tc>
          <w:tcPr>
            <w:tcW w:w="304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产品性能结构及组成</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bidi="ar-SA"/>
              </w:rPr>
            </w:pPr>
            <w:r>
              <w:rPr>
                <w:rFonts w:hint="default" w:ascii="Arial" w:hAnsi="Arial" w:cs="Arial"/>
                <w:b/>
                <w:bCs/>
                <w:kern w:val="0"/>
                <w:sz w:val="21"/>
                <w:szCs w:val="21"/>
                <w:lang w:bidi="ar"/>
              </w:rPr>
              <w:t>注册证适用范围</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rPr>
            </w:pPr>
            <w:r>
              <w:rPr>
                <w:rFonts w:hint="default" w:ascii="Arial" w:hAnsi="Arial" w:cs="Arial"/>
                <w:b/>
                <w:bCs/>
                <w:kern w:val="0"/>
                <w:sz w:val="21"/>
                <w:szCs w:val="21"/>
                <w:lang w:bidi="ar"/>
              </w:rPr>
              <w:t>最高限制单价（元）</w:t>
            </w:r>
          </w:p>
        </w:tc>
      </w:tr>
      <w:tr>
        <w:tblPrEx>
          <w:tblCellMar>
            <w:top w:w="0" w:type="dxa"/>
            <w:left w:w="108" w:type="dxa"/>
            <w:bottom w:w="0" w:type="dxa"/>
            <w:right w:w="108" w:type="dxa"/>
          </w:tblCellMar>
        </w:tblPrEx>
        <w:trPr>
          <w:trHeight w:val="264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rPr>
            </w:pPr>
            <w:r>
              <w:rPr>
                <w:rFonts w:hint="default" w:ascii="Arial" w:hAnsi="Arial" w:eastAsia="宋体" w:cs="Arial"/>
                <w:kern w:val="0"/>
                <w:sz w:val="21"/>
                <w:szCs w:val="21"/>
              </w:rPr>
              <w:t>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AS-E：硬膜外穿刺针、药液过滤器、硬膜外麻醉导管、导管接头、选配配置：空气过滤器、一次性使用低阻力注射器/玻璃注射器、一次性使用无菌注射器、一次性使用无菌注射针、负压管、消毒液刷、医用输液贴、橡胶医用手套、医用纱布、治疗巾、手术巾、导管固定垫、干棉球。</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AS-E：临床用于对人体做硬脊膜外神经阻滞麻醉方法进行穿刺、注射药物；</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417"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由基本配置一次性使用麻醉用针-硬膜外穿刺针、一次性使用麻醉用针-腰椎穿刺针Ⅱ型、一次性使用麻醉用过滤器-药液过滤器、一次性使用加强硬膜外麻醉导管、导管接头和选配配置：空气过滤器、一次性使用玻璃注射器/一次性使用低阻力注射器、一次性使用无菌注射器、一次性使用无菌注射针、负压管、消毒液刷、医用输液贴、橡胶医用手套、医用纱布、治疗巾、手术巾、尖锐物收集器、适配器、导管固定垫、一次性使用配药针、医用透气胶带、医用棉球组成。包内所有配置均不含药物及消杀成分，橡胶医用手套为无粉型。全部基本配置和选配配置所用原材料详见产品技术要求。本产品经环氧乙烷灭菌。</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临床用于对人体做硬脊膜外腔和 蛛网膜下腔联合麻醉时进行穿刺、注射药物.</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260</w:t>
            </w:r>
          </w:p>
        </w:tc>
      </w:tr>
      <w:tr>
        <w:tblPrEx>
          <w:tblCellMar>
            <w:top w:w="0" w:type="dxa"/>
            <w:left w:w="108" w:type="dxa"/>
            <w:bottom w:w="0" w:type="dxa"/>
            <w:right w:w="108" w:type="dxa"/>
          </w:tblCellMar>
        </w:tblPrEx>
        <w:trPr>
          <w:trHeight w:val="237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3</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一次性使用腰硬联合麻醉穿刺套件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由基本配置一次性使用麻醉用针-硬膜外穿刺针、一次性使用麻醉用针-腰椎穿刺针Ⅱ型、一次性使用麻醉用过滤器-药液过滤器、一次性使用硬膜外麻醉导管、导管接头和选配配置空气过滤器、一次性使用低阻力注射器/玻璃注射器、一次性使用无菌注射器、一次性使用无菌注射针、负压管、直型消毒液刷、医用输液贴、橡胶医用手套、医用纱布、手术巾、导管固定垫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临床用于对人体做硬脊膜外腔和 蛛网膜下腔联合麻醉时进行穿刺、注射药物.</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37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cs="Arial"/>
                <w:kern w:val="0"/>
                <w:sz w:val="21"/>
                <w:szCs w:val="21"/>
                <w:lang w:val="en-US" w:eastAsia="zh-CN"/>
              </w:rPr>
              <w:t>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普通型 2.0  2.5  3.0  3.5  4.0  4.5  5.0  5.5  6.0  6.5  7.0  7.5  8.0  8.5  9.0  9.5  10.0  10.5  11.0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普通型气管插管、导芯、一次性使用咬口、体外吸引连接管、呼吸道用吸引导管、一次性使用口咽通道、口垫、一次性使用溶药注射器、一次性使用灭菌橡胶外科手套、医用脱脂纱布块、医用胶带、润滑棉球、一次性使用视频喉镜片、气管插管固定器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适用于手术时需实施气管插管进行机械通气的患者</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cs="Arial"/>
                <w:kern w:val="0"/>
                <w:sz w:val="21"/>
                <w:szCs w:val="21"/>
                <w:lang w:val="en-US" w:eastAsia="zh-CN"/>
              </w:rPr>
              <w:t>5</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加强型 2.0  2.5  3.0  3.5  4.0  4.5  5.0  5.5  6.0  6.5  7.0  7.5  8.0  8.5  9.0  9.5  10.0  10.5  11.0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加强型气管插管、导芯、一次性使用咬口、体外吸引连接管、呼吸道用吸引导管、一次性使用口咽通道、口垫、一次性使用溶药注射器、一次性使用灭菌橡胶外科手套、医用脱脂纱布块、医用胶带、润滑棉球、一次性使用视频喉镜片、气管插管固定器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适用于手术时需实施气管插管进行机械通气的患者</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170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2-5F-13cm、2-5F-16cm、2-5F-20cm、2-7F-16cm、2-7F-20cm、2-7F-30cm、2-8F-16cm、2-8F-20cm、2-8F-30cm</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基本配置中心静脉导管、导引导丝、扩张器、穿刺针及选配配置带线缝合针、橡胶医用手套、消毒液刷、医用纱布、手术巾、治疗巾、一次性使用无菌注射器、一次性使用无菌注射针、破皮刀、蝶形夹、医用输液贴、术后贴膜、止流夹、肝素帽。一次性使用，环氧乙烷灭菌，货架有效期2年。</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适用于静脉输液、静脉测压、静脉营养治疗中使用。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7</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3-5.5F-13cm、3-5.5F-16cm、3-5.5F-20cm；3-7F-16cm、3-7F-20cm、3-7F-30cm</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基本配置中心静脉导管、导引导丝、扩张器、穿刺针及选配配置带线缝合针、橡胶医用手套、消毒液刷、医用纱布、手术巾、治疗巾、一次性使用无菌注射器、一次性使用无菌注射针、破皮刀、蝶形夹、医用输液贴、术后贴膜、止流夹、肝素帽。一次性使用，环氧乙烷灭菌，货架有效期2年。</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适用于静脉输液、静脉测压、静脉营养治疗中使用。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151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8</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气管插管</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型号：有套囊型、无套囊型、有套囊软头端型、无套囊软头端型；规格：2.0、2.5、3.0、3.5、4.0、4.5、5.0、5.5、6.0、6.5、7.0、7.5、8.0、8.5、9.0、9.5、10.0、10.5、11.0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气管插管由基本配置和选配配置组成；有套囊型气管插管基本配置为管体、套囊、充气装置、接头，充气装置由充气管、指示球囊、单向阀组成，选配配置为导芯；无套囊型气管插管基本配置为管体、接头，选配配置为导芯；有套囊软头端型气管插管基本配置为管体、软头端、套囊、充气装置、接头，充气装置由充气管、指示球囊、单向阀组成，选配配置为导芯；无套囊软头端型气管插管基本配置为管体、软头端、接头，选配配置为导芯。</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适用于临床人体建立临时呼吸通道时使用。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9</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加强型气管插管</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型号：PVC套囊型、TPU套囊型、无套囊型；规格：2.0、2.5、3.0、3.5、4.0、4.5、5.0、5.5、6.0、6.5、7.0、7.5、8.0、8.5、9.0、9.5、10.0、10.5、11.0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PVC套囊型和TPU套囊型气管插管由不锈钢丝管体、套囊、接头、充气装置、导芯组成，充气装置由单向阀、指示球囊、充气管组成；无套囊型气管插管由不锈钢丝管体、接头、导芯组成。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本产品适用于临床人工建立临时呼吸通道时使用。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食道引流Ⅰ型分为1.0、1.5、2.0、2.5、3.0、4.0、5.0；食道引流Ⅱ型分为3.0、4.0、5.0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食道引流Ⅰ型喉罩由气囊、连接件、通气管、充气管、指示球囊、接头、充气阀、弹簧、食道引流管、导芯（选配）组成；食道引流Ⅱ型喉罩由气囊、主体管、通气管、食道引流管、充气管、指示球囊、充气阀、接头、弹簧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供全麻或心肺人工复苏建立短期人工气道用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280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多功能喉罩</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型号：Ⅰ型、Ⅱ型、Ⅲ型 规格：Ⅰ型分为1.0、1.5、2.0、2.5、3.0、4.0、5.0； Ⅱ型分为3.0、4.0、5.0； Ⅲ型分为3.0、4.0、5.0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Ⅰ型喉罩由气囊、主体管、充气管、接头、指示球囊、充气阀、气管插管导向装置、喉罩置换芯、固定带组成。 Ⅱ型喉罩由气囊、连接件、主体管、三通接头、接头、护帽、排气装置、充气阀、指示球囊、充气管、气管插管导向装置、喉罩置换芯、固定带组成。 Ⅲ型喉罩由气囊、主体管、接头组成。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适用于打开并密封上喉部，在进行自主、辅助或控制通气时，在患者体内提供一个气体通道，同时具备对食道和胃内容物的引流作用并且在需要时能经喉罩完成气管插管</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型号：普通型、1.0、1.5、2.0、2.5、3.0、4.0、5.0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普通型喉罩由气囊、连接件、通气管、充气管、指示球囊、接头、充气阀组成。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供全麻或心肺人工复苏建立短期人工气道用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13</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 xml:space="preserve">充气式Ⅰ型面罩：0#、1#、2#、3#、4#、5# 充气式Ⅱ型面罩：0#、1#、2#、3#、4#、5# 充气式Ⅲ型面罩：1#、2#、3#、4#、5# 充气式IV型面罩：3#、4#、5#  </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充气式Ⅰ型面罩、充气式Ⅱ型面罩、充气式Ⅲ型面罩、充气式Ⅳ型面罩由罩体、接口、气囊、单向阀、挂钩、固定带(可选配)组成；拢边式面罩由罩体、密封垫、接口组成；脱卸式面罩由罩体、密封垫、接口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临床麻醉时使用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 xml:space="preserve"> 插管式I型面罩：3#、4#、5#  插管式II型面罩：3#、4#、5# </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插管式Ⅰ型面罩由罩体、气囊、密封盖、单向阀、挂钩、波纹管、接头、固定带组成；插管式Ⅱ型面罩由罩体、气囊、密封盖、牙垫、单向阀、挂钩、波纹管、接头、固定带组成。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临床麻醉时使用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15</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一次性使用麻醉呼吸管路组件</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普通标准型、加强筋标准型、可伸缩标准型  规格：成人、小儿</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普通标准型、加强筋标准型、可伸缩标准型呼吸管路组件由基本配置双管呼吸管路和选配配置单管、麻醉面罩、气囊接头、机械式粉尘过滤器、一次性使用湿热交换过滤器组成;其中双管呼吸管路由转换接头、护帽、Y形件、管路、机器端接头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与麻醉机、呼吸机、潮化机、喷雾器等设备配套使用。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一次性穿刺针</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穿刺针由针座、游标、针管、衬芯座、衬芯及护套组成。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本产品用于人体（不包括腰椎、血管、脑室）进行穿刺，以注射药物与气体等或作为其他器械进入体内的通道。</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220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17</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一次性使用泵用输液管</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型号：II型、III型、III-J型规格：10cm、30cm、50cm、100cm、120cm、150cm、180cm、200cm</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II型和III型：由保护帽 、外接头 、过滤器 、短管 、并联接头 、集成管 、排管束 、止流夹、内接头、端帽组成。III-J型：由保护帽、外接头、过滤器 、短管、并联接头、集成管、排管束、止流夹、内接头、端帽、加药管组成。保护帽、过滤器外壳、并联接头和端帽的原材料为丙烯腈-丁二烯-苯乙烯共聚物；过滤器膜的原材料为聚丙烯；外接头和内接头的原材料为聚碳酸酯；排管束的原材料为聚乙烯；止流夹的原材料为聚甲醛；短管、集成管和加药管的原材料为聚氯乙烯（增塑剂TOTM）。本产品经环氧乙烷灭菌，无菌、无热原。</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产品适用于供临床作多种药液同时输注时使用，可与压力设备配合使用，最高压力值为200kPa。</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18</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一次性使用便携式输注泵非电驱动</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本产品由单向阀加药装置、弹力贮液装置、药液过滤器、限流装置、自控给液装置（可没有）、管路和外圆锥接头组成。型号：</w:t>
            </w:r>
            <w:r>
              <w:rPr>
                <w:rFonts w:hint="default" w:ascii="Times New Roman" w:hAnsi="Times New Roman" w:eastAsia="宋体" w:cs="Times New Roman"/>
                <w:i w:val="0"/>
                <w:iCs w:val="0"/>
                <w:color w:val="000000"/>
                <w:kern w:val="0"/>
                <w:sz w:val="20"/>
                <w:szCs w:val="20"/>
                <w:u w:val="none"/>
                <w:lang w:val="en-US" w:eastAsia="zh-CN" w:bidi="ar"/>
              </w:rPr>
              <w:t>CBI</w:t>
            </w: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CBI+PCA</w:t>
            </w:r>
            <w:r>
              <w:rPr>
                <w:rFonts w:hint="eastAsia" w:ascii="Times New Roman" w:hAnsi="Times New Roman" w:eastAsia="宋体" w:cs="宋体"/>
                <w:i w:val="0"/>
                <w:iCs w:val="0"/>
                <w:color w:val="000000"/>
                <w:kern w:val="0"/>
                <w:sz w:val="20"/>
                <w:szCs w:val="20"/>
                <w:u w:val="none"/>
                <w:lang w:val="en-US" w:eastAsia="zh-CN" w:bidi="ar"/>
              </w:rPr>
              <w:t>；标称容量：</w:t>
            </w:r>
            <w:r>
              <w:rPr>
                <w:rFonts w:hint="default" w:ascii="Times New Roman" w:hAnsi="Times New Roman" w:eastAsia="宋体" w:cs="Times New Roman"/>
                <w:i w:val="0"/>
                <w:iCs w:val="0"/>
                <w:color w:val="000000"/>
                <w:kern w:val="0"/>
                <w:sz w:val="20"/>
                <w:szCs w:val="20"/>
                <w:u w:val="none"/>
                <w:lang w:val="en-US" w:eastAsia="zh-CN" w:bidi="ar"/>
              </w:rPr>
              <w:t>60/100/150/200/275/300ml</w:t>
            </w:r>
            <w:r>
              <w:rPr>
                <w:rFonts w:hint="eastAsia" w:ascii="Times New Roman" w:hAnsi="Times New Roman" w:eastAsia="宋体" w:cs="宋体"/>
                <w:i w:val="0"/>
                <w:iCs w:val="0"/>
                <w:color w:val="000000"/>
                <w:kern w:val="0"/>
                <w:sz w:val="20"/>
                <w:szCs w:val="20"/>
                <w:u w:val="none"/>
                <w:lang w:val="en-US" w:eastAsia="zh-CN" w:bidi="ar"/>
              </w:rPr>
              <w:t>；标称流速：</w:t>
            </w:r>
            <w:r>
              <w:rPr>
                <w:rFonts w:hint="default" w:ascii="Times New Roman" w:hAnsi="Times New Roman" w:eastAsia="宋体" w:cs="Times New Roman"/>
                <w:i w:val="0"/>
                <w:iCs w:val="0"/>
                <w:color w:val="000000"/>
                <w:kern w:val="0"/>
                <w:sz w:val="20"/>
                <w:szCs w:val="20"/>
                <w:u w:val="none"/>
                <w:lang w:val="en-US" w:eastAsia="zh-CN" w:bidi="ar"/>
              </w:rPr>
              <w:t>1/2/3/4/5/6/8/10/12/15/18/20ml/h</w:t>
            </w:r>
            <w:r>
              <w:rPr>
                <w:rFonts w:hint="eastAsia" w:ascii="Times New Roman" w:hAnsi="Times New Roman" w:eastAsia="宋体" w:cs="宋体"/>
                <w:i w:val="0"/>
                <w:iCs w:val="0"/>
                <w:color w:val="000000"/>
                <w:kern w:val="0"/>
                <w:sz w:val="20"/>
                <w:szCs w:val="20"/>
                <w:u w:val="none"/>
                <w:lang w:val="en-US" w:eastAsia="zh-CN" w:bidi="ar"/>
              </w:rPr>
              <w:t>，标称自控给液再充装时间：</w:t>
            </w:r>
            <w:r>
              <w:rPr>
                <w:rFonts w:hint="default" w:ascii="Times New Roman" w:hAnsi="Times New Roman" w:eastAsia="宋体" w:cs="Times New Roman"/>
                <w:i w:val="0"/>
                <w:iCs w:val="0"/>
                <w:color w:val="000000"/>
                <w:kern w:val="0"/>
                <w:sz w:val="20"/>
                <w:szCs w:val="20"/>
                <w:u w:val="none"/>
                <w:lang w:val="en-US" w:eastAsia="zh-CN" w:bidi="ar"/>
              </w:rPr>
              <w:t>10/15min</w:t>
            </w:r>
            <w:r>
              <w:rPr>
                <w:rFonts w:hint="eastAsia" w:ascii="Times New Roman" w:hAnsi="Times New Roman" w:eastAsia="宋体" w:cs="宋体"/>
                <w:i w:val="0"/>
                <w:iCs w:val="0"/>
                <w:color w:val="000000"/>
                <w:kern w:val="0"/>
                <w:sz w:val="20"/>
                <w:szCs w:val="20"/>
                <w:u w:val="none"/>
                <w:lang w:val="en-US" w:eastAsia="zh-CN" w:bidi="ar"/>
              </w:rPr>
              <w:t>；标称自控给液量：</w:t>
            </w:r>
            <w:r>
              <w:rPr>
                <w:rFonts w:hint="default" w:ascii="Times New Roman" w:hAnsi="Times New Roman" w:eastAsia="宋体" w:cs="Times New Roman"/>
                <w:i w:val="0"/>
                <w:iCs w:val="0"/>
                <w:color w:val="000000"/>
                <w:kern w:val="0"/>
                <w:sz w:val="20"/>
                <w:szCs w:val="20"/>
                <w:u w:val="none"/>
                <w:lang w:val="en-US" w:eastAsia="zh-CN" w:bidi="ar"/>
              </w:rPr>
              <w:t>0.5ml</w:t>
            </w: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1ml</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本产品临床用于术后注入镇痛药物</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210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19</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钙石灰</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4.5kg</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桶</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品A型产品为有变色指示剂粉红色颗粒，吸收二氧化碳后变为灰白色，B型产品为加有指示剂的白色颗粒，吸收二氧化碳后变为紫色.用于封闭式麻醉时吸收二氧化碳。也可用于其他防酸性气体的面具口罩内，吸收CO</w:t>
            </w:r>
            <w:r>
              <w:rPr>
                <w:rFonts w:hint="eastAsia" w:ascii="Times New Roman" w:hAnsi="Times New Roman" w:eastAsia="宋体" w:cs="宋体"/>
                <w:i w:val="0"/>
                <w:iCs w:val="0"/>
                <w:color w:val="000000"/>
                <w:kern w:val="0"/>
                <w:sz w:val="20"/>
                <w:szCs w:val="20"/>
                <w:u w:val="none"/>
                <w:vertAlign w:val="subscript"/>
                <w:lang w:val="en-US" w:eastAsia="zh-CN" w:bidi="ar"/>
              </w:rPr>
              <w:t>2</w:t>
            </w:r>
            <w:r>
              <w:rPr>
                <w:rFonts w:hint="eastAsia" w:ascii="Times New Roman" w:hAnsi="Times New Roman" w:eastAsia="宋体" w:cs="宋体"/>
                <w:i w:val="0"/>
                <w:iCs w:val="0"/>
                <w:color w:val="000000"/>
                <w:kern w:val="0"/>
                <w:sz w:val="20"/>
                <w:szCs w:val="20"/>
                <w:u w:val="none"/>
                <w:lang w:val="en-US" w:eastAsia="zh-CN" w:bidi="ar"/>
              </w:rPr>
              <w:t>和水分。以用其他工业生产中防酸防潮使用。</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本产品为二氧化碳吸收剂，用于吸收麻醉呼吸回路中病人呼出的二氧化碳。</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一次性使用支气管堵塞器</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普通型规格：Fr9-650、Fr7-650、Fr5-500</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堵塞器由插管套、套囊、支气管堵塞导管、气管插管接口、呼吸回路接口、盖帽、纤维镜插孔、堵塞导管三通、带帽导管座、单向阀、指示气囊、充气管、固定夹连接件、固定夹、关节式连接器上盖、关节式连接器下盖、球囊保护壳组成。</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用于需要单肺通气的手术中，插入患者的支气管内，达到阻断左肺气道或右肺气道的目的。</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1580</w:t>
            </w:r>
          </w:p>
        </w:tc>
      </w:tr>
      <w:tr>
        <w:tblPrEx>
          <w:tblCellMar>
            <w:top w:w="0" w:type="dxa"/>
            <w:left w:w="108" w:type="dxa"/>
            <w:bottom w:w="0" w:type="dxa"/>
            <w:right w:w="108" w:type="dxa"/>
          </w:tblCellMar>
        </w:tblPrEx>
        <w:trPr>
          <w:trHeight w:val="348"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p>
        </w:tc>
        <w:tc>
          <w:tcPr>
            <w:tcW w:w="70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r>
              <w:rPr>
                <w:rFonts w:hint="default" w:ascii="Arial" w:hAnsi="Arial" w:eastAsia="宋体" w:cs="Arial"/>
                <w:b/>
                <w:bCs/>
                <w:i w:val="0"/>
                <w:iCs w:val="0"/>
                <w:color w:val="auto"/>
                <w:kern w:val="0"/>
                <w:sz w:val="21"/>
                <w:szCs w:val="21"/>
                <w:u w:val="none"/>
                <w:lang w:val="en-US" w:eastAsia="zh-CN" w:bidi="ar"/>
              </w:rPr>
              <w:t>标项一单价合计金额</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cs="Arial"/>
                <w:b/>
                <w:bCs/>
                <w:i w:val="0"/>
                <w:iCs w:val="0"/>
                <w:color w:val="auto"/>
                <w:kern w:val="0"/>
                <w:sz w:val="21"/>
                <w:szCs w:val="21"/>
                <w:u w:val="none"/>
                <w:lang w:val="en-US" w:eastAsia="zh-CN" w:bidi="ar"/>
              </w:rPr>
              <w:t>4</w:t>
            </w:r>
            <w:r>
              <w:rPr>
                <w:rFonts w:hint="default" w:ascii="Arial" w:hAnsi="Arial" w:eastAsia="宋体" w:cs="Arial"/>
                <w:b/>
                <w:bCs/>
                <w:i w:val="0"/>
                <w:iCs w:val="0"/>
                <w:color w:val="auto"/>
                <w:kern w:val="0"/>
                <w:sz w:val="21"/>
                <w:szCs w:val="21"/>
                <w:u w:val="none"/>
                <w:lang w:val="en-US" w:eastAsia="zh-CN" w:bidi="ar"/>
              </w:rPr>
              <w:t>,</w:t>
            </w:r>
            <w:r>
              <w:rPr>
                <w:rFonts w:hint="eastAsia" w:ascii="Arial" w:hAnsi="Arial" w:cs="Arial"/>
                <w:b/>
                <w:bCs/>
                <w:i w:val="0"/>
                <w:iCs w:val="0"/>
                <w:color w:val="auto"/>
                <w:kern w:val="0"/>
                <w:sz w:val="21"/>
                <w:szCs w:val="21"/>
                <w:u w:val="none"/>
                <w:lang w:val="en-US" w:eastAsia="zh-CN" w:bidi="ar"/>
              </w:rPr>
              <w:t>495</w:t>
            </w:r>
            <w:r>
              <w:rPr>
                <w:rFonts w:hint="eastAsia" w:ascii="Arial" w:hAnsi="Arial" w:eastAsia="宋体" w:cs="Arial"/>
                <w:b/>
                <w:bCs/>
                <w:i w:val="0"/>
                <w:iCs w:val="0"/>
                <w:color w:val="auto"/>
                <w:kern w:val="0"/>
                <w:sz w:val="21"/>
                <w:szCs w:val="21"/>
                <w:u w:val="none"/>
                <w:lang w:val="en-US" w:eastAsia="zh-CN" w:bidi="ar"/>
              </w:rPr>
              <w:t>.00</w:t>
            </w:r>
          </w:p>
        </w:tc>
      </w:tr>
    </w:tbl>
    <w:p>
      <w:pPr>
        <w:rPr>
          <w:sz w:val="24"/>
          <w:szCs w:val="24"/>
        </w:rPr>
      </w:pPr>
      <w:r>
        <w:rPr>
          <w:sz w:val="24"/>
          <w:szCs w:val="24"/>
        </w:rPr>
        <w:br w:type="page"/>
      </w:r>
    </w:p>
    <w:p>
      <w:pPr>
        <w:pStyle w:val="2"/>
        <w:spacing w:before="0" w:after="0" w:line="360" w:lineRule="auto"/>
        <w:rPr>
          <w:rFonts w:hint="eastAsia" w:eastAsia="宋体"/>
          <w:sz w:val="24"/>
          <w:szCs w:val="24"/>
          <w:lang w:eastAsia="zh-CN"/>
        </w:rPr>
      </w:pPr>
      <w:bookmarkStart w:id="302" w:name="_Toc15207"/>
      <w:r>
        <w:rPr>
          <w:sz w:val="24"/>
          <w:szCs w:val="24"/>
        </w:rPr>
        <w:t>标项</w:t>
      </w:r>
      <w:r>
        <w:rPr>
          <w:rFonts w:hint="eastAsia"/>
          <w:sz w:val="24"/>
          <w:szCs w:val="24"/>
          <w:lang w:val="en-US" w:eastAsia="zh-CN"/>
        </w:rPr>
        <w:t>二</w:t>
      </w:r>
      <w:bookmarkEnd w:id="302"/>
    </w:p>
    <w:p>
      <w:pPr>
        <w:pStyle w:val="37"/>
        <w:widowControl/>
        <w:spacing w:beforeAutospacing="0" w:afterAutospacing="0" w:line="360" w:lineRule="auto"/>
        <w:jc w:val="both"/>
        <w:rPr>
          <w:shd w:val="clear" w:color="auto" w:fill="FFFFFF"/>
        </w:rPr>
      </w:pPr>
      <w:r>
        <w:rPr>
          <w:shd w:val="clear" w:color="auto" w:fill="FFFFFF"/>
        </w:rPr>
        <w:t>标项名</w:t>
      </w:r>
      <w:r>
        <w:rPr>
          <w:rFonts w:ascii="Times New Roman" w:hAnsi="Times New Roman" w:eastAsia="宋体" w:cs="Times New Roman"/>
          <w:shd w:val="clear" w:color="auto" w:fill="FFFFFF"/>
        </w:rPr>
        <w:t>称</w:t>
      </w:r>
      <w:r>
        <w:rPr>
          <w:rFonts w:hint="eastAsia" w:ascii="Times New Roman" w:hAnsi="Times New Roman" w:eastAsia="宋体" w:cs="Times New Roman"/>
          <w:shd w:val="clear" w:color="auto" w:fill="FFFFFF"/>
          <w:lang w:val="en-US" w:eastAsia="zh-CN"/>
        </w:rPr>
        <w:t>：</w:t>
      </w:r>
      <w:r>
        <w:rPr>
          <w:rFonts w:hint="eastAsia" w:cs="Times New Roman"/>
          <w:shd w:val="clear" w:color="auto" w:fill="FFFFFF"/>
          <w:lang w:val="en-US" w:eastAsia="zh-CN"/>
        </w:rPr>
        <w:t>微创外科耗材</w:t>
      </w:r>
    </w:p>
    <w:tbl>
      <w:tblPr>
        <w:tblStyle w:val="40"/>
        <w:tblW w:w="8394" w:type="dxa"/>
        <w:jc w:val="center"/>
        <w:tblLayout w:type="fixed"/>
        <w:tblCellMar>
          <w:top w:w="0" w:type="dxa"/>
          <w:left w:w="108" w:type="dxa"/>
          <w:bottom w:w="0" w:type="dxa"/>
          <w:right w:w="108" w:type="dxa"/>
        </w:tblCellMar>
      </w:tblPr>
      <w:tblGrid>
        <w:gridCol w:w="484"/>
        <w:gridCol w:w="1147"/>
        <w:gridCol w:w="1000"/>
        <w:gridCol w:w="520"/>
        <w:gridCol w:w="2613"/>
        <w:gridCol w:w="1787"/>
        <w:gridCol w:w="843"/>
      </w:tblGrid>
      <w:tr>
        <w:tblPrEx>
          <w:tblCellMar>
            <w:top w:w="0" w:type="dxa"/>
            <w:left w:w="108" w:type="dxa"/>
            <w:bottom w:w="0" w:type="dxa"/>
            <w:right w:w="108" w:type="dxa"/>
          </w:tblCellMar>
        </w:tblPrEx>
        <w:trPr>
          <w:trHeight w:val="1216" w:hRule="atLeast"/>
          <w:tblHeader/>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rPr>
              <w:t>序号</w:t>
            </w: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 xml:space="preserve">产品 </w:t>
            </w:r>
          </w:p>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名称</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eastAsia" w:ascii="Arial" w:hAnsi="Arial" w:cs="Arial"/>
                <w:b/>
                <w:bCs/>
                <w:kern w:val="0"/>
                <w:sz w:val="21"/>
                <w:szCs w:val="21"/>
                <w:lang w:val="en-US" w:eastAsia="zh-CN" w:bidi="ar-SA"/>
              </w:rPr>
              <w:t>型号</w:t>
            </w:r>
          </w:p>
        </w:tc>
        <w:tc>
          <w:tcPr>
            <w:tcW w:w="52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单位</w:t>
            </w:r>
          </w:p>
        </w:tc>
        <w:tc>
          <w:tcPr>
            <w:tcW w:w="261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产品性能结构及组成</w:t>
            </w:r>
          </w:p>
        </w:tc>
        <w:tc>
          <w:tcPr>
            <w:tcW w:w="178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bidi="ar-SA"/>
              </w:rPr>
            </w:pPr>
            <w:r>
              <w:rPr>
                <w:rFonts w:hint="default" w:ascii="Arial" w:hAnsi="Arial" w:cs="Arial"/>
                <w:b/>
                <w:bCs/>
                <w:kern w:val="0"/>
                <w:sz w:val="21"/>
                <w:szCs w:val="21"/>
                <w:lang w:bidi="ar"/>
              </w:rPr>
              <w:t>注册证适用范围</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rPr>
            </w:pPr>
            <w:r>
              <w:rPr>
                <w:rFonts w:hint="default" w:ascii="Arial" w:hAnsi="Arial" w:cs="Arial"/>
                <w:b/>
                <w:bCs/>
                <w:kern w:val="0"/>
                <w:sz w:val="21"/>
                <w:szCs w:val="21"/>
                <w:lang w:bidi="ar"/>
              </w:rPr>
              <w:t>最高限制单价（元）</w:t>
            </w:r>
          </w:p>
        </w:tc>
      </w:tr>
      <w:tr>
        <w:tblPrEx>
          <w:tblCellMar>
            <w:top w:w="0" w:type="dxa"/>
            <w:left w:w="108" w:type="dxa"/>
            <w:bottom w:w="0" w:type="dxa"/>
            <w:right w:w="108" w:type="dxa"/>
          </w:tblCellMar>
        </w:tblPrEx>
        <w:trPr>
          <w:trHeight w:val="1501"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rPr>
            </w:pPr>
            <w:r>
              <w:rPr>
                <w:rFonts w:hint="default" w:ascii="Arial" w:hAnsi="Arial" w:eastAsia="宋体" w:cs="Arial"/>
                <w:kern w:val="0"/>
                <w:sz w:val="21"/>
                <w:szCs w:val="21"/>
              </w:rPr>
              <w:t>1</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一次性双极电凝切割钳</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把</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产品由一次性双极电凝切割钳组成。灭菌方式为环氧乙烷灭菌，使用方式为一次性使用。</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本产品与高频手术设备互连使用，主要用于在内窥镜手术中作切割、电凝止血。</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1080</w:t>
            </w:r>
          </w:p>
        </w:tc>
      </w:tr>
      <w:tr>
        <w:tblPrEx>
          <w:tblCellMar>
            <w:top w:w="0" w:type="dxa"/>
            <w:left w:w="108" w:type="dxa"/>
            <w:bottom w:w="0" w:type="dxa"/>
            <w:right w:w="108" w:type="dxa"/>
          </w:tblCellMar>
        </w:tblPrEx>
        <w:trPr>
          <w:trHeight w:val="175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eastAsia" w:ascii="Arial" w:hAnsi="Arial" w:cs="Arial"/>
                <w:kern w:val="0"/>
                <w:sz w:val="21"/>
                <w:szCs w:val="21"/>
                <w:lang w:val="en-US" w:eastAsia="zh-CN"/>
              </w:rPr>
              <w:t>2</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一次性电凝切割器</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把</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产品由一次性双极电凝切割电极组成。灭菌方式为环氧乙烷灭菌，使用方式为一次性使用。</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本产品与高频手术设备互连使用，主要用于在内窥镜手术中作切割</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1332</w:t>
            </w:r>
          </w:p>
        </w:tc>
      </w:tr>
      <w:tr>
        <w:tblPrEx>
          <w:tblCellMar>
            <w:top w:w="0" w:type="dxa"/>
            <w:left w:w="108" w:type="dxa"/>
            <w:bottom w:w="0" w:type="dxa"/>
            <w:right w:w="108" w:type="dxa"/>
          </w:tblCellMar>
        </w:tblPrEx>
        <w:trPr>
          <w:trHeight w:val="237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eastAsia" w:ascii="Arial" w:hAnsi="Arial" w:cs="Arial"/>
                <w:kern w:val="0"/>
                <w:sz w:val="21"/>
                <w:szCs w:val="21"/>
                <w:lang w:val="en-US" w:eastAsia="zh-CN"/>
              </w:rPr>
              <w:t>3</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连发钛夹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把</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单发钛夹、连发钛夹和连发钛夹钳组成。单发钛夹和连发钛夹为一次性使用，经环氧乙烷灭菌，货架有效期3年。连发钛夹钳以非无菌状态提供，可重复使用，货架有效期5年。钛夹由符合GB/T13810的TA1G制造，连发钛夹钳由不锈钢、聚苯硫醚(PPS)材料制造。</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产品用于腹腔镜和普通外科手术下血管、胆管、胰管和其它管状结构的闭合和结扎。</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1242</w:t>
            </w:r>
          </w:p>
        </w:tc>
      </w:tr>
      <w:tr>
        <w:tblPrEx>
          <w:tblCellMar>
            <w:top w:w="0" w:type="dxa"/>
            <w:left w:w="108" w:type="dxa"/>
            <w:bottom w:w="0" w:type="dxa"/>
            <w:right w:w="108" w:type="dxa"/>
          </w:tblCellMar>
        </w:tblPrEx>
        <w:trPr>
          <w:trHeight w:val="1151"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eastAsia" w:ascii="Arial" w:hAnsi="Arial" w:cs="Arial"/>
                <w:kern w:val="0"/>
                <w:sz w:val="21"/>
                <w:szCs w:val="21"/>
                <w:lang w:val="en-US" w:eastAsia="zh-CN"/>
              </w:rPr>
              <w:t>4</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一次性使用内窥镜标本取物袋</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只</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IV型取物袋由袋体（纳物袋）、密封套和密封带组成。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产品适用于临床微创手术收集标本并取出体外使用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810</w:t>
            </w:r>
          </w:p>
        </w:tc>
      </w:tr>
      <w:tr>
        <w:tblPrEx>
          <w:tblCellMar>
            <w:top w:w="0" w:type="dxa"/>
            <w:left w:w="108" w:type="dxa"/>
            <w:bottom w:w="0" w:type="dxa"/>
            <w:right w:w="108" w:type="dxa"/>
          </w:tblCellMar>
        </w:tblPrEx>
        <w:trPr>
          <w:trHeight w:val="124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5</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中大号（各型号）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枚</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结扎夹采用聚氧亚甲基材料（acetl homopolymer）注塑而成。采用环氧乙烷灭菌。一次性使用</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一次性结扎夹主要用于手术中结扎血管和胆囊管</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88.2</w:t>
            </w:r>
          </w:p>
        </w:tc>
      </w:tr>
      <w:tr>
        <w:tblPrEx>
          <w:tblCellMar>
            <w:top w:w="0" w:type="dxa"/>
            <w:left w:w="108" w:type="dxa"/>
            <w:bottom w:w="0" w:type="dxa"/>
            <w:right w:w="108" w:type="dxa"/>
          </w:tblCellMar>
        </w:tblPrEx>
        <w:trPr>
          <w:trHeight w:val="116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6</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大号（各型号）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枚</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结扎夹采用聚氧亚甲基材料（acetl homopolymer）注塑而成。采用环氧乙烷灭菌。一次性使用</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一次性结扎夹主要用于手术中结扎血管和胆囊管</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88.2</w:t>
            </w:r>
          </w:p>
        </w:tc>
      </w:tr>
      <w:tr>
        <w:tblPrEx>
          <w:tblCellMar>
            <w:top w:w="0" w:type="dxa"/>
            <w:left w:w="108" w:type="dxa"/>
            <w:bottom w:w="0" w:type="dxa"/>
            <w:right w:w="108" w:type="dxa"/>
          </w:tblCellMar>
        </w:tblPrEx>
        <w:trPr>
          <w:trHeight w:val="137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7</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加大号（各型号）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枚</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结扎夹采用聚氧亚甲基材料（acetl homopolymer）注塑而成。采用环氧乙烷灭菌。一次性使用</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一次性结扎夹主要用于手术中结扎血管和胆囊管</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97.2</w:t>
            </w:r>
          </w:p>
        </w:tc>
      </w:tr>
      <w:tr>
        <w:tblPrEx>
          <w:tblCellMar>
            <w:top w:w="0" w:type="dxa"/>
            <w:left w:w="108" w:type="dxa"/>
            <w:bottom w:w="0" w:type="dxa"/>
            <w:right w:w="108" w:type="dxa"/>
          </w:tblCellMar>
        </w:tblPrEx>
        <w:trPr>
          <w:trHeight w:val="127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8</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I型单支装（各型号）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522</w:t>
            </w:r>
          </w:p>
        </w:tc>
      </w:tr>
      <w:tr>
        <w:tblPrEx>
          <w:tblCellMar>
            <w:top w:w="0" w:type="dxa"/>
            <w:left w:w="108" w:type="dxa"/>
            <w:bottom w:w="0" w:type="dxa"/>
            <w:right w:w="108" w:type="dxa"/>
          </w:tblCellMar>
        </w:tblPrEx>
        <w:trPr>
          <w:trHeight w:val="125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9</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I型三件套（各型号）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954</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I型四件套（各型号）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1125</w:t>
            </w:r>
          </w:p>
        </w:tc>
      </w:tr>
      <w:tr>
        <w:tblPrEx>
          <w:tblCellMar>
            <w:top w:w="0" w:type="dxa"/>
            <w:left w:w="108" w:type="dxa"/>
            <w:bottom w:w="0" w:type="dxa"/>
            <w:right w:w="108" w:type="dxa"/>
          </w:tblCellMar>
        </w:tblPrEx>
        <w:trPr>
          <w:trHeight w:val="157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11</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II型单支装（各型号）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522</w:t>
            </w:r>
          </w:p>
        </w:tc>
      </w:tr>
      <w:tr>
        <w:tblPrEx>
          <w:tblCellMar>
            <w:top w:w="0" w:type="dxa"/>
            <w:left w:w="108" w:type="dxa"/>
            <w:bottom w:w="0" w:type="dxa"/>
            <w:right w:w="108" w:type="dxa"/>
          </w:tblCellMar>
        </w:tblPrEx>
        <w:trPr>
          <w:trHeight w:val="135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12</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II型三件套（各型号）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954</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13</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II型四件套（各型号）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1125</w:t>
            </w:r>
          </w:p>
        </w:tc>
      </w:tr>
      <w:tr>
        <w:tblPrEx>
          <w:tblCellMar>
            <w:top w:w="0" w:type="dxa"/>
            <w:left w:w="108" w:type="dxa"/>
            <w:bottom w:w="0" w:type="dxa"/>
            <w:right w:w="108" w:type="dxa"/>
          </w:tblCellMar>
        </w:tblPrEx>
        <w:trPr>
          <w:trHeight w:val="158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14</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III型单支装（各型号）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522</w:t>
            </w:r>
          </w:p>
        </w:tc>
      </w:tr>
      <w:tr>
        <w:tblPrEx>
          <w:tblCellMar>
            <w:top w:w="0" w:type="dxa"/>
            <w:left w:w="108" w:type="dxa"/>
            <w:bottom w:w="0" w:type="dxa"/>
            <w:right w:w="108" w:type="dxa"/>
          </w:tblCellMar>
        </w:tblPrEx>
        <w:trPr>
          <w:trHeight w:val="148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15</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III型三件套（各型号）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954</w:t>
            </w:r>
          </w:p>
        </w:tc>
      </w:tr>
      <w:tr>
        <w:tblPrEx>
          <w:tblCellMar>
            <w:top w:w="0" w:type="dxa"/>
            <w:left w:w="108" w:type="dxa"/>
            <w:bottom w:w="0" w:type="dxa"/>
            <w:right w:w="108" w:type="dxa"/>
          </w:tblCellMar>
        </w:tblPrEx>
        <w:trPr>
          <w:trHeight w:val="140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16</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III型四件套（各型号）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1125</w:t>
            </w:r>
          </w:p>
        </w:tc>
      </w:tr>
      <w:tr>
        <w:tblPrEx>
          <w:tblCellMar>
            <w:top w:w="0" w:type="dxa"/>
            <w:left w:w="108" w:type="dxa"/>
            <w:bottom w:w="0" w:type="dxa"/>
            <w:right w:w="108" w:type="dxa"/>
          </w:tblCellMar>
        </w:tblPrEx>
        <w:trPr>
          <w:trHeight w:val="160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17</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IV型单支装（各型号）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702</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18</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IV型三件套（各型号）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1134</w:t>
            </w:r>
          </w:p>
        </w:tc>
      </w:tr>
      <w:tr>
        <w:tblPrEx>
          <w:tblCellMar>
            <w:top w:w="0" w:type="dxa"/>
            <w:left w:w="108" w:type="dxa"/>
            <w:bottom w:w="0" w:type="dxa"/>
            <w:right w:w="108" w:type="dxa"/>
          </w:tblCellMar>
        </w:tblPrEx>
        <w:trPr>
          <w:trHeight w:val="160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19</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IV型四件套（各型号）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1404</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V型单支装（各型号）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954</w:t>
            </w:r>
          </w:p>
        </w:tc>
      </w:tr>
      <w:tr>
        <w:tblPrEx>
          <w:tblCellMar>
            <w:top w:w="0" w:type="dxa"/>
            <w:left w:w="108" w:type="dxa"/>
            <w:bottom w:w="0" w:type="dxa"/>
            <w:right w:w="108" w:type="dxa"/>
          </w:tblCellMar>
        </w:tblPrEx>
        <w:trPr>
          <w:trHeight w:val="154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21</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V型三件套（各型号）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1422</w:t>
            </w:r>
          </w:p>
        </w:tc>
      </w:tr>
      <w:tr>
        <w:tblPrEx>
          <w:tblCellMar>
            <w:top w:w="0" w:type="dxa"/>
            <w:left w:w="108" w:type="dxa"/>
            <w:bottom w:w="0" w:type="dxa"/>
            <w:right w:w="108" w:type="dxa"/>
          </w:tblCellMar>
        </w:tblPrEx>
        <w:trPr>
          <w:trHeight w:val="159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22</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V型四件套（各型号）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1512</w:t>
            </w:r>
          </w:p>
        </w:tc>
      </w:tr>
      <w:tr>
        <w:tblPrEx>
          <w:tblCellMar>
            <w:top w:w="0" w:type="dxa"/>
            <w:left w:w="108" w:type="dxa"/>
            <w:bottom w:w="0" w:type="dxa"/>
            <w:right w:w="108" w:type="dxa"/>
          </w:tblCellMar>
        </w:tblPrEx>
        <w:trPr>
          <w:trHeight w:val="155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23</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单孔型（各型号）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产品由穿刺套管和穿刺针组成，辅助组件有气腹针、标本袋、转换器、密封体。</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产品供腔镜手术穿刺体壁后作为内窥镜和手术器械进出体内的通道，并可向体内输送CO2气体用。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2952</w:t>
            </w:r>
          </w:p>
        </w:tc>
      </w:tr>
      <w:tr>
        <w:tblPrEx>
          <w:tblCellMar>
            <w:top w:w="0" w:type="dxa"/>
            <w:left w:w="108" w:type="dxa"/>
            <w:bottom w:w="0" w:type="dxa"/>
            <w:right w:w="108" w:type="dxa"/>
          </w:tblCellMar>
        </w:tblPrEx>
        <w:trPr>
          <w:trHeight w:val="135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24</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I型（各型号）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I型冲洗吸引器由不锈钢管、滑件座组成。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用于配合腹腔镜手术中冲洗组织器官及抽吸废液。</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220.5</w:t>
            </w:r>
          </w:p>
        </w:tc>
      </w:tr>
      <w:tr>
        <w:tblPrEx>
          <w:tblCellMar>
            <w:top w:w="0" w:type="dxa"/>
            <w:left w:w="108" w:type="dxa"/>
            <w:bottom w:w="0" w:type="dxa"/>
            <w:right w:w="108" w:type="dxa"/>
          </w:tblCellMar>
        </w:tblPrEx>
        <w:trPr>
          <w:trHeight w:val="135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25</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II型冲洗吸引器由不锈钢管、滑件座、导管、三通管、管夹、针头及针头保护套组成。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用于配合腹腔镜手术中冲洗组织器官及抽吸废液。</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432</w:t>
            </w:r>
          </w:p>
        </w:tc>
      </w:tr>
      <w:tr>
        <w:tblPrEx>
          <w:tblCellMar>
            <w:top w:w="0" w:type="dxa"/>
            <w:left w:w="108" w:type="dxa"/>
            <w:bottom w:w="0" w:type="dxa"/>
            <w:right w:w="108" w:type="dxa"/>
          </w:tblCellMar>
        </w:tblPrEx>
        <w:trPr>
          <w:trHeight w:val="139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26</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一次性使用负压引流导管（套件）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本产品主要由引流导管、引流球、引导针及引导针护套、引流袋组配而成。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供体表创伤或临床切口引流用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1152</w:t>
            </w:r>
          </w:p>
        </w:tc>
      </w:tr>
      <w:tr>
        <w:tblPrEx>
          <w:tblCellMar>
            <w:top w:w="0" w:type="dxa"/>
            <w:left w:w="108" w:type="dxa"/>
            <w:bottom w:w="0" w:type="dxa"/>
            <w:right w:w="108" w:type="dxa"/>
          </w:tblCellMar>
        </w:tblPrEx>
        <w:trPr>
          <w:trHeight w:val="1422"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27</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一次性使用负压引流导管（单只引流导管）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根</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本产品主要由引流导管组配而成。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供体表创伤或临床切口引流用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617.4</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28</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U型</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枚</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该产品由TAI钛金属丝制成，分为U型和V型，产品截面为三角型（U型）和矩型（V型），内侧有横纹和纵纹结构。</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该产品供施行内窥镜微创手术时阻断夹闭腔内管状组织，主要适应症为胆结石、胆囊炎、胆息肉和阑尾炎</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8.1</w:t>
            </w:r>
          </w:p>
        </w:tc>
      </w:tr>
      <w:tr>
        <w:tblPrEx>
          <w:tblCellMar>
            <w:top w:w="0" w:type="dxa"/>
            <w:left w:w="108" w:type="dxa"/>
            <w:bottom w:w="0" w:type="dxa"/>
            <w:right w:w="108" w:type="dxa"/>
          </w:tblCellMar>
        </w:tblPrEx>
        <w:trPr>
          <w:trHeight w:val="180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29</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V型</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枚</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该产品由TAI钛金属丝制成，分为U型和V型，产品截面为三角型（U型）和矩型（V型），内侧有横纹和纵纹结构。</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该产品供施行内窥镜微创手术时阻断夹闭腔内管状组织，主要适应症为胆结石、胆囊炎、胆息肉和阑尾炎</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8.1</w:t>
            </w:r>
          </w:p>
        </w:tc>
      </w:tr>
      <w:tr>
        <w:tblPrEx>
          <w:tblCellMar>
            <w:top w:w="0" w:type="dxa"/>
            <w:left w:w="108" w:type="dxa"/>
            <w:bottom w:w="0" w:type="dxa"/>
            <w:right w:w="108" w:type="dxa"/>
          </w:tblCellMar>
        </w:tblPrEx>
        <w:trPr>
          <w:trHeight w:val="140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一次性使用高频电刀笔</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一次性使用高频电刀笔为分体结构设计，由电极、绝缘套管、电极手柄、手控开关、高频电刀线、高频插头、电极清洁片（选配）及电刀笔保护套（选配）组成。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产品适用于频率为0.3MHz-3MHz，单极工作模式下设备高频输出电压不大于5000V（峰值）的高频发生器配合使用，在外科手术中电切、电凝时一次性使用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24.3</w:t>
            </w:r>
          </w:p>
        </w:tc>
      </w:tr>
      <w:tr>
        <w:tblPrEx>
          <w:tblCellMar>
            <w:top w:w="0" w:type="dxa"/>
            <w:left w:w="108" w:type="dxa"/>
            <w:bottom w:w="0" w:type="dxa"/>
            <w:right w:w="108" w:type="dxa"/>
          </w:tblCellMar>
        </w:tblPrEx>
        <w:trPr>
          <w:trHeight w:val="122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highlight w:val="none"/>
                <w:lang w:val="en-US" w:eastAsia="zh-CN"/>
              </w:rPr>
            </w:pPr>
            <w:r>
              <w:rPr>
                <w:rFonts w:hint="eastAsia" w:ascii="Arial" w:hAnsi="Arial" w:cs="Arial"/>
                <w:kern w:val="0"/>
                <w:sz w:val="21"/>
                <w:szCs w:val="21"/>
                <w:highlight w:val="none"/>
                <w:lang w:val="en-US" w:eastAsia="zh-CN"/>
              </w:rPr>
              <w:t>31</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highlight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一次性使用中性电极</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片</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产品由隔离纸、导电胶、铝箔、基衬（泡棉或无纺布）和电极导线插头夹具五部分组成。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连接人体和高频手术器，提供低电流密度的高频电流回路</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16.2</w:t>
            </w:r>
          </w:p>
        </w:tc>
      </w:tr>
      <w:tr>
        <w:tblPrEx>
          <w:tblCellMar>
            <w:top w:w="0" w:type="dxa"/>
            <w:left w:w="108" w:type="dxa"/>
            <w:bottom w:w="0" w:type="dxa"/>
            <w:right w:w="108" w:type="dxa"/>
          </w:tblCellMar>
        </w:tblPrEx>
        <w:trPr>
          <w:trHeight w:val="9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32</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中性电极导线</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各型号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根</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由插头导线及夹具组成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连接中性电极</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135</w:t>
            </w:r>
          </w:p>
        </w:tc>
      </w:tr>
      <w:tr>
        <w:tblPrEx>
          <w:tblCellMar>
            <w:top w:w="0" w:type="dxa"/>
            <w:left w:w="108" w:type="dxa"/>
            <w:bottom w:w="0" w:type="dxa"/>
            <w:right w:w="108" w:type="dxa"/>
          </w:tblCellMar>
        </w:tblPrEx>
        <w:trPr>
          <w:trHeight w:val="120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33</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本产品由引流导管、负压引流器（球形）、引流袋、和产品附件引导针、导管固定装置组配组成。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适用于将患者积脓、积液、渗出液、气体向体外引流和冲洗</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1422</w:t>
            </w:r>
          </w:p>
        </w:tc>
      </w:tr>
      <w:tr>
        <w:tblPrEx>
          <w:tblCellMar>
            <w:top w:w="0" w:type="dxa"/>
            <w:left w:w="108" w:type="dxa"/>
            <w:bottom w:w="0" w:type="dxa"/>
            <w:right w:w="108" w:type="dxa"/>
          </w:tblCellMar>
        </w:tblPrEx>
        <w:trPr>
          <w:trHeight w:val="134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34</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本产品由引流导管、负压引流器（风箱型）、和产品附件引导针、导管固定装置组配组成。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适用于将患者积脓、积液、渗出液、气体向体外引流和冲洗</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2052</w:t>
            </w:r>
          </w:p>
        </w:tc>
      </w:tr>
      <w:tr>
        <w:tblPrEx>
          <w:tblCellMar>
            <w:top w:w="0" w:type="dxa"/>
            <w:left w:w="108" w:type="dxa"/>
            <w:bottom w:w="0" w:type="dxa"/>
            <w:right w:w="108" w:type="dxa"/>
          </w:tblCellMar>
        </w:tblPrEx>
        <w:trPr>
          <w:trHeight w:val="1356"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35</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本产品由引流导管、负压引流器（球型）、和产品附件引导针、导管固定装置组配组成。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适用于将患者积脓、积液、渗出液、气体向体外引流和冲洗</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1332</w:t>
            </w:r>
          </w:p>
        </w:tc>
      </w:tr>
      <w:tr>
        <w:tblPrEx>
          <w:tblCellMar>
            <w:top w:w="0" w:type="dxa"/>
            <w:left w:w="108" w:type="dxa"/>
            <w:bottom w:w="0" w:type="dxa"/>
            <w:right w:w="108" w:type="dxa"/>
          </w:tblCellMar>
        </w:tblPrEx>
        <w:trPr>
          <w:trHeight w:val="118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36</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本产品由引流导管、引流袋、和产品附件引导针、导管固定装置组配组成。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适用于将患者积脓、积液、渗出液、气体向体外引流和冲洗</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1242</w:t>
            </w:r>
          </w:p>
        </w:tc>
      </w:tr>
      <w:tr>
        <w:tblPrEx>
          <w:tblCellMar>
            <w:top w:w="0" w:type="dxa"/>
            <w:left w:w="108" w:type="dxa"/>
            <w:bottom w:w="0" w:type="dxa"/>
            <w:right w:w="108" w:type="dxa"/>
          </w:tblCellMar>
        </w:tblPrEx>
        <w:trPr>
          <w:trHeight w:val="1210"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37</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各号</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套</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本产品由引流导管、和产品附件引导针、导管固定装置组配组成。</w:t>
            </w:r>
          </w:p>
        </w:tc>
        <w:tc>
          <w:tcPr>
            <w:tcW w:w="1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适用于将患者积脓、积液、渗出液、气体向体外引流和冲洗</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1152</w:t>
            </w:r>
          </w:p>
        </w:tc>
      </w:tr>
      <w:tr>
        <w:tblPrEx>
          <w:tblCellMar>
            <w:top w:w="0" w:type="dxa"/>
            <w:left w:w="108" w:type="dxa"/>
            <w:bottom w:w="0" w:type="dxa"/>
            <w:right w:w="108" w:type="dxa"/>
          </w:tblCellMar>
        </w:tblPrEx>
        <w:trPr>
          <w:trHeight w:val="49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p>
        </w:tc>
        <w:tc>
          <w:tcPr>
            <w:tcW w:w="70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r>
              <w:rPr>
                <w:rFonts w:hint="default" w:ascii="Arial" w:hAnsi="Arial" w:eastAsia="宋体" w:cs="Arial"/>
                <w:b/>
                <w:bCs/>
                <w:i w:val="0"/>
                <w:iCs w:val="0"/>
                <w:color w:val="auto"/>
                <w:kern w:val="0"/>
                <w:sz w:val="21"/>
                <w:szCs w:val="21"/>
                <w:u w:val="none"/>
                <w:lang w:val="en-US" w:eastAsia="zh-CN" w:bidi="ar"/>
              </w:rPr>
              <w:t>标项</w:t>
            </w:r>
            <w:r>
              <w:rPr>
                <w:rFonts w:hint="eastAsia" w:ascii="Arial" w:hAnsi="Arial" w:eastAsia="宋体" w:cs="Arial"/>
                <w:b/>
                <w:bCs/>
                <w:i w:val="0"/>
                <w:iCs w:val="0"/>
                <w:color w:val="auto"/>
                <w:kern w:val="0"/>
                <w:sz w:val="21"/>
                <w:szCs w:val="21"/>
                <w:u w:val="none"/>
                <w:lang w:val="en-US" w:eastAsia="zh-CN" w:bidi="ar"/>
              </w:rPr>
              <w:t>二</w:t>
            </w:r>
            <w:r>
              <w:rPr>
                <w:rFonts w:hint="default" w:ascii="Arial" w:hAnsi="Arial" w:eastAsia="宋体" w:cs="Arial"/>
                <w:b/>
                <w:bCs/>
                <w:i w:val="0"/>
                <w:iCs w:val="0"/>
                <w:color w:val="auto"/>
                <w:kern w:val="0"/>
                <w:sz w:val="21"/>
                <w:szCs w:val="21"/>
                <w:u w:val="none"/>
                <w:lang w:val="en-US" w:eastAsia="zh-CN" w:bidi="ar"/>
              </w:rPr>
              <w:t>单价合计金额</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highlight w:val="none"/>
                <w:lang w:val="en-US" w:eastAsia="zh-CN"/>
              </w:rPr>
              <w:t>32,434.20</w:t>
            </w:r>
          </w:p>
        </w:tc>
      </w:tr>
    </w:tbl>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pPr>
        <w:pStyle w:val="2"/>
        <w:spacing w:before="0" w:after="0" w:line="360" w:lineRule="auto"/>
        <w:rPr>
          <w:rFonts w:hint="eastAsia" w:ascii="Times New Roman" w:hAnsi="Times New Roman" w:eastAsia="宋体" w:cs="Times New Roman"/>
          <w:sz w:val="24"/>
          <w:szCs w:val="24"/>
          <w:lang w:val="en-US" w:eastAsia="zh-CN"/>
        </w:rPr>
      </w:pPr>
      <w:bookmarkStart w:id="303" w:name="_Toc31240"/>
      <w:r>
        <w:rPr>
          <w:rFonts w:hint="eastAsia" w:ascii="Times New Roman" w:hAnsi="Times New Roman" w:eastAsia="宋体" w:cs="Times New Roman"/>
          <w:sz w:val="24"/>
          <w:szCs w:val="24"/>
          <w:lang w:val="en-US" w:eastAsia="zh-CN"/>
        </w:rPr>
        <w:t>标项三</w:t>
      </w:r>
      <w:bookmarkEnd w:id="303"/>
    </w:p>
    <w:p>
      <w:pPr>
        <w:bidi w:val="0"/>
        <w:rPr>
          <w:rFonts w:hint="eastAsia"/>
          <w:lang w:val="en-US" w:eastAsia="zh-CN"/>
        </w:rPr>
      </w:pPr>
      <w:r>
        <w:rPr>
          <w:rFonts w:hint="eastAsia" w:ascii="Times New Roman" w:hAnsi="Times New Roman" w:eastAsia="宋体" w:cs="Times New Roman"/>
          <w:kern w:val="0"/>
          <w:sz w:val="24"/>
          <w:szCs w:val="24"/>
          <w:shd w:val="clear" w:color="auto" w:fill="FFFFFF"/>
          <w:lang w:val="en-US" w:eastAsia="zh-CN" w:bidi="ar-SA"/>
        </w:rPr>
        <w:t>标项名称：影像中心一次性使用高压造影注射器及附件</w:t>
      </w:r>
    </w:p>
    <w:tbl>
      <w:tblPr>
        <w:tblStyle w:val="40"/>
        <w:tblW w:w="9340" w:type="dxa"/>
        <w:jc w:val="center"/>
        <w:tblLayout w:type="fixed"/>
        <w:tblCellMar>
          <w:top w:w="0" w:type="dxa"/>
          <w:left w:w="108" w:type="dxa"/>
          <w:bottom w:w="0" w:type="dxa"/>
          <w:right w:w="108" w:type="dxa"/>
        </w:tblCellMar>
      </w:tblPr>
      <w:tblGrid>
        <w:gridCol w:w="484"/>
        <w:gridCol w:w="994"/>
        <w:gridCol w:w="946"/>
        <w:gridCol w:w="574"/>
        <w:gridCol w:w="1654"/>
        <w:gridCol w:w="982"/>
        <w:gridCol w:w="2413"/>
        <w:gridCol w:w="720"/>
        <w:gridCol w:w="573"/>
      </w:tblGrid>
      <w:tr>
        <w:tblPrEx>
          <w:tblCellMar>
            <w:top w:w="0" w:type="dxa"/>
            <w:left w:w="108" w:type="dxa"/>
            <w:bottom w:w="0" w:type="dxa"/>
            <w:right w:w="108" w:type="dxa"/>
          </w:tblCellMar>
        </w:tblPrEx>
        <w:trPr>
          <w:trHeight w:val="1216" w:hRule="atLeast"/>
          <w:tblHeader/>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rPr>
              <w:t>序号</w:t>
            </w:r>
          </w:p>
        </w:tc>
        <w:tc>
          <w:tcPr>
            <w:tcW w:w="99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  名称</w:t>
            </w:r>
          </w:p>
        </w:tc>
        <w:tc>
          <w:tcPr>
            <w:tcW w:w="946"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eastAsia" w:ascii="Arial" w:hAnsi="Arial" w:cs="Arial"/>
                <w:b/>
                <w:bCs/>
                <w:kern w:val="0"/>
                <w:sz w:val="21"/>
                <w:szCs w:val="21"/>
                <w:lang w:val="en-US" w:eastAsia="zh-CN" w:bidi="ar-SA"/>
              </w:rPr>
              <w:t>型号</w:t>
            </w:r>
          </w:p>
        </w:tc>
        <w:tc>
          <w:tcPr>
            <w:tcW w:w="57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单位</w:t>
            </w:r>
          </w:p>
        </w:tc>
        <w:tc>
          <w:tcPr>
            <w:tcW w:w="165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产品性能结构及组成</w:t>
            </w:r>
          </w:p>
        </w:tc>
        <w:tc>
          <w:tcPr>
            <w:tcW w:w="98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bidi="ar-SA"/>
              </w:rPr>
            </w:pPr>
            <w:r>
              <w:rPr>
                <w:rFonts w:hint="default" w:ascii="Arial" w:hAnsi="Arial" w:cs="Arial"/>
                <w:b/>
                <w:bCs/>
                <w:kern w:val="0"/>
                <w:sz w:val="21"/>
                <w:szCs w:val="21"/>
                <w:lang w:bidi="ar"/>
              </w:rPr>
              <w:t>注册证适用范围</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材质</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rPr>
            </w:pPr>
            <w:r>
              <w:rPr>
                <w:rFonts w:hint="default" w:ascii="Arial" w:hAnsi="Arial" w:cs="Arial"/>
                <w:b/>
                <w:bCs/>
                <w:kern w:val="0"/>
                <w:sz w:val="21"/>
                <w:szCs w:val="21"/>
                <w:lang w:bidi="ar"/>
              </w:rPr>
              <w:t>最高限制单价（元）</w:t>
            </w:r>
          </w:p>
        </w:tc>
        <w:tc>
          <w:tcPr>
            <w:tcW w:w="57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bidi="ar"/>
              </w:rPr>
            </w:pPr>
            <w:r>
              <w:rPr>
                <w:rFonts w:hint="eastAsia" w:ascii="Arial" w:hAnsi="Arial" w:cs="Arial"/>
                <w:b/>
                <w:bCs/>
                <w:kern w:val="0"/>
                <w:sz w:val="21"/>
                <w:szCs w:val="21"/>
                <w:lang w:val="en-US" w:eastAsia="zh-CN" w:bidi="ar"/>
              </w:rPr>
              <w:t>备注</w:t>
            </w:r>
          </w:p>
        </w:tc>
      </w:tr>
      <w:tr>
        <w:tblPrEx>
          <w:tblCellMar>
            <w:top w:w="0" w:type="dxa"/>
            <w:left w:w="108" w:type="dxa"/>
            <w:bottom w:w="0" w:type="dxa"/>
            <w:right w:w="108" w:type="dxa"/>
          </w:tblCellMar>
        </w:tblPrEx>
        <w:trPr>
          <w:trHeight w:val="1501"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rPr>
            </w:pPr>
            <w:r>
              <w:rPr>
                <w:rFonts w:hint="default" w:ascii="Arial" w:hAnsi="Arial" w:eastAsia="宋体" w:cs="Arial"/>
                <w:kern w:val="0"/>
                <w:sz w:val="21"/>
                <w:szCs w:val="21"/>
              </w:rPr>
              <w:t>1</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（200ml）</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套</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一次性使用高压造影注射器及附件由针筒、连接管、吸药管及穿刺器组成。针筒由外套、保护帽(母保护帽)、锁紧螺母、活塞(推杆)、胶塞组成，附件包括连接管、吸药管(管式吸药器)、穿刺器(穿刺器式吸药器)。</w:t>
            </w:r>
          </w:p>
        </w:tc>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配套CT高压注射泵、MRI高压注射泵、DSA高压注射泵及心血管造影时推注造影剂之用。</w:t>
            </w:r>
          </w:p>
        </w:tc>
        <w:tc>
          <w:tcPr>
            <w:tcW w:w="2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外套采用聚对苯二甲酸乙二醇酯(PET)、聚丙烯(PP)材料制成；针筒的保护帽(母保护帽）、锁紧螺母、活塞(推杆)采用聚碳酸酯(PC)材料制成，胶塞采用天然橡胶材料制成，吸药管采用聚乙烯(PE)材料制造，穿刺器采用丙烯腈-丁二烯-苯乙烯共聚物(AB8)材料制成，连接管的导管采用聚氯乙烯(PVC)材料制成，连接管的接头、保护帽、三通、单向阀采用聚碳酸酯(PC)材料制成。</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75</w:t>
            </w:r>
          </w:p>
        </w:tc>
        <w:tc>
          <w:tcPr>
            <w:tcW w:w="5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宋体"/>
                <w:b/>
                <w:bCs/>
                <w:color w:val="000000"/>
                <w:kern w:val="0"/>
                <w:sz w:val="28"/>
                <w:szCs w:val="28"/>
              </w:rPr>
              <w:t>现场提供样品</w:t>
            </w:r>
          </w:p>
        </w:tc>
      </w:tr>
      <w:tr>
        <w:tblPrEx>
          <w:tblCellMar>
            <w:top w:w="0" w:type="dxa"/>
            <w:left w:w="108" w:type="dxa"/>
            <w:bottom w:w="0" w:type="dxa"/>
            <w:right w:w="108" w:type="dxa"/>
          </w:tblCellMar>
        </w:tblPrEx>
        <w:trPr>
          <w:trHeight w:val="1914"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2</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（200/200ml）</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套</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一次性使用高压造影注射器及附件由针筒、连接管、吸药管及穿刺器组成。针筒由外套、保护帽(母保护帽)、锁紧螺母、活塞(推杆)、胶塞组成，附件包括连接管、吸药管(管式吸药器)、穿刺器(穿刺器式吸药器)。</w:t>
            </w:r>
          </w:p>
        </w:tc>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配套CT高压注射泵、MRI高压注射泵、DSA高压注射泵及心血管造影时推注造影剂之用。</w:t>
            </w:r>
          </w:p>
        </w:tc>
        <w:tc>
          <w:tcPr>
            <w:tcW w:w="2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外套采用聚对苯二甲酸乙二醇酯(PET)、聚丙烯(PP)材料制成；针筒的保护帽(母保护帽）、锁紧螺母、活塞(推杆)采用聚碳酸酯(PC)材料制成，胶塞采用天然橡胶材料制成，吸药管采用聚乙烯(PE)材料制造，穿刺器采用丙烯腈-丁二烯-苯乙烯共聚物(AB8)材料制成，连接管的导管采用聚氯乙烯(PVC)材料制成，连接管的接头、保护帽、三通、单向阀采用聚碳酸酯(PC)材料制成。</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150</w:t>
            </w:r>
          </w:p>
        </w:tc>
        <w:tc>
          <w:tcPr>
            <w:tcW w:w="57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1193"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3</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（150ml）</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套</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一次性使用高压造影注射器及附件由针筒、连接管、吸药管及穿刺器组成。针筒由外套、保护帽(母保护帽)、锁紧螺母、活塞(推杆)、胶塞组成，附件包括连接管、吸药管(管式吸药器)、穿刺器(穿刺器式吸药器)。</w:t>
            </w:r>
          </w:p>
        </w:tc>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配套CT高压注射泵、MRI高压注射泵、DSA高压注射泵及心血管造影时推注造影剂之用。</w:t>
            </w:r>
          </w:p>
        </w:tc>
        <w:tc>
          <w:tcPr>
            <w:tcW w:w="2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外套采用聚对苯二甲酸乙二醇酯(PET)、聚丙烯(PP)材料制成；针筒的保护帽(母保护帽）、锁紧螺母、活塞(推杆)采用聚碳酸酯(PC)材料制成，胶塞采用天然橡胶材料制成，吸药管采用聚乙烯(PE)材料制造，穿刺器采用丙烯腈-丁二烯-苯乙烯共聚物(AB8)材料制成，连接管的导管采用聚氯乙烯(PVC)材料制成，连接管的接头、保护帽、三通、单向阀采用聚碳酸酯(PC)材料制成。</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75</w:t>
            </w:r>
          </w:p>
        </w:tc>
        <w:tc>
          <w:tcPr>
            <w:tcW w:w="5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39"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p>
        </w:tc>
        <w:tc>
          <w:tcPr>
            <w:tcW w:w="75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2540"/>
              </w:tabs>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ab/>
            </w:r>
            <w:r>
              <w:rPr>
                <w:rFonts w:hint="default" w:ascii="Arial" w:hAnsi="Arial" w:eastAsia="宋体" w:cs="Arial"/>
                <w:b/>
                <w:bCs/>
                <w:i w:val="0"/>
                <w:iCs w:val="0"/>
                <w:color w:val="auto"/>
                <w:kern w:val="0"/>
                <w:sz w:val="21"/>
                <w:szCs w:val="21"/>
                <w:u w:val="none"/>
                <w:lang w:val="en-US" w:eastAsia="zh-CN" w:bidi="ar"/>
              </w:rPr>
              <w:t>标项</w:t>
            </w:r>
            <w:r>
              <w:rPr>
                <w:rFonts w:hint="eastAsia" w:ascii="Arial" w:hAnsi="Arial" w:eastAsia="宋体" w:cs="Arial"/>
                <w:b/>
                <w:bCs/>
                <w:i w:val="0"/>
                <w:iCs w:val="0"/>
                <w:color w:val="auto"/>
                <w:kern w:val="0"/>
                <w:sz w:val="21"/>
                <w:szCs w:val="21"/>
                <w:u w:val="none"/>
                <w:lang w:val="en-US" w:eastAsia="zh-CN" w:bidi="ar"/>
              </w:rPr>
              <w:t>三</w:t>
            </w:r>
            <w:r>
              <w:rPr>
                <w:rFonts w:hint="default" w:ascii="Arial" w:hAnsi="Arial" w:eastAsia="宋体" w:cs="Arial"/>
                <w:b/>
                <w:bCs/>
                <w:i w:val="0"/>
                <w:iCs w:val="0"/>
                <w:color w:val="auto"/>
                <w:kern w:val="0"/>
                <w:sz w:val="21"/>
                <w:szCs w:val="21"/>
                <w:u w:val="none"/>
                <w:lang w:val="en-US" w:eastAsia="zh-CN" w:bidi="ar"/>
              </w:rPr>
              <w:t>单价合计金额</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eastAsia="宋体"/>
          <w:lang w:val="en-US" w:eastAsia="zh-CN"/>
        </w:rPr>
      </w:pPr>
      <w:r>
        <w:rPr>
          <w:rFonts w:hint="default" w:eastAsia="宋体"/>
          <w:lang w:val="en-US" w:eastAsia="zh-CN"/>
        </w:rPr>
        <w:br w:type="page"/>
      </w:r>
    </w:p>
    <w:bookmarkEnd w:id="298"/>
    <w:bookmarkEnd w:id="299"/>
    <w:p>
      <w:pPr>
        <w:pStyle w:val="4"/>
        <w:numPr>
          <w:ilvl w:val="0"/>
          <w:numId w:val="12"/>
        </w:numPr>
        <w:spacing w:before="0" w:after="0" w:line="240" w:lineRule="auto"/>
        <w:ind w:left="0" w:leftChars="0" w:firstLine="0" w:firstLineChars="0"/>
        <w:rPr>
          <w:rFonts w:ascii="Times New Roman" w:hAnsi="Times New Roman"/>
          <w:sz w:val="22"/>
          <w:szCs w:val="22"/>
        </w:rPr>
      </w:pPr>
      <w:bookmarkStart w:id="304" w:name="_Toc8501"/>
      <w:r>
        <w:rPr>
          <w:rFonts w:ascii="Times New Roman" w:hAnsi="Times New Roman"/>
          <w:sz w:val="24"/>
          <w:szCs w:val="24"/>
        </w:rPr>
        <w:t>采购</w:t>
      </w:r>
      <w:r>
        <w:rPr>
          <w:rFonts w:hint="eastAsia" w:ascii="Times New Roman" w:hAnsi="Times New Roman"/>
          <w:sz w:val="24"/>
          <w:szCs w:val="24"/>
        </w:rPr>
        <w:t>目录</w:t>
      </w:r>
      <w:bookmarkEnd w:id="304"/>
    </w:p>
    <w:p>
      <w:pPr>
        <w:pStyle w:val="428"/>
        <w:ind w:left="-2" w:leftChars="-1" w:firstLine="2" w:firstLineChars="0"/>
        <w:jc w:val="center"/>
        <w:rPr>
          <w:b/>
          <w:bCs/>
          <w:sz w:val="32"/>
          <w:szCs w:val="40"/>
        </w:rPr>
      </w:pPr>
      <w:bookmarkStart w:id="305" w:name="_Toc10452"/>
      <w:r>
        <w:rPr>
          <w:b/>
          <w:bCs/>
          <w:sz w:val="32"/>
          <w:szCs w:val="40"/>
        </w:rPr>
        <w:t>采购</w:t>
      </w:r>
      <w:r>
        <w:rPr>
          <w:rFonts w:hint="eastAsia"/>
          <w:b/>
          <w:bCs/>
          <w:sz w:val="32"/>
          <w:szCs w:val="40"/>
        </w:rPr>
        <w:t>目录</w:t>
      </w:r>
    </w:p>
    <w:tbl>
      <w:tblPr>
        <w:tblStyle w:val="40"/>
        <w:tblW w:w="87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89"/>
        <w:gridCol w:w="692"/>
        <w:gridCol w:w="464"/>
        <w:gridCol w:w="3295"/>
        <w:gridCol w:w="805"/>
        <w:gridCol w:w="1328"/>
        <w:gridCol w:w="40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86" w:hRule="atLeast"/>
          <w:tblHeader/>
        </w:trPr>
        <w:tc>
          <w:tcPr>
            <w:tcW w:w="589" w:type="dxa"/>
            <w:shd w:val="clear" w:color="auto" w:fill="FFFFFF" w:themeFill="background1"/>
            <w:noWrap/>
            <w:vAlign w:val="center"/>
          </w:tcPr>
          <w:p>
            <w:pPr>
              <w:widowControl/>
              <w:adjustRightInd w:val="0"/>
              <w:snapToGrid w:val="0"/>
              <w:jc w:val="center"/>
              <w:rPr>
                <w:b/>
                <w:bCs/>
                <w:kern w:val="0"/>
                <w:szCs w:val="21"/>
              </w:rPr>
            </w:pPr>
            <w:r>
              <w:rPr>
                <w:b/>
                <w:bCs/>
                <w:kern w:val="0"/>
                <w:szCs w:val="21"/>
              </w:rPr>
              <w:t>标项号</w:t>
            </w:r>
          </w:p>
        </w:tc>
        <w:tc>
          <w:tcPr>
            <w:tcW w:w="692" w:type="dxa"/>
            <w:shd w:val="clear" w:color="auto" w:fill="FFFFFF" w:themeFill="background1"/>
            <w:vAlign w:val="center"/>
          </w:tcPr>
          <w:p>
            <w:pPr>
              <w:widowControl/>
              <w:adjustRightInd w:val="0"/>
              <w:snapToGrid w:val="0"/>
              <w:jc w:val="center"/>
              <w:rPr>
                <w:b/>
                <w:bCs/>
                <w:kern w:val="0"/>
                <w:szCs w:val="21"/>
              </w:rPr>
            </w:pPr>
            <w:r>
              <w:rPr>
                <w:b/>
                <w:bCs/>
                <w:kern w:val="0"/>
                <w:szCs w:val="21"/>
              </w:rPr>
              <w:t>申请</w:t>
            </w:r>
            <w:r>
              <w:rPr>
                <w:rFonts w:hint="eastAsia"/>
                <w:b/>
                <w:bCs/>
                <w:kern w:val="0"/>
                <w:szCs w:val="21"/>
              </w:rPr>
              <w:t xml:space="preserve">  </w:t>
            </w:r>
            <w:r>
              <w:rPr>
                <w:b/>
                <w:bCs/>
                <w:kern w:val="0"/>
                <w:szCs w:val="21"/>
              </w:rPr>
              <w:t>科室</w:t>
            </w:r>
          </w:p>
        </w:tc>
        <w:tc>
          <w:tcPr>
            <w:tcW w:w="464" w:type="dxa"/>
            <w:shd w:val="clear" w:color="auto" w:fill="FFFFFF" w:themeFill="background1"/>
            <w:vAlign w:val="center"/>
          </w:tcPr>
          <w:p>
            <w:pPr>
              <w:widowControl/>
              <w:adjustRightInd w:val="0"/>
              <w:snapToGrid w:val="0"/>
              <w:jc w:val="center"/>
              <w:rPr>
                <w:b/>
                <w:bCs/>
                <w:kern w:val="0"/>
                <w:szCs w:val="21"/>
              </w:rPr>
            </w:pPr>
            <w:r>
              <w:rPr>
                <w:b/>
                <w:bCs/>
                <w:kern w:val="0"/>
                <w:szCs w:val="21"/>
              </w:rPr>
              <w:t>序号</w:t>
            </w:r>
          </w:p>
        </w:tc>
        <w:tc>
          <w:tcPr>
            <w:tcW w:w="3295" w:type="dxa"/>
            <w:shd w:val="clear" w:color="auto" w:fill="FFFFFF" w:themeFill="background1"/>
            <w:vAlign w:val="center"/>
          </w:tcPr>
          <w:p>
            <w:pPr>
              <w:widowControl/>
              <w:adjustRightInd w:val="0"/>
              <w:snapToGrid w:val="0"/>
              <w:jc w:val="center"/>
              <w:rPr>
                <w:b/>
                <w:bCs/>
                <w:kern w:val="0"/>
                <w:szCs w:val="21"/>
              </w:rPr>
            </w:pPr>
            <w:r>
              <w:rPr>
                <w:rFonts w:hint="eastAsia"/>
                <w:b/>
                <w:bCs/>
                <w:kern w:val="0"/>
                <w:szCs w:val="21"/>
              </w:rPr>
              <w:t>耗材</w:t>
            </w:r>
            <w:r>
              <w:rPr>
                <w:b/>
                <w:bCs/>
                <w:kern w:val="0"/>
                <w:szCs w:val="21"/>
              </w:rPr>
              <w:t>名称</w:t>
            </w:r>
          </w:p>
        </w:tc>
        <w:tc>
          <w:tcPr>
            <w:tcW w:w="805" w:type="dxa"/>
            <w:shd w:val="clear" w:color="auto" w:fill="FFFFFF" w:themeFill="background1"/>
            <w:vAlign w:val="center"/>
          </w:tcPr>
          <w:p>
            <w:pPr>
              <w:widowControl/>
              <w:adjustRightInd w:val="0"/>
              <w:snapToGrid w:val="0"/>
              <w:jc w:val="center"/>
              <w:rPr>
                <w:b/>
                <w:bCs/>
                <w:kern w:val="0"/>
                <w:szCs w:val="21"/>
              </w:rPr>
            </w:pPr>
            <w:r>
              <w:rPr>
                <w:b/>
                <w:bCs/>
                <w:kern w:val="0"/>
                <w:szCs w:val="21"/>
              </w:rPr>
              <w:t>数量/单位</w:t>
            </w:r>
          </w:p>
        </w:tc>
        <w:tc>
          <w:tcPr>
            <w:tcW w:w="1328" w:type="dxa"/>
            <w:shd w:val="clear" w:color="auto" w:fill="FFFFFF" w:themeFill="background1"/>
            <w:vAlign w:val="center"/>
          </w:tcPr>
          <w:p>
            <w:pPr>
              <w:widowControl/>
              <w:adjustRightInd w:val="0"/>
              <w:snapToGrid w:val="0"/>
              <w:jc w:val="center"/>
              <w:rPr>
                <w:b/>
                <w:bCs/>
                <w:kern w:val="0"/>
                <w:szCs w:val="21"/>
              </w:rPr>
            </w:pPr>
            <w:r>
              <w:rPr>
                <w:b/>
                <w:bCs/>
                <w:kern w:val="0"/>
                <w:szCs w:val="21"/>
              </w:rPr>
              <w:t>最高</w:t>
            </w:r>
            <w:r>
              <w:rPr>
                <w:rFonts w:hint="eastAsia"/>
                <w:b/>
                <w:bCs/>
                <w:kern w:val="0"/>
                <w:szCs w:val="21"/>
              </w:rPr>
              <w:t>限制</w:t>
            </w:r>
            <w:r>
              <w:rPr>
                <w:b/>
                <w:bCs/>
                <w:kern w:val="0"/>
                <w:szCs w:val="21"/>
              </w:rPr>
              <w:t>单价</w:t>
            </w:r>
            <w:r>
              <w:rPr>
                <w:rFonts w:hint="eastAsia"/>
                <w:b/>
                <w:bCs/>
                <w:kern w:val="0"/>
                <w:szCs w:val="21"/>
              </w:rPr>
              <w:t>（元）</w:t>
            </w:r>
          </w:p>
        </w:tc>
        <w:tc>
          <w:tcPr>
            <w:tcW w:w="405" w:type="dxa"/>
            <w:shd w:val="clear" w:color="auto" w:fill="FFFFFF" w:themeFill="background1"/>
            <w:vAlign w:val="center"/>
          </w:tcPr>
          <w:p>
            <w:pPr>
              <w:widowControl/>
              <w:adjustRightInd w:val="0"/>
              <w:snapToGrid w:val="0"/>
              <w:jc w:val="center"/>
              <w:rPr>
                <w:b/>
                <w:bCs/>
                <w:kern w:val="0"/>
                <w:szCs w:val="21"/>
              </w:rPr>
            </w:pPr>
            <w:r>
              <w:rPr>
                <w:b/>
                <w:bCs/>
                <w:kern w:val="0"/>
                <w:szCs w:val="21"/>
              </w:rPr>
              <w:t>产地</w:t>
            </w:r>
          </w:p>
        </w:tc>
        <w:tc>
          <w:tcPr>
            <w:tcW w:w="1162" w:type="dxa"/>
            <w:shd w:val="clear" w:color="auto" w:fill="FFFFFF" w:themeFill="background1"/>
            <w:vAlign w:val="center"/>
          </w:tcPr>
          <w:p>
            <w:pPr>
              <w:widowControl/>
              <w:adjustRightInd w:val="0"/>
              <w:snapToGrid w:val="0"/>
              <w:rPr>
                <w:b/>
                <w:bCs/>
                <w:kern w:val="0"/>
                <w:szCs w:val="21"/>
              </w:rPr>
            </w:pPr>
            <w:r>
              <w:rPr>
                <w:b/>
                <w:bCs/>
                <w:kern w:val="0"/>
                <w:szCs w:val="21"/>
              </w:rPr>
              <w:t>标项</w:t>
            </w:r>
            <w:r>
              <w:rPr>
                <w:rFonts w:hint="eastAsia"/>
                <w:b/>
                <w:bCs/>
                <w:kern w:val="0"/>
                <w:szCs w:val="21"/>
              </w:rPr>
              <w:t>最高限价/预算金额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89" w:type="dxa"/>
            <w:vMerge w:val="restart"/>
            <w:shd w:val="clear" w:color="auto" w:fill="FFFFFF" w:themeFill="background1"/>
            <w:vAlign w:val="center"/>
          </w:tcPr>
          <w:p>
            <w:pPr>
              <w:widowControl/>
              <w:adjustRightInd w:val="0"/>
              <w:snapToGrid w:val="0"/>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标项</w:t>
            </w:r>
          </w:p>
          <w:p>
            <w:pPr>
              <w:widowControl/>
              <w:adjustRightInd w:val="0"/>
              <w:snapToGrid w:val="0"/>
              <w:jc w:val="center"/>
              <w:textAlignment w:val="center"/>
              <w:rPr>
                <w:rFonts w:ascii="宋体" w:hAnsi="宋体" w:cs="宋体"/>
                <w:kern w:val="0"/>
                <w:sz w:val="20"/>
                <w:szCs w:val="20"/>
                <w:lang w:bidi="ar"/>
              </w:rPr>
            </w:pPr>
            <w:r>
              <w:rPr>
                <w:rFonts w:hint="eastAsia" w:ascii="Times New Roman" w:hAnsi="Times New Roman" w:cs="宋体"/>
                <w:kern w:val="0"/>
                <w:sz w:val="20"/>
                <w:szCs w:val="20"/>
                <w:lang w:bidi="ar"/>
              </w:rPr>
              <w:t>1</w:t>
            </w:r>
          </w:p>
        </w:tc>
        <w:tc>
          <w:tcPr>
            <w:tcW w:w="692" w:type="dxa"/>
            <w:vMerge w:val="restart"/>
            <w:shd w:val="clear" w:color="auto" w:fill="FFFFFF" w:themeFill="background1"/>
            <w:noWrap/>
            <w:vAlign w:val="center"/>
          </w:tcPr>
          <w:p>
            <w:pPr>
              <w:widowControl/>
              <w:adjustRightInd w:val="0"/>
              <w:snapToGrid w:val="0"/>
              <w:jc w:val="center"/>
              <w:textAlignment w:val="center"/>
              <w:rPr>
                <w:rFonts w:hint="default"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麻醉科</w:t>
            </w:r>
          </w:p>
        </w:tc>
        <w:tc>
          <w:tcPr>
            <w:tcW w:w="464" w:type="dxa"/>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r>
              <w:rPr>
                <w:rFonts w:hint="eastAsia" w:ascii="Times New Roman" w:hAnsi="Times New Roman" w:cs="宋体"/>
                <w:kern w:val="0"/>
                <w:sz w:val="20"/>
                <w:szCs w:val="20"/>
                <w:lang w:bidi="ar"/>
              </w:rPr>
              <w:t>1</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30</w:t>
            </w:r>
          </w:p>
        </w:tc>
        <w:tc>
          <w:tcPr>
            <w:tcW w:w="405" w:type="dxa"/>
            <w:vMerge w:val="restart"/>
            <w:shd w:val="clear" w:color="auto" w:fill="FFFFFF" w:themeFill="background1"/>
            <w:vAlign w:val="center"/>
          </w:tcPr>
          <w:p>
            <w:pPr>
              <w:widowControl/>
              <w:adjustRightInd w:val="0"/>
              <w:snapToGrid w:val="0"/>
              <w:jc w:val="both"/>
              <w:textAlignment w:val="center"/>
              <w:rPr>
                <w:rFonts w:hint="default"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国产</w:t>
            </w:r>
          </w:p>
        </w:tc>
        <w:tc>
          <w:tcPr>
            <w:tcW w:w="1162" w:type="dxa"/>
            <w:vMerge w:val="restart"/>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r>
              <w:rPr>
                <w:rFonts w:hint="eastAsia" w:ascii="Times New Roman" w:hAnsi="Times New Roman" w:cs="宋体"/>
                <w:kern w:val="0"/>
                <w:sz w:val="20"/>
                <w:szCs w:val="20"/>
                <w:lang w:val="en-US" w:eastAsia="zh-CN" w:bidi="ar"/>
              </w:rPr>
              <w:t>120</w:t>
            </w:r>
            <w:r>
              <w:rPr>
                <w:rFonts w:hint="eastAsia" w:ascii="Times New Roman" w:hAnsi="Times New Roman" w:cs="宋体"/>
                <w:kern w:val="0"/>
                <w:sz w:val="20"/>
                <w:szCs w:val="20"/>
                <w:lang w:bidi="ar"/>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35"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eastAsia"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2</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260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35"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3</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一次性使用腰硬联合麻醉穿刺套件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60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4</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95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5</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170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6</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190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7</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包</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250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8</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气管插管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10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9</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加强型气管插管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75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10</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280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11</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多功能喉罩</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350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12</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270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13</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14</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100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15</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一次性使用麻醉呼吸管路组件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16</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220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17</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一次性使用泵用输液管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30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18</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一次性使用便携式输注泵非电驱动</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个</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210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19</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钙石灰</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桶</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270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20</w:t>
            </w:r>
          </w:p>
        </w:tc>
        <w:tc>
          <w:tcPr>
            <w:tcW w:w="329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一次性使用支气管堵塞器</w:t>
            </w:r>
          </w:p>
        </w:tc>
        <w:tc>
          <w:tcPr>
            <w:tcW w:w="805"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个</w:t>
            </w:r>
          </w:p>
        </w:tc>
        <w:tc>
          <w:tcPr>
            <w:tcW w:w="1328" w:type="dxa"/>
            <w:shd w:val="clear" w:color="auto" w:fill="FFFFFF" w:themeFill="background1"/>
            <w:noWrap/>
            <w:vAlign w:val="center"/>
          </w:tcPr>
          <w:p>
            <w:pPr>
              <w:keepNext w:val="0"/>
              <w:keepLines w:val="0"/>
              <w:widowControl/>
              <w:suppressLineNumbers w:val="0"/>
              <w:jc w:val="center"/>
              <w:textAlignment w:val="center"/>
              <w:rPr>
                <w:rFonts w:hint="default" w:cs="Times New Roman"/>
                <w:shd w:val="clear" w:color="auto" w:fill="FFFFFF"/>
                <w:lang w:val="en-US" w:eastAsia="zh-CN"/>
              </w:rPr>
            </w:pPr>
            <w:r>
              <w:rPr>
                <w:rFonts w:hint="eastAsia" w:ascii="Times New Roman" w:hAnsi="Times New Roman" w:eastAsia="宋体" w:cs="宋体"/>
                <w:i w:val="0"/>
                <w:iCs w:val="0"/>
                <w:color w:val="000000"/>
                <w:kern w:val="0"/>
                <w:sz w:val="22"/>
                <w:szCs w:val="22"/>
                <w:u w:val="none"/>
                <w:lang w:val="en-US" w:eastAsia="zh-CN" w:bidi="ar"/>
              </w:rPr>
              <w:t>1580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564" w:type="dxa"/>
            <w:gridSpan w:val="3"/>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cs="宋体"/>
                <w:b w:val="0"/>
                <w:bCs w:val="0"/>
                <w:kern w:val="0"/>
                <w:sz w:val="20"/>
                <w:szCs w:val="20"/>
                <w:lang w:bidi="ar"/>
              </w:rPr>
            </w:pPr>
            <w:r>
              <w:rPr>
                <w:rFonts w:hint="eastAsia"/>
                <w:b/>
                <w:bCs/>
                <w:kern w:val="0"/>
                <w:szCs w:val="21"/>
              </w:rPr>
              <w:t>标项一单价合计金额</w:t>
            </w:r>
          </w:p>
        </w:tc>
        <w:tc>
          <w:tcPr>
            <w:tcW w:w="1328" w:type="dxa"/>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Times New Roman" w:hAnsi="Times New Roman" w:cs="宋体"/>
                <w:i w:val="0"/>
                <w:iCs w:val="0"/>
                <w:color w:val="000000"/>
                <w:kern w:val="0"/>
                <w:sz w:val="21"/>
                <w:szCs w:val="21"/>
                <w:u w:val="none"/>
                <w:lang w:val="en-US" w:eastAsia="zh-CN" w:bidi="ar"/>
              </w:rPr>
              <w:t>4,495.00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10" w:hRule="atLeast"/>
        </w:trPr>
        <w:tc>
          <w:tcPr>
            <w:tcW w:w="589" w:type="dxa"/>
            <w:vMerge w:val="restart"/>
            <w:shd w:val="clear" w:color="auto" w:fill="FFFFFF" w:themeFill="background1"/>
            <w:vAlign w:val="center"/>
          </w:tcPr>
          <w:p>
            <w:pPr>
              <w:widowControl/>
              <w:adjustRightInd w:val="0"/>
              <w:snapToGrid w:val="0"/>
              <w:jc w:val="center"/>
              <w:textAlignment w:val="center"/>
              <w:rPr>
                <w:rFonts w:hint="eastAsia" w:ascii="Times New Roman" w:hAnsi="Times New Roman" w:cs="宋体"/>
                <w:kern w:val="0"/>
                <w:sz w:val="20"/>
                <w:szCs w:val="20"/>
                <w:lang w:val="en-US" w:eastAsia="zh-CN" w:bidi="ar"/>
              </w:rPr>
            </w:pPr>
            <w:r>
              <w:rPr>
                <w:rFonts w:hint="eastAsia" w:ascii="Times New Roman" w:hAnsi="Times New Roman" w:cs="宋体"/>
                <w:kern w:val="0"/>
                <w:sz w:val="20"/>
                <w:szCs w:val="20"/>
                <w:lang w:val="en-US" w:eastAsia="zh-CN" w:bidi="ar"/>
              </w:rPr>
              <w:t>标项</w:t>
            </w:r>
          </w:p>
          <w:p>
            <w:pPr>
              <w:widowControl/>
              <w:adjustRightInd w:val="0"/>
              <w:snapToGrid w:val="0"/>
              <w:jc w:val="center"/>
              <w:textAlignment w:val="center"/>
              <w:rPr>
                <w:rFonts w:hint="default"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2</w:t>
            </w:r>
          </w:p>
        </w:tc>
        <w:tc>
          <w:tcPr>
            <w:tcW w:w="692" w:type="dxa"/>
            <w:vMerge w:val="restart"/>
            <w:shd w:val="clear" w:color="auto" w:fill="FFFFFF" w:themeFill="background1"/>
            <w:noWrap/>
            <w:vAlign w:val="center"/>
          </w:tcPr>
          <w:p>
            <w:pPr>
              <w:widowControl/>
              <w:adjustRightInd w:val="0"/>
              <w:snapToGrid w:val="0"/>
              <w:jc w:val="center"/>
              <w:textAlignment w:val="center"/>
              <w:rPr>
                <w:rFonts w:hint="default" w:ascii="Times New Roman" w:hAnsi="Times New Roman" w:eastAsia="宋体" w:cs="Times New Roman"/>
                <w:shd w:val="clear" w:color="auto" w:fill="FFFFFF"/>
                <w:lang w:val="en-US" w:eastAsia="zh-CN"/>
              </w:rPr>
            </w:pPr>
            <w:r>
              <w:rPr>
                <w:rFonts w:hint="eastAsia"/>
              </w:rPr>
              <w:t>微创外科</w:t>
            </w: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一次性双极电凝切割钳</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把</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cs="Times New Roman"/>
                <w:shd w:val="clear" w:color="auto" w:fill="FFFFFF"/>
                <w:lang w:val="en-US" w:eastAsia="zh-CN"/>
              </w:rPr>
            </w:pPr>
            <w:r>
              <w:rPr>
                <w:rFonts w:hint="eastAsia" w:ascii="Times New Roman" w:hAnsi="Times New Roman" w:eastAsia="宋体" w:cs="宋体"/>
                <w:i w:val="0"/>
                <w:iCs w:val="0"/>
                <w:color w:val="000000"/>
                <w:kern w:val="0"/>
                <w:sz w:val="20"/>
                <w:szCs w:val="20"/>
                <w:u w:val="none"/>
                <w:lang w:val="en-US" w:eastAsia="zh-CN" w:bidi="ar"/>
              </w:rPr>
              <w:t>1080</w:t>
            </w:r>
          </w:p>
        </w:tc>
        <w:tc>
          <w:tcPr>
            <w:tcW w:w="405" w:type="dxa"/>
            <w:vMerge w:val="restart"/>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r>
              <w:rPr>
                <w:rFonts w:hint="eastAsia" w:ascii="Times New Roman" w:hAnsi="Times New Roman" w:cs="宋体"/>
                <w:kern w:val="0"/>
                <w:sz w:val="20"/>
                <w:szCs w:val="20"/>
                <w:lang w:val="en-US" w:eastAsia="zh-CN" w:bidi="ar"/>
              </w:rPr>
              <w:t>国产</w:t>
            </w:r>
          </w:p>
        </w:tc>
        <w:tc>
          <w:tcPr>
            <w:tcW w:w="1162" w:type="dxa"/>
            <w:vMerge w:val="restart"/>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r>
              <w:rPr>
                <w:rFonts w:hint="eastAsia" w:ascii="Times New Roman" w:hAnsi="Times New Roman" w:cs="宋体"/>
                <w:kern w:val="0"/>
                <w:sz w:val="20"/>
                <w:szCs w:val="20"/>
                <w:lang w:val="en-US" w:eastAsia="zh-CN" w:bidi="ar"/>
              </w:rPr>
              <w:t>220</w:t>
            </w:r>
            <w:r>
              <w:rPr>
                <w:rFonts w:hint="eastAsia" w:ascii="Times New Roman" w:hAnsi="Times New Roman" w:cs="宋体"/>
                <w:kern w:val="0"/>
                <w:sz w:val="20"/>
                <w:szCs w:val="20"/>
                <w:lang w:bidi="ar"/>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1"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cs="宋体"/>
                <w:kern w:val="0"/>
                <w:sz w:val="20"/>
                <w:szCs w:val="20"/>
                <w:lang w:val="en-US" w:eastAsia="zh-CN" w:bidi="ar"/>
              </w:rPr>
              <w:t>2</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一次性电凝切割器</w:t>
            </w:r>
          </w:p>
        </w:tc>
        <w:tc>
          <w:tcPr>
            <w:tcW w:w="805" w:type="dxa"/>
            <w:shd w:val="clear" w:color="auto" w:fill="FFFFFF" w:themeFill="background1"/>
            <w:noWrap/>
            <w:vAlign w:val="center"/>
          </w:tcPr>
          <w:p>
            <w:pPr>
              <w:jc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把</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1332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3"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连发钛夹</w:t>
            </w:r>
          </w:p>
        </w:tc>
        <w:tc>
          <w:tcPr>
            <w:tcW w:w="805" w:type="dxa"/>
            <w:shd w:val="clear" w:color="auto" w:fill="FFFFFF" w:themeFill="background1"/>
            <w:noWrap/>
            <w:vAlign w:val="center"/>
          </w:tcPr>
          <w:p>
            <w:pPr>
              <w:jc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把</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1242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4</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一次性使用内窥镜标本取物袋</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只</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5</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88.2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6</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88.2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7</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97.2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8</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9</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16</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17</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702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18</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1134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1404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21</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1422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22</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1512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23</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2952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24</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220.5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432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26</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一次性使用负压引流导管（套件）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1152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一次性使用负压引流导管（单只引流导管）</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根</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617.4</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28</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29</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一次性使用高频电刀笔</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支</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24.3</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r>
              <w:rPr>
                <w:rFonts w:hint="eastAsia" w:ascii="Times New Roman" w:hAnsi="Times New Roman" w:cs="宋体"/>
                <w:i w:val="0"/>
                <w:iCs w:val="0"/>
                <w:color w:val="000000"/>
                <w:kern w:val="0"/>
                <w:sz w:val="20"/>
                <w:szCs w:val="20"/>
                <w:u w:val="none"/>
                <w:lang w:val="en-US" w:eastAsia="zh-CN" w:bidi="ar"/>
              </w:rPr>
              <w:t>1</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一次性使用中性电极</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片</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16.2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r>
              <w:rPr>
                <w:rFonts w:hint="eastAsia" w:ascii="Times New Roman" w:hAnsi="Times New Roman" w:cs="宋体"/>
                <w:i w:val="0"/>
                <w:iCs w:val="0"/>
                <w:color w:val="000000"/>
                <w:kern w:val="0"/>
                <w:sz w:val="20"/>
                <w:szCs w:val="20"/>
                <w:u w:val="none"/>
                <w:lang w:val="en-US" w:eastAsia="zh-CN" w:bidi="ar"/>
              </w:rPr>
              <w:t>2</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中性电极导线</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根</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135</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r>
              <w:rPr>
                <w:rFonts w:hint="eastAsia" w:ascii="Times New Roman" w:hAnsi="Times New Roman" w:cs="宋体"/>
                <w:i w:val="0"/>
                <w:iCs w:val="0"/>
                <w:color w:val="000000"/>
                <w:kern w:val="0"/>
                <w:sz w:val="20"/>
                <w:szCs w:val="20"/>
                <w:u w:val="none"/>
                <w:lang w:val="en-US" w:eastAsia="zh-CN" w:bidi="ar"/>
              </w:rPr>
              <w:t>3</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1422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r>
              <w:rPr>
                <w:rFonts w:hint="eastAsia" w:ascii="Times New Roman" w:hAnsi="Times New Roman" w:cs="宋体"/>
                <w:i w:val="0"/>
                <w:iCs w:val="0"/>
                <w:color w:val="000000"/>
                <w:kern w:val="0"/>
                <w:sz w:val="20"/>
                <w:szCs w:val="20"/>
                <w:u w:val="none"/>
                <w:lang w:val="en-US" w:eastAsia="zh-CN" w:bidi="ar"/>
              </w:rPr>
              <w:t>4</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2052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kern w:val="0"/>
                <w:sz w:val="20"/>
                <w:szCs w:val="20"/>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r>
              <w:rPr>
                <w:rFonts w:hint="eastAsia" w:ascii="Times New Roman" w:hAnsi="Times New Roman" w:cs="宋体"/>
                <w:i w:val="0"/>
                <w:iCs w:val="0"/>
                <w:color w:val="000000"/>
                <w:kern w:val="0"/>
                <w:sz w:val="20"/>
                <w:szCs w:val="20"/>
                <w:u w:val="none"/>
                <w:lang w:val="en-US" w:eastAsia="zh-CN" w:bidi="ar"/>
              </w:rPr>
              <w:t>5</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1332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36</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1242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37</w:t>
            </w:r>
          </w:p>
        </w:tc>
        <w:tc>
          <w:tcPr>
            <w:tcW w:w="3295" w:type="dxa"/>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805"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1328" w:type="dxa"/>
            <w:shd w:val="clear" w:color="auto" w:fill="FFFFFF" w:themeFill="background1"/>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shd w:val="clear" w:color="auto" w:fill="FFFFFF"/>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1152</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589" w:type="dxa"/>
            <w:vMerge w:val="continue"/>
            <w:shd w:val="clear" w:color="auto" w:fill="FFFFFF" w:themeFill="background1"/>
            <w:vAlign w:val="center"/>
          </w:tcPr>
          <w:p>
            <w:pPr>
              <w:widowControl/>
              <w:adjustRightInd w:val="0"/>
              <w:snapToGrid w:val="0"/>
              <w:jc w:val="center"/>
              <w:rPr>
                <w:kern w:val="0"/>
                <w:szCs w:val="21"/>
              </w:rPr>
            </w:pPr>
          </w:p>
        </w:tc>
        <w:tc>
          <w:tcPr>
            <w:tcW w:w="692" w:type="dxa"/>
            <w:vMerge w:val="continue"/>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p>
        </w:tc>
        <w:tc>
          <w:tcPr>
            <w:tcW w:w="4564" w:type="dxa"/>
            <w:gridSpan w:val="3"/>
            <w:tcBorders>
              <w:bottom w:val="single" w:color="auto" w:sz="4" w:space="0"/>
            </w:tcBorders>
            <w:shd w:val="clear" w:color="auto" w:fill="FDEADA" w:themeFill="accent6" w:themeFillTint="32"/>
            <w:noWrap/>
            <w:vAlign w:val="center"/>
          </w:tcPr>
          <w:p>
            <w:pPr>
              <w:widowControl/>
              <w:adjustRightInd w:val="0"/>
              <w:snapToGrid w:val="0"/>
              <w:jc w:val="center"/>
              <w:textAlignment w:val="center"/>
              <w:rPr>
                <w:rFonts w:ascii="宋体" w:hAnsi="宋体" w:cs="宋体"/>
                <w:kern w:val="0"/>
                <w:sz w:val="20"/>
                <w:szCs w:val="20"/>
                <w:lang w:bidi="ar"/>
              </w:rPr>
            </w:pPr>
            <w:r>
              <w:rPr>
                <w:rFonts w:hint="eastAsia"/>
                <w:b/>
                <w:bCs/>
                <w:kern w:val="0"/>
                <w:szCs w:val="21"/>
              </w:rPr>
              <w:t>标项</w:t>
            </w:r>
            <w:r>
              <w:rPr>
                <w:rFonts w:hint="eastAsia"/>
                <w:b/>
                <w:bCs/>
                <w:kern w:val="0"/>
                <w:szCs w:val="21"/>
                <w:lang w:val="en-US" w:eastAsia="zh-CN"/>
              </w:rPr>
              <w:t>二</w:t>
            </w:r>
            <w:r>
              <w:rPr>
                <w:rFonts w:hint="eastAsia"/>
                <w:b/>
                <w:bCs/>
                <w:kern w:val="0"/>
                <w:szCs w:val="21"/>
              </w:rPr>
              <w:t>单价合计金额</w:t>
            </w:r>
          </w:p>
        </w:tc>
        <w:tc>
          <w:tcPr>
            <w:tcW w:w="1328" w:type="dxa"/>
            <w:tcBorders>
              <w:bottom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kern w:val="0"/>
                <w:sz w:val="20"/>
                <w:szCs w:val="20"/>
                <w:lang w:val="en-US" w:eastAsia="zh-CN" w:bidi="ar"/>
              </w:rPr>
            </w:pPr>
            <w:r>
              <w:rPr>
                <w:rFonts w:hint="default" w:ascii="Times New Roman" w:hAnsi="Times New Roman" w:eastAsia="宋体" w:cs="宋体"/>
                <w:kern w:val="0"/>
                <w:sz w:val="20"/>
                <w:szCs w:val="20"/>
                <w:lang w:val="en-US" w:eastAsia="zh-CN" w:bidi="ar"/>
              </w:rPr>
              <w:t>32</w:t>
            </w:r>
            <w:r>
              <w:rPr>
                <w:rFonts w:hint="eastAsia" w:ascii="Times New Roman" w:hAnsi="Times New Roman" w:cs="宋体"/>
                <w:kern w:val="0"/>
                <w:sz w:val="20"/>
                <w:szCs w:val="20"/>
                <w:lang w:val="en-US" w:eastAsia="zh-CN" w:bidi="ar"/>
              </w:rPr>
              <w:t>,</w:t>
            </w:r>
            <w:r>
              <w:rPr>
                <w:rFonts w:hint="default" w:ascii="Times New Roman" w:hAnsi="Times New Roman" w:eastAsia="宋体" w:cs="宋体"/>
                <w:kern w:val="0"/>
                <w:sz w:val="20"/>
                <w:szCs w:val="20"/>
                <w:lang w:val="en-US" w:eastAsia="zh-CN" w:bidi="ar"/>
              </w:rPr>
              <w:t>434.2</w:t>
            </w:r>
            <w:r>
              <w:rPr>
                <w:rFonts w:hint="eastAsia" w:ascii="Times New Roman" w:hAnsi="Times New Roman" w:cs="宋体"/>
                <w:kern w:val="0"/>
                <w:sz w:val="20"/>
                <w:szCs w:val="20"/>
                <w:lang w:val="en-US" w:eastAsia="zh-CN" w:bidi="ar"/>
              </w:rPr>
              <w:t>0</w:t>
            </w:r>
          </w:p>
        </w:tc>
        <w:tc>
          <w:tcPr>
            <w:tcW w:w="405" w:type="dxa"/>
            <w:vMerge w:val="continue"/>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589" w:type="dxa"/>
            <w:vMerge w:val="restart"/>
            <w:shd w:val="clear" w:color="auto" w:fill="FFFFFF" w:themeFill="background1"/>
            <w:vAlign w:val="center"/>
          </w:tcPr>
          <w:p>
            <w:pPr>
              <w:widowControl/>
              <w:adjustRightInd w:val="0"/>
              <w:snapToGrid w:val="0"/>
              <w:jc w:val="center"/>
              <w:rPr>
                <w:rFonts w:hint="eastAsia"/>
                <w:kern w:val="0"/>
                <w:szCs w:val="21"/>
                <w:lang w:val="en-US" w:eastAsia="zh-CN"/>
              </w:rPr>
            </w:pPr>
            <w:r>
              <w:rPr>
                <w:rFonts w:hint="eastAsia"/>
                <w:kern w:val="0"/>
                <w:szCs w:val="21"/>
                <w:lang w:val="en-US" w:eastAsia="zh-CN"/>
              </w:rPr>
              <w:t>标项</w:t>
            </w:r>
          </w:p>
          <w:p>
            <w:pPr>
              <w:widowControl/>
              <w:adjustRightInd w:val="0"/>
              <w:snapToGrid w:val="0"/>
              <w:jc w:val="center"/>
              <w:rPr>
                <w:rFonts w:hint="default" w:eastAsia="宋体"/>
                <w:kern w:val="0"/>
                <w:szCs w:val="21"/>
                <w:lang w:val="en-US" w:eastAsia="zh-CN"/>
              </w:rPr>
            </w:pPr>
            <w:r>
              <w:rPr>
                <w:rFonts w:hint="eastAsia"/>
                <w:kern w:val="0"/>
                <w:szCs w:val="21"/>
                <w:lang w:val="en-US" w:eastAsia="zh-CN"/>
              </w:rPr>
              <w:t>3</w:t>
            </w:r>
          </w:p>
        </w:tc>
        <w:tc>
          <w:tcPr>
            <w:tcW w:w="692" w:type="dxa"/>
            <w:vMerge w:val="restart"/>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r>
              <w:rPr>
                <w:rFonts w:hint="eastAsia" w:ascii="Times New Roman" w:hAnsi="Times New Roman" w:eastAsia="宋体" w:cs="宋体"/>
                <w:kern w:val="0"/>
                <w:sz w:val="20"/>
                <w:szCs w:val="20"/>
                <w:lang w:val="en-US" w:eastAsia="zh-CN" w:bidi="ar"/>
              </w:rPr>
              <w:t>影像中心</w:t>
            </w:r>
          </w:p>
        </w:tc>
        <w:tc>
          <w:tcPr>
            <w:tcW w:w="464" w:type="dxa"/>
            <w:tcBorders>
              <w:top w:val="single" w:color="auto" w:sz="4" w:space="0"/>
              <w:bottom w:val="single" w:color="auto" w:sz="4" w:space="0"/>
              <w:right w:val="single" w:color="auto" w:sz="4" w:space="0"/>
            </w:tcBorders>
            <w:shd w:val="clear" w:color="auto" w:fill="FFFFFF" w:themeFill="background1"/>
            <w:noWrap/>
            <w:vAlign w:val="center"/>
          </w:tcPr>
          <w:p>
            <w:pPr>
              <w:widowControl/>
              <w:adjustRightInd w:val="0"/>
              <w:snapToGrid w:val="0"/>
              <w:jc w:val="center"/>
              <w:textAlignment w:val="center"/>
              <w:rPr>
                <w:rFonts w:hint="default" w:eastAsia="宋体"/>
                <w:b w:val="0"/>
                <w:bCs w:val="0"/>
                <w:kern w:val="0"/>
                <w:szCs w:val="21"/>
                <w:lang w:val="en-US" w:eastAsia="zh-CN"/>
              </w:rPr>
            </w:pPr>
            <w:r>
              <w:rPr>
                <w:rFonts w:hint="eastAsia"/>
                <w:b w:val="0"/>
                <w:bCs w:val="0"/>
                <w:kern w:val="0"/>
                <w:szCs w:val="21"/>
                <w:lang w:val="en-US" w:eastAsia="zh-CN"/>
              </w:rPr>
              <w:t>1</w:t>
            </w:r>
          </w:p>
        </w:tc>
        <w:tc>
          <w:tcPr>
            <w:tcW w:w="329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8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2"/>
                <w:szCs w:val="22"/>
                <w:u w:val="none"/>
                <w:lang w:val="en-US" w:eastAsia="zh-CN" w:bidi="ar"/>
              </w:rPr>
              <w:t>套</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75</w:t>
            </w:r>
          </w:p>
        </w:tc>
        <w:tc>
          <w:tcPr>
            <w:tcW w:w="405" w:type="dxa"/>
            <w:vMerge w:val="restart"/>
            <w:tcBorders>
              <w:lef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国产</w:t>
            </w:r>
          </w:p>
        </w:tc>
        <w:tc>
          <w:tcPr>
            <w:tcW w:w="1162" w:type="dxa"/>
            <w:vMerge w:val="restart"/>
            <w:shd w:val="clear" w:color="auto" w:fill="FFFFFF" w:themeFill="background1"/>
            <w:vAlign w:val="center"/>
          </w:tcPr>
          <w:p>
            <w:pPr>
              <w:widowControl/>
              <w:adjustRightInd w:val="0"/>
              <w:snapToGrid w:val="0"/>
              <w:jc w:val="center"/>
              <w:textAlignment w:val="center"/>
              <w:rPr>
                <w:rFonts w:hint="default" w:ascii="宋体" w:hAnsi="宋体" w:eastAsia="宋体" w:cs="宋体"/>
                <w:kern w:val="0"/>
                <w:sz w:val="20"/>
                <w:szCs w:val="20"/>
                <w:lang w:val="en-US" w:eastAsia="zh-CN" w:bidi="ar"/>
              </w:rPr>
            </w:pPr>
            <w:r>
              <w:rPr>
                <w:rFonts w:hint="eastAsia" w:ascii="Times New Roman" w:hAnsi="Times New Roman" w:cs="宋体"/>
                <w:kern w:val="0"/>
                <w:sz w:val="20"/>
                <w:szCs w:val="20"/>
                <w:lang w:val="en-US" w:eastAsia="zh-CN" w:bidi="ar"/>
              </w:rPr>
              <w:t>125万元/年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589" w:type="dxa"/>
            <w:vMerge w:val="continue"/>
            <w:shd w:val="clear" w:color="auto" w:fill="FFFFFF" w:themeFill="background1"/>
            <w:vAlign w:val="center"/>
          </w:tcPr>
          <w:p>
            <w:pPr>
              <w:widowControl/>
              <w:adjustRightInd w:val="0"/>
              <w:snapToGrid w:val="0"/>
              <w:jc w:val="center"/>
              <w:rPr>
                <w:rFonts w:hint="eastAsia"/>
                <w:kern w:val="0"/>
                <w:szCs w:val="21"/>
                <w:lang w:val="en-US" w:eastAsia="zh-CN"/>
              </w:rPr>
            </w:pPr>
          </w:p>
        </w:tc>
        <w:tc>
          <w:tcPr>
            <w:tcW w:w="692" w:type="dxa"/>
            <w:vMerge w:val="continue"/>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p>
        </w:tc>
        <w:tc>
          <w:tcPr>
            <w:tcW w:w="464" w:type="dxa"/>
            <w:tcBorders>
              <w:top w:val="single" w:color="auto" w:sz="4" w:space="0"/>
              <w:bottom w:val="single" w:color="auto" w:sz="4" w:space="0"/>
              <w:right w:val="single" w:color="auto" w:sz="4" w:space="0"/>
            </w:tcBorders>
            <w:shd w:val="clear" w:color="auto" w:fill="FFFFFF" w:themeFill="background1"/>
            <w:noWrap/>
            <w:vAlign w:val="center"/>
          </w:tcPr>
          <w:p>
            <w:pPr>
              <w:widowControl/>
              <w:adjustRightInd w:val="0"/>
              <w:snapToGrid w:val="0"/>
              <w:jc w:val="center"/>
              <w:textAlignment w:val="center"/>
              <w:rPr>
                <w:rFonts w:hint="eastAsia" w:eastAsia="宋体"/>
                <w:b w:val="0"/>
                <w:bCs w:val="0"/>
                <w:kern w:val="0"/>
                <w:szCs w:val="21"/>
                <w:lang w:val="en-US" w:eastAsia="zh-CN"/>
              </w:rPr>
            </w:pPr>
            <w:r>
              <w:rPr>
                <w:rFonts w:hint="eastAsia"/>
                <w:b w:val="0"/>
                <w:bCs w:val="0"/>
                <w:kern w:val="0"/>
                <w:szCs w:val="21"/>
                <w:lang w:val="en-US" w:eastAsia="zh-CN"/>
              </w:rPr>
              <w:t>2</w:t>
            </w:r>
          </w:p>
        </w:tc>
        <w:tc>
          <w:tcPr>
            <w:tcW w:w="329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8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2"/>
                <w:szCs w:val="22"/>
                <w:u w:val="none"/>
                <w:lang w:val="en-US" w:eastAsia="zh-CN" w:bidi="ar"/>
              </w:rPr>
              <w:t>套</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150</w:t>
            </w:r>
          </w:p>
        </w:tc>
        <w:tc>
          <w:tcPr>
            <w:tcW w:w="405" w:type="dxa"/>
            <w:vMerge w:val="continue"/>
            <w:tcBorders>
              <w:lef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589" w:type="dxa"/>
            <w:vMerge w:val="continue"/>
            <w:shd w:val="clear" w:color="auto" w:fill="FFFFFF" w:themeFill="background1"/>
            <w:vAlign w:val="center"/>
          </w:tcPr>
          <w:p>
            <w:pPr>
              <w:widowControl/>
              <w:adjustRightInd w:val="0"/>
              <w:snapToGrid w:val="0"/>
              <w:jc w:val="center"/>
              <w:rPr>
                <w:rFonts w:hint="eastAsia"/>
                <w:kern w:val="0"/>
                <w:szCs w:val="21"/>
                <w:lang w:val="en-US" w:eastAsia="zh-CN"/>
              </w:rPr>
            </w:pPr>
          </w:p>
        </w:tc>
        <w:tc>
          <w:tcPr>
            <w:tcW w:w="692" w:type="dxa"/>
            <w:vMerge w:val="continue"/>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p>
        </w:tc>
        <w:tc>
          <w:tcPr>
            <w:tcW w:w="464" w:type="dxa"/>
            <w:tcBorders>
              <w:top w:val="single" w:color="auto" w:sz="4" w:space="0"/>
              <w:bottom w:val="single" w:color="auto" w:sz="4" w:space="0"/>
              <w:right w:val="single" w:color="auto" w:sz="4" w:space="0"/>
            </w:tcBorders>
            <w:shd w:val="clear" w:color="auto" w:fill="FFFFFF" w:themeFill="background1"/>
            <w:noWrap/>
            <w:vAlign w:val="center"/>
          </w:tcPr>
          <w:p>
            <w:pPr>
              <w:widowControl/>
              <w:adjustRightInd w:val="0"/>
              <w:snapToGrid w:val="0"/>
              <w:jc w:val="center"/>
              <w:textAlignment w:val="center"/>
              <w:rPr>
                <w:rFonts w:hint="eastAsia" w:eastAsia="宋体"/>
                <w:b w:val="0"/>
                <w:bCs w:val="0"/>
                <w:kern w:val="0"/>
                <w:szCs w:val="21"/>
                <w:lang w:val="en-US" w:eastAsia="zh-CN"/>
              </w:rPr>
            </w:pPr>
            <w:r>
              <w:rPr>
                <w:rFonts w:hint="eastAsia"/>
                <w:b w:val="0"/>
                <w:bCs w:val="0"/>
                <w:kern w:val="0"/>
                <w:szCs w:val="21"/>
                <w:lang w:val="en-US" w:eastAsia="zh-CN"/>
              </w:rPr>
              <w:t>3</w:t>
            </w:r>
          </w:p>
        </w:tc>
        <w:tc>
          <w:tcPr>
            <w:tcW w:w="329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8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b/>
                <w:bCs/>
                <w:kern w:val="0"/>
                <w:szCs w:val="21"/>
              </w:rPr>
            </w:pPr>
            <w:r>
              <w:rPr>
                <w:rFonts w:hint="eastAsia" w:ascii="Times New Roman" w:hAnsi="Times New Roman" w:eastAsia="宋体" w:cs="宋体"/>
                <w:i w:val="0"/>
                <w:iCs w:val="0"/>
                <w:color w:val="000000"/>
                <w:kern w:val="0"/>
                <w:sz w:val="22"/>
                <w:szCs w:val="22"/>
                <w:u w:val="none"/>
                <w:lang w:val="en-US" w:eastAsia="zh-CN" w:bidi="ar"/>
              </w:rPr>
              <w:t>套</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75</w:t>
            </w:r>
          </w:p>
        </w:tc>
        <w:tc>
          <w:tcPr>
            <w:tcW w:w="405" w:type="dxa"/>
            <w:vMerge w:val="continue"/>
            <w:tcBorders>
              <w:lef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589" w:type="dxa"/>
            <w:vMerge w:val="continue"/>
            <w:shd w:val="clear" w:color="auto" w:fill="FFFFFF" w:themeFill="background1"/>
            <w:vAlign w:val="center"/>
          </w:tcPr>
          <w:p>
            <w:pPr>
              <w:widowControl/>
              <w:adjustRightInd w:val="0"/>
              <w:snapToGrid w:val="0"/>
              <w:jc w:val="center"/>
              <w:rPr>
                <w:rFonts w:hint="eastAsia"/>
                <w:kern w:val="0"/>
                <w:szCs w:val="21"/>
                <w:lang w:val="en-US" w:eastAsia="zh-CN"/>
              </w:rPr>
            </w:pPr>
          </w:p>
        </w:tc>
        <w:tc>
          <w:tcPr>
            <w:tcW w:w="692" w:type="dxa"/>
            <w:vMerge w:val="continue"/>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p>
        </w:tc>
        <w:tc>
          <w:tcPr>
            <w:tcW w:w="4564" w:type="dxa"/>
            <w:gridSpan w:val="3"/>
            <w:tcBorders>
              <w:top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b/>
                <w:bCs/>
                <w:kern w:val="0"/>
                <w:szCs w:val="21"/>
              </w:rPr>
              <w:t>标项</w:t>
            </w:r>
            <w:r>
              <w:rPr>
                <w:rFonts w:hint="eastAsia"/>
                <w:b/>
                <w:bCs/>
                <w:kern w:val="0"/>
                <w:szCs w:val="21"/>
                <w:lang w:val="en-US" w:eastAsia="zh-CN"/>
              </w:rPr>
              <w:t>三</w:t>
            </w:r>
            <w:r>
              <w:rPr>
                <w:rFonts w:hint="eastAsia"/>
                <w:b/>
                <w:bCs/>
                <w:kern w:val="0"/>
                <w:szCs w:val="21"/>
              </w:rPr>
              <w:t>单价合计金额</w:t>
            </w:r>
          </w:p>
        </w:tc>
        <w:tc>
          <w:tcPr>
            <w:tcW w:w="1328" w:type="dxa"/>
            <w:tcBorders>
              <w:top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kern w:val="0"/>
                <w:sz w:val="20"/>
                <w:szCs w:val="20"/>
                <w:lang w:val="en-US" w:eastAsia="zh-CN" w:bidi="ar"/>
              </w:rPr>
              <w:t>300.00</w:t>
            </w:r>
          </w:p>
        </w:tc>
        <w:tc>
          <w:tcPr>
            <w:tcW w:w="405" w:type="dxa"/>
            <w:vMerge w:val="continue"/>
            <w:tcBorders>
              <w:lef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val="en-US" w:eastAsia="zh-CN" w:bidi="ar"/>
              </w:rPr>
            </w:pPr>
          </w:p>
        </w:tc>
      </w:tr>
    </w:tbl>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306" w:name="_Toc6319"/>
      <w:r>
        <w:rPr>
          <w:rFonts w:hint="eastAsia" w:eastAsia="黑体"/>
          <w:kern w:val="0"/>
          <w:sz w:val="32"/>
          <w:szCs w:val="32"/>
        </w:rPr>
        <w:t xml:space="preserve">第六章 </w:t>
      </w:r>
      <w:r>
        <w:rPr>
          <w:rFonts w:eastAsia="黑体"/>
          <w:kern w:val="0"/>
          <w:sz w:val="32"/>
          <w:szCs w:val="32"/>
        </w:rPr>
        <w:t>投标文件格式</w:t>
      </w:r>
      <w:bookmarkEnd w:id="292"/>
      <w:bookmarkEnd w:id="305"/>
      <w:bookmarkEnd w:id="306"/>
    </w:p>
    <w:p>
      <w:pPr>
        <w:jc w:val="center"/>
        <w:rPr>
          <w:i/>
          <w:iCs/>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i/>
          <w:iCs/>
        </w:rPr>
        <w:t>注：供应商可根据项目实际情况编制投标文件。</w:t>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kern w:val="0"/>
          <w:szCs w:val="21"/>
          <w:u w:val="single"/>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rPr>
          <w:rFonts w:ascii="Times New Roman" w:hAnsi="Times New Roman" w:cs="Times New Roman"/>
        </w:rPr>
      </w:pPr>
    </w:p>
    <w:p>
      <w:pPr>
        <w:pStyle w:val="431"/>
        <w:jc w:val="center"/>
        <w:rPr>
          <w:rFonts w:ascii="Times New Roman" w:hAnsi="Times New Roman" w:cs="Times New Roman"/>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jc w:val="center"/>
        <w:rPr>
          <w:rFonts w:eastAsia="黑体"/>
          <w:b/>
          <w:bCs/>
          <w:sz w:val="30"/>
          <w:szCs w:val="30"/>
        </w:rPr>
      </w:pPr>
      <w:bookmarkStart w:id="307" w:name="_Toc298745568"/>
      <w:bookmarkStart w:id="308" w:name="_Toc298458725"/>
      <w:bookmarkStart w:id="309" w:name="_Toc298434528"/>
      <w:bookmarkStart w:id="310" w:name="_Toc350418253"/>
      <w:bookmarkStart w:id="311" w:name="_Toc298434671"/>
      <w:bookmarkStart w:id="312" w:name="_Toc410631171"/>
      <w:bookmarkStart w:id="313" w:name="_Toc332094984"/>
      <w:bookmarkStart w:id="314" w:name="_Toc4228"/>
      <w:bookmarkStart w:id="315" w:name="_Toc23024"/>
      <w:bookmarkStart w:id="316" w:name="_Toc414445763"/>
      <w:bookmarkStart w:id="317" w:name="_Toc327276295"/>
      <w:bookmarkStart w:id="318" w:name="_Toc416103813"/>
      <w:bookmarkStart w:id="319" w:name="_Toc2190"/>
      <w:bookmarkStart w:id="320" w:name="_Toc9860"/>
      <w:bookmarkStart w:id="321" w:name="_Toc22735"/>
      <w:bookmarkStart w:id="322" w:name="_Toc298745650"/>
      <w:bookmarkStart w:id="323" w:name="_Toc9978"/>
      <w:r>
        <w:rPr>
          <w:rFonts w:eastAsia="黑体"/>
          <w:b/>
          <w:bCs/>
          <w:sz w:val="30"/>
          <w:szCs w:val="30"/>
        </w:rPr>
        <w:t>评标索引</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5"/>
              <w:spacing w:line="240" w:lineRule="auto"/>
              <w:ind w:firstLine="0"/>
              <w:rPr>
                <w:rFonts w:eastAsia="仿宋"/>
              </w:rPr>
            </w:pPr>
            <w:r>
              <w:rPr>
                <w:rFonts w:ascii="Times New Roman" w:hAnsi="Times New Roman" w:cs="Times New Roman"/>
                <w:kern w:val="0"/>
              </w:rPr>
              <w:t>具有独立承担民事责任的能力</w:t>
            </w:r>
          </w:p>
        </w:tc>
        <w:tc>
          <w:tcPr>
            <w:tcW w:w="4372" w:type="dxa"/>
            <w:vAlign w:val="center"/>
          </w:tcPr>
          <w:p>
            <w:pPr>
              <w:pStyle w:val="25"/>
              <w:spacing w:line="240" w:lineRule="auto"/>
              <w:ind w:firstLine="0"/>
              <w:rPr>
                <w:rFonts w:eastAsia="仿宋"/>
              </w:rPr>
            </w:pPr>
            <w:r>
              <w:rPr>
                <w:rFonts w:ascii="Times New Roman" w:hAnsi="Times New Roman" w:cs="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5"/>
              <w:spacing w:line="240" w:lineRule="auto"/>
              <w:ind w:firstLine="0"/>
              <w:rPr>
                <w:rFonts w:eastAsia="仿宋"/>
              </w:rPr>
            </w:pPr>
            <w:r>
              <w:rPr>
                <w:rFonts w:hint="eastAsia" w:eastAsia="仿宋"/>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i/>
                <w:iCs/>
                <w:szCs w:val="21"/>
              </w:rPr>
            </w:pPr>
            <w:r>
              <w:rPr>
                <w:i/>
                <w:iCs/>
                <w:szCs w:val="21"/>
              </w:rPr>
              <w:t>第2-3页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5"/>
              <w:spacing w:line="240" w:lineRule="auto"/>
              <w:ind w:firstLine="0"/>
              <w:rPr>
                <w:rFonts w:eastAsia="仿宋"/>
              </w:rPr>
            </w:pPr>
            <w:r>
              <w:rPr>
                <w:rFonts w:hint="eastAsia" w:ascii="Arial" w:hAnsi="Arial" w:cs="Arial"/>
                <w:snapToGrid w:val="0"/>
                <w:kern w:val="0"/>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r>
              <w:rPr>
                <w:rFonts w:hint="eastAsia" w:eastAsia="仿宋"/>
                <w:szCs w:val="21"/>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b/>
                <w:bCs/>
                <w:sz w:val="28"/>
                <w:szCs w:val="28"/>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ascii="Arial" w:hAnsi="Arial" w:cs="Arial"/>
                <w:snapToGrid w:val="0"/>
                <w:kern w:val="0"/>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textAlignment w:val="cente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9</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spacing w:line="360" w:lineRule="auto"/>
        <w:ind w:firstLine="480"/>
        <w:jc w:val="left"/>
        <w:rPr>
          <w:szCs w:val="21"/>
        </w:rPr>
      </w:pPr>
    </w:p>
    <w:p>
      <w:bookmarkStart w:id="324" w:name="_Toc16472"/>
      <w:r>
        <w:t>注：该评标索引表格放在投标文件目录后，正文的第一页。</w:t>
      </w:r>
      <w:bookmarkEnd w:id="324"/>
      <w:bookmarkStart w:id="325" w:name="_Toc24075"/>
      <w:bookmarkStart w:id="326" w:name="_Toc8800"/>
      <w:bookmarkStart w:id="327" w:name="_Toc16276"/>
      <w:bookmarkStart w:id="328" w:name="_Toc31746"/>
      <w:bookmarkStart w:id="329" w:name="_Toc15152"/>
      <w:bookmarkStart w:id="330" w:name="_Toc19769"/>
      <w:bookmarkStart w:id="331" w:name="_Toc8278"/>
    </w:p>
    <w:p>
      <w:pPr>
        <w:jc w:val="center"/>
        <w:rPr>
          <w:szCs w:val="21"/>
        </w:rPr>
      </w:pPr>
    </w:p>
    <w:p>
      <w:pPr>
        <w:jc w:val="center"/>
        <w:rPr>
          <w:szCs w:val="21"/>
        </w:rPr>
      </w:pPr>
    </w:p>
    <w:p>
      <w:pPr>
        <w:jc w:val="center"/>
        <w:rPr>
          <w:szCs w:val="21"/>
        </w:rPr>
      </w:pPr>
    </w:p>
    <w:p>
      <w:pPr>
        <w:jc w:val="center"/>
        <w:rPr>
          <w:rFonts w:eastAsia="黑体"/>
          <w:b/>
          <w:bCs/>
          <w:sz w:val="30"/>
          <w:szCs w:val="30"/>
        </w:rPr>
        <w:sectPr>
          <w:footerReference r:id="rId6"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eastAsia="黑体"/>
          <w:b/>
          <w:bCs/>
          <w:sz w:val="30"/>
          <w:szCs w:val="30"/>
        </w:rPr>
      </w:pPr>
      <w:r>
        <w:rPr>
          <w:rFonts w:eastAsia="黑体"/>
          <w:b/>
          <w:bCs/>
          <w:sz w:val="30"/>
          <w:szCs w:val="30"/>
        </w:rPr>
        <w:t>评标索引</w:t>
      </w:r>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85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855" w:type="dxa"/>
            <w:vAlign w:val="center"/>
          </w:tcPr>
          <w:p>
            <w:pPr>
              <w:snapToGrid w:val="0"/>
              <w:jc w:val="center"/>
              <w:rPr>
                <w:rFonts w:eastAsia="仿宋"/>
                <w:b/>
                <w:bCs/>
                <w:szCs w:val="21"/>
              </w:rPr>
            </w:pPr>
            <w:r>
              <w:rPr>
                <w:b/>
                <w:bCs/>
                <w:szCs w:val="21"/>
              </w:rPr>
              <w:t>评标办法审查标准</w:t>
            </w:r>
          </w:p>
        </w:tc>
        <w:tc>
          <w:tcPr>
            <w:tcW w:w="1360"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rPr>
              <w:t>产品符合性（</w:t>
            </w:r>
            <w:r>
              <w:rPr>
                <w:rFonts w:hint="eastAsia"/>
                <w:lang w:val="en-US" w:eastAsia="zh-CN"/>
              </w:rPr>
              <w:t>45</w:t>
            </w:r>
            <w:r>
              <w:rPr>
                <w:rFonts w:hint="eastAsia"/>
              </w:rPr>
              <w:t>分）</w:t>
            </w:r>
          </w:p>
        </w:tc>
        <w:tc>
          <w:tcPr>
            <w:tcW w:w="4855"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根据投标人的产品技术规格、参数响应程度打分，所投产品所有技术参数全部满足的招标文件要求的得基本分</w:t>
            </w:r>
            <w:r>
              <w:rPr>
                <w:rFonts w:hint="eastAsia"/>
                <w:lang w:val="en-US" w:eastAsia="zh-CN"/>
              </w:rPr>
              <w:t>45</w:t>
            </w:r>
            <w:r>
              <w:rPr>
                <w:rFonts w:hint="eastAsia"/>
              </w:rPr>
              <w:t>分，每有一项指标低于招标文件要求的扣5分，此项最高得</w:t>
            </w:r>
            <w:r>
              <w:rPr>
                <w:rFonts w:hint="eastAsia"/>
                <w:lang w:val="en-US" w:eastAsia="zh-CN"/>
              </w:rPr>
              <w:t>45</w:t>
            </w:r>
            <w:r>
              <w:rPr>
                <w:rFonts w:hint="eastAsia"/>
              </w:rPr>
              <w:t>分，最低得0分。</w:t>
            </w:r>
          </w:p>
          <w:p>
            <w:pPr>
              <w:jc w:val="left"/>
              <w:rPr>
                <w:rFonts w:eastAsia="仿宋"/>
                <w:szCs w:val="21"/>
              </w:rPr>
            </w:pPr>
            <w:r>
              <w:rPr>
                <w:rFonts w:hint="eastAsia"/>
              </w:rPr>
              <w:t>以投标人提供的第三方检测机构出具的关于本次招标产品的检测报告中检测结果数据或医疗器械注册证内容为依据进行评分。</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ascii="Arial" w:hAnsi="Arial" w:cs="Arial"/>
                <w:snapToGrid w:val="0"/>
                <w:kern w:val="0"/>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25"/>
    <w:bookmarkEnd w:id="326"/>
    <w:bookmarkEnd w:id="327"/>
    <w:bookmarkEnd w:id="328"/>
    <w:bookmarkEnd w:id="329"/>
    <w:bookmarkEnd w:id="330"/>
    <w:bookmarkEnd w:id="331"/>
    <w:p>
      <w:pPr>
        <w:pStyle w:val="4"/>
        <w:spacing w:before="0" w:after="0" w:line="240" w:lineRule="auto"/>
        <w:rPr>
          <w:rFonts w:ascii="Times New Roman" w:hAnsi="Times New Roman"/>
          <w:sz w:val="28"/>
          <w:szCs w:val="28"/>
        </w:rPr>
      </w:pPr>
      <w:bookmarkStart w:id="332" w:name="_Toc26798"/>
      <w:bookmarkStart w:id="333" w:name="_Toc103677755"/>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332"/>
      <w:bookmarkEnd w:id="333"/>
    </w:p>
    <w:p>
      <w:pPr>
        <w:pStyle w:val="2"/>
        <w:spacing w:before="0" w:after="0" w:line="240" w:lineRule="auto"/>
        <w:rPr>
          <w:rFonts w:eastAsia="黑体"/>
          <w:sz w:val="28"/>
          <w:szCs w:val="28"/>
        </w:rPr>
      </w:pPr>
      <w:bookmarkStart w:id="334" w:name="_Toc7448"/>
      <w:bookmarkStart w:id="335" w:name="_Toc103677756"/>
      <w:r>
        <w:rPr>
          <w:rFonts w:hint="eastAsia" w:eastAsia="黑体"/>
          <w:sz w:val="28"/>
          <w:szCs w:val="28"/>
        </w:rPr>
        <w:t>一、</w:t>
      </w:r>
      <w:r>
        <w:rPr>
          <w:rFonts w:eastAsia="黑体"/>
          <w:sz w:val="28"/>
          <w:szCs w:val="28"/>
        </w:rPr>
        <w:t>投标函</w:t>
      </w:r>
      <w:bookmarkEnd w:id="334"/>
      <w:bookmarkEnd w:id="335"/>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 标项一（标项号）</w:t>
      </w:r>
      <w:r>
        <w:rPr>
          <w:kern w:val="0"/>
          <w:sz w:val="24"/>
        </w:rPr>
        <w:t>招标文件（包括修改、澄清文件）的全部内容，且对招标文件无任何异议，并愿意以“开标一览表”所填写的投标报价（单价合计金额）、交货期、供货周期及交货地点，向你方</w:t>
      </w:r>
      <w:r>
        <w:rPr>
          <w:sz w:val="24"/>
        </w:rPr>
        <w:t>提供招标文件要求的货物和服务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kern w:val="0"/>
          <w:sz w:val="24"/>
        </w:rPr>
        <w:t>年  月   日</w:t>
      </w:r>
      <w:r>
        <w:br w:type="page"/>
      </w:r>
      <w:bookmarkStart w:id="336" w:name="_Toc31123"/>
      <w:bookmarkStart w:id="337" w:name="_Toc18628"/>
    </w:p>
    <w:p>
      <w:pPr>
        <w:pStyle w:val="2"/>
        <w:adjustRightInd w:val="0"/>
        <w:snapToGrid w:val="0"/>
        <w:spacing w:before="0" w:after="0" w:line="360" w:lineRule="auto"/>
        <w:rPr>
          <w:rFonts w:eastAsia="黑体"/>
          <w:sz w:val="28"/>
          <w:szCs w:val="28"/>
        </w:rPr>
      </w:pPr>
      <w:bookmarkStart w:id="338" w:name="_Toc31642"/>
      <w:bookmarkStart w:id="339" w:name="_Toc103677757"/>
      <w:r>
        <w:rPr>
          <w:rFonts w:hint="eastAsia" w:eastAsia="黑体"/>
          <w:sz w:val="28"/>
          <w:szCs w:val="28"/>
        </w:rPr>
        <w:t>二、《法定代表人资格证明书》或《法定代表人授权委托书》等</w:t>
      </w:r>
      <w:bookmarkEnd w:id="338"/>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340" w:name="_Toc195922058"/>
    </w:p>
    <w:p>
      <w:pPr>
        <w:rPr>
          <w:rFonts w:eastAsia="黑体"/>
          <w:sz w:val="36"/>
          <w:szCs w:val="36"/>
        </w:rPr>
      </w:pPr>
      <w:r>
        <w:rPr>
          <w:rFonts w:eastAsia="黑体"/>
          <w:sz w:val="36"/>
          <w:szCs w:val="36"/>
        </w:rPr>
        <w:br w:type="page"/>
      </w: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340"/>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          ）的投标活动，并代表本人全权办理针对上述项目的投标、签约等具体事务和签署相关文件。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spacing w:before="120" w:beforeLines="50" w:after="120" w:afterLines="50" w:line="360" w:lineRule="auto"/>
        <w:ind w:left="546" w:leftChars="260"/>
      </w:pPr>
    </w:p>
    <w:p>
      <w:pPr>
        <w:sectPr>
          <w:footerReference r:id="rId7"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341" w:name="_Toc29190"/>
      <w:r>
        <w:rPr>
          <w:rFonts w:hint="eastAsia" w:eastAsia="黑体"/>
          <w:sz w:val="28"/>
          <w:szCs w:val="28"/>
        </w:rPr>
        <w:t>三、</w:t>
      </w:r>
      <w:r>
        <w:rPr>
          <w:rFonts w:eastAsia="黑体"/>
          <w:sz w:val="28"/>
          <w:szCs w:val="28"/>
        </w:rPr>
        <w:t>资格审查证明文件</w:t>
      </w:r>
      <w:bookmarkEnd w:id="336"/>
      <w:bookmarkEnd w:id="337"/>
      <w:bookmarkEnd w:id="339"/>
      <w:bookmarkEnd w:id="341"/>
    </w:p>
    <w:p>
      <w:pPr>
        <w:autoSpaceDE w:val="0"/>
        <w:autoSpaceDN w:val="0"/>
        <w:adjustRightInd w:val="0"/>
        <w:jc w:val="center"/>
        <w:rPr>
          <w:rFonts w:eastAsia="黑体"/>
          <w:b/>
          <w:bCs/>
          <w:kern w:val="0"/>
          <w:sz w:val="36"/>
          <w:szCs w:val="36"/>
        </w:rPr>
      </w:pPr>
    </w:p>
    <w:p>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p>
      <w:pPr>
        <w:spacing w:line="360" w:lineRule="auto"/>
        <w:ind w:firstLine="480" w:firstLineChars="200"/>
        <w:rPr>
          <w:snapToGrid w:val="0"/>
          <w:kern w:val="0"/>
          <w:sz w:val="24"/>
        </w:rPr>
      </w:pPr>
      <w:r>
        <w:rPr>
          <w:snapToGrid w:val="0"/>
          <w:kern w:val="0"/>
          <w:sz w:val="24"/>
        </w:rPr>
        <w:t>1、供应商在国家或地方有关登记管理机关登记注册的有效证明材料复印件（如营业执照、事业单位法人证书、自然人身份证明等）（格式见3-1）</w:t>
      </w:r>
    </w:p>
    <w:p>
      <w:pPr>
        <w:spacing w:line="360" w:lineRule="auto"/>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2、提供上年度</w:t>
      </w:r>
      <w:r>
        <w:rPr>
          <w:rFonts w:hint="eastAsia" w:ascii="Times New Roman" w:hAnsi="Times New Roman" w:eastAsia="宋体" w:cs="Times New Roman"/>
          <w:snapToGrid w:val="0"/>
          <w:kern w:val="0"/>
          <w:sz w:val="24"/>
        </w:rPr>
        <w:t>（</w:t>
      </w:r>
      <w:r>
        <w:rPr>
          <w:rFonts w:hint="eastAsia" w:ascii="Times New Roman" w:hAnsi="Times New Roman" w:eastAsia="宋体" w:cs="Times New Roman"/>
          <w:snapToGrid w:val="0"/>
          <w:kern w:val="0"/>
          <w:sz w:val="24"/>
          <w:lang w:eastAsia="zh-CN"/>
        </w:rPr>
        <w:t>2022年度</w:t>
      </w:r>
      <w:r>
        <w:rPr>
          <w:rFonts w:hint="eastAsia" w:ascii="Times New Roman" w:hAnsi="Times New Roman" w:eastAsia="宋体" w:cs="Times New Roman"/>
          <w:snapToGrid w:val="0"/>
          <w:kern w:val="0"/>
          <w:sz w:val="24"/>
        </w:rPr>
        <w:t>）</w:t>
      </w:r>
      <w:r>
        <w:rPr>
          <w:rFonts w:ascii="Times New Roman" w:hAnsi="Times New Roman" w:eastAsia="宋体" w:cs="Times New Roman"/>
          <w:snapToGrid w:val="0"/>
          <w:kern w:val="0"/>
          <w:sz w:val="24"/>
        </w:rPr>
        <w:t>财务审计报告或半年内任意一个月财务报表（财务报表应至少包括资产负债表、利润表、现金流量表或财务状况变动表，当月新成立的，不需提供）。（格式见3-2）</w:t>
      </w:r>
    </w:p>
    <w:p>
      <w:pPr>
        <w:spacing w:line="360" w:lineRule="auto"/>
        <w:ind w:firstLine="480" w:firstLineChars="200"/>
        <w:rPr>
          <w:snapToGrid w:val="0"/>
          <w:kern w:val="0"/>
          <w:sz w:val="24"/>
        </w:rPr>
      </w:pPr>
      <w:r>
        <w:rPr>
          <w:snapToGrid w:val="0"/>
          <w:kern w:val="0"/>
          <w:sz w:val="24"/>
        </w:rPr>
        <w:t>3、</w:t>
      </w:r>
      <w:r>
        <w:rPr>
          <w:rFonts w:hint="eastAsia"/>
          <w:snapToGrid w:val="0"/>
          <w:kern w:val="0"/>
          <w:sz w:val="24"/>
        </w:rPr>
        <w:t>提供的近半年内任意一月依法缴纳税收证明，当月新成立的，不需提供；无需纳税或免税的也需提供相应证明材料。</w:t>
      </w:r>
      <w:r>
        <w:rPr>
          <w:snapToGrid w:val="0"/>
          <w:kern w:val="0"/>
          <w:sz w:val="24"/>
        </w:rPr>
        <w:t>（格式见3-3）</w:t>
      </w:r>
    </w:p>
    <w:p>
      <w:pPr>
        <w:spacing w:line="360" w:lineRule="auto"/>
        <w:ind w:firstLine="480" w:firstLineChars="200"/>
        <w:rPr>
          <w:snapToGrid w:val="0"/>
          <w:kern w:val="0"/>
          <w:sz w:val="24"/>
        </w:rPr>
      </w:pPr>
      <w:r>
        <w:rPr>
          <w:snapToGrid w:val="0"/>
          <w:kern w:val="0"/>
          <w:sz w:val="24"/>
        </w:rPr>
        <w:t>4、</w:t>
      </w:r>
      <w:r>
        <w:rPr>
          <w:rFonts w:hint="eastAsia"/>
          <w:snapToGrid w:val="0"/>
          <w:kern w:val="0"/>
          <w:sz w:val="24"/>
        </w:rPr>
        <w:t>提供社保缴纳证明（近半年内任意一月社保缴纳证明，当月新成立的，不需提供）</w:t>
      </w:r>
      <w:r>
        <w:rPr>
          <w:snapToGrid w:val="0"/>
          <w:kern w:val="0"/>
          <w:sz w:val="24"/>
        </w:rPr>
        <w:t>（格式见3-4）</w:t>
      </w:r>
    </w:p>
    <w:p>
      <w:pPr>
        <w:spacing w:line="360" w:lineRule="auto"/>
        <w:ind w:firstLine="480" w:firstLineChars="200"/>
        <w:rPr>
          <w:snapToGrid w:val="0"/>
          <w:kern w:val="0"/>
          <w:sz w:val="24"/>
        </w:rPr>
      </w:pPr>
      <w:r>
        <w:rPr>
          <w:snapToGrid w:val="0"/>
          <w:kern w:val="0"/>
          <w:sz w:val="24"/>
        </w:rPr>
        <w:t>5、具备履行合同所必需的设备和专业技术能力的</w:t>
      </w:r>
      <w:r>
        <w:rPr>
          <w:rFonts w:hint="eastAsia"/>
          <w:snapToGrid w:val="0"/>
          <w:kern w:val="0"/>
          <w:sz w:val="24"/>
        </w:rPr>
        <w:t>相关证明材料或声明函</w:t>
      </w:r>
      <w:r>
        <w:rPr>
          <w:snapToGrid w:val="0"/>
          <w:kern w:val="0"/>
          <w:sz w:val="24"/>
        </w:rPr>
        <w:t>（格式见3-5）；</w:t>
      </w:r>
    </w:p>
    <w:p>
      <w:pPr>
        <w:spacing w:line="360" w:lineRule="auto"/>
        <w:ind w:firstLine="480" w:firstLineChars="200"/>
        <w:rPr>
          <w:snapToGrid w:val="0"/>
          <w:kern w:val="0"/>
          <w:sz w:val="24"/>
        </w:rPr>
      </w:pPr>
      <w:r>
        <w:rPr>
          <w:snapToGrid w:val="0"/>
          <w:kern w:val="0"/>
          <w:sz w:val="24"/>
        </w:rPr>
        <w:t>6、供应商参加政府采购活动前3年内在经营活动中没有重大违法记录的书面声明（格式见3-6)</w:t>
      </w:r>
    </w:p>
    <w:p>
      <w:pPr>
        <w:spacing w:line="360" w:lineRule="auto"/>
        <w:ind w:firstLine="480" w:firstLineChars="200"/>
        <w:rPr>
          <w:snapToGrid w:val="0"/>
          <w:kern w:val="0"/>
          <w:sz w:val="24"/>
        </w:rPr>
      </w:pPr>
      <w:r>
        <w:rPr>
          <w:snapToGrid w:val="0"/>
          <w:kern w:val="0"/>
          <w:sz w:val="24"/>
        </w:rPr>
        <w:t xml:space="preserve">7、医疗器械经营备案凭证或医疗器械生产许可证或医疗器械经营许可证或其他医疗器械生产经营许可证明文件；医疗器械注册证。（根据所投内容提供）（格式见3-7)  </w:t>
      </w:r>
    </w:p>
    <w:p>
      <w:pPr>
        <w:spacing w:line="360" w:lineRule="auto"/>
        <w:ind w:firstLine="480" w:firstLineChars="20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 xml:space="preserve">（格式见3-8)  </w:t>
      </w:r>
    </w:p>
    <w:p>
      <w:pPr>
        <w:spacing w:line="360" w:lineRule="auto"/>
        <w:ind w:firstLine="480" w:firstLineChars="200"/>
        <w:rPr>
          <w:snapToGrid w:val="0"/>
          <w:kern w:val="0"/>
          <w:sz w:val="24"/>
        </w:rPr>
      </w:pPr>
      <w:r>
        <w:rPr>
          <w:snapToGrid w:val="0"/>
          <w:kern w:val="0"/>
          <w:sz w:val="24"/>
        </w:rPr>
        <w:t>9、不参与围标串标承诺书（格式见3-9）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10、投标保证金缴纳凭证复印件（收据、银行电汇凭证或其他支付形式的缴纳凭证等）（格式见3-10）</w:t>
      </w:r>
    </w:p>
    <w:p>
      <w:pPr>
        <w:spacing w:line="360" w:lineRule="auto"/>
        <w:ind w:firstLine="482" w:firstLineChars="200"/>
        <w:rPr>
          <w:b/>
          <w:bCs/>
          <w:snapToGrid w:val="0"/>
          <w:kern w:val="0"/>
          <w:sz w:val="24"/>
        </w:rPr>
      </w:pPr>
      <w:r>
        <w:rPr>
          <w:b/>
          <w:bCs/>
          <w:snapToGrid w:val="0"/>
          <w:kern w:val="0"/>
          <w:sz w:val="24"/>
        </w:rPr>
        <w:t>以上提供的扫描件、复印件须加盖投标人公章。</w:t>
      </w:r>
    </w:p>
    <w:p>
      <w:pPr>
        <w:spacing w:line="360" w:lineRule="auto"/>
        <w:rPr>
          <w:snapToGrid w:val="0"/>
          <w:kern w:val="0"/>
          <w:sz w:val="24"/>
        </w:rPr>
      </w:pPr>
      <w:r>
        <w:rPr>
          <w:snapToGrid w:val="0"/>
          <w:kern w:val="0"/>
          <w:sz w:val="24"/>
        </w:rPr>
        <w:br w:type="page"/>
      </w:r>
      <w:bookmarkStart w:id="342" w:name="_Hlt520274121"/>
      <w:bookmarkEnd w:id="342"/>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 投标人在国家或地方有关登记管理机关登记注册的有效证明材料复印件（如营业执照、事业单位法人证书、自然人身份证明等，加盖公章）</w:t>
      </w:r>
    </w:p>
    <w:p>
      <w:pPr>
        <w:snapToGrid w:val="0"/>
        <w:jc w:val="left"/>
        <w:textAlignment w:val="baseline"/>
        <w:rPr>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供应商是企业（包括合伙企业）的，应提供其在工商部门注册的有效“企业营业执照”复印件；</w:t>
      </w:r>
    </w:p>
    <w:p>
      <w:pPr>
        <w:snapToGrid w:val="0"/>
        <w:spacing w:line="380" w:lineRule="exact"/>
        <w:ind w:firstLine="420" w:firstLineChars="200"/>
        <w:textAlignment w:val="baseline"/>
        <w:rPr>
          <w:sz w:val="20"/>
        </w:rPr>
      </w:pPr>
      <w:r>
        <w:t>供应商是事业单位的，应提供其有效的“事业单位法人证书”复印件；</w:t>
      </w:r>
    </w:p>
    <w:p>
      <w:pPr>
        <w:snapToGrid w:val="0"/>
        <w:spacing w:line="380" w:lineRule="exact"/>
        <w:ind w:firstLine="420" w:firstLineChars="200"/>
        <w:textAlignment w:val="baseline"/>
        <w:rPr>
          <w:sz w:val="20"/>
        </w:rPr>
      </w:pPr>
      <w:r>
        <w:t>供应商是非企业专业服务机构的，应提供其有效的“执业许可证”复印件；</w:t>
      </w:r>
    </w:p>
    <w:p>
      <w:pPr>
        <w:snapToGrid w:val="0"/>
        <w:spacing w:line="380" w:lineRule="exact"/>
        <w:ind w:firstLine="420" w:firstLineChars="200"/>
        <w:textAlignment w:val="baseline"/>
        <w:rPr>
          <w:sz w:val="20"/>
        </w:rPr>
      </w:pPr>
      <w:r>
        <w:t>供应商是个体工商户的，应提供其有效的“个体工商户营业执照”复印件；</w:t>
      </w:r>
    </w:p>
    <w:p>
      <w:pPr>
        <w:snapToGrid w:val="0"/>
        <w:spacing w:line="380" w:lineRule="exact"/>
        <w:ind w:firstLine="420" w:firstLineChars="200"/>
        <w:textAlignment w:val="baseline"/>
        <w:rPr>
          <w:sz w:val="20"/>
        </w:rPr>
      </w:pPr>
      <w:r>
        <w:t>供应商是自然人的，应提供其有效的自然人身份证明复印件。</w:t>
      </w:r>
    </w:p>
    <w:p>
      <w:pPr>
        <w:snapToGrid w:val="0"/>
        <w:jc w:val="left"/>
        <w:textAlignment w:val="baseline"/>
        <w:rPr>
          <w:rFonts w:eastAsia="仿宋_GB2312"/>
          <w:sz w:val="24"/>
        </w:rPr>
      </w:pPr>
    </w:p>
    <w:p/>
    <w:p/>
    <w:p/>
    <w:p/>
    <w:p>
      <w:pPr>
        <w:snapToGrid w:val="0"/>
        <w:textAlignment w:val="baseline"/>
        <w:rPr>
          <w:b/>
          <w:sz w:val="24"/>
        </w:rPr>
      </w:pPr>
      <w:bookmarkStart w:id="343" w:name="_Toc16920"/>
      <w:bookmarkStart w:id="344" w:name="_Toc21701"/>
      <w:bookmarkStart w:id="345" w:name="_Toc16787"/>
      <w:bookmarkStart w:id="346" w:name="_Toc21548"/>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-2  </w:t>
      </w:r>
      <w:bookmarkEnd w:id="343"/>
      <w:bookmarkEnd w:id="344"/>
      <w:bookmarkEnd w:id="345"/>
      <w:bookmarkEnd w:id="346"/>
      <w:r>
        <w:rPr>
          <w:rFonts w:ascii="Times New Roman" w:hAnsi="Times New Roman" w:eastAsia="黑体"/>
        </w:rPr>
        <w:t>财务审计报告或财务报表</w:t>
      </w:r>
    </w:p>
    <w:p>
      <w:pPr>
        <w:snapToGrid w:val="0"/>
        <w:spacing w:line="380" w:lineRule="exact"/>
        <w:textAlignment w:val="baseline"/>
        <w:rPr>
          <w:sz w:val="20"/>
        </w:rPr>
      </w:pPr>
      <w:r>
        <w:t>说明：</w:t>
      </w:r>
    </w:p>
    <w:p>
      <w:pPr>
        <w:snapToGrid w:val="0"/>
        <w:spacing w:line="360" w:lineRule="auto"/>
        <w:ind w:right="155"/>
        <w:textAlignment w:val="baseline"/>
        <w:rPr>
          <w:sz w:val="20"/>
          <w:szCs w:val="21"/>
        </w:rPr>
      </w:pPr>
    </w:p>
    <w:p>
      <w:pPr>
        <w:tabs>
          <w:tab w:val="left" w:pos="993"/>
          <w:tab w:val="left" w:pos="1030"/>
          <w:tab w:val="left" w:pos="8364"/>
        </w:tabs>
        <w:snapToGrid w:val="0"/>
        <w:spacing w:after="156"/>
        <w:ind w:left="420" w:right="-56"/>
        <w:jc w:val="left"/>
        <w:textAlignment w:val="baseline"/>
        <w:rPr>
          <w:b/>
          <w:sz w:val="24"/>
        </w:rPr>
      </w:pPr>
      <w:r>
        <w:rPr>
          <w:szCs w:val="21"/>
        </w:rPr>
        <w:t>提供上年度</w:t>
      </w:r>
      <w:r>
        <w:rPr>
          <w:rFonts w:hint="eastAsia"/>
          <w:szCs w:val="21"/>
        </w:rPr>
        <w:t>（</w:t>
      </w:r>
      <w:r>
        <w:rPr>
          <w:rFonts w:hint="eastAsia"/>
          <w:szCs w:val="21"/>
          <w:lang w:eastAsia="zh-CN"/>
        </w:rPr>
        <w:t>2022年度</w:t>
      </w:r>
      <w:r>
        <w:rPr>
          <w:rFonts w:hint="eastAsia"/>
          <w:szCs w:val="21"/>
        </w:rPr>
        <w:t>）</w:t>
      </w:r>
      <w:r>
        <w:rPr>
          <w:szCs w:val="21"/>
        </w:rPr>
        <w:t>财务审计报告或半年内任意一个月财务报表（财务报表应至少包括资产负债表、利润表、现金流量表或财务状况变动表，当月新成立的，不需提供）。</w:t>
      </w:r>
    </w:p>
    <w:p/>
    <w:p/>
    <w:p>
      <w:pPr>
        <w:snapToGrid w:val="0"/>
        <w:textAlignment w:val="baseline"/>
        <w:rPr>
          <w:b/>
          <w:sz w:val="24"/>
        </w:rPr>
      </w:pPr>
      <w:bookmarkStart w:id="347" w:name="_Toc29140"/>
      <w:bookmarkStart w:id="348" w:name="_Toc24495"/>
      <w:bookmarkStart w:id="349" w:name="_Toc11031"/>
      <w:bookmarkStart w:id="350" w:name="_Toc22558"/>
      <w:r>
        <w:rPr>
          <w:b/>
          <w:sz w:val="24"/>
        </w:rPr>
        <w:br w:type="page"/>
      </w:r>
    </w:p>
    <w:bookmarkEnd w:id="347"/>
    <w:bookmarkEnd w:id="348"/>
    <w:bookmarkEnd w:id="349"/>
    <w:bookmarkEnd w:id="350"/>
    <w:p>
      <w:pPr>
        <w:pStyle w:val="5"/>
        <w:spacing w:line="240" w:lineRule="auto"/>
        <w:rPr>
          <w:rFonts w:ascii="Times New Roman" w:hAnsi="Times New Roman" w:eastAsia="黑体"/>
        </w:rPr>
      </w:pPr>
      <w:bookmarkStart w:id="351" w:name="_Toc11244"/>
      <w:bookmarkStart w:id="352" w:name="_Toc19881"/>
      <w:bookmarkStart w:id="353" w:name="_Toc10448"/>
      <w:bookmarkStart w:id="354" w:name="_Toc1233"/>
      <w:r>
        <w:rPr>
          <w:rFonts w:hint="eastAsia" w:ascii="Times New Roman" w:hAnsi="Times New Roman" w:eastAsia="黑体"/>
        </w:rPr>
        <w:t>3</w:t>
      </w:r>
      <w:r>
        <w:rPr>
          <w:rFonts w:ascii="Times New Roman" w:hAnsi="Times New Roman" w:eastAsia="黑体"/>
        </w:rPr>
        <w:t>-3  依法缴纳税收的证明</w:t>
      </w:r>
      <w:bookmarkEnd w:id="351"/>
      <w:bookmarkEnd w:id="352"/>
      <w:bookmarkEnd w:id="353"/>
      <w:bookmarkEnd w:id="354"/>
    </w:p>
    <w:p>
      <w:pPr>
        <w:tabs>
          <w:tab w:val="left" w:pos="993"/>
          <w:tab w:val="left" w:pos="1030"/>
          <w:tab w:val="left" w:pos="8364"/>
        </w:tabs>
        <w:snapToGrid w:val="0"/>
        <w:spacing w:after="156"/>
        <w:ind w:right="-56"/>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left="420" w:right="-56" w:firstLine="480" w:firstLineChars="200"/>
        <w:jc w:val="left"/>
        <w:textAlignment w:val="baseline"/>
        <w:rPr>
          <w:sz w:val="24"/>
        </w:rPr>
      </w:pPr>
      <w:r>
        <w:rPr>
          <w:rFonts w:hint="eastAsia"/>
          <w:sz w:val="24"/>
        </w:rPr>
        <w:t>提供的近半年内任意一月依法缴纳税收证明，当月新成立的，不需提供；无需纳税或免税的也需提供相应证明材料。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b/>
          <w:sz w:val="24"/>
        </w:rPr>
      </w:pPr>
      <w:bookmarkStart w:id="355" w:name="_Toc16271"/>
      <w:bookmarkStart w:id="356" w:name="_Toc2794"/>
      <w:bookmarkStart w:id="357" w:name="_Toc22356"/>
      <w:bookmarkStart w:id="358" w:name="_Toc29373"/>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-4  社会保障资金缴纳记录</w:t>
      </w:r>
      <w:bookmarkEnd w:id="355"/>
      <w:bookmarkEnd w:id="356"/>
      <w:bookmarkEnd w:id="357"/>
      <w:bookmarkEnd w:id="358"/>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jc w:val="left"/>
        <w:textAlignment w:val="baseline"/>
        <w:rPr>
          <w:sz w:val="24"/>
        </w:rPr>
      </w:pPr>
      <w:r>
        <w:rPr>
          <w:rFonts w:hint="eastAsia"/>
          <w:sz w:val="24"/>
        </w:rPr>
        <w:t>提供社保缴纳证明（近半年内任意一月社保缴纳证明，当月新成立的，不需提供）</w:t>
      </w:r>
    </w:p>
    <w:p>
      <w:pPr>
        <w:tabs>
          <w:tab w:val="left" w:pos="5580"/>
        </w:tabs>
        <w:snapToGrid w:val="0"/>
        <w:spacing w:before="120" w:line="360" w:lineRule="auto"/>
        <w:ind w:firstLine="480" w:firstLineChars="200"/>
        <w:textAlignment w:val="baseline"/>
        <w:rPr>
          <w:sz w:val="24"/>
        </w:rPr>
      </w:pPr>
    </w:p>
    <w:p/>
    <w:p>
      <w:pPr>
        <w:tabs>
          <w:tab w:val="left" w:pos="993"/>
          <w:tab w:val="left" w:pos="1030"/>
          <w:tab w:val="left" w:pos="8364"/>
        </w:tabs>
        <w:snapToGrid w:val="0"/>
        <w:spacing w:after="156"/>
        <w:ind w:left="420" w:right="-56"/>
        <w:jc w:val="left"/>
        <w:textAlignment w:val="baseline"/>
        <w:rPr>
          <w:rFonts w:eastAsia="仿宋_GB2312"/>
          <w:sz w:val="24"/>
        </w:rPr>
      </w:pPr>
    </w:p>
    <w:p>
      <w:pPr>
        <w:snapToGrid w:val="0"/>
        <w:textAlignment w:val="baseline"/>
        <w:rPr>
          <w:b/>
          <w:sz w:val="24"/>
        </w:rPr>
      </w:pPr>
      <w:bookmarkStart w:id="359" w:name="_Toc14366"/>
      <w:bookmarkStart w:id="360" w:name="_Toc17455"/>
      <w:bookmarkStart w:id="361" w:name="_Toc27325"/>
      <w:bookmarkStart w:id="362" w:name="_Toc26453"/>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-5  </w:t>
      </w:r>
      <w:bookmarkEnd w:id="359"/>
      <w:bookmarkEnd w:id="360"/>
      <w:bookmarkEnd w:id="361"/>
      <w:bookmarkEnd w:id="362"/>
      <w:r>
        <w:rPr>
          <w:rFonts w:ascii="Times New Roman" w:hAnsi="Times New Roman" w:eastAsia="黑体"/>
        </w:rPr>
        <w:t>提供具有履行合同所必需的设备和专业技术能力相关证明材料或声明；</w:t>
      </w:r>
    </w:p>
    <w:p>
      <w:pPr>
        <w:snapToGrid w:val="0"/>
        <w:ind w:firstLine="480"/>
        <w:textAlignment w:val="baseline"/>
        <w:rPr>
          <w:kern w:val="0"/>
          <w:sz w:val="24"/>
        </w:rPr>
      </w:pPr>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snapToGrid w:val="0"/>
        <w:ind w:right="280"/>
        <w:textAlignment w:val="baseline"/>
        <w:rPr>
          <w:sz w:val="24"/>
        </w:rPr>
      </w:pPr>
    </w:p>
    <w:p>
      <w:pPr>
        <w:tabs>
          <w:tab w:val="left" w:pos="5580"/>
        </w:tabs>
        <w:snapToGrid w:val="0"/>
        <w:spacing w:before="120" w:line="360" w:lineRule="auto"/>
        <w:textAlignment w:val="baseline"/>
        <w:rPr>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993"/>
          <w:tab w:val="left" w:pos="1030"/>
          <w:tab w:val="left" w:pos="8364"/>
        </w:tabs>
        <w:snapToGrid w:val="0"/>
        <w:spacing w:after="156"/>
        <w:ind w:left="420" w:right="-56" w:firstLine="480" w:firstLineChars="200"/>
        <w:jc w:val="left"/>
        <w:textAlignment w:val="baseline"/>
        <w:rPr>
          <w:rFonts w:eastAsia="仿宋_GB2312"/>
          <w:sz w:val="24"/>
        </w:rPr>
      </w:pPr>
    </w:p>
    <w:p>
      <w:pPr>
        <w:widowControl/>
        <w:snapToGrid w:val="0"/>
        <w:jc w:val="left"/>
        <w:textAlignment w:val="baseline"/>
        <w:rPr>
          <w:rFonts w:eastAsia="仿宋_GB2312"/>
          <w:b/>
          <w:sz w:val="24"/>
        </w:rPr>
      </w:pPr>
    </w:p>
    <w:p/>
    <w:p>
      <w:pPr>
        <w:tabs>
          <w:tab w:val="left" w:pos="993"/>
          <w:tab w:val="left" w:pos="1030"/>
          <w:tab w:val="left" w:pos="8364"/>
        </w:tabs>
        <w:snapToGrid w:val="0"/>
        <w:spacing w:after="156"/>
        <w:ind w:right="-56"/>
        <w:jc w:val="left"/>
        <w:textAlignment w:val="baseline"/>
        <w:rPr>
          <w:b/>
          <w:sz w:val="24"/>
        </w:rPr>
      </w:pPr>
      <w:bookmarkStart w:id="363" w:name="_Toc2139"/>
      <w:bookmarkStart w:id="364" w:name="_Toc11412"/>
      <w:bookmarkStart w:id="365" w:name="_Toc9381"/>
      <w:bookmarkStart w:id="366" w:name="_Toc12562"/>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-6  投标人参加政府采购活动前3年内在经营活动中没有重大违法记录的书面声明（格式）</w:t>
      </w:r>
      <w:bookmarkEnd w:id="363"/>
      <w:bookmarkEnd w:id="364"/>
      <w:bookmarkEnd w:id="365"/>
      <w:bookmarkEnd w:id="366"/>
    </w:p>
    <w:p>
      <w:pPr>
        <w:snapToGrid w:val="0"/>
        <w:jc w:val="center"/>
        <w:textAlignment w:val="baseline"/>
        <w:rPr>
          <w:sz w:val="24"/>
        </w:rPr>
      </w:pPr>
    </w:p>
    <w:p>
      <w:pPr>
        <w:spacing w:line="360" w:lineRule="auto"/>
        <w:jc w:val="center"/>
        <w:rPr>
          <w:rFonts w:eastAsia="黑体"/>
          <w:b/>
          <w:bCs/>
          <w:sz w:val="28"/>
          <w:szCs w:val="36"/>
        </w:rPr>
      </w:pPr>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：____________________________</w:t>
      </w:r>
    </w:p>
    <w:p>
      <w:pPr>
        <w:pStyle w:val="79"/>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投标人名称(盖章)：</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pPr>
        <w:pStyle w:val="79"/>
        <w:snapToGrid w:val="0"/>
        <w:spacing w:line="360" w:lineRule="auto"/>
        <w:textAlignment w:val="baseline"/>
        <w:rPr>
          <w:rFonts w:ascii="Times New Roman" w:hAnsi="Times New Roman" w:cs="Times New Roman"/>
          <w:sz w:val="24"/>
          <w:u w:val="single"/>
        </w:rPr>
      </w:pPr>
    </w:p>
    <w:p>
      <w:pPr>
        <w:pStyle w:val="79"/>
        <w:snapToGrid w:val="0"/>
        <w:spacing w:line="360" w:lineRule="auto"/>
        <w:textAlignment w:val="baseline"/>
        <w:rPr>
          <w:rFonts w:ascii="Times New Roman" w:hAnsi="Times New Roman" w:cs="Times New Roman"/>
          <w:sz w:val="24"/>
          <w:u w:val="single"/>
        </w:rPr>
      </w:pPr>
    </w:p>
    <w:p>
      <w:pPr>
        <w:tabs>
          <w:tab w:val="left" w:pos="993"/>
          <w:tab w:val="left" w:pos="1030"/>
          <w:tab w:val="left" w:pos="8364"/>
        </w:tabs>
        <w:snapToGrid w:val="0"/>
        <w:spacing w:after="156"/>
        <w:ind w:right="-56"/>
        <w:jc w:val="left"/>
        <w:textAlignment w:val="baseline"/>
        <w:rPr>
          <w:b/>
          <w:sz w:val="24"/>
        </w:rPr>
      </w:pPr>
      <w:bookmarkStart w:id="367" w:name="_Toc14660"/>
      <w:bookmarkStart w:id="368" w:name="_Toc20882"/>
      <w:bookmarkStart w:id="369" w:name="_Toc1047"/>
      <w:bookmarkStart w:id="370" w:name="_Toc15314"/>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-7  </w:t>
      </w:r>
      <w:bookmarkEnd w:id="367"/>
      <w:bookmarkEnd w:id="368"/>
      <w:bookmarkEnd w:id="369"/>
      <w:bookmarkEnd w:id="370"/>
      <w:r>
        <w:rPr>
          <w:rFonts w:ascii="Times New Roman" w:hAnsi="Times New Roman" w:eastAsia="黑体"/>
        </w:rPr>
        <w:t>医疗器械经营备案凭证；或医疗器械生产许可证；或医疗器械经营许可证；或其他医疗器械生产、经营许可证明文件（根据所投内容提供）</w:t>
      </w:r>
    </w:p>
    <w:p>
      <w:pPr>
        <w:snapToGrid w:val="0"/>
        <w:ind w:firstLine="420"/>
        <w:textAlignment w:val="baseline"/>
        <w:rPr>
          <w:sz w:val="20"/>
          <w:szCs w:val="21"/>
        </w:rPr>
      </w:pPr>
    </w:p>
    <w:p>
      <w:pPr>
        <w:snapToGrid w:val="0"/>
        <w:ind w:firstLine="426"/>
        <w:textAlignment w:val="baseline"/>
        <w:rPr>
          <w:sz w:val="24"/>
        </w:rPr>
      </w:pPr>
    </w:p>
    <w:p>
      <w:pPr>
        <w:snapToGrid w:val="0"/>
        <w:ind w:firstLine="400" w:firstLineChars="200"/>
        <w:textAlignment w:val="baseline"/>
        <w:rPr>
          <w:sz w:val="20"/>
          <w:szCs w:val="21"/>
        </w:rPr>
      </w:pPr>
    </w:p>
    <w:p>
      <w:pPr>
        <w:pStyle w:val="2"/>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-8 </w:t>
      </w:r>
      <w:r>
        <w:rPr>
          <w:rFonts w:hint="eastAsia" w:ascii="Times New Roman" w:hAnsi="Times New Roman" w:eastAsia="黑体"/>
        </w:rPr>
        <w:t>落实</w:t>
      </w:r>
      <w:r>
        <w:rPr>
          <w:rFonts w:ascii="Times New Roman" w:hAnsi="Times New Roman" w:eastAsia="黑体"/>
        </w:rPr>
        <w:t>政府采购政策的证明材料</w:t>
      </w:r>
    </w:p>
    <w:p>
      <w:pPr>
        <w:pStyle w:val="79"/>
        <w:snapToGrid w:val="0"/>
        <w:spacing w:before="120" w:beforeLines="50"/>
        <w:ind w:firstLine="5498"/>
        <w:rPr>
          <w:rFonts w:ascii="Times New Roman" w:hAnsi="Times New Roman" w:cs="Times New Roman"/>
          <w:sz w:val="24"/>
          <w:szCs w:val="24"/>
        </w:r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一</w:t>
      </w:r>
      <w:r>
        <w:rPr>
          <w:rFonts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二</w:t>
      </w:r>
      <w:r>
        <w:rPr>
          <w:rFonts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sz w:val="36"/>
          <w:szCs w:val="44"/>
          <w:lang w:val="zh-CN"/>
        </w:rPr>
      </w:pPr>
      <w:r>
        <w:rPr>
          <w:rFonts w:hint="eastAsia" w:eastAsia="黑体"/>
          <w:b/>
          <w:bCs/>
          <w:sz w:val="36"/>
          <w:szCs w:val="44"/>
          <w:lang w:val="zh-CN"/>
        </w:rPr>
        <w:t>特别提示</w:t>
      </w:r>
    </w:p>
    <w:p>
      <w:pPr>
        <w:spacing w:before="240" w:beforeLines="100" w:after="240" w:afterLines="100" w:line="276" w:lineRule="auto"/>
        <w:jc w:val="center"/>
        <w:rPr>
          <w:rFonts w:eastAsia="黑体"/>
          <w:b/>
          <w:bCs/>
          <w:color w:val="0070C0"/>
          <w:sz w:val="28"/>
          <w:szCs w:val="36"/>
          <w:lang w:val="zh-CN"/>
        </w:rPr>
      </w:pPr>
      <w:r>
        <w:rPr>
          <w:rFonts w:hint="eastAsia" w:eastAsia="黑体"/>
          <w:b/>
          <w:bCs/>
          <w:color w:val="0070C0"/>
          <w:sz w:val="28"/>
          <w:szCs w:val="36"/>
          <w:lang w:val="zh-CN"/>
        </w:rPr>
        <w:t>（请在编制投标文件时，删去本段蓝色字体 “特别提示”）</w:t>
      </w:r>
    </w:p>
    <w:p>
      <w:pPr>
        <w:ind w:firstLine="482" w:firstLineChars="200"/>
        <w:rPr>
          <w:b/>
          <w:bCs/>
          <w:color w:val="0070C0"/>
          <w:sz w:val="24"/>
          <w:szCs w:val="32"/>
          <w:lang w:val="zh-CN"/>
        </w:rPr>
      </w:pPr>
      <w:r>
        <w:rPr>
          <w:rFonts w:hint="eastAsia"/>
          <w:b/>
          <w:bCs/>
          <w:color w:val="0070C0"/>
          <w:sz w:val="24"/>
          <w:szCs w:val="32"/>
          <w:lang w:val="zh-CN"/>
        </w:rPr>
        <w:t>当投标人为制造商（或生产厂家）时，须投标人出具其自身为中小企业的《中小企业声明函》（由投标人加盖公章），格式如下；</w:t>
      </w:r>
    </w:p>
    <w:p>
      <w:pPr>
        <w:ind w:firstLine="482" w:firstLineChars="200"/>
        <w:rPr>
          <w:b/>
          <w:bCs/>
          <w:color w:val="0070C0"/>
          <w:sz w:val="24"/>
          <w:szCs w:val="32"/>
          <w:lang w:val="zh-CN"/>
        </w:rPr>
      </w:pPr>
      <w:r>
        <w:rPr>
          <w:rFonts w:hint="eastAsia"/>
          <w:b/>
          <w:bCs/>
          <w:color w:val="0070C0"/>
          <w:sz w:val="24"/>
          <w:szCs w:val="32"/>
          <w:lang w:val="zh-CN"/>
        </w:rPr>
        <w:t>当投标人为代理商（或经销商）时，须投标人出具其所投产品的制造商（或生产厂家）为中小企业的《中小企业声明函》（由投标人加盖公章），格式如下：</w:t>
      </w:r>
    </w:p>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三</w:t>
      </w:r>
      <w:r>
        <w:rPr>
          <w:rFonts w:eastAsia="黑体"/>
          <w:b w:val="0"/>
          <w:bCs w:val="0"/>
          <w:sz w:val="36"/>
          <w:szCs w:val="36"/>
        </w:rPr>
        <w:t>）中小企业声明函（货物）</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79"/>
        <w:snapToGrid w:val="0"/>
        <w:spacing w:before="120" w:beforeLines="50"/>
        <w:ind w:firstLine="5498"/>
        <w:rPr>
          <w:rFonts w:ascii="Times New Roman" w:hAnsi="Times New Roman" w:cs="Times New Roman"/>
          <w:sz w:val="24"/>
          <w:szCs w:val="24"/>
        </w:r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四</w:t>
      </w:r>
      <w:r>
        <w:rPr>
          <w:rFonts w:eastAsia="黑体"/>
          <w:b w:val="0"/>
          <w:bCs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79"/>
        <w:snapToGrid w:val="0"/>
        <w:spacing w:before="120" w:beforeLines="50"/>
        <w:ind w:firstLine="5498"/>
        <w:rPr>
          <w:rFonts w:ascii="Times New Roman" w:hAnsi="Times New Roman" w:cs="Times New Roman"/>
          <w:sz w:val="24"/>
          <w:szCs w:val="24"/>
        </w:rPr>
      </w:pPr>
    </w:p>
    <w:p>
      <w:pPr>
        <w:pStyle w:val="79"/>
        <w:snapToGrid w:val="0"/>
        <w:spacing w:before="120"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省级以上监狱管理局、戒毒管理局（含新疆生产建设兵团）出具的属于监狱企业的证明文件；</w:t>
      </w:r>
    </w:p>
    <w:p>
      <w:pPr>
        <w:pStyle w:val="5"/>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五</w:t>
      </w:r>
      <w:r>
        <w:rPr>
          <w:rFonts w:eastAsia="黑体"/>
          <w:b w:val="0"/>
          <w:bCs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sz w:val="20"/>
          <w:szCs w:val="21"/>
        </w:rPr>
      </w:pPr>
      <w:r>
        <w:rPr>
          <w:sz w:val="24"/>
        </w:rPr>
        <w:t>日  期：</w:t>
      </w:r>
    </w:p>
    <w:p>
      <w:pPr>
        <w:tabs>
          <w:tab w:val="left" w:pos="993"/>
          <w:tab w:val="left" w:pos="1030"/>
          <w:tab w:val="left" w:pos="8364"/>
        </w:tabs>
        <w:snapToGrid w:val="0"/>
        <w:spacing w:after="156"/>
        <w:ind w:right="-56"/>
        <w:jc w:val="left"/>
        <w:textAlignment w:val="baseline"/>
        <w:rPr>
          <w:rFonts w:eastAsia="黑体"/>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71" w:name="_Toc2399"/>
      <w:bookmarkStart w:id="372" w:name="_Toc21167"/>
      <w:bookmarkStart w:id="373" w:name="_Toc14800"/>
      <w:bookmarkStart w:id="374" w:name="_Toc32535"/>
      <w:r>
        <w:rPr>
          <w:b/>
          <w:sz w:val="24"/>
        </w:rPr>
        <w:br w:type="page"/>
      </w:r>
      <w:bookmarkEnd w:id="371"/>
      <w:bookmarkEnd w:id="372"/>
      <w:bookmarkEnd w:id="373"/>
      <w:bookmarkEnd w:id="374"/>
      <w:bookmarkStart w:id="375" w:name="_Toc10509"/>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-9 不参与围标串标承诺书</w:t>
      </w:r>
      <w:bookmarkEnd w:id="375"/>
    </w:p>
    <w:p>
      <w:pPr>
        <w:snapToGrid w:val="0"/>
        <w:spacing w:line="360" w:lineRule="auto"/>
        <w:ind w:firstLine="420"/>
        <w:textAlignment w:val="baseline"/>
        <w:rPr>
          <w:sz w:val="24"/>
        </w:rPr>
      </w:pPr>
      <w:r>
        <w:rPr>
          <w:sz w:val="24"/>
        </w:rPr>
        <w:t>本人作为经授权的投标人代表，清楚知晓我方本项目投标活动，对以下事项作出承诺</w:t>
      </w:r>
      <w:r>
        <w:rPr>
          <w:rFonts w:hint="eastAsia" w:ascii="Times New Roman" w:hAnsi="Times New Roman"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25"/>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sz w:val="24"/>
        </w:rPr>
      </w:pPr>
      <w:r>
        <w:rPr>
          <w:sz w:val="24"/>
        </w:rPr>
        <w:t>日    期：     年   月    日</w:t>
      </w:r>
    </w:p>
    <w:p>
      <w:pPr>
        <w:pStyle w:val="25"/>
        <w:snapToGrid w:val="0"/>
        <w:spacing w:line="360" w:lineRule="auto"/>
        <w:textAlignment w:val="baseline"/>
        <w:rPr>
          <w:rFonts w:ascii="Times New Roman" w:hAnsi="Times New Roman" w:cs="Times New Roman"/>
          <w:b/>
          <w:sz w:val="24"/>
          <w:szCs w:val="24"/>
        </w:rPr>
      </w:pPr>
    </w:p>
    <w:p>
      <w:pPr>
        <w:tabs>
          <w:tab w:val="left" w:pos="993"/>
          <w:tab w:val="left" w:pos="1030"/>
          <w:tab w:val="left" w:pos="8364"/>
        </w:tabs>
        <w:snapToGrid w:val="0"/>
        <w:spacing w:after="156"/>
        <w:ind w:right="-56"/>
        <w:jc w:val="left"/>
        <w:textAlignment w:val="baseline"/>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-10 投标保证金缴纳凭证复印件（收据、银行电汇凭证或其他支付形式的缴纳凭证等）</w:t>
      </w:r>
    </w:p>
    <w:p/>
    <w:p/>
    <w:p/>
    <w:p/>
    <w:p/>
    <w:p>
      <w:pPr>
        <w:pStyle w:val="25"/>
        <w:snapToGrid w:val="0"/>
        <w:textAlignment w:val="baseline"/>
        <w:rPr>
          <w:rFonts w:ascii="Times New Roman" w:hAnsi="Times New Roman" w:cs="Times New Roman"/>
          <w:b/>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sectPr>
          <w:footerReference r:id="rId8"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bookmarkStart w:id="376" w:name="_Toc2397"/>
      <w:bookmarkStart w:id="377" w:name="_Toc103677758"/>
      <w:r>
        <w:rPr>
          <w:rFonts w:hint="eastAsia" w:eastAsia="黑体"/>
          <w:sz w:val="28"/>
          <w:szCs w:val="28"/>
        </w:rPr>
        <w:t>四、</w:t>
      </w:r>
      <w:r>
        <w:rPr>
          <w:rFonts w:eastAsia="黑体"/>
          <w:sz w:val="28"/>
          <w:szCs w:val="28"/>
        </w:rPr>
        <w:t>医疗器械注册证（根据所投产品内容提供，非医疗器械产品无需提供）</w:t>
      </w:r>
      <w:bookmarkEnd w:id="376"/>
      <w:bookmarkEnd w:id="377"/>
    </w:p>
    <w:p>
      <w:pPr>
        <w:pStyle w:val="2"/>
        <w:spacing w:before="0" w:after="0" w:line="240" w:lineRule="auto"/>
        <w:rPr>
          <w:rFonts w:eastAsia="黑体"/>
          <w:sz w:val="28"/>
          <w:szCs w:val="28"/>
        </w:rPr>
      </w:pPr>
      <w:bookmarkStart w:id="378" w:name="_Toc1428"/>
      <w:bookmarkStart w:id="379" w:name="_Toc11675"/>
      <w:bookmarkStart w:id="380" w:name="_Toc103677760"/>
      <w:bookmarkStart w:id="381" w:name="_Toc564"/>
      <w:r>
        <w:rPr>
          <w:rFonts w:hint="eastAsia" w:eastAsia="黑体"/>
          <w:sz w:val="28"/>
          <w:szCs w:val="28"/>
          <w:lang w:val="en-US" w:eastAsia="zh-CN"/>
        </w:rPr>
        <w:t>五</w:t>
      </w:r>
      <w:r>
        <w:rPr>
          <w:rFonts w:hint="eastAsia" w:eastAsia="黑体"/>
          <w:sz w:val="28"/>
          <w:szCs w:val="28"/>
        </w:rPr>
        <w:t>、</w:t>
      </w:r>
      <w:r>
        <w:rPr>
          <w:rFonts w:eastAsia="黑体"/>
          <w:sz w:val="28"/>
          <w:szCs w:val="28"/>
        </w:rPr>
        <w:t>投标人供货业绩一览表</w:t>
      </w:r>
      <w:bookmarkEnd w:id="378"/>
      <w:r>
        <w:rPr>
          <w:rFonts w:eastAsia="黑体"/>
          <w:sz w:val="28"/>
          <w:szCs w:val="28"/>
        </w:rPr>
        <w:t>（20</w:t>
      </w:r>
      <w:r>
        <w:rPr>
          <w:rFonts w:hint="eastAsia" w:eastAsia="黑体"/>
          <w:sz w:val="28"/>
          <w:szCs w:val="28"/>
        </w:rPr>
        <w:t>20</w:t>
      </w:r>
      <w:r>
        <w:rPr>
          <w:rFonts w:eastAsia="黑体"/>
          <w:sz w:val="28"/>
          <w:szCs w:val="28"/>
        </w:rPr>
        <w:t>年1月1日至投标截止日）</w:t>
      </w:r>
      <w:bookmarkEnd w:id="379"/>
      <w:bookmarkEnd w:id="380"/>
      <w:bookmarkEnd w:id="381"/>
    </w:p>
    <w:p/>
    <w:tbl>
      <w:tblPr>
        <w:tblStyle w:val="40"/>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sz w:val="24"/>
              </w:rPr>
            </w:pPr>
            <w:r>
              <w:rPr>
                <w:sz w:val="24"/>
              </w:rPr>
              <w:t>年份</w:t>
            </w:r>
          </w:p>
        </w:tc>
        <w:tc>
          <w:tcPr>
            <w:tcW w:w="1305" w:type="dxa"/>
            <w:vAlign w:val="center"/>
          </w:tcPr>
          <w:p>
            <w:pPr>
              <w:jc w:val="center"/>
              <w:rPr>
                <w:sz w:val="24"/>
              </w:rPr>
            </w:pPr>
            <w:r>
              <w:rPr>
                <w:sz w:val="24"/>
              </w:rPr>
              <w:t>货物名称</w:t>
            </w:r>
          </w:p>
        </w:tc>
        <w:tc>
          <w:tcPr>
            <w:tcW w:w="723" w:type="dxa"/>
            <w:vAlign w:val="center"/>
          </w:tcPr>
          <w:p>
            <w:pPr>
              <w:jc w:val="center"/>
              <w:rPr>
                <w:sz w:val="24"/>
              </w:rPr>
            </w:pPr>
            <w:r>
              <w:rPr>
                <w:sz w:val="24"/>
              </w:rPr>
              <w:t>规格型号</w:t>
            </w:r>
          </w:p>
        </w:tc>
        <w:tc>
          <w:tcPr>
            <w:tcW w:w="589" w:type="dxa"/>
            <w:vAlign w:val="center"/>
          </w:tcPr>
          <w:p>
            <w:pPr>
              <w:jc w:val="center"/>
              <w:rPr>
                <w:sz w:val="24"/>
              </w:rPr>
            </w:pPr>
            <w:r>
              <w:rPr>
                <w:sz w:val="24"/>
              </w:rPr>
              <w:t>数量</w:t>
            </w:r>
          </w:p>
        </w:tc>
        <w:tc>
          <w:tcPr>
            <w:tcW w:w="1701" w:type="dxa"/>
            <w:vAlign w:val="center"/>
          </w:tcPr>
          <w:p>
            <w:pPr>
              <w:jc w:val="center"/>
              <w:rPr>
                <w:sz w:val="24"/>
              </w:rPr>
            </w:pPr>
            <w:r>
              <w:rPr>
                <w:sz w:val="24"/>
              </w:rPr>
              <w:t>合同价格或中标通知书中载明中标金额</w:t>
            </w:r>
          </w:p>
        </w:tc>
        <w:tc>
          <w:tcPr>
            <w:tcW w:w="993" w:type="dxa"/>
            <w:vAlign w:val="center"/>
          </w:tcPr>
          <w:p>
            <w:pPr>
              <w:jc w:val="center"/>
              <w:rPr>
                <w:sz w:val="24"/>
              </w:rPr>
            </w:pPr>
            <w:r>
              <w:rPr>
                <w:sz w:val="24"/>
              </w:rPr>
              <w:t>使用单位名称</w:t>
            </w:r>
          </w:p>
        </w:tc>
        <w:tc>
          <w:tcPr>
            <w:tcW w:w="1275" w:type="dxa"/>
            <w:vAlign w:val="center"/>
          </w:tcPr>
          <w:p>
            <w:pPr>
              <w:jc w:val="center"/>
              <w:rPr>
                <w:sz w:val="24"/>
              </w:rPr>
            </w:pPr>
            <w:r>
              <w:rPr>
                <w:sz w:val="24"/>
              </w:rPr>
              <w:t>使用单位联系人及电话</w:t>
            </w:r>
          </w:p>
        </w:tc>
        <w:tc>
          <w:tcPr>
            <w:tcW w:w="815" w:type="dxa"/>
            <w:vAlign w:val="center"/>
          </w:tcPr>
          <w:p>
            <w:pPr>
              <w:jc w:val="center"/>
              <w:rPr>
                <w:sz w:val="24"/>
              </w:rPr>
            </w:pPr>
            <w:r>
              <w:rPr>
                <w:sz w:val="24"/>
              </w:rPr>
              <w:t>是否投入使用</w:t>
            </w:r>
          </w:p>
        </w:tc>
        <w:tc>
          <w:tcPr>
            <w:tcW w:w="71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bl>
    <w:p>
      <w:pPr>
        <w:autoSpaceDE w:val="0"/>
        <w:autoSpaceDN w:val="0"/>
        <w:ind w:left="700" w:hanging="700" w:hangingChars="332"/>
        <w:rPr>
          <w:sz w:val="24"/>
        </w:rPr>
      </w:pPr>
      <w:r>
        <w:rPr>
          <w:b/>
          <w:szCs w:val="21"/>
        </w:rPr>
        <w:t>注：</w:t>
      </w:r>
    </w:p>
    <w:p>
      <w:pPr>
        <w:numPr>
          <w:ilvl w:val="0"/>
          <w:numId w:val="13"/>
        </w:numPr>
        <w:autoSpaceDE w:val="0"/>
        <w:autoSpaceDN w:val="0"/>
        <w:adjustRightInd w:val="0"/>
        <w:spacing w:line="360" w:lineRule="auto"/>
        <w:rPr>
          <w:szCs w:val="21"/>
        </w:rPr>
      </w:pPr>
      <w:r>
        <w:rPr>
          <w:szCs w:val="21"/>
        </w:rPr>
        <w:t>投标人须提供相应的证明文件（投标人需提供供货合同或中标通知书复印件）</w:t>
      </w:r>
    </w:p>
    <w:p>
      <w:pPr>
        <w:numPr>
          <w:ilvl w:val="0"/>
          <w:numId w:val="13"/>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pPr>
        <w:spacing w:before="120" w:beforeLines="50" w:line="360" w:lineRule="auto"/>
        <w:ind w:left="-103" w:leftChars="-49" w:firstLine="119" w:firstLineChars="57"/>
      </w:pPr>
      <w:r>
        <w:t>投标人：（公章）</w:t>
      </w:r>
    </w:p>
    <w:p>
      <w:pPr>
        <w:pStyle w:val="33"/>
        <w:spacing w:before="120" w:line="360" w:lineRule="auto"/>
        <w:rPr>
          <w:sz w:val="21"/>
          <w:szCs w:val="21"/>
        </w:rPr>
      </w:pPr>
      <w:r>
        <w:rPr>
          <w:sz w:val="21"/>
          <w:szCs w:val="21"/>
        </w:rPr>
        <w:t>法定代表人或其委托代理人：（签字或加盖人名章）</w:t>
      </w:r>
    </w:p>
    <w:p>
      <w:pPr>
        <w:spacing w:line="360" w:lineRule="auto"/>
        <w:rPr>
          <w:sz w:val="24"/>
        </w:rPr>
      </w:pPr>
      <w:r>
        <w:rPr>
          <w:szCs w:val="21"/>
        </w:rPr>
        <w:t>日期：  年 月  日</w:t>
      </w:r>
    </w:p>
    <w:p>
      <w:pPr>
        <w:spacing w:line="360" w:lineRule="auto"/>
      </w:pPr>
    </w:p>
    <w:p>
      <w:pPr>
        <w:pStyle w:val="2"/>
        <w:spacing w:before="0" w:after="0" w:line="240" w:lineRule="auto"/>
        <w:rPr>
          <w:rFonts w:eastAsia="黑体"/>
          <w:sz w:val="28"/>
          <w:szCs w:val="28"/>
        </w:rPr>
        <w:sectPr>
          <w:footerReference r:id="rId9"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pPr>
      <w:bookmarkStart w:id="382" w:name="_Toc103677761"/>
      <w:bookmarkStart w:id="383" w:name="_Toc3851"/>
      <w:r>
        <w:rPr>
          <w:rFonts w:hint="eastAsia" w:eastAsia="黑体"/>
          <w:sz w:val="28"/>
          <w:szCs w:val="28"/>
          <w:lang w:val="en-US" w:eastAsia="zh-CN"/>
        </w:rPr>
        <w:t>六</w:t>
      </w:r>
      <w:r>
        <w:rPr>
          <w:rFonts w:hint="eastAsia" w:eastAsia="黑体"/>
          <w:sz w:val="28"/>
          <w:szCs w:val="28"/>
        </w:rPr>
        <w:t>、</w:t>
      </w:r>
      <w:r>
        <w:rPr>
          <w:rFonts w:eastAsia="黑体"/>
          <w:sz w:val="28"/>
          <w:szCs w:val="28"/>
        </w:rPr>
        <w:t>商务偏差表</w:t>
      </w:r>
      <w:bookmarkEnd w:id="382"/>
      <w:bookmarkEnd w:id="383"/>
      <w:r>
        <w:rPr>
          <w:szCs w:val="21"/>
        </w:rPr>
        <w:t xml:space="preserve">       </w:t>
      </w:r>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i/>
                <w:iCs/>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line="440" w:lineRule="exact"/>
        <w:ind w:left="-103" w:leftChars="-49"/>
      </w:pPr>
      <w:r>
        <w:t>法定代表人或其</w:t>
      </w:r>
      <w:r>
        <w:rPr>
          <w:szCs w:val="21"/>
        </w:rPr>
        <w:t>委托代理人</w:t>
      </w:r>
      <w:r>
        <w:t>：（签字或加盖人名章）</w:t>
      </w:r>
    </w:p>
    <w:p>
      <w:pPr>
        <w:spacing w:before="120" w:beforeLines="50" w:line="440" w:lineRule="exact"/>
        <w:ind w:left="-103" w:leftChars="-49"/>
      </w:pPr>
      <w:r>
        <w:t>日期：</w:t>
      </w:r>
    </w:p>
    <w:p/>
    <w:p>
      <w:pPr>
        <w:snapToGrid w:val="0"/>
        <w:spacing w:after="120" w:afterLines="50" w:line="360" w:lineRule="auto"/>
        <w:ind w:left="426" w:hanging="426" w:hangingChars="203"/>
        <w:jc w:val="left"/>
      </w:pPr>
      <w:r>
        <w:t>注：商务条款主要包括报价要求、售后服务、保密要求（如有）、交货时间、地点与方式、付款及结算方式等。</w:t>
      </w:r>
      <w:bookmarkStart w:id="384" w:name="_Toc18481"/>
      <w:bookmarkStart w:id="385" w:name="_Toc29772"/>
    </w:p>
    <w:bookmarkEnd w:id="384"/>
    <w:bookmarkEnd w:id="385"/>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386" w:name="_Toc9891"/>
      <w:bookmarkStart w:id="387" w:name="_Toc103677762"/>
      <w:bookmarkStart w:id="388" w:name="_Hlk99310377"/>
      <w:r>
        <w:rPr>
          <w:rFonts w:hint="eastAsia" w:eastAsia="黑体"/>
          <w:sz w:val="28"/>
          <w:szCs w:val="28"/>
          <w:lang w:val="en-US" w:eastAsia="zh-CN"/>
        </w:rPr>
        <w:t>七</w:t>
      </w:r>
      <w:r>
        <w:rPr>
          <w:rFonts w:hint="eastAsia" w:eastAsia="黑体"/>
          <w:sz w:val="28"/>
          <w:szCs w:val="28"/>
        </w:rPr>
        <w:t>、</w:t>
      </w:r>
      <w:r>
        <w:rPr>
          <w:rFonts w:eastAsia="黑体"/>
          <w:sz w:val="28"/>
          <w:szCs w:val="28"/>
        </w:rPr>
        <w:t>投标人基本情况表</w:t>
      </w:r>
      <w:bookmarkEnd w:id="386"/>
      <w:bookmarkEnd w:id="387"/>
    </w:p>
    <w:tbl>
      <w:tblPr>
        <w:tblStyle w:val="40"/>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p>
            <w:pPr>
              <w:topLinePunct/>
              <w:spacing w:line="440" w:lineRule="exact"/>
              <w:jc w:val="center"/>
              <w:rPr>
                <w:szCs w:val="21"/>
              </w:rPr>
            </w:pPr>
            <w:r>
              <w:rPr>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r>
              <w:rPr>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spacing w:line="440" w:lineRule="exact"/>
        <w:ind w:firstLine="420" w:firstLineChars="200"/>
      </w:pPr>
      <w: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w:t>
      </w:r>
      <w:r>
        <w:rPr>
          <w:szCs w:val="21"/>
        </w:rPr>
        <w:t>委托代理人</w:t>
      </w:r>
      <w:r>
        <w:t>：（签字或加盖人名章）</w:t>
      </w:r>
    </w:p>
    <w:p>
      <w:r>
        <w:t>日期：</w:t>
      </w:r>
    </w:p>
    <w:p>
      <w:pPr>
        <w:pStyle w:val="2"/>
        <w:spacing w:before="0" w:after="0" w:line="240" w:lineRule="auto"/>
        <w:rPr>
          <w:rFonts w:eastAsia="黑体"/>
          <w:sz w:val="28"/>
          <w:szCs w:val="28"/>
        </w:rPr>
      </w:pPr>
      <w:bookmarkStart w:id="389" w:name="_Toc30961"/>
      <w:bookmarkStart w:id="390" w:name="_Toc103677763"/>
      <w:r>
        <w:rPr>
          <w:rFonts w:hint="eastAsia" w:eastAsia="黑体"/>
          <w:sz w:val="28"/>
          <w:szCs w:val="28"/>
          <w:lang w:val="en-US" w:eastAsia="zh-CN"/>
        </w:rPr>
        <w:t>八</w:t>
      </w:r>
      <w:r>
        <w:rPr>
          <w:rFonts w:hint="eastAsia" w:eastAsia="黑体"/>
          <w:sz w:val="28"/>
          <w:szCs w:val="28"/>
        </w:rPr>
        <w:t>、</w:t>
      </w:r>
      <w:r>
        <w:rPr>
          <w:rFonts w:eastAsia="黑体"/>
          <w:sz w:val="28"/>
          <w:szCs w:val="28"/>
        </w:rPr>
        <w:t>政府采购政策的证明材料</w:t>
      </w:r>
      <w:bookmarkEnd w:id="388"/>
      <w:bookmarkEnd w:id="389"/>
      <w:bookmarkEnd w:id="390"/>
    </w:p>
    <w:p>
      <w:pPr>
        <w:pStyle w:val="79"/>
        <w:snapToGrid w:val="0"/>
        <w:spacing w:before="120" w:beforeLines="50"/>
        <w:rPr>
          <w:rFonts w:ascii="Times New Roman" w:hAnsi="Times New Roman" w:cs="Times New Roman"/>
          <w:sz w:val="24"/>
          <w:szCs w:val="24"/>
        </w:rPr>
      </w:pPr>
    </w:p>
    <w:p>
      <w:pPr>
        <w:pStyle w:val="5"/>
        <w:spacing w:before="0" w:after="0" w:line="240" w:lineRule="auto"/>
        <w:jc w:val="center"/>
        <w:rPr>
          <w:rFonts w:ascii="Times New Roman" w:hAnsi="Times New Roman" w:eastAsia="黑体"/>
          <w:b w:val="0"/>
          <w:bCs w:val="0"/>
          <w:sz w:val="36"/>
          <w:szCs w:val="36"/>
        </w:rPr>
      </w:pPr>
      <w:bookmarkStart w:id="391" w:name="_Toc21598"/>
      <w:bookmarkStart w:id="392" w:name="_Toc25392"/>
      <w:bookmarkStart w:id="393" w:name="_Toc13843"/>
      <w:bookmarkStart w:id="394" w:name="_Toc21486"/>
      <w:r>
        <w:rPr>
          <w:rFonts w:ascii="Times New Roman" w:hAnsi="Times New Roman" w:eastAsia="黑体"/>
          <w:b w:val="0"/>
          <w:bCs w:val="0"/>
          <w:sz w:val="36"/>
          <w:szCs w:val="36"/>
        </w:rPr>
        <w:t>（</w:t>
      </w:r>
      <w:r>
        <w:rPr>
          <w:rFonts w:hint="eastAsia" w:ascii="Times New Roman" w:hAnsi="Times New Roman" w:eastAsia="黑体"/>
          <w:b w:val="0"/>
          <w:bCs w:val="0"/>
          <w:sz w:val="36"/>
          <w:szCs w:val="36"/>
        </w:rPr>
        <w:t>一</w:t>
      </w:r>
      <w:r>
        <w:rPr>
          <w:rFonts w:ascii="Times New Roman" w:hAnsi="Times New Roman"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586"/>
        <w:gridCol w:w="1843"/>
        <w:gridCol w:w="1215"/>
        <w:gridCol w:w="1905"/>
        <w:gridCol w:w="809"/>
        <w:gridCol w:w="700"/>
        <w:gridCol w:w="84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74" w:type="dxa"/>
            <w:vAlign w:val="center"/>
          </w:tcPr>
          <w:p>
            <w:pPr>
              <w:spacing w:line="440" w:lineRule="exact"/>
              <w:jc w:val="center"/>
            </w:pPr>
            <w:r>
              <w:t>制造商</w:t>
            </w:r>
          </w:p>
        </w:tc>
        <w:tc>
          <w:tcPr>
            <w:tcW w:w="586" w:type="dxa"/>
            <w:vAlign w:val="center"/>
          </w:tcPr>
          <w:p>
            <w:pPr>
              <w:spacing w:line="440" w:lineRule="exact"/>
              <w:jc w:val="center"/>
            </w:pPr>
            <w:r>
              <w:t>品牌</w:t>
            </w:r>
          </w:p>
        </w:tc>
        <w:tc>
          <w:tcPr>
            <w:tcW w:w="1843" w:type="dxa"/>
            <w:vAlign w:val="center"/>
          </w:tcPr>
          <w:p>
            <w:pPr>
              <w:spacing w:line="440" w:lineRule="exact"/>
              <w:jc w:val="center"/>
            </w:pPr>
            <w:r>
              <w:t>产品名称、规格型号</w:t>
            </w:r>
          </w:p>
        </w:tc>
        <w:tc>
          <w:tcPr>
            <w:tcW w:w="1215" w:type="dxa"/>
            <w:vAlign w:val="center"/>
          </w:tcPr>
          <w:p>
            <w:pPr>
              <w:spacing w:line="440" w:lineRule="exact"/>
              <w:jc w:val="center"/>
            </w:pPr>
            <w:r>
              <w:t>节字标志认证证书号</w:t>
            </w:r>
          </w:p>
        </w:tc>
        <w:tc>
          <w:tcPr>
            <w:tcW w:w="1905" w:type="dxa"/>
            <w:vAlign w:val="center"/>
          </w:tcPr>
          <w:p>
            <w:pPr>
              <w:spacing w:line="440" w:lineRule="exact"/>
              <w:jc w:val="center"/>
            </w:pPr>
            <w:r>
              <w:t>节能产品认证证书有效截止日期</w:t>
            </w:r>
          </w:p>
        </w:tc>
        <w:tc>
          <w:tcPr>
            <w:tcW w:w="809" w:type="dxa"/>
            <w:vAlign w:val="center"/>
          </w:tcPr>
          <w:p>
            <w:pPr>
              <w:spacing w:line="440" w:lineRule="exact"/>
              <w:jc w:val="center"/>
            </w:pPr>
            <w:r>
              <w:t>单位</w:t>
            </w:r>
          </w:p>
        </w:tc>
        <w:tc>
          <w:tcPr>
            <w:tcW w:w="700" w:type="dxa"/>
            <w:vAlign w:val="center"/>
          </w:tcPr>
          <w:p>
            <w:pPr>
              <w:spacing w:line="440" w:lineRule="exact"/>
              <w:jc w:val="center"/>
            </w:pPr>
            <w:r>
              <w:t>数量</w:t>
            </w:r>
          </w:p>
        </w:tc>
        <w:tc>
          <w:tcPr>
            <w:tcW w:w="853"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523" w:type="dxa"/>
            <w:gridSpan w:val="5"/>
            <w:vAlign w:val="center"/>
          </w:tcPr>
          <w:p>
            <w:pPr>
              <w:spacing w:line="440" w:lineRule="exact"/>
            </w:pPr>
            <w:r>
              <w:t>合计金额</w:t>
            </w:r>
          </w:p>
        </w:tc>
        <w:tc>
          <w:tcPr>
            <w:tcW w:w="2355"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954"/>
        <w:gridCol w:w="1292"/>
        <w:gridCol w:w="1669"/>
        <w:gridCol w:w="1670"/>
        <w:gridCol w:w="675"/>
        <w:gridCol w:w="75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 w:type="dxa"/>
            <w:vAlign w:val="center"/>
          </w:tcPr>
          <w:p>
            <w:pPr>
              <w:spacing w:line="440" w:lineRule="exact"/>
              <w:jc w:val="center"/>
            </w:pPr>
            <w:r>
              <w:t>制造商</w:t>
            </w:r>
          </w:p>
        </w:tc>
        <w:tc>
          <w:tcPr>
            <w:tcW w:w="954" w:type="dxa"/>
            <w:vAlign w:val="center"/>
          </w:tcPr>
          <w:p>
            <w:pPr>
              <w:spacing w:line="440" w:lineRule="exact"/>
              <w:jc w:val="center"/>
            </w:pPr>
            <w:r>
              <w:t>品牌</w:t>
            </w:r>
          </w:p>
        </w:tc>
        <w:tc>
          <w:tcPr>
            <w:tcW w:w="1292" w:type="dxa"/>
            <w:vAlign w:val="center"/>
          </w:tcPr>
          <w:p>
            <w:pPr>
              <w:spacing w:line="440" w:lineRule="exact"/>
              <w:jc w:val="center"/>
            </w:pPr>
            <w:r>
              <w:t>产品名称、规格型号</w:t>
            </w:r>
          </w:p>
        </w:tc>
        <w:tc>
          <w:tcPr>
            <w:tcW w:w="1669" w:type="dxa"/>
            <w:vAlign w:val="center"/>
          </w:tcPr>
          <w:p>
            <w:pPr>
              <w:spacing w:line="440" w:lineRule="exact"/>
              <w:jc w:val="center"/>
            </w:pPr>
            <w:r>
              <w:t>中国环境标志认证证书编号</w:t>
            </w:r>
          </w:p>
        </w:tc>
        <w:tc>
          <w:tcPr>
            <w:tcW w:w="1670" w:type="dxa"/>
            <w:vAlign w:val="center"/>
          </w:tcPr>
          <w:p>
            <w:pPr>
              <w:spacing w:line="440" w:lineRule="exact"/>
              <w:jc w:val="center"/>
            </w:pPr>
            <w:r>
              <w:t>认证证书有效截止日期</w:t>
            </w:r>
          </w:p>
        </w:tc>
        <w:tc>
          <w:tcPr>
            <w:tcW w:w="675" w:type="dxa"/>
            <w:vAlign w:val="center"/>
          </w:tcPr>
          <w:p>
            <w:pPr>
              <w:spacing w:line="440" w:lineRule="exact"/>
              <w:jc w:val="center"/>
            </w:pPr>
            <w:r>
              <w:t>单位</w:t>
            </w:r>
          </w:p>
        </w:tc>
        <w:tc>
          <w:tcPr>
            <w:tcW w:w="757" w:type="dxa"/>
            <w:vAlign w:val="center"/>
          </w:tcPr>
          <w:p>
            <w:pPr>
              <w:spacing w:line="440" w:lineRule="exact"/>
              <w:jc w:val="center"/>
            </w:pPr>
            <w:r>
              <w:t>数量</w:t>
            </w:r>
          </w:p>
        </w:tc>
        <w:tc>
          <w:tcPr>
            <w:tcW w:w="913"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0" w:type="dxa"/>
            <w:gridSpan w:val="5"/>
            <w:vAlign w:val="center"/>
          </w:tcPr>
          <w:p>
            <w:pPr>
              <w:spacing w:line="440" w:lineRule="exact"/>
            </w:pPr>
            <w:r>
              <w:t>合计金额</w:t>
            </w:r>
          </w:p>
        </w:tc>
        <w:tc>
          <w:tcPr>
            <w:tcW w:w="2345"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
      <w:pPr>
        <w:adjustRightInd w:val="0"/>
        <w:snapToGrid w:val="0"/>
        <w:spacing w:line="440" w:lineRule="exact"/>
        <w:ind w:right="24"/>
        <w:jc w:val="center"/>
        <w:rPr>
          <w:b/>
          <w:sz w:val="30"/>
          <w:szCs w:val="30"/>
        </w:rPr>
      </w:pPr>
      <w:r>
        <w:rPr>
          <w:b/>
          <w:sz w:val="30"/>
          <w:szCs w:val="30"/>
        </w:rPr>
        <w:br w:type="page"/>
      </w:r>
    </w:p>
    <w:p>
      <w:pPr>
        <w:pStyle w:val="5"/>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二</w:t>
      </w:r>
      <w:r>
        <w:rPr>
          <w:rFonts w:ascii="Times New Roman" w:hAnsi="Times New Roman"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color w:val="3366FF"/>
          <w:sz w:val="36"/>
          <w:szCs w:val="44"/>
          <w:lang w:val="zh-CN"/>
        </w:rPr>
      </w:pPr>
      <w:bookmarkStart w:id="395" w:name="_Hlk104564392"/>
      <w:r>
        <w:rPr>
          <w:rFonts w:hint="eastAsia" w:eastAsia="黑体"/>
          <w:b/>
          <w:bCs/>
          <w:color w:val="3366FF"/>
          <w:sz w:val="36"/>
          <w:szCs w:val="44"/>
          <w:lang w:val="zh-CN"/>
        </w:rPr>
        <w:t>特别提示</w:t>
      </w:r>
    </w:p>
    <w:p>
      <w:pPr>
        <w:spacing w:before="240" w:beforeLines="100" w:after="240" w:afterLines="100" w:line="276" w:lineRule="auto"/>
        <w:jc w:val="center"/>
        <w:rPr>
          <w:rFonts w:eastAsia="黑体"/>
          <w:b/>
          <w:bCs/>
          <w:color w:val="3366FF"/>
          <w:sz w:val="28"/>
          <w:szCs w:val="36"/>
          <w:lang w:val="zh-CN"/>
        </w:rPr>
      </w:pPr>
      <w:r>
        <w:rPr>
          <w:rFonts w:hint="eastAsia" w:eastAsia="黑体"/>
          <w:b/>
          <w:bCs/>
          <w:color w:val="3366FF"/>
          <w:sz w:val="28"/>
          <w:szCs w:val="36"/>
          <w:lang w:val="zh-CN"/>
        </w:rPr>
        <w:t>（请在编制投标文件时，删去本段蓝色字体 “特别提示”）</w:t>
      </w:r>
    </w:p>
    <w:p>
      <w:pPr>
        <w:ind w:firstLine="482" w:firstLineChars="200"/>
        <w:rPr>
          <w:b/>
          <w:bCs/>
          <w:color w:val="3366FF"/>
          <w:sz w:val="24"/>
          <w:szCs w:val="32"/>
          <w:lang w:val="zh-CN"/>
        </w:rPr>
      </w:pPr>
      <w:r>
        <w:rPr>
          <w:rFonts w:hint="eastAsia"/>
          <w:b/>
          <w:bCs/>
          <w:color w:val="3366FF"/>
          <w:sz w:val="24"/>
          <w:szCs w:val="32"/>
          <w:lang w:val="zh-CN"/>
        </w:rPr>
        <w:t>当投标人为制造商（或生产厂家）时，须投标人出具其自身为中小企业的《中小企业声明函》（由投标人加盖公章），格式如下；</w:t>
      </w:r>
    </w:p>
    <w:p>
      <w:pPr>
        <w:ind w:firstLine="482" w:firstLineChars="200"/>
        <w:rPr>
          <w:b/>
          <w:bCs/>
          <w:color w:val="3366FF"/>
          <w:sz w:val="24"/>
          <w:szCs w:val="32"/>
          <w:lang w:val="zh-CN"/>
        </w:rPr>
      </w:pPr>
      <w:r>
        <w:rPr>
          <w:rFonts w:hint="eastAsia"/>
          <w:b/>
          <w:bCs/>
          <w:color w:val="3366FF"/>
          <w:sz w:val="24"/>
          <w:szCs w:val="32"/>
          <w:lang w:val="zh-CN"/>
        </w:rPr>
        <w:t>当投标人为代理商（或经销商）时，须投标人出具其所投产品的制造商（或生产厂家）为中小企业的《中小企业声明函》（由投标人加盖公章），格式如下：</w:t>
      </w:r>
    </w:p>
    <w:bookmarkEnd w:id="395"/>
    <w:p>
      <w:pPr>
        <w:rPr>
          <w:color w:val="00B0F0"/>
        </w:rPr>
      </w:pPr>
    </w:p>
    <w:p>
      <w:pPr>
        <w:pStyle w:val="5"/>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三</w:t>
      </w:r>
      <w:r>
        <w:rPr>
          <w:rFonts w:ascii="Times New Roman" w:hAnsi="Times New Roman" w:eastAsia="黑体"/>
          <w:b w:val="0"/>
          <w:bCs w:val="0"/>
          <w:sz w:val="36"/>
          <w:szCs w:val="36"/>
        </w:rPr>
        <w:t>）中小企业声明函</w:t>
      </w:r>
      <w:bookmarkEnd w:id="391"/>
      <w:bookmarkEnd w:id="392"/>
      <w:bookmarkEnd w:id="393"/>
      <w:r>
        <w:rPr>
          <w:rFonts w:ascii="Times New Roman" w:hAnsi="Times New Roman" w:eastAsia="黑体"/>
          <w:b w:val="0"/>
          <w:bCs w:val="0"/>
          <w:sz w:val="36"/>
          <w:szCs w:val="36"/>
        </w:rPr>
        <w:t>（货物）</w:t>
      </w:r>
      <w:bookmarkEnd w:id="394"/>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18"/>
          <w:szCs w:val="18"/>
        </w:rPr>
      </w:pPr>
      <w:r>
        <w:rPr>
          <w:sz w:val="18"/>
          <w:szCs w:val="18"/>
        </w:rPr>
        <w:t>1 从业人员、营业收入、资产总额填报上一年度数据，无上一年度数据的新成立企业可不填报。</w:t>
      </w:r>
    </w:p>
    <w:p>
      <w:pPr>
        <w:widowControl/>
        <w:jc w:val="left"/>
        <w:rPr>
          <w:sz w:val="24"/>
        </w:rPr>
      </w:pPr>
      <w:r>
        <w:rPr>
          <w:sz w:val="24"/>
        </w:rPr>
        <w:br w:type="page"/>
      </w:r>
    </w:p>
    <w:p>
      <w:pPr>
        <w:pStyle w:val="79"/>
        <w:snapToGrid w:val="0"/>
        <w:spacing w:before="120" w:beforeLines="50"/>
        <w:rPr>
          <w:rFonts w:ascii="Times New Roman" w:hAnsi="Times New Roman" w:cs="Times New Roman"/>
          <w:sz w:val="24"/>
          <w:szCs w:val="24"/>
        </w:rPr>
      </w:pPr>
    </w:p>
    <w:p>
      <w:pPr>
        <w:pStyle w:val="5"/>
        <w:spacing w:before="0" w:after="0" w:line="240" w:lineRule="auto"/>
        <w:jc w:val="center"/>
        <w:rPr>
          <w:rFonts w:ascii="Times New Roman" w:hAnsi="Times New Roman" w:eastAsia="黑体"/>
          <w:b w:val="0"/>
          <w:bCs w:val="0"/>
          <w:sz w:val="36"/>
          <w:szCs w:val="36"/>
        </w:rPr>
      </w:pPr>
      <w:bookmarkStart w:id="396" w:name="_Toc13395"/>
      <w:bookmarkStart w:id="397" w:name="_Toc27822"/>
      <w:bookmarkStart w:id="398" w:name="_Toc12522"/>
      <w:bookmarkStart w:id="399" w:name="_Toc3780"/>
      <w:bookmarkStart w:id="400" w:name="_Hlk99310416"/>
      <w:r>
        <w:rPr>
          <w:rFonts w:ascii="Times New Roman" w:hAnsi="Times New Roman" w:eastAsia="黑体"/>
          <w:b w:val="0"/>
          <w:bCs w:val="0"/>
          <w:sz w:val="36"/>
          <w:szCs w:val="36"/>
        </w:rPr>
        <w:t>（</w:t>
      </w:r>
      <w:r>
        <w:rPr>
          <w:rFonts w:hint="eastAsia" w:ascii="Times New Roman" w:hAnsi="Times New Roman" w:eastAsia="黑体"/>
          <w:b w:val="0"/>
          <w:bCs w:val="0"/>
          <w:sz w:val="36"/>
          <w:szCs w:val="36"/>
        </w:rPr>
        <w:t>四</w:t>
      </w:r>
      <w:r>
        <w:rPr>
          <w:rFonts w:ascii="Times New Roman" w:hAnsi="Times New Roman" w:eastAsia="黑体"/>
          <w:b w:val="0"/>
          <w:bCs w:val="0"/>
          <w:sz w:val="36"/>
          <w:szCs w:val="36"/>
        </w:rPr>
        <w:t>）监狱企业证明</w:t>
      </w:r>
      <w:bookmarkEnd w:id="396"/>
      <w:bookmarkEnd w:id="397"/>
      <w:bookmarkEnd w:id="398"/>
      <w:bookmarkEnd w:id="399"/>
    </w:p>
    <w:p>
      <w:pPr>
        <w:jc w:val="center"/>
        <w:rPr>
          <w:sz w:val="24"/>
        </w:rPr>
      </w:pPr>
      <w:r>
        <w:rPr>
          <w:sz w:val="24"/>
        </w:rPr>
        <w:t>（注：符合条件的监狱企业请提供本函，不符合的不提供本函）</w:t>
      </w:r>
    </w:p>
    <w:p>
      <w:pPr>
        <w:pStyle w:val="79"/>
        <w:snapToGrid w:val="0"/>
        <w:spacing w:before="120" w:beforeLines="50"/>
        <w:rPr>
          <w:rFonts w:ascii="Times New Roman" w:hAnsi="Times New Roman" w:cs="Times New Roman"/>
          <w:sz w:val="24"/>
          <w:szCs w:val="24"/>
        </w:rPr>
      </w:pPr>
    </w:p>
    <w:p>
      <w:pPr>
        <w:pStyle w:val="79"/>
        <w:snapToGrid w:val="0"/>
        <w:spacing w:before="120" w:beforeLines="50"/>
        <w:ind w:firstLine="480" w:firstLineChars="200"/>
        <w:rPr>
          <w:rFonts w:ascii="Times New Roman" w:hAnsi="Times New Roman" w:cs="Times New Roman"/>
          <w:sz w:val="24"/>
          <w:szCs w:val="24"/>
        </w:rPr>
      </w:pPr>
      <w:r>
        <w:rPr>
          <w:rFonts w:ascii="Times New Roman" w:hAnsi="Times New Roman" w:cs="Times New Roman"/>
          <w:sz w:val="24"/>
          <w:szCs w:val="24"/>
        </w:rPr>
        <w:t>省级以上监狱管理局、戒毒管理局（含新疆生产建设兵团）出具的属于监狱企业的证明文件。</w:t>
      </w:r>
    </w:p>
    <w:p>
      <w:pPr>
        <w:pStyle w:val="79"/>
        <w:snapToGrid w:val="0"/>
        <w:spacing w:before="120" w:beforeLines="50"/>
        <w:rPr>
          <w:rFonts w:ascii="Times New Roman" w:hAnsi="Times New Roman" w:cs="Times New Roman"/>
          <w:sz w:val="24"/>
          <w:szCs w:val="24"/>
        </w:rPr>
      </w:pPr>
    </w:p>
    <w:p>
      <w:pPr>
        <w:pStyle w:val="5"/>
        <w:spacing w:before="0" w:after="0" w:line="240" w:lineRule="auto"/>
        <w:jc w:val="center"/>
        <w:rPr>
          <w:rFonts w:ascii="Times New Roman" w:hAnsi="Times New Roman"/>
          <w:sz w:val="32"/>
          <w:szCs w:val="32"/>
        </w:rPr>
      </w:pPr>
      <w:r>
        <w:rPr>
          <w:rFonts w:ascii="Times New Roman" w:hAnsi="Times New Roman"/>
          <w:sz w:val="24"/>
        </w:rPr>
        <w:br w:type="page"/>
      </w:r>
      <w:bookmarkStart w:id="401" w:name="_Toc23737"/>
      <w:bookmarkStart w:id="402" w:name="_Toc10862"/>
      <w:bookmarkStart w:id="403" w:name="_Toc17203"/>
      <w:bookmarkStart w:id="404" w:name="_Toc25672"/>
      <w:r>
        <w:rPr>
          <w:rFonts w:ascii="Times New Roman" w:hAnsi="Times New Roman" w:eastAsia="黑体"/>
          <w:b w:val="0"/>
          <w:bCs w:val="0"/>
          <w:sz w:val="36"/>
          <w:szCs w:val="36"/>
        </w:rPr>
        <w:t>（</w:t>
      </w:r>
      <w:r>
        <w:rPr>
          <w:rFonts w:hint="eastAsia" w:ascii="Times New Roman" w:hAnsi="Times New Roman" w:eastAsia="黑体"/>
          <w:b w:val="0"/>
          <w:bCs w:val="0"/>
          <w:sz w:val="36"/>
          <w:szCs w:val="36"/>
        </w:rPr>
        <w:t>五</w:t>
      </w:r>
      <w:r>
        <w:rPr>
          <w:rFonts w:ascii="Times New Roman" w:hAnsi="Times New Roman" w:eastAsia="黑体"/>
          <w:b w:val="0"/>
          <w:bCs w:val="0"/>
          <w:sz w:val="36"/>
          <w:szCs w:val="36"/>
        </w:rPr>
        <w:t>）残疾人福利性单位声明函</w:t>
      </w:r>
      <w:bookmarkEnd w:id="401"/>
      <w:bookmarkEnd w:id="402"/>
      <w:bookmarkEnd w:id="403"/>
      <w:bookmarkEnd w:id="404"/>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pacing w:line="360" w:lineRule="auto"/>
        <w:jc w:val="center"/>
        <w:rPr>
          <w:rFonts w:eastAsia="黑体"/>
          <w:sz w:val="28"/>
          <w:szCs w:val="28"/>
        </w:rPr>
        <w:sectPr>
          <w:footerReference r:id="rId10"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sz w:val="24"/>
        </w:rPr>
        <w:t>日  期：</w:t>
      </w:r>
    </w:p>
    <w:p>
      <w:pPr>
        <w:pStyle w:val="2"/>
        <w:spacing w:before="0" w:after="0" w:line="240" w:lineRule="auto"/>
        <w:rPr>
          <w:rFonts w:eastAsia="黑体"/>
          <w:sz w:val="28"/>
          <w:szCs w:val="28"/>
        </w:rPr>
      </w:pPr>
      <w:bookmarkStart w:id="405" w:name="_Toc103677764"/>
      <w:bookmarkStart w:id="406" w:name="_Toc31863"/>
      <w:r>
        <w:rPr>
          <w:rFonts w:hint="eastAsia" w:eastAsia="黑体"/>
          <w:sz w:val="28"/>
          <w:szCs w:val="28"/>
          <w:lang w:val="en-US" w:eastAsia="zh-CN"/>
        </w:rPr>
        <w:t>九</w:t>
      </w:r>
      <w:r>
        <w:rPr>
          <w:rFonts w:hint="eastAsia" w:eastAsia="黑体"/>
          <w:sz w:val="28"/>
          <w:szCs w:val="28"/>
        </w:rPr>
        <w:t>、</w:t>
      </w:r>
      <w:r>
        <w:rPr>
          <w:rFonts w:eastAsia="黑体"/>
          <w:sz w:val="28"/>
          <w:szCs w:val="28"/>
        </w:rPr>
        <w:t>投标承诺书</w:t>
      </w:r>
      <w:bookmarkEnd w:id="405"/>
      <w:bookmarkEnd w:id="406"/>
    </w:p>
    <w:p>
      <w:pPr>
        <w:jc w:val="center"/>
        <w:rPr>
          <w:rFonts w:eastAsia="黑体"/>
          <w:sz w:val="32"/>
          <w:szCs w:val="32"/>
        </w:rPr>
      </w:pPr>
      <w:r>
        <w:rPr>
          <w:rFonts w:eastAsia="黑体"/>
          <w:sz w:val="32"/>
          <w:szCs w:val="32"/>
        </w:rPr>
        <w:t>投标承诺书</w:t>
      </w:r>
    </w:p>
    <w:p>
      <w:pPr>
        <w:spacing w:line="360" w:lineRule="auto"/>
        <w:rPr>
          <w:sz w:val="24"/>
        </w:rPr>
      </w:pPr>
      <w:r>
        <w:rPr>
          <w:sz w:val="24"/>
        </w:rPr>
        <w:t>致：</w:t>
      </w:r>
      <w:r>
        <w:rPr>
          <w:sz w:val="24"/>
          <w:u w:val="single"/>
        </w:rPr>
        <w:t>新疆维吾尔自治区人民医院</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在本次投标中我方无与其他投标人相互串通投标，或与采购人串通投标的行为；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
    <w:p/>
    <w:p/>
    <w:p/>
    <w:p/>
    <w:p/>
    <w:p/>
    <w:p>
      <w:pPr>
        <w:spacing w:line="360" w:lineRule="auto"/>
        <w:outlineLvl w:val="1"/>
        <w:rPr>
          <w:b/>
          <w:bCs/>
          <w:sz w:val="24"/>
        </w:rPr>
        <w:sectPr>
          <w:footerReference r:id="rId11"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407" w:name="_Toc103677765"/>
      <w:bookmarkStart w:id="408" w:name="_Toc29062"/>
      <w:r>
        <w:rPr>
          <w:rFonts w:hint="eastAsia" w:eastAsia="黑体"/>
          <w:sz w:val="28"/>
          <w:szCs w:val="28"/>
        </w:rPr>
        <w:t>十、</w:t>
      </w:r>
      <w:r>
        <w:rPr>
          <w:rFonts w:eastAsia="黑体"/>
          <w:sz w:val="28"/>
          <w:szCs w:val="28"/>
        </w:rPr>
        <w:t>反商业贿赂承诺书</w:t>
      </w:r>
      <w:bookmarkEnd w:id="407"/>
      <w:bookmarkEnd w:id="408"/>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21"/>
        <w:spacing w:line="440" w:lineRule="exact"/>
        <w:ind w:left="0" w:leftChars="0" w:firstLine="480" w:firstLineChars="200"/>
        <w:rPr>
          <w:sz w:val="24"/>
        </w:rPr>
      </w:pPr>
    </w:p>
    <w:p>
      <w:pPr>
        <w:pStyle w:val="21"/>
        <w:spacing w:line="440" w:lineRule="exact"/>
        <w:ind w:left="0" w:leftChars="0" w:firstLine="480" w:firstLineChars="20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2"/>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409" w:name="_Toc103677766"/>
      <w:bookmarkStart w:id="410" w:name="_Toc1695"/>
      <w:r>
        <w:rPr>
          <w:rFonts w:eastAsia="黑体"/>
          <w:sz w:val="28"/>
          <w:szCs w:val="28"/>
        </w:rPr>
        <w:t>十</w:t>
      </w:r>
      <w:r>
        <w:rPr>
          <w:rFonts w:hint="eastAsia" w:eastAsia="黑体"/>
          <w:sz w:val="28"/>
          <w:szCs w:val="28"/>
          <w:lang w:val="en-US" w:eastAsia="zh-CN"/>
        </w:rPr>
        <w:t>一</w:t>
      </w:r>
      <w:r>
        <w:rPr>
          <w:rFonts w:hint="eastAsia" w:eastAsia="黑体"/>
          <w:sz w:val="28"/>
          <w:szCs w:val="28"/>
        </w:rPr>
        <w:t>、</w:t>
      </w:r>
      <w:r>
        <w:rPr>
          <w:rFonts w:eastAsia="黑体"/>
          <w:sz w:val="28"/>
          <w:szCs w:val="28"/>
        </w:rPr>
        <w:t>项目负责人简历表及拟投入本项目主要成员表（如有）</w:t>
      </w:r>
      <w:bookmarkEnd w:id="409"/>
      <w:bookmarkEnd w:id="410"/>
    </w:p>
    <w:p>
      <w:pPr>
        <w:widowControl/>
        <w:tabs>
          <w:tab w:val="left" w:pos="720"/>
        </w:tabs>
        <w:spacing w:line="440" w:lineRule="exact"/>
        <w:jc w:val="left"/>
        <w:rPr>
          <w:b/>
        </w:rPr>
      </w:pPr>
      <w:r>
        <w:rPr>
          <w:b/>
        </w:rPr>
        <w:t>1、项目负责人简历表</w:t>
      </w:r>
    </w:p>
    <w:tbl>
      <w:tblPr>
        <w:tblStyle w:val="40"/>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4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spacing w:line="440" w:lineRule="exact"/>
        <w:rPr>
          <w:u w:val="single"/>
        </w:rPr>
      </w:pPr>
      <w:r>
        <w:t>投标人名称（公章）：</w:t>
      </w:r>
      <w:r>
        <w:rPr>
          <w:u w:val="single"/>
        </w:rPr>
        <w:t xml:space="preserve">　　　　　         </w:t>
      </w:r>
    </w:p>
    <w:p>
      <w:pPr>
        <w:spacing w:line="440" w:lineRule="exact"/>
      </w:pPr>
      <w:r>
        <w:t>投标人代表签字：</w:t>
      </w:r>
    </w:p>
    <w:p>
      <w:pPr>
        <w:spacing w:line="440" w:lineRule="exact"/>
      </w:pPr>
      <w:r>
        <w:t>日期：20年</w:t>
      </w:r>
      <w:r>
        <w:rPr>
          <w:u w:val="single"/>
        </w:rPr>
        <w:t>　</w:t>
      </w:r>
      <w:r>
        <w:t>月</w:t>
      </w:r>
      <w:r>
        <w:rPr>
          <w:u w:val="single"/>
        </w:rPr>
        <w:t>　</w:t>
      </w:r>
      <w:r>
        <w:t>日　</w:t>
      </w:r>
    </w:p>
    <w:p>
      <w:pPr>
        <w:adjustRightInd w:val="0"/>
        <w:snapToGrid w:val="0"/>
        <w:spacing w:line="440" w:lineRule="exact"/>
        <w:ind w:firstLine="422" w:firstLineChars="200"/>
        <w:rPr>
          <w:b/>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b/>
        </w:rPr>
        <w:t>注：后附人员相关资格证书复印件。</w:t>
      </w:r>
    </w:p>
    <w:p>
      <w:pPr>
        <w:pStyle w:val="2"/>
        <w:spacing w:before="0" w:after="0" w:line="240" w:lineRule="auto"/>
        <w:rPr>
          <w:rFonts w:eastAsia="黑体"/>
          <w:sz w:val="28"/>
          <w:szCs w:val="28"/>
        </w:rPr>
      </w:pPr>
      <w:bookmarkStart w:id="411" w:name="_Toc20720"/>
      <w:bookmarkStart w:id="412" w:name="_Toc103677767"/>
      <w:r>
        <w:rPr>
          <w:rFonts w:eastAsia="黑体"/>
          <w:sz w:val="28"/>
          <w:szCs w:val="28"/>
        </w:rPr>
        <w:t>十</w:t>
      </w:r>
      <w:r>
        <w:rPr>
          <w:rFonts w:hint="eastAsia" w:eastAsia="黑体"/>
          <w:sz w:val="28"/>
          <w:szCs w:val="28"/>
          <w:lang w:val="en-US" w:eastAsia="zh-CN"/>
        </w:rPr>
        <w:t>二</w:t>
      </w:r>
      <w:r>
        <w:rPr>
          <w:rFonts w:hint="eastAsia" w:eastAsia="黑体"/>
          <w:sz w:val="28"/>
          <w:szCs w:val="28"/>
        </w:rPr>
        <w:t>、</w:t>
      </w:r>
      <w:r>
        <w:rPr>
          <w:rFonts w:eastAsia="黑体"/>
          <w:sz w:val="28"/>
          <w:szCs w:val="28"/>
        </w:rPr>
        <w:t>其他商务部分资料</w:t>
      </w:r>
      <w:bookmarkEnd w:id="411"/>
      <w:bookmarkEnd w:id="412"/>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
      <w:pPr>
        <w:spacing w:line="360" w:lineRule="auto"/>
        <w:rPr>
          <w:sz w:val="24"/>
        </w:rPr>
      </w:pPr>
    </w:p>
    <w:p>
      <w:pPr>
        <w:pStyle w:val="2"/>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360" w:lineRule="auto"/>
        <w:rPr>
          <w:rFonts w:eastAsia="黑体"/>
          <w:sz w:val="28"/>
          <w:szCs w:val="28"/>
        </w:rPr>
      </w:pPr>
      <w:bookmarkStart w:id="413" w:name="_Toc103677768"/>
      <w:bookmarkStart w:id="414" w:name="_Toc25052"/>
      <w:r>
        <w:rPr>
          <w:rFonts w:eastAsia="黑体"/>
          <w:sz w:val="28"/>
          <w:szCs w:val="28"/>
        </w:rPr>
        <w:t>十</w:t>
      </w:r>
      <w:r>
        <w:rPr>
          <w:rFonts w:hint="eastAsia" w:eastAsia="黑体"/>
          <w:sz w:val="28"/>
          <w:szCs w:val="28"/>
          <w:lang w:val="en-US" w:eastAsia="zh-CN"/>
        </w:rPr>
        <w:t>三</w:t>
      </w:r>
      <w:r>
        <w:rPr>
          <w:rFonts w:hint="eastAsia" w:eastAsia="黑体"/>
          <w:sz w:val="28"/>
          <w:szCs w:val="28"/>
        </w:rPr>
        <w:t>、</w:t>
      </w:r>
      <w:r>
        <w:rPr>
          <w:rFonts w:eastAsia="黑体"/>
          <w:sz w:val="28"/>
          <w:szCs w:val="28"/>
        </w:rPr>
        <w:t>其他补充资料</w:t>
      </w:r>
      <w:bookmarkEnd w:id="413"/>
      <w:bookmarkEnd w:id="414"/>
    </w:p>
    <w:p>
      <w:pPr>
        <w:spacing w:line="360" w:lineRule="auto"/>
        <w:ind w:firstLine="480" w:firstLineChars="200"/>
        <w:rPr>
          <w:sz w:val="24"/>
        </w:rPr>
      </w:pPr>
      <w:r>
        <w:rPr>
          <w:sz w:val="24"/>
        </w:rPr>
        <w:t>为了便于为投标人在招标文件规定时间内尽快退还投标保证金及节省办理相关手续所耗时间，在此邀请投标人单独提供以下资料（</w:t>
      </w:r>
      <w:r>
        <w:rPr>
          <w:rFonts w:hint="eastAsia"/>
          <w:sz w:val="24"/>
        </w:rPr>
        <w:t>可以在</w:t>
      </w:r>
      <w:r>
        <w:rPr>
          <w:sz w:val="24"/>
        </w:rPr>
        <w:t>投标文件中提供</w:t>
      </w:r>
      <w:r>
        <w:rPr>
          <w:rFonts w:hint="eastAsia"/>
          <w:sz w:val="24"/>
        </w:rPr>
        <w:t>，投标文件中未提供的请在开标后将盖章后的电子版扫描件发送至电子邮箱</w:t>
      </w:r>
      <w:r>
        <w:rPr>
          <w:kern w:val="0"/>
          <w:sz w:val="24"/>
        </w:rPr>
        <w:t>gxxj_yhc@163.com</w:t>
      </w:r>
      <w:r>
        <w:rPr>
          <w:sz w:val="24"/>
        </w:rPr>
        <w:t>），未提供以下补充资料的，不构成不响应招标文件要求。</w:t>
      </w:r>
    </w:p>
    <w:p>
      <w:pPr>
        <w:pStyle w:val="5"/>
        <w:spacing w:before="0" w:after="0" w:line="360" w:lineRule="auto"/>
        <w:jc w:val="left"/>
        <w:rPr>
          <w:rFonts w:ascii="Times New Roman" w:hAnsi="Times New Roman" w:eastAsia="黑体"/>
          <w:b w:val="0"/>
          <w:bCs w:val="0"/>
        </w:rPr>
      </w:pPr>
      <w:r>
        <w:rPr>
          <w:rFonts w:ascii="Times New Roman" w:hAnsi="Times New Roman" w:eastAsia="黑体"/>
          <w:b w:val="0"/>
          <w:bCs w:val="0"/>
        </w:rPr>
        <w:t>补充资料：开户许可证复印件；或银行账户信息（加盖公章）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5"/>
        <w:spacing w:before="0" w:after="0" w:line="360" w:lineRule="auto"/>
        <w:jc w:val="left"/>
        <w:rPr>
          <w:rFonts w:ascii="Times New Roman" w:hAnsi="Times New Roman" w:eastAsia="黑体"/>
          <w:b w:val="0"/>
          <w:bCs w:val="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400"/>
    <w:p>
      <w:pPr>
        <w:rPr>
          <w:b/>
          <w:bCs/>
          <w:sz w:val="28"/>
          <w:szCs w:val="28"/>
        </w:rPr>
      </w:pPr>
      <w:bookmarkStart w:id="415" w:name="_Toc103677769"/>
      <w:bookmarkStart w:id="416" w:name="_Toc3327"/>
      <w:bookmarkStart w:id="417" w:name="_Toc28435"/>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431"/>
        <w:jc w:val="cente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pStyle w:val="4"/>
        <w:spacing w:before="0" w:after="0" w:line="240" w:lineRule="auto"/>
        <w:rPr>
          <w:rFonts w:ascii="Times New Roman" w:hAnsi="Times New Roman"/>
          <w:sz w:val="28"/>
          <w:szCs w:val="28"/>
        </w:rPr>
      </w:pPr>
      <w:bookmarkStart w:id="418" w:name="_Toc31086"/>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415"/>
      <w:bookmarkEnd w:id="418"/>
    </w:p>
    <w:p>
      <w:pPr>
        <w:pStyle w:val="2"/>
        <w:spacing w:before="0" w:after="0" w:line="240" w:lineRule="auto"/>
        <w:rPr>
          <w:rFonts w:eastAsia="黑体"/>
          <w:sz w:val="28"/>
          <w:szCs w:val="28"/>
        </w:rPr>
      </w:pPr>
      <w:bookmarkStart w:id="419" w:name="_Toc103677770"/>
      <w:bookmarkStart w:id="420" w:name="_Toc17891"/>
      <w:r>
        <w:rPr>
          <w:rFonts w:hint="eastAsia" w:eastAsia="黑体"/>
          <w:sz w:val="28"/>
          <w:szCs w:val="28"/>
        </w:rPr>
        <w:t>一、</w:t>
      </w:r>
      <w:r>
        <w:rPr>
          <w:rFonts w:eastAsia="黑体"/>
          <w:sz w:val="28"/>
          <w:szCs w:val="28"/>
        </w:rPr>
        <w:t>开标一览表</w:t>
      </w:r>
      <w:bookmarkEnd w:id="419"/>
      <w:bookmarkEnd w:id="420"/>
    </w:p>
    <w:bookmarkEnd w:id="416"/>
    <w:bookmarkEnd w:id="417"/>
    <w:p>
      <w:pPr>
        <w:spacing w:line="360" w:lineRule="auto"/>
        <w:jc w:val="center"/>
        <w:rPr>
          <w:rFonts w:eastAsia="黑体"/>
          <w:b/>
          <w:bCs/>
          <w:sz w:val="32"/>
          <w:szCs w:val="32"/>
        </w:rPr>
      </w:pPr>
      <w:r>
        <w:rPr>
          <w:rFonts w:eastAsia="黑体"/>
          <w:b/>
          <w:bCs/>
          <w:sz w:val="32"/>
          <w:szCs w:val="32"/>
        </w:rPr>
        <w:t>开标一览表</w:t>
      </w:r>
    </w:p>
    <w:tbl>
      <w:tblPr>
        <w:tblStyle w:val="40"/>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GXTC-C-23510125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新疆维吾尔自治区人民医院国产医用耗材采购项目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color w:val="FF0000"/>
                <w:sz w:val="24"/>
              </w:rPr>
              <w:t>标项</w:t>
            </w:r>
            <w:r>
              <w:rPr>
                <w:i/>
                <w:iCs/>
                <w:color w:val="FF0000"/>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单价合计</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交货期</w:t>
            </w:r>
          </w:p>
        </w:tc>
        <w:tc>
          <w:tcPr>
            <w:tcW w:w="6504" w:type="dxa"/>
            <w:vAlign w:val="center"/>
          </w:tcPr>
          <w:p>
            <w:pPr>
              <w:ind w:left="189" w:leftChars="90" w:firstLine="1"/>
              <w:jc w:val="left"/>
              <w:rPr>
                <w:sz w:val="24"/>
              </w:rPr>
            </w:pPr>
            <w:r>
              <w:rPr>
                <w:sz w:val="24"/>
              </w:rPr>
              <w:t>供货商接到采购人供货通知时，必须第一时间安排送货，急救或紧急情况下使用的配送不应超过4小时，一般品种的配送不应超过24小时。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供货周期</w:t>
            </w:r>
          </w:p>
        </w:tc>
        <w:tc>
          <w:tcPr>
            <w:tcW w:w="6504" w:type="dxa"/>
            <w:vAlign w:val="center"/>
          </w:tcPr>
          <w:p>
            <w:pPr>
              <w:ind w:left="189" w:leftChars="90" w:firstLine="1"/>
              <w:jc w:val="left"/>
              <w:rPr>
                <w:sz w:val="24"/>
              </w:rPr>
            </w:pPr>
            <w:r>
              <w:rPr>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交货地点</w:t>
            </w:r>
          </w:p>
        </w:tc>
        <w:tc>
          <w:tcPr>
            <w:tcW w:w="6504" w:type="dxa"/>
            <w:vAlign w:val="center"/>
          </w:tcPr>
          <w:p>
            <w:pPr>
              <w:ind w:left="189" w:leftChars="90" w:firstLine="1"/>
              <w:jc w:val="left"/>
              <w:rPr>
                <w:sz w:val="24"/>
              </w:rPr>
            </w:pPr>
            <w:r>
              <w:rPr>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w:t>
            </w:r>
          </w:p>
          <w:p>
            <w:pPr>
              <w:jc w:val="center"/>
              <w:rPr>
                <w:b/>
                <w:sz w:val="24"/>
              </w:rPr>
            </w:pPr>
            <w:r>
              <w:rPr>
                <w:b/>
                <w:sz w:val="24"/>
              </w:rPr>
              <w:t>（如有）</w:t>
            </w:r>
          </w:p>
        </w:tc>
        <w:tc>
          <w:tcPr>
            <w:tcW w:w="6504" w:type="dxa"/>
            <w:vAlign w:val="center"/>
          </w:tcPr>
          <w:p>
            <w:pPr>
              <w:ind w:left="899" w:leftChars="428" w:firstLine="1"/>
              <w:rPr>
                <w:sz w:val="24"/>
              </w:rPr>
            </w:pPr>
          </w:p>
        </w:tc>
      </w:tr>
    </w:tbl>
    <w:p>
      <w:pPr>
        <w:pStyle w:val="79"/>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79"/>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79"/>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pacing w:line="480" w:lineRule="exact"/>
        <w:ind w:firstLine="482" w:firstLineChars="200"/>
        <w:rPr>
          <w:rFonts w:eastAsia="仿宋_GB2312"/>
          <w:b/>
          <w:kern w:val="0"/>
          <w:sz w:val="24"/>
          <w:szCs w:val="28"/>
        </w:rPr>
      </w:pPr>
    </w:p>
    <w:p>
      <w:pPr>
        <w:rPr>
          <w:rFonts w:eastAsia="黑体"/>
          <w:sz w:val="28"/>
          <w:szCs w:val="28"/>
        </w:rPr>
      </w:pPr>
      <w:bookmarkStart w:id="421" w:name="_Toc103677771"/>
      <w:r>
        <w:rPr>
          <w:rFonts w:hint="eastAsia" w:eastAsia="黑体"/>
          <w:sz w:val="28"/>
          <w:szCs w:val="28"/>
        </w:rPr>
        <w:br w:type="page"/>
      </w:r>
    </w:p>
    <w:bookmarkEnd w:id="421"/>
    <w:p>
      <w:pPr>
        <w:pStyle w:val="2"/>
        <w:spacing w:before="0" w:after="0" w:line="240" w:lineRule="auto"/>
        <w:rPr>
          <w:b w:val="0"/>
          <w:bCs w:val="0"/>
          <w:sz w:val="24"/>
          <w:szCs w:val="24"/>
        </w:rPr>
      </w:pPr>
      <w:bookmarkStart w:id="422" w:name="_Toc4210"/>
      <w:bookmarkStart w:id="423" w:name="_Toc103677772"/>
      <w:bookmarkStart w:id="424" w:name="_Toc32222"/>
      <w:bookmarkStart w:id="425" w:name="_Toc14600"/>
      <w:r>
        <w:rPr>
          <w:rFonts w:hint="eastAsia" w:eastAsia="黑体"/>
          <w:sz w:val="28"/>
          <w:szCs w:val="28"/>
        </w:rPr>
        <w:t>二、投标明细报价表</w:t>
      </w:r>
      <w:bookmarkEnd w:id="422"/>
    </w:p>
    <w:p>
      <w:pPr>
        <w:rPr>
          <w:rFonts w:hint="eastAsia" w:eastAsia="宋体"/>
          <w:sz w:val="24"/>
          <w:lang w:eastAsia="zh-CN"/>
        </w:rPr>
      </w:pPr>
      <w:r>
        <w:rPr>
          <w:sz w:val="24"/>
        </w:rPr>
        <w:t>项目编号：</w:t>
      </w:r>
      <w:r>
        <w:rPr>
          <w:rFonts w:hint="eastAsia"/>
          <w:sz w:val="24"/>
          <w:lang w:eastAsia="zh-CN"/>
        </w:rPr>
        <w:t>GXTC-C-23510125</w:t>
      </w:r>
    </w:p>
    <w:p>
      <w:pPr>
        <w:rPr>
          <w:rFonts w:hint="eastAsia" w:eastAsia="宋体"/>
          <w:sz w:val="24"/>
          <w:lang w:eastAsia="zh-CN"/>
        </w:rPr>
      </w:pPr>
      <w:r>
        <w:rPr>
          <w:sz w:val="24"/>
        </w:rPr>
        <w:t>项目名称：</w:t>
      </w:r>
      <w:r>
        <w:rPr>
          <w:rFonts w:hint="eastAsia"/>
          <w:sz w:val="24"/>
          <w:lang w:eastAsia="zh-CN"/>
        </w:rPr>
        <w:t>新疆维吾尔自治区人民医院国产医用耗材采购项目</w:t>
      </w:r>
    </w:p>
    <w:p>
      <w:pPr>
        <w:rPr>
          <w:sz w:val="24"/>
        </w:rPr>
      </w:pPr>
      <w:r>
        <w:rPr>
          <w:rFonts w:hint="eastAsia"/>
          <w:sz w:val="24"/>
        </w:rPr>
        <w:t>标 项 号：标项一</w:t>
      </w:r>
    </w:p>
    <w:p>
      <w:pPr>
        <w:rPr>
          <w:rFonts w:hint="eastAsia" w:eastAsia="宋体"/>
          <w:sz w:val="24"/>
          <w:lang w:eastAsia="zh-CN"/>
        </w:rPr>
      </w:pPr>
      <w:r>
        <w:rPr>
          <w:rFonts w:hint="eastAsia"/>
          <w:sz w:val="24"/>
        </w:rPr>
        <w:t>标项名称：</w:t>
      </w:r>
      <w:r>
        <w:rPr>
          <w:rFonts w:hint="eastAsia"/>
          <w:sz w:val="24"/>
          <w:lang w:eastAsia="zh-CN"/>
        </w:rPr>
        <w:t>麻醉科耗材</w:t>
      </w:r>
    </w:p>
    <w:tbl>
      <w:tblPr>
        <w:tblStyle w:val="40"/>
        <w:tblW w:w="9079" w:type="dxa"/>
        <w:jc w:val="center"/>
        <w:tblLayout w:type="fixed"/>
        <w:tblCellMar>
          <w:top w:w="0" w:type="dxa"/>
          <w:left w:w="108" w:type="dxa"/>
          <w:bottom w:w="0" w:type="dxa"/>
          <w:right w:w="108" w:type="dxa"/>
        </w:tblCellMar>
      </w:tblPr>
      <w:tblGrid>
        <w:gridCol w:w="402"/>
        <w:gridCol w:w="658"/>
        <w:gridCol w:w="397"/>
        <w:gridCol w:w="397"/>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32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65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ascii="Times New Roman" w:hAnsi="Times New Roman" w:eastAsia="宋体"/>
                <w:lang w:val="en-US" w:eastAsia="zh-CN" w:bidi="ar"/>
              </w:rPr>
            </w:pPr>
            <w:r>
              <w:rPr>
                <w:rStyle w:val="448"/>
                <w:rFonts w:hint="eastAsia"/>
                <w:lang w:val="en-US" w:eastAsia="zh-CN" w:bidi="ar"/>
              </w:rPr>
              <w:t>所属行业</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ascii="Times New Roman" w:hAnsi="Times New Roman"/>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Times New Roman" w:hAnsi="Times New Roman"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产品编号</w:t>
            </w:r>
            <w:r>
              <w:rPr>
                <w:rStyle w:val="448"/>
                <w:rFonts w:ascii="Times New Roman" w:hAnsi="Times New Roman"/>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规格尺寸（内径</w:t>
            </w:r>
            <w:r>
              <w:rPr>
                <w:b/>
                <w:bCs/>
                <w:color w:val="000000"/>
                <w:kern w:val="0"/>
                <w:sz w:val="20"/>
                <w:szCs w:val="20"/>
                <w:lang w:bidi="ar"/>
              </w:rPr>
              <w:t>×</w:t>
            </w:r>
            <w:r>
              <w:rPr>
                <w:rStyle w:val="448"/>
                <w:rFonts w:hint="default" w:ascii="Times New Roman" w:hAnsi="Times New Roman"/>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国产</w:t>
            </w:r>
            <w:r>
              <w:rPr>
                <w:b/>
                <w:bCs/>
                <w:color w:val="000000"/>
                <w:kern w:val="0"/>
                <w:sz w:val="20"/>
                <w:szCs w:val="20"/>
                <w:lang w:bidi="ar"/>
              </w:rPr>
              <w:t>/</w:t>
            </w:r>
            <w:r>
              <w:rPr>
                <w:rFonts w:hint="eastAsia" w:ascii="Times New Roman" w:hAnsi="Times New Roman"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备注</w:t>
            </w:r>
          </w:p>
        </w:tc>
      </w:tr>
      <w:tr>
        <w:tblPrEx>
          <w:tblCellMar>
            <w:top w:w="0" w:type="dxa"/>
            <w:left w:w="108" w:type="dxa"/>
            <w:bottom w:w="0" w:type="dxa"/>
            <w:right w:w="108" w:type="dxa"/>
          </w:tblCellMar>
        </w:tblPrEx>
        <w:trPr>
          <w:trHeight w:val="1401"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eastAsia="宋体"/>
                <w:color w:val="000000"/>
                <w:kern w:val="0"/>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01"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2</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一次性使用麻醉穿刺包</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260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3</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一次性使用腰硬联合麻醉穿刺套件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60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4</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5</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一次性使用全麻组件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170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6</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7</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中心静脉导管套件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包</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779"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8</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气管插管</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9</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加强型气管插管</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10</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280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11</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多功能喉罩</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350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12</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医用喉罩</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13</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14</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麻醉面罩</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15</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一次性使用麻醉呼吸管路组件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16</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一次性穿刺针</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220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17</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一次性使用泵用输液管</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18</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一次性使用便携式输注泵 非电驱动</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210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19</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钙石灰</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桶</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20</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Times New Roman" w:hAnsi="Times New Roman" w:eastAsia="宋体" w:cs="宋体"/>
                <w:i w:val="0"/>
                <w:iCs w:val="0"/>
                <w:color w:val="000000"/>
                <w:kern w:val="0"/>
                <w:sz w:val="20"/>
                <w:szCs w:val="20"/>
                <w:u w:val="none"/>
                <w:lang w:val="en-US" w:eastAsia="zh-CN" w:bidi="ar"/>
              </w:rPr>
              <w:t>一次性使用支气管堵塞器</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Arial" w:hAnsi="Arial" w:cs="Arial"/>
                <w:b w:val="0"/>
                <w:bCs w:val="0"/>
                <w:kern w:val="0"/>
                <w:sz w:val="21"/>
                <w:szCs w:val="21"/>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1580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794"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Times New Roman" w:hAnsi="Times New Roman"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4,495.00</w:t>
            </w:r>
          </w:p>
        </w:tc>
        <w:tc>
          <w:tcPr>
            <w:tcW w:w="682"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Pr>
        <w:rPr>
          <w:sz w:val="24"/>
        </w:rPr>
      </w:pPr>
      <w:r>
        <w:rPr>
          <w:sz w:val="24"/>
        </w:rPr>
        <w:br w:type="page"/>
      </w:r>
    </w:p>
    <w:p>
      <w:pPr>
        <w:rPr>
          <w:rFonts w:hint="eastAsia" w:eastAsia="宋体"/>
          <w:sz w:val="24"/>
          <w:lang w:eastAsia="zh-CN"/>
        </w:rPr>
      </w:pPr>
      <w:r>
        <w:rPr>
          <w:sz w:val="24"/>
        </w:rPr>
        <w:t>项目编号：</w:t>
      </w:r>
      <w:r>
        <w:rPr>
          <w:rFonts w:hint="eastAsia"/>
          <w:sz w:val="24"/>
          <w:lang w:eastAsia="zh-CN"/>
        </w:rPr>
        <w:t>GXTC-C-23510125</w:t>
      </w:r>
    </w:p>
    <w:p>
      <w:pPr>
        <w:rPr>
          <w:rFonts w:hint="eastAsia" w:eastAsia="宋体"/>
          <w:sz w:val="24"/>
          <w:lang w:eastAsia="zh-CN"/>
        </w:rPr>
      </w:pPr>
      <w:r>
        <w:rPr>
          <w:sz w:val="24"/>
        </w:rPr>
        <w:t>项目名称：</w:t>
      </w:r>
      <w:r>
        <w:rPr>
          <w:rFonts w:hint="eastAsia"/>
          <w:sz w:val="24"/>
          <w:lang w:eastAsia="zh-CN"/>
        </w:rPr>
        <w:t>新疆维吾尔自治区人民医院国产医用耗材采购项目</w:t>
      </w:r>
    </w:p>
    <w:p>
      <w:pPr>
        <w:rPr>
          <w:rFonts w:hint="eastAsia" w:eastAsia="宋体"/>
          <w:sz w:val="24"/>
          <w:lang w:eastAsia="zh-CN"/>
        </w:rPr>
      </w:pPr>
      <w:r>
        <w:rPr>
          <w:rFonts w:hint="eastAsia"/>
          <w:sz w:val="24"/>
        </w:rPr>
        <w:t>标 项 号：标项</w:t>
      </w:r>
      <w:r>
        <w:rPr>
          <w:rFonts w:hint="eastAsia"/>
          <w:sz w:val="24"/>
          <w:lang w:val="en-US" w:eastAsia="zh-CN"/>
        </w:rPr>
        <w:t>二</w:t>
      </w:r>
    </w:p>
    <w:p>
      <w:pPr>
        <w:rPr>
          <w:rFonts w:hint="eastAsia" w:eastAsia="宋体"/>
          <w:sz w:val="24"/>
          <w:lang w:eastAsia="zh-CN"/>
        </w:rPr>
      </w:pPr>
      <w:r>
        <w:rPr>
          <w:rFonts w:hint="eastAsia"/>
          <w:sz w:val="24"/>
        </w:rPr>
        <w:t>标项名</w:t>
      </w:r>
      <w:r>
        <w:rPr>
          <w:rFonts w:hint="eastAsia" w:ascii="Times New Roman" w:hAnsi="Times New Roman" w:eastAsia="宋体" w:cs="Times New Roman"/>
          <w:sz w:val="24"/>
          <w:lang w:eastAsia="zh-CN"/>
        </w:rPr>
        <w:t>称：</w:t>
      </w:r>
      <w:r>
        <w:rPr>
          <w:rFonts w:hint="eastAsia" w:cs="Times New Roman"/>
          <w:sz w:val="24"/>
          <w:lang w:val="en-US" w:eastAsia="zh-CN"/>
        </w:rPr>
        <w:t>微创外科耗材</w:t>
      </w:r>
    </w:p>
    <w:tbl>
      <w:tblPr>
        <w:tblStyle w:val="40"/>
        <w:tblW w:w="9079" w:type="dxa"/>
        <w:jc w:val="center"/>
        <w:tblLayout w:type="fixed"/>
        <w:tblCellMar>
          <w:top w:w="0" w:type="dxa"/>
          <w:left w:w="108" w:type="dxa"/>
          <w:bottom w:w="0" w:type="dxa"/>
          <w:right w:w="108" w:type="dxa"/>
        </w:tblCellMar>
      </w:tblPr>
      <w:tblGrid>
        <w:gridCol w:w="387"/>
        <w:gridCol w:w="673"/>
        <w:gridCol w:w="345"/>
        <w:gridCol w:w="449"/>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61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6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4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ascii="Times New Roman" w:hAnsi="Times New Roman" w:eastAsia="宋体"/>
                <w:lang w:val="en-US" w:eastAsia="zh-CN" w:bidi="ar"/>
              </w:rPr>
            </w:pPr>
            <w:r>
              <w:rPr>
                <w:rStyle w:val="448"/>
                <w:rFonts w:hint="eastAsia"/>
                <w:lang w:val="en-US" w:eastAsia="zh-CN" w:bidi="ar"/>
              </w:rPr>
              <w:t>所属行业</w:t>
            </w:r>
          </w:p>
        </w:tc>
        <w:tc>
          <w:tcPr>
            <w:tcW w:w="44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ascii="Times New Roman" w:hAnsi="Times New Roman"/>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Times New Roman" w:hAnsi="Times New Roman"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产品编号</w:t>
            </w:r>
            <w:r>
              <w:rPr>
                <w:rStyle w:val="448"/>
                <w:rFonts w:ascii="Times New Roman" w:hAnsi="Times New Roman"/>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规格尺寸（内径</w:t>
            </w:r>
            <w:r>
              <w:rPr>
                <w:b/>
                <w:bCs/>
                <w:color w:val="000000"/>
                <w:kern w:val="0"/>
                <w:sz w:val="20"/>
                <w:szCs w:val="20"/>
                <w:lang w:bidi="ar"/>
              </w:rPr>
              <w:t>×</w:t>
            </w:r>
            <w:r>
              <w:rPr>
                <w:rStyle w:val="448"/>
                <w:rFonts w:hint="default" w:ascii="Times New Roman" w:hAnsi="Times New Roman"/>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国产</w:t>
            </w:r>
            <w:r>
              <w:rPr>
                <w:b/>
                <w:bCs/>
                <w:color w:val="000000"/>
                <w:kern w:val="0"/>
                <w:sz w:val="20"/>
                <w:szCs w:val="20"/>
                <w:lang w:bidi="ar"/>
              </w:rPr>
              <w:t>/</w:t>
            </w:r>
            <w:r>
              <w:rPr>
                <w:rFonts w:hint="eastAsia" w:ascii="Times New Roman" w:hAnsi="Times New Roman"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Cs w:val="21"/>
              </w:rPr>
            </w:pPr>
            <w:r>
              <w:rPr>
                <w:rFonts w:hint="eastAsia" w:ascii="Times New Roman" w:hAnsi="Times New Roman" w:eastAsia="宋体" w:cs="宋体"/>
                <w:i w:val="0"/>
                <w:iCs w:val="0"/>
                <w:color w:val="000000"/>
                <w:kern w:val="0"/>
                <w:sz w:val="20"/>
                <w:szCs w:val="20"/>
                <w:u w:val="none"/>
                <w:lang w:val="en-US" w:eastAsia="zh-CN" w:bidi="ar"/>
              </w:rPr>
              <w:t>一次性双极电凝切割钳</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szCs w:val="21"/>
                <w:lang w:val="en-US" w:eastAsia="zh-CN"/>
              </w:rPr>
            </w:pPr>
            <w:r>
              <w:rPr>
                <w:rFonts w:hint="eastAsia" w:ascii="Times New Roman" w:hAnsi="Times New Roman" w:eastAsia="宋体" w:cs="宋体"/>
                <w:i w:val="0"/>
                <w:iCs w:val="0"/>
                <w:color w:val="000000"/>
                <w:kern w:val="0"/>
                <w:sz w:val="20"/>
                <w:szCs w:val="20"/>
                <w:u w:val="none"/>
                <w:lang w:val="en-US" w:eastAsia="zh-CN" w:bidi="ar"/>
              </w:rPr>
              <w:t>把</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szCs w:val="21"/>
                <w:lang w:val="en-US" w:eastAsia="zh-CN"/>
              </w:rPr>
            </w:pPr>
            <w:r>
              <w:rPr>
                <w:rFonts w:hint="eastAsia" w:ascii="Times New Roman" w:hAnsi="Times New Roman" w:eastAsia="宋体" w:cs="宋体"/>
                <w:i w:val="0"/>
                <w:iCs w:val="0"/>
                <w:color w:val="000000"/>
                <w:kern w:val="0"/>
                <w:sz w:val="20"/>
                <w:szCs w:val="20"/>
                <w:u w:val="none"/>
                <w:lang w:val="en-US" w:eastAsia="zh-CN" w:bidi="ar"/>
              </w:rPr>
              <w:t>1080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一次性电凝切割器</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把</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1332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连发钛夹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把</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1242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4</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一次性使用内窥镜标本取物袋</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5</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88.2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6</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88.2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7</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一次性结扎夹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97.2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8</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9</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10</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680"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14</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522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15</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16</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1125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17</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702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18</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1134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19</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1404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20</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1422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1512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一次性套管穿刺器（套管穿刺针）</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2952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24</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220.5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25</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一次性冲洗吸引器（冲洗引流管）</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432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26</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一次性使用负压引流导管（套件）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1152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27</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一次性使用负压引流导管（单只引流导管）</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根</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617.4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85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28</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833"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29</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医用阻断夹</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枚</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8.1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225"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30</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一次性使用高频电刀笔</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24.3</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65"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一次性使用中性电极</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片</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16.2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930"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中性电极导线</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根</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1422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34</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2052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35</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1332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36</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1242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37</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一次性使用负压引流导管及附件</w:t>
            </w:r>
          </w:p>
        </w:tc>
        <w:tc>
          <w:tcPr>
            <w:tcW w:w="3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工业</w:t>
            </w:r>
          </w:p>
        </w:tc>
        <w:tc>
          <w:tcPr>
            <w:tcW w:w="44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1152</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794"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Times New Roman" w:hAnsi="Times New Roman"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color w:val="000000"/>
                <w:sz w:val="20"/>
                <w:szCs w:val="20"/>
                <w:lang w:val="en-US" w:eastAsia="zh-CN"/>
              </w:rPr>
            </w:pPr>
            <w:r>
              <w:rPr>
                <w:rFonts w:hint="eastAsia"/>
                <w:color w:val="000000"/>
                <w:sz w:val="20"/>
                <w:szCs w:val="20"/>
                <w:lang w:val="en-US" w:eastAsia="zh-CN"/>
              </w:rPr>
              <w:t>32,434.20</w:t>
            </w:r>
          </w:p>
        </w:tc>
        <w:tc>
          <w:tcPr>
            <w:tcW w:w="682"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
      <w:pPr>
        <w:rPr>
          <w:b/>
          <w:bCs/>
          <w:sz w:val="28"/>
          <w:szCs w:val="28"/>
        </w:rPr>
      </w:pPr>
      <w:r>
        <w:rPr>
          <w:b/>
          <w:bCs/>
          <w:sz w:val="28"/>
          <w:szCs w:val="28"/>
        </w:rPr>
        <w:br w:type="page"/>
      </w:r>
    </w:p>
    <w:p>
      <w:pPr>
        <w:rPr>
          <w:rFonts w:hint="eastAsia" w:eastAsia="宋体"/>
          <w:sz w:val="24"/>
          <w:lang w:eastAsia="zh-CN"/>
        </w:rPr>
      </w:pPr>
      <w:r>
        <w:rPr>
          <w:sz w:val="24"/>
        </w:rPr>
        <w:t>项目编号：</w:t>
      </w:r>
      <w:r>
        <w:rPr>
          <w:rFonts w:hint="eastAsia"/>
          <w:sz w:val="24"/>
          <w:lang w:eastAsia="zh-CN"/>
        </w:rPr>
        <w:t>GXTC-C-23510125</w:t>
      </w:r>
    </w:p>
    <w:p>
      <w:pPr>
        <w:rPr>
          <w:rFonts w:hint="eastAsia" w:eastAsia="宋体"/>
          <w:sz w:val="24"/>
          <w:lang w:eastAsia="zh-CN"/>
        </w:rPr>
      </w:pPr>
      <w:r>
        <w:rPr>
          <w:sz w:val="24"/>
        </w:rPr>
        <w:t>项目名称：</w:t>
      </w:r>
      <w:r>
        <w:rPr>
          <w:rFonts w:hint="eastAsia"/>
          <w:sz w:val="24"/>
          <w:lang w:eastAsia="zh-CN"/>
        </w:rPr>
        <w:t>新疆维吾尔自治区人民医院国产医用耗材采购项目</w:t>
      </w:r>
    </w:p>
    <w:p>
      <w:pPr>
        <w:rPr>
          <w:rFonts w:hint="eastAsia" w:eastAsia="宋体"/>
          <w:sz w:val="24"/>
          <w:lang w:eastAsia="zh-CN"/>
        </w:rPr>
      </w:pPr>
      <w:r>
        <w:rPr>
          <w:rFonts w:hint="eastAsia"/>
          <w:sz w:val="24"/>
        </w:rPr>
        <w:t>标 项 号：标项</w:t>
      </w:r>
      <w:r>
        <w:rPr>
          <w:rFonts w:hint="eastAsia"/>
          <w:sz w:val="24"/>
          <w:lang w:val="en-US" w:eastAsia="zh-CN"/>
        </w:rPr>
        <w:t>三</w:t>
      </w:r>
    </w:p>
    <w:p>
      <w:pPr>
        <w:rPr>
          <w:rFonts w:hint="eastAsia" w:eastAsia="宋体"/>
          <w:sz w:val="24"/>
          <w:lang w:eastAsia="zh-CN"/>
        </w:rPr>
      </w:pPr>
      <w:r>
        <w:rPr>
          <w:rFonts w:hint="eastAsia"/>
          <w:sz w:val="24"/>
        </w:rPr>
        <w:t>标项名</w:t>
      </w:r>
      <w:r>
        <w:rPr>
          <w:rFonts w:hint="eastAsia" w:ascii="Times New Roman" w:hAnsi="Times New Roman" w:eastAsia="宋体" w:cs="Times New Roman"/>
          <w:sz w:val="24"/>
          <w:lang w:eastAsia="zh-CN"/>
        </w:rPr>
        <w:t>称：</w:t>
      </w:r>
      <w:r>
        <w:rPr>
          <w:rFonts w:hint="eastAsia" w:ascii="Times New Roman" w:hAnsi="Times New Roman" w:eastAsia="宋体" w:cs="Times New Roman"/>
          <w:kern w:val="0"/>
          <w:sz w:val="24"/>
          <w:szCs w:val="24"/>
          <w:shd w:val="clear" w:color="auto" w:fill="FFFFFF"/>
          <w:lang w:val="en-US" w:eastAsia="zh-CN" w:bidi="ar-SA"/>
        </w:rPr>
        <w:t>影像中心一次性使用高压造影注射器及附件</w:t>
      </w:r>
    </w:p>
    <w:tbl>
      <w:tblPr>
        <w:tblStyle w:val="40"/>
        <w:tblW w:w="9079" w:type="dxa"/>
        <w:jc w:val="center"/>
        <w:tblLayout w:type="fixed"/>
        <w:tblCellMar>
          <w:top w:w="0" w:type="dxa"/>
          <w:left w:w="108" w:type="dxa"/>
          <w:bottom w:w="0" w:type="dxa"/>
          <w:right w:w="108" w:type="dxa"/>
        </w:tblCellMar>
      </w:tblPr>
      <w:tblGrid>
        <w:gridCol w:w="387"/>
        <w:gridCol w:w="673"/>
        <w:gridCol w:w="397"/>
        <w:gridCol w:w="397"/>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61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6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ascii="Times New Roman" w:hAnsi="Times New Roman" w:eastAsia="宋体"/>
                <w:lang w:val="en-US" w:eastAsia="zh-CN" w:bidi="ar"/>
              </w:rPr>
            </w:pPr>
            <w:r>
              <w:rPr>
                <w:rStyle w:val="448"/>
                <w:rFonts w:hint="eastAsia"/>
                <w:lang w:val="en-US" w:eastAsia="zh-CN" w:bidi="ar"/>
              </w:rPr>
              <w:t>所属行业</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ascii="Times New Roman" w:hAnsi="Times New Roman"/>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Times New Roman" w:hAnsi="Times New Roman"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产品编号</w:t>
            </w:r>
            <w:r>
              <w:rPr>
                <w:rStyle w:val="448"/>
                <w:rFonts w:ascii="Times New Roman" w:hAnsi="Times New Roman"/>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ascii="Times New Roman" w:hAnsi="Times New Roman"/>
                <w:lang w:bidi="ar"/>
              </w:rPr>
              <w:t>规格尺寸（内径</w:t>
            </w:r>
            <w:r>
              <w:rPr>
                <w:b/>
                <w:bCs/>
                <w:color w:val="000000"/>
                <w:kern w:val="0"/>
                <w:sz w:val="20"/>
                <w:szCs w:val="20"/>
                <w:lang w:bidi="ar"/>
              </w:rPr>
              <w:t>×</w:t>
            </w:r>
            <w:r>
              <w:rPr>
                <w:rStyle w:val="448"/>
                <w:rFonts w:hint="default" w:ascii="Times New Roman" w:hAnsi="Times New Roman"/>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Times New Roman" w:hAnsi="Times New Roman"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国产</w:t>
            </w:r>
            <w:r>
              <w:rPr>
                <w:b/>
                <w:bCs/>
                <w:color w:val="000000"/>
                <w:kern w:val="0"/>
                <w:sz w:val="20"/>
                <w:szCs w:val="20"/>
                <w:lang w:bidi="ar"/>
              </w:rPr>
              <w:t>/</w:t>
            </w:r>
            <w:r>
              <w:rPr>
                <w:rFonts w:hint="eastAsia" w:ascii="Times New Roman" w:hAnsi="Times New Roman"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Times New Roman" w:hAnsi="Times New Roman"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szCs w:val="21"/>
                <w:lang w:val="en-US" w:eastAsia="zh-CN"/>
              </w:rPr>
            </w:pPr>
            <w:r>
              <w:rPr>
                <w:rFonts w:hint="eastAsia" w:ascii="Times New Roman" w:hAnsi="Times New Roman" w:eastAsia="宋体" w:cs="宋体"/>
                <w:i w:val="0"/>
                <w:iCs w:val="0"/>
                <w:color w:val="000000"/>
                <w:kern w:val="0"/>
                <w:sz w:val="22"/>
                <w:szCs w:val="22"/>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eastAsia="宋体"/>
                <w:color w:val="000000"/>
                <w:sz w:val="20"/>
                <w:szCs w:val="20"/>
                <w:lang w:val="en-US" w:eastAsia="zh-CN"/>
              </w:rPr>
            </w:pPr>
            <w:r>
              <w:rPr>
                <w:rFonts w:hint="eastAsia" w:eastAsia="宋体"/>
                <w:color w:val="000000"/>
                <w:sz w:val="20"/>
                <w:szCs w:val="20"/>
                <w:lang w:val="en-US" w:eastAsia="zh-CN"/>
              </w:rPr>
              <w:t>75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szCs w:val="21"/>
              </w:rPr>
            </w:pPr>
            <w:r>
              <w:rPr>
                <w:rFonts w:hint="eastAsia" w:ascii="Times New Roman" w:hAnsi="Times New Roman" w:eastAsia="宋体" w:cs="宋体"/>
                <w:i w:val="0"/>
                <w:iCs w:val="0"/>
                <w:color w:val="000000"/>
                <w:kern w:val="0"/>
                <w:sz w:val="22"/>
                <w:szCs w:val="22"/>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eastAsia="宋体"/>
                <w:color w:val="000000"/>
                <w:sz w:val="20"/>
                <w:szCs w:val="20"/>
                <w:lang w:val="en-US" w:eastAsia="zh-CN"/>
              </w:rPr>
            </w:pPr>
            <w:r>
              <w:rPr>
                <w:rFonts w:hint="eastAsia" w:eastAsia="宋体"/>
                <w:color w:val="000000"/>
                <w:sz w:val="20"/>
                <w:szCs w:val="20"/>
                <w:lang w:val="en-US" w:eastAsia="zh-CN"/>
              </w:rPr>
              <w:t>150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szCs w:val="21"/>
              </w:rPr>
            </w:pPr>
            <w:r>
              <w:rPr>
                <w:rFonts w:hint="eastAsia" w:ascii="Times New Roman" w:hAnsi="Times New Roman" w:eastAsia="宋体" w:cs="宋体"/>
                <w:i w:val="0"/>
                <w:iCs w:val="0"/>
                <w:color w:val="000000"/>
                <w:kern w:val="0"/>
                <w:sz w:val="20"/>
                <w:szCs w:val="20"/>
                <w:u w:val="none"/>
                <w:lang w:val="en-US" w:eastAsia="zh-CN" w:bidi="ar"/>
              </w:rPr>
              <w:t>一次性使用高压造影注射器及附件</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cs="宋体"/>
                <w:i w:val="0"/>
                <w:iCs w:val="0"/>
                <w:color w:val="000000"/>
                <w:kern w:val="0"/>
                <w:sz w:val="20"/>
                <w:szCs w:val="20"/>
                <w:u w:val="none"/>
                <w:lang w:val="en-US" w:eastAsia="zh-CN" w:bidi="ar"/>
              </w:rPr>
              <w:t>工业</w:t>
            </w:r>
            <w:bookmarkStart w:id="461" w:name="_GoBack"/>
            <w:bookmarkEnd w:id="461"/>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szCs w:val="21"/>
              </w:rPr>
            </w:pPr>
            <w:r>
              <w:rPr>
                <w:rFonts w:hint="eastAsia" w:ascii="Times New Roman" w:hAnsi="Times New Roman" w:eastAsia="宋体" w:cs="宋体"/>
                <w:i w:val="0"/>
                <w:iCs w:val="0"/>
                <w:color w:val="000000"/>
                <w:kern w:val="0"/>
                <w:sz w:val="22"/>
                <w:szCs w:val="22"/>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eastAsia="宋体"/>
                <w:color w:val="000000"/>
                <w:sz w:val="20"/>
                <w:szCs w:val="20"/>
                <w:lang w:val="en-US" w:eastAsia="zh-CN"/>
              </w:rPr>
            </w:pPr>
            <w:r>
              <w:rPr>
                <w:rFonts w:hint="eastAsia" w:eastAsia="宋体"/>
                <w:color w:val="000000"/>
                <w:sz w:val="20"/>
                <w:szCs w:val="20"/>
                <w:lang w:val="en-US" w:eastAsia="zh-CN"/>
              </w:rPr>
              <w:t>75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397"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rFonts w:hint="eastAsia" w:ascii="Times New Roman" w:hAnsi="Times New Roman" w:cs="宋体"/>
                <w:color w:val="000000"/>
                <w:kern w:val="0"/>
                <w:sz w:val="20"/>
                <w:szCs w:val="20"/>
                <w:lang w:bidi="ar"/>
              </w:rPr>
            </w:pPr>
          </w:p>
        </w:tc>
        <w:tc>
          <w:tcPr>
            <w:tcW w:w="397"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Times New Roman" w:hAnsi="Times New Roman"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color w:val="000000"/>
                <w:sz w:val="20"/>
                <w:szCs w:val="20"/>
                <w:lang w:val="en-US" w:eastAsia="zh-CN"/>
              </w:rPr>
            </w:pPr>
            <w:r>
              <w:rPr>
                <w:rFonts w:hint="eastAsia" w:eastAsia="宋体"/>
                <w:color w:val="000000"/>
                <w:sz w:val="20"/>
                <w:szCs w:val="20"/>
                <w:lang w:val="en-US" w:eastAsia="zh-CN"/>
              </w:rPr>
              <w:t>300.00</w:t>
            </w:r>
          </w:p>
        </w:tc>
        <w:tc>
          <w:tcPr>
            <w:tcW w:w="682"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Pr>
        <w:rPr>
          <w:b/>
          <w:bCs/>
          <w:sz w:val="28"/>
          <w:szCs w:val="28"/>
        </w:rPr>
      </w:pPr>
      <w:r>
        <w:rPr>
          <w:b/>
          <w:bCs/>
          <w:sz w:val="28"/>
          <w:szCs w:val="28"/>
        </w:rPr>
        <w:br w:type="page"/>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jc w:val="center"/>
      </w:pPr>
      <w:r>
        <w:rPr>
          <w:rFonts w:hint="eastAsia" w:ascii="Times New Roman" w:hAnsi="Times New Roman" w:cs="Times New Roman"/>
          <w:sz w:val="28"/>
          <w:szCs w:val="28"/>
        </w:rPr>
        <w:t>投标文件在   年  月  日时分前不得开启</w:t>
      </w:r>
    </w:p>
    <w:p/>
    <w:p>
      <w:pPr>
        <w:sectPr>
          <w:footerReference r:id="rId12"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4"/>
        <w:spacing w:before="0" w:after="0" w:line="240" w:lineRule="auto"/>
        <w:rPr>
          <w:rFonts w:ascii="Times New Roman" w:hAnsi="Times New Roman"/>
          <w:sz w:val="28"/>
          <w:szCs w:val="28"/>
        </w:rPr>
      </w:pPr>
      <w:bookmarkStart w:id="426" w:name="_Toc9391"/>
      <w:r>
        <w:rPr>
          <w:rFonts w:hint="eastAsia" w:ascii="Times New Roman" w:hAnsi="Times New Roman"/>
          <w:sz w:val="28"/>
          <w:szCs w:val="28"/>
        </w:rPr>
        <w:t xml:space="preserve">第三部分 </w:t>
      </w:r>
      <w:r>
        <w:rPr>
          <w:rFonts w:ascii="Times New Roman" w:hAnsi="Times New Roman"/>
          <w:sz w:val="28"/>
          <w:szCs w:val="28"/>
        </w:rPr>
        <w:t xml:space="preserve"> 技术部分</w:t>
      </w:r>
      <w:bookmarkEnd w:id="423"/>
      <w:bookmarkEnd w:id="426"/>
    </w:p>
    <w:p>
      <w:pPr>
        <w:pStyle w:val="2"/>
        <w:spacing w:before="0" w:after="0" w:line="240" w:lineRule="auto"/>
      </w:pPr>
      <w:bookmarkStart w:id="427" w:name="_Toc103677773"/>
      <w:bookmarkStart w:id="428" w:name="_Toc16687"/>
      <w:r>
        <w:rPr>
          <w:rFonts w:eastAsia="黑体"/>
          <w:sz w:val="28"/>
          <w:szCs w:val="28"/>
        </w:rPr>
        <w:t>一</w:t>
      </w:r>
      <w:r>
        <w:rPr>
          <w:rFonts w:hint="eastAsia" w:eastAsia="黑体"/>
          <w:sz w:val="28"/>
          <w:szCs w:val="28"/>
        </w:rPr>
        <w:t>、</w:t>
      </w:r>
      <w:r>
        <w:rPr>
          <w:rFonts w:eastAsia="黑体"/>
          <w:sz w:val="28"/>
          <w:szCs w:val="28"/>
        </w:rPr>
        <w:t>技术偏离表</w:t>
      </w:r>
      <w:bookmarkEnd w:id="427"/>
      <w:bookmarkEnd w:id="428"/>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1</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2</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3</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4</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5</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6</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ind w:left="-103" w:leftChars="-49" w:firstLine="15"/>
      </w:pPr>
      <w:r>
        <w:t>法定代表人或其委托代理人：（签字或加盖人名章）</w:t>
      </w:r>
    </w:p>
    <w:p>
      <w:pPr>
        <w:spacing w:before="120" w:beforeLines="50"/>
        <w:ind w:left="-103" w:leftChars="-49" w:firstLine="15"/>
      </w:pPr>
      <w:r>
        <w:t>日期：</w:t>
      </w:r>
    </w:p>
    <w:p>
      <w:pPr>
        <w:spacing w:line="360" w:lineRule="auto"/>
      </w:pPr>
    </w:p>
    <w:p>
      <w:pPr>
        <w:tabs>
          <w:tab w:val="left" w:pos="1200"/>
        </w:tabs>
        <w:snapToGrid w:val="0"/>
        <w:spacing w:after="120" w:afterLines="50"/>
        <w:ind w:left="850" w:leftChars="203" w:hanging="424" w:hangingChars="202"/>
      </w:pPr>
      <w:r>
        <w:t>注：投标人递交的投标文件中与招标文件的技术部分的要求有不同时，应逐条列在技术偏差表中，否则将认为投标人接受招标文件的要求。</w:t>
      </w:r>
    </w:p>
    <w:p>
      <w:pPr>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r>
        <w:rPr>
          <w:b/>
          <w:sz w:val="32"/>
          <w:szCs w:val="32"/>
        </w:rPr>
        <w:br w:type="page"/>
      </w:r>
    </w:p>
    <w:p>
      <w:pPr>
        <w:pStyle w:val="2"/>
        <w:spacing w:before="0" w:after="0" w:line="240" w:lineRule="auto"/>
        <w:rPr>
          <w:rFonts w:eastAsia="黑体"/>
          <w:sz w:val="28"/>
          <w:szCs w:val="28"/>
        </w:rPr>
      </w:pPr>
      <w:bookmarkStart w:id="429" w:name="_Toc315"/>
      <w:bookmarkStart w:id="430" w:name="_Toc103677774"/>
      <w:bookmarkStart w:id="431" w:name="_Toc157759075"/>
      <w:r>
        <w:rPr>
          <w:rFonts w:eastAsia="黑体"/>
          <w:sz w:val="28"/>
          <w:szCs w:val="28"/>
        </w:rPr>
        <w:t>二</w:t>
      </w:r>
      <w:r>
        <w:rPr>
          <w:rFonts w:hint="eastAsia" w:eastAsia="黑体"/>
          <w:sz w:val="28"/>
          <w:szCs w:val="28"/>
        </w:rPr>
        <w:t>、</w:t>
      </w:r>
      <w:r>
        <w:rPr>
          <w:rFonts w:eastAsia="黑体"/>
          <w:sz w:val="28"/>
          <w:szCs w:val="28"/>
        </w:rPr>
        <w:t>服务方案</w:t>
      </w:r>
      <w:bookmarkEnd w:id="429"/>
      <w:bookmarkEnd w:id="430"/>
    </w:p>
    <w:bookmarkEnd w:id="431"/>
    <w:p/>
    <w:p>
      <w:pPr>
        <w:adjustRightInd w:val="0"/>
        <w:snapToGrid w:val="0"/>
        <w:spacing w:line="360" w:lineRule="auto"/>
        <w:ind w:firstLine="480" w:firstLineChars="200"/>
        <w:rPr>
          <w:sz w:val="24"/>
        </w:rPr>
      </w:pPr>
      <w:r>
        <w:rPr>
          <w:sz w:val="24"/>
        </w:rPr>
        <w:t>服务方案包含但不限于：</w:t>
      </w:r>
    </w:p>
    <w:p>
      <w:pPr>
        <w:adjustRightInd w:val="0"/>
        <w:snapToGrid w:val="0"/>
        <w:spacing w:line="360" w:lineRule="auto"/>
        <w:ind w:firstLine="480" w:firstLineChars="200"/>
        <w:rPr>
          <w:sz w:val="24"/>
        </w:rPr>
      </w:pPr>
      <w:r>
        <w:rPr>
          <w:sz w:val="24"/>
        </w:rPr>
        <w:t>1、配送方案</w:t>
      </w:r>
    </w:p>
    <w:p>
      <w:pPr>
        <w:adjustRightInd w:val="0"/>
        <w:snapToGrid w:val="0"/>
        <w:spacing w:line="360" w:lineRule="auto"/>
        <w:ind w:firstLine="480" w:firstLineChars="200"/>
        <w:rPr>
          <w:sz w:val="24"/>
        </w:rPr>
      </w:pPr>
      <w:r>
        <w:rPr>
          <w:sz w:val="24"/>
        </w:rPr>
        <w:t>2、应急处理方案</w:t>
      </w:r>
    </w:p>
    <w:p>
      <w:pPr>
        <w:adjustRightInd w:val="0"/>
        <w:snapToGrid w:val="0"/>
        <w:spacing w:line="360" w:lineRule="auto"/>
        <w:ind w:firstLine="480" w:firstLineChars="200"/>
        <w:rPr>
          <w:sz w:val="24"/>
        </w:rPr>
      </w:pPr>
      <w:r>
        <w:rPr>
          <w:sz w:val="24"/>
        </w:rPr>
        <w:t>3、服务体系：服务专业人员配备、服务响应时间、技术支持能力、培训方案</w:t>
      </w:r>
    </w:p>
    <w:p>
      <w:pPr>
        <w:adjustRightInd w:val="0"/>
        <w:snapToGrid w:val="0"/>
        <w:spacing w:line="360" w:lineRule="auto"/>
        <w:ind w:firstLine="480" w:firstLineChars="200"/>
        <w:rPr>
          <w:sz w:val="24"/>
        </w:rPr>
      </w:pPr>
      <w:r>
        <w:rPr>
          <w:sz w:val="24"/>
        </w:rPr>
        <w:t>4、配送车辆安排、售后服务机构及联系方式，出现质量问题解决时间、服务响应的联系人及联系方式等相关信息，后附相关证明等证明材料。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pStyle w:val="2"/>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432" w:name="_Toc23776"/>
      <w:bookmarkStart w:id="433" w:name="_Toc103677775"/>
      <w:r>
        <w:rPr>
          <w:rFonts w:eastAsia="黑体"/>
          <w:sz w:val="28"/>
          <w:szCs w:val="28"/>
        </w:rPr>
        <w:t>三</w:t>
      </w:r>
      <w:r>
        <w:rPr>
          <w:rFonts w:hint="eastAsia" w:eastAsia="黑体"/>
          <w:sz w:val="28"/>
          <w:szCs w:val="28"/>
        </w:rPr>
        <w:t>、</w:t>
      </w:r>
      <w:r>
        <w:rPr>
          <w:rFonts w:eastAsia="黑体"/>
          <w:sz w:val="28"/>
          <w:szCs w:val="28"/>
        </w:rPr>
        <w:t>仓储设施设备及备品库存证明材料</w:t>
      </w:r>
      <w:bookmarkEnd w:id="432"/>
      <w:bookmarkEnd w:id="433"/>
    </w:p>
    <w:p>
      <w:pPr>
        <w:adjustRightInd w:val="0"/>
        <w:snapToGrid w:val="0"/>
        <w:spacing w:line="360" w:lineRule="auto"/>
      </w:pPr>
    </w:p>
    <w:p>
      <w:pPr>
        <w:adjustRightInd w:val="0"/>
        <w:snapToGrid w:val="0"/>
        <w:spacing w:line="360" w:lineRule="auto"/>
        <w:rPr>
          <w:sz w:val="24"/>
        </w:rPr>
      </w:pPr>
      <w:r>
        <w:rPr>
          <w:sz w:val="24"/>
        </w:rPr>
        <w:t>包含但不限于：</w:t>
      </w:r>
    </w:p>
    <w:p>
      <w:pPr>
        <w:adjustRightInd w:val="0"/>
        <w:snapToGrid w:val="0"/>
        <w:spacing w:line="360" w:lineRule="auto"/>
        <w:ind w:firstLine="480" w:firstLineChars="200"/>
        <w:rPr>
          <w:sz w:val="24"/>
        </w:rPr>
      </w:pPr>
      <w:r>
        <w:rPr>
          <w:sz w:val="24"/>
        </w:rPr>
        <w:t>1、仓储面积</w:t>
      </w:r>
    </w:p>
    <w:p>
      <w:pPr>
        <w:adjustRightInd w:val="0"/>
        <w:snapToGrid w:val="0"/>
        <w:spacing w:line="360" w:lineRule="auto"/>
        <w:ind w:firstLine="480" w:firstLineChars="200"/>
        <w:rPr>
          <w:sz w:val="24"/>
        </w:rPr>
      </w:pPr>
      <w:r>
        <w:rPr>
          <w:sz w:val="24"/>
        </w:rPr>
        <w:t>2、冷冻冷藏环境</w:t>
      </w:r>
    </w:p>
    <w:p>
      <w:pPr>
        <w:adjustRightInd w:val="0"/>
        <w:snapToGrid w:val="0"/>
        <w:spacing w:line="360" w:lineRule="auto"/>
        <w:ind w:firstLine="480" w:firstLineChars="200"/>
        <w:rPr>
          <w:sz w:val="24"/>
        </w:rPr>
      </w:pPr>
      <w:r>
        <w:rPr>
          <w:sz w:val="24"/>
        </w:rPr>
        <w:t xml:space="preserve">3、仓储设备配置 </w:t>
      </w:r>
    </w:p>
    <w:p>
      <w:pPr>
        <w:adjustRightInd w:val="0"/>
        <w:snapToGrid w:val="0"/>
        <w:spacing w:line="360" w:lineRule="auto"/>
        <w:ind w:firstLine="480" w:firstLineChars="200"/>
        <w:rPr>
          <w:sz w:val="24"/>
        </w:rPr>
      </w:pPr>
      <w:r>
        <w:rPr>
          <w:sz w:val="24"/>
        </w:rPr>
        <w:t>4、备品库存情况</w:t>
      </w:r>
    </w:p>
    <w:p>
      <w:pPr>
        <w:adjustRightInd w:val="0"/>
        <w:snapToGrid w:val="0"/>
        <w:spacing w:line="360" w:lineRule="auto"/>
        <w:ind w:firstLine="480" w:firstLineChars="200"/>
        <w:rPr>
          <w:sz w:val="24"/>
        </w:rPr>
      </w:pPr>
      <w:r>
        <w:rPr>
          <w:sz w:val="24"/>
        </w:rPr>
        <w:t>后附相关证明材料。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434" w:name="_Toc103677776"/>
      <w:bookmarkStart w:id="435" w:name="_Toc8513"/>
      <w:r>
        <w:rPr>
          <w:rFonts w:eastAsia="黑体"/>
          <w:sz w:val="28"/>
          <w:szCs w:val="28"/>
        </w:rPr>
        <w:t>四</w:t>
      </w:r>
      <w:r>
        <w:rPr>
          <w:rFonts w:hint="eastAsia" w:eastAsia="黑体"/>
          <w:sz w:val="28"/>
          <w:szCs w:val="28"/>
        </w:rPr>
        <w:t>、</w:t>
      </w:r>
      <w:r>
        <w:rPr>
          <w:rFonts w:eastAsia="黑体"/>
          <w:sz w:val="28"/>
          <w:szCs w:val="28"/>
        </w:rPr>
        <w:t>所投产品市场使用情况</w:t>
      </w:r>
      <w:bookmarkEnd w:id="434"/>
      <w:bookmarkEnd w:id="435"/>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pStyle w:val="2"/>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436" w:name="_Toc103677777"/>
      <w:bookmarkStart w:id="437" w:name="_Toc3616"/>
      <w:r>
        <w:rPr>
          <w:rFonts w:eastAsia="黑体"/>
          <w:sz w:val="28"/>
          <w:szCs w:val="28"/>
        </w:rPr>
        <w:t>五</w:t>
      </w:r>
      <w:bookmarkStart w:id="438" w:name="_Toc21614"/>
      <w:bookmarkStart w:id="439" w:name="_Toc11907"/>
      <w:r>
        <w:rPr>
          <w:rFonts w:hint="eastAsia" w:eastAsia="黑体"/>
          <w:sz w:val="28"/>
          <w:szCs w:val="28"/>
        </w:rPr>
        <w:t>、</w:t>
      </w:r>
      <w:r>
        <w:rPr>
          <w:rFonts w:eastAsia="黑体"/>
          <w:sz w:val="28"/>
          <w:szCs w:val="28"/>
        </w:rPr>
        <w:t>产品简要说明一览表</w:t>
      </w:r>
      <w:bookmarkEnd w:id="436"/>
      <w:bookmarkEnd w:id="437"/>
      <w:bookmarkEnd w:id="438"/>
      <w:bookmarkEnd w:id="439"/>
    </w:p>
    <w:p/>
    <w:p>
      <w:pPr>
        <w:spacing w:line="440" w:lineRule="exact"/>
      </w:pPr>
      <w:r>
        <w:t>标项号、名称：</w:t>
      </w:r>
      <w:r>
        <w:rPr>
          <w:u w:val="single"/>
        </w:rPr>
        <w:t>标项一、</w:t>
      </w:r>
      <w:r>
        <w:rPr>
          <w:rFonts w:hint="eastAsia"/>
          <w:u w:val="single"/>
        </w:rPr>
        <w:t xml:space="preserve">              </w:t>
      </w:r>
    </w:p>
    <w:p>
      <w:pPr>
        <w:spacing w:line="440" w:lineRule="exact"/>
      </w:pPr>
      <w:r>
        <w:t>产品序号及名称：</w:t>
      </w:r>
      <w:r>
        <w:rPr>
          <w:u w:val="single"/>
        </w:rPr>
        <w:t>序号1：</w:t>
      </w:r>
      <w:r>
        <w:rPr>
          <w:rFonts w:hint="eastAsia"/>
          <w:u w:val="single"/>
        </w:rPr>
        <w:t xml:space="preserve">            </w:t>
      </w:r>
    </w:p>
    <w:tbl>
      <w:tblPr>
        <w:tblStyle w:val="40"/>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365"/>
        <w:gridCol w:w="1884"/>
        <w:gridCol w:w="279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firstLine="422" w:firstLineChars="200"/>
              <w:rPr>
                <w:b/>
                <w:bCs/>
              </w:rPr>
            </w:pPr>
            <w:r>
              <w:rPr>
                <w:b/>
                <w:bCs/>
              </w:rPr>
              <w:t>填报项目</w:t>
            </w:r>
          </w:p>
        </w:tc>
        <w:tc>
          <w:tcPr>
            <w:tcW w:w="1884" w:type="dxa"/>
            <w:vAlign w:val="center"/>
          </w:tcPr>
          <w:p>
            <w:pPr>
              <w:ind w:firstLine="422" w:firstLineChars="200"/>
              <w:rPr>
                <w:b/>
                <w:bCs/>
              </w:rPr>
            </w:pPr>
            <w:r>
              <w:rPr>
                <w:b/>
                <w:bCs/>
              </w:rPr>
              <w:t>填报内容</w:t>
            </w:r>
          </w:p>
        </w:tc>
        <w:tc>
          <w:tcPr>
            <w:tcW w:w="2794" w:type="dxa"/>
            <w:vAlign w:val="center"/>
          </w:tcPr>
          <w:p>
            <w:pPr>
              <w:jc w:val="center"/>
              <w:rPr>
                <w:b/>
                <w:bCs/>
              </w:rPr>
            </w:pPr>
            <w:r>
              <w:rPr>
                <w:b/>
                <w:bCs/>
              </w:rPr>
              <w:t>填报要求</w:t>
            </w:r>
          </w:p>
          <w:p>
            <w:pPr>
              <w:jc w:val="center"/>
              <w:rPr>
                <w:b/>
                <w:bCs/>
              </w:rPr>
            </w:pPr>
            <w:r>
              <w:rPr>
                <w:b/>
                <w:bCs/>
              </w:rPr>
              <w:t>（编制投标文件时此列可删除）</w:t>
            </w:r>
          </w:p>
        </w:tc>
        <w:tc>
          <w:tcPr>
            <w:tcW w:w="1234" w:type="dxa"/>
            <w:vAlign w:val="center"/>
          </w:tcPr>
          <w:p>
            <w:pPr>
              <w:jc w:val="center"/>
              <w:rPr>
                <w:b/>
                <w:bCs/>
              </w:rPr>
            </w:pPr>
            <w:r>
              <w:rPr>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restart"/>
            <w:tcBorders>
              <w:top w:val="single" w:color="auto" w:sz="4" w:space="0"/>
              <w:right w:val="single" w:color="auto" w:sz="4" w:space="0"/>
            </w:tcBorders>
            <w:vAlign w:val="center"/>
          </w:tcPr>
          <w:p>
            <w:r>
              <w:t>产品注册证</w:t>
            </w:r>
          </w:p>
        </w:tc>
        <w:tc>
          <w:tcPr>
            <w:tcW w:w="2365" w:type="dxa"/>
            <w:tcBorders>
              <w:top w:val="single" w:color="auto" w:sz="4" w:space="0"/>
              <w:left w:val="single" w:color="auto" w:sz="4" w:space="0"/>
            </w:tcBorders>
            <w:vAlign w:val="center"/>
          </w:tcPr>
          <w:p>
            <w:r>
              <w:t>产品名称</w:t>
            </w:r>
          </w:p>
        </w:tc>
        <w:tc>
          <w:tcPr>
            <w:tcW w:w="1884" w:type="dxa"/>
            <w:vAlign w:val="center"/>
          </w:tcPr>
          <w:p>
            <w:pPr>
              <w:ind w:firstLine="420" w:firstLineChars="200"/>
            </w:pPr>
          </w:p>
        </w:tc>
        <w:tc>
          <w:tcPr>
            <w:tcW w:w="2794" w:type="dxa"/>
            <w:vMerge w:val="restart"/>
            <w:tcBorders>
              <w:right w:val="single" w:color="auto" w:sz="4" w:space="0"/>
            </w:tcBorders>
            <w:vAlign w:val="center"/>
          </w:tcPr>
          <w:p>
            <w:r>
              <w:t>与注册证上的内容一致。</w:t>
            </w:r>
          </w:p>
        </w:tc>
        <w:tc>
          <w:tcPr>
            <w:tcW w:w="1234" w:type="dxa"/>
            <w:vMerge w:val="restart"/>
            <w:tcBorders>
              <w:left w:val="single" w:color="auto" w:sz="4" w:space="0"/>
            </w:tcBorders>
            <w:vAlign w:val="center"/>
          </w:tcPr>
          <w:p>
            <w:r>
              <w:t>后附注册证复印件（如有）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产品材质</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规格</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型号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产品注册名称</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注册证有效期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注册证批准日期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生产地址</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2825" w:type="dxa"/>
            <w:gridSpan w:val="2"/>
            <w:tcBorders>
              <w:top w:val="single" w:color="auto" w:sz="4" w:space="0"/>
            </w:tcBorders>
            <w:vAlign w:val="center"/>
          </w:tcPr>
          <w:p>
            <w:pPr>
              <w:ind w:leftChars="-16" w:hanging="33" w:hangingChars="16"/>
              <w:jc w:val="center"/>
            </w:pPr>
            <w:r>
              <w:t>生产企业名称</w:t>
            </w:r>
          </w:p>
        </w:tc>
        <w:tc>
          <w:tcPr>
            <w:tcW w:w="1884" w:type="dxa"/>
            <w:vAlign w:val="center"/>
          </w:tcPr>
          <w:p>
            <w:pPr>
              <w:ind w:firstLine="420" w:firstLineChars="200"/>
            </w:pPr>
          </w:p>
        </w:tc>
        <w:tc>
          <w:tcPr>
            <w:tcW w:w="2794" w:type="dxa"/>
            <w:tcBorders>
              <w:right w:val="single" w:color="auto" w:sz="4" w:space="0"/>
            </w:tcBorders>
            <w:vAlign w:val="center"/>
          </w:tcPr>
          <w:p>
            <w:r>
              <w:t>与注册证保持一致</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tcBorders>
              <w:bottom w:val="single" w:color="auto" w:sz="4" w:space="0"/>
              <w:right w:val="single" w:color="auto" w:sz="4" w:space="0"/>
            </w:tcBorders>
            <w:vAlign w:val="center"/>
          </w:tcPr>
          <w:p>
            <w:pPr>
              <w:ind w:leftChars="-16" w:hanging="33" w:hangingChars="16"/>
              <w:jc w:val="center"/>
            </w:pPr>
            <w:r>
              <w:t>产品认证</w:t>
            </w:r>
          </w:p>
        </w:tc>
        <w:tc>
          <w:tcPr>
            <w:tcW w:w="1884" w:type="dxa"/>
            <w:tcBorders>
              <w:left w:val="single" w:color="auto" w:sz="4" w:space="0"/>
            </w:tcBorders>
            <w:vAlign w:val="center"/>
          </w:tcPr>
          <w:p/>
        </w:tc>
        <w:tc>
          <w:tcPr>
            <w:tcW w:w="2794" w:type="dxa"/>
            <w:tcBorders>
              <w:bottom w:val="single" w:color="auto" w:sz="4" w:space="0"/>
              <w:right w:val="single" w:color="auto" w:sz="4" w:space="0"/>
            </w:tcBorders>
            <w:vAlign w:val="center"/>
          </w:tcPr>
          <w:p>
            <w:r>
              <w:t>与认证证书一致（美国FDA认证；欧盟CE认证；FDA和CE认证；其他）</w:t>
            </w:r>
          </w:p>
        </w:tc>
        <w:tc>
          <w:tcPr>
            <w:tcW w:w="1234" w:type="dxa"/>
            <w:tcBorders>
              <w:left w:val="single" w:color="auto" w:sz="4" w:space="0"/>
              <w:bottom w:val="single" w:color="auto" w:sz="4" w:space="0"/>
            </w:tcBorders>
            <w:vAlign w:val="center"/>
          </w:tcPr>
          <w:p>
            <w:r>
              <w:t>后附证书复印件（如有）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产品适用范围</w:t>
            </w:r>
          </w:p>
        </w:tc>
        <w:tc>
          <w:tcPr>
            <w:tcW w:w="1884" w:type="dxa"/>
            <w:vAlign w:val="center"/>
          </w:tcPr>
          <w:p>
            <w:pPr>
              <w:ind w:firstLine="420" w:firstLineChars="200"/>
            </w:pPr>
          </w:p>
        </w:tc>
        <w:tc>
          <w:tcPr>
            <w:tcW w:w="2794" w:type="dxa"/>
            <w:tcBorders>
              <w:right w:val="single" w:color="auto" w:sz="4" w:space="0"/>
            </w:tcBorders>
            <w:vAlign w:val="center"/>
          </w:tcPr>
          <w:p>
            <w:r>
              <w:t>与注册证上产品适用范围一致（如有）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产品性能结构及组成</w:t>
            </w:r>
          </w:p>
        </w:tc>
        <w:tc>
          <w:tcPr>
            <w:tcW w:w="1884" w:type="dxa"/>
            <w:vAlign w:val="center"/>
          </w:tcPr>
          <w:p>
            <w:pPr>
              <w:ind w:firstLine="420" w:firstLineChars="200"/>
            </w:pPr>
          </w:p>
        </w:tc>
        <w:tc>
          <w:tcPr>
            <w:tcW w:w="2794" w:type="dxa"/>
            <w:tcBorders>
              <w:right w:val="single" w:color="auto" w:sz="4" w:space="0"/>
            </w:tcBorders>
            <w:vAlign w:val="center"/>
          </w:tcPr>
          <w:p>
            <w:r>
              <w:t>与注册证上产品性能结构及组件一致（如有）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825" w:type="dxa"/>
            <w:gridSpan w:val="2"/>
            <w:vAlign w:val="center"/>
          </w:tcPr>
          <w:p>
            <w:pPr>
              <w:ind w:leftChars="-16" w:hanging="33" w:hangingChars="16"/>
              <w:jc w:val="center"/>
            </w:pPr>
            <w:r>
              <w:t>技术优势</w:t>
            </w:r>
          </w:p>
        </w:tc>
        <w:tc>
          <w:tcPr>
            <w:tcW w:w="1884" w:type="dxa"/>
            <w:vAlign w:val="center"/>
          </w:tcPr>
          <w:p>
            <w:pPr>
              <w:ind w:firstLine="420" w:firstLineChars="200"/>
            </w:pPr>
          </w:p>
        </w:tc>
        <w:tc>
          <w:tcPr>
            <w:tcW w:w="2794" w:type="dxa"/>
            <w:tcBorders>
              <w:right w:val="single" w:color="auto" w:sz="4" w:space="0"/>
            </w:tcBorders>
            <w:vAlign w:val="center"/>
          </w:tcP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jc w:val="center"/>
            </w:pPr>
            <w:r>
              <w:t>其他说明</w:t>
            </w:r>
          </w:p>
        </w:tc>
        <w:tc>
          <w:tcPr>
            <w:tcW w:w="1884" w:type="dxa"/>
            <w:vAlign w:val="center"/>
          </w:tcPr>
          <w:p>
            <w:pPr>
              <w:ind w:firstLine="420" w:firstLineChars="200"/>
            </w:pPr>
          </w:p>
        </w:tc>
        <w:tc>
          <w:tcPr>
            <w:tcW w:w="2794" w:type="dxa"/>
            <w:tcBorders>
              <w:right w:val="single" w:color="auto" w:sz="4" w:space="0"/>
            </w:tcBorders>
            <w:vAlign w:val="center"/>
          </w:tcPr>
          <w:p>
            <w:r>
              <w:t>简单介绍产品功能、用途、使用方法等。</w:t>
            </w:r>
          </w:p>
        </w:tc>
        <w:tc>
          <w:tcPr>
            <w:tcW w:w="1234" w:type="dxa"/>
            <w:tcBorders>
              <w:left w:val="single" w:color="auto" w:sz="4" w:space="0"/>
            </w:tcBorders>
            <w:vAlign w:val="center"/>
          </w:tcPr>
          <w:p>
            <w:pPr>
              <w:ind w:firstLine="420" w:firstLineChars="200"/>
            </w:pPr>
          </w:p>
        </w:tc>
      </w:tr>
    </w:tbl>
    <w:p>
      <w:pPr>
        <w:spacing w:line="440" w:lineRule="exact"/>
        <w:rPr>
          <w:u w:val="single"/>
        </w:rPr>
      </w:pPr>
      <w:r>
        <w:t>投标人名称（公章）：</w:t>
      </w:r>
      <w:r>
        <w:rPr>
          <w:u w:val="single"/>
        </w:rPr>
        <w:t xml:space="preserve">　　　　　            </w:t>
      </w:r>
    </w:p>
    <w:p>
      <w:pPr>
        <w:spacing w:line="440" w:lineRule="exact"/>
        <w:rPr>
          <w:u w:val="single"/>
        </w:rPr>
      </w:pPr>
      <w:r>
        <w:t>投标人代表签字：</w:t>
      </w:r>
      <w:r>
        <w:rPr>
          <w:u w:val="single"/>
        </w:rPr>
        <w:t>　　　　　　　　　</w:t>
      </w:r>
    </w:p>
    <w:p>
      <w:pPr>
        <w:spacing w:line="440" w:lineRule="exact"/>
        <w:rPr>
          <w:bCs/>
        </w:rPr>
      </w:pPr>
      <w:r>
        <w:t>日期：</w:t>
      </w:r>
      <w:r>
        <w:rPr>
          <w:bCs/>
        </w:rPr>
        <w:t>20</w:t>
      </w:r>
      <w:r>
        <w:rPr>
          <w:u w:val="single"/>
        </w:rPr>
        <w:t xml:space="preserve">　 </w:t>
      </w:r>
      <w:r>
        <w:rPr>
          <w:bCs/>
        </w:rPr>
        <w:t>年</w:t>
      </w:r>
      <w:r>
        <w:rPr>
          <w:bCs/>
          <w:u w:val="single"/>
        </w:rPr>
        <w:t>　</w:t>
      </w:r>
      <w:r>
        <w:rPr>
          <w:bCs/>
        </w:rPr>
        <w:t>月</w:t>
      </w:r>
      <w:r>
        <w:rPr>
          <w:bCs/>
          <w:u w:val="single"/>
        </w:rPr>
        <w:t>　</w:t>
      </w:r>
      <w:r>
        <w:rPr>
          <w:bCs/>
        </w:rPr>
        <w:t>日</w:t>
      </w:r>
    </w:p>
    <w:p>
      <w:pPr>
        <w:spacing w:line="440" w:lineRule="exact"/>
        <w:rPr>
          <w:b/>
          <w:sz w:val="32"/>
          <w:szCs w:val="32"/>
        </w:rPr>
      </w:pPr>
    </w:p>
    <w:p>
      <w:pPr>
        <w:pStyle w:val="426"/>
        <w:spacing w:line="440" w:lineRule="exact"/>
        <w:rPr>
          <w:b/>
          <w:color w:val="auto"/>
        </w:rPr>
      </w:pPr>
      <w:r>
        <w:rPr>
          <w:b/>
          <w:color w:val="auto"/>
        </w:rPr>
        <w:t>注：1、所投每个产品单独填报。</w:t>
      </w:r>
    </w:p>
    <w:p>
      <w:pPr>
        <w:pStyle w:val="426"/>
        <w:spacing w:line="440" w:lineRule="exact"/>
        <w:ind w:firstLine="472" w:firstLineChars="196"/>
        <w:rPr>
          <w:b/>
          <w:color w:val="auto"/>
        </w:rPr>
      </w:pPr>
      <w:r>
        <w:rPr>
          <w:b/>
          <w:color w:val="auto"/>
        </w:rPr>
        <w:t>2、投标人所投产品的各项证明及技术资料，应按照所投产品在开标一览表填报顺序制作，编好始末页码且在投标文件目录中一一列明并对应。</w:t>
      </w:r>
    </w:p>
    <w:p>
      <w:pPr>
        <w:pStyle w:val="426"/>
        <w:spacing w:line="440" w:lineRule="exact"/>
        <w:ind w:firstLine="472" w:firstLineChars="196"/>
        <w:rPr>
          <w:bCs/>
          <w:color w:val="auto"/>
          <w:kern w:val="2"/>
        </w:rPr>
      </w:pPr>
      <w:r>
        <w:rPr>
          <w:b/>
          <w:color w:val="auto"/>
        </w:rPr>
        <w:t>3、后附国家认可的第三方检测机构出具的有效检测报告、质量管理体系认证等（如有）。</w:t>
      </w:r>
    </w:p>
    <w:p>
      <w:pPr>
        <w:spacing w:line="360" w:lineRule="auto"/>
        <w:outlineLvl w:val="1"/>
        <w:rPr>
          <w:b/>
          <w:bCs/>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440" w:name="_Toc103677778"/>
      <w:bookmarkStart w:id="441" w:name="_Toc6573"/>
      <w:r>
        <w:rPr>
          <w:rFonts w:eastAsia="黑体"/>
          <w:sz w:val="28"/>
          <w:szCs w:val="28"/>
        </w:rPr>
        <w:t>六</w:t>
      </w:r>
      <w:r>
        <w:rPr>
          <w:rFonts w:hint="eastAsia" w:eastAsia="黑体"/>
          <w:sz w:val="28"/>
          <w:szCs w:val="28"/>
        </w:rPr>
        <w:t>、</w:t>
      </w:r>
      <w:r>
        <w:rPr>
          <w:rFonts w:eastAsia="黑体"/>
          <w:sz w:val="28"/>
          <w:szCs w:val="28"/>
        </w:rPr>
        <w:t>产品技术支持文件（包含但不限于产品彩页或技术白皮书等）</w:t>
      </w:r>
      <w:bookmarkEnd w:id="440"/>
      <w:bookmarkEnd w:id="441"/>
    </w:p>
    <w:p/>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
    <w:p/>
    <w:p/>
    <w:p>
      <w:pPr>
        <w:jc w:val="left"/>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424"/>
    <w:bookmarkEnd w:id="425"/>
    <w:p>
      <w:pPr>
        <w:pStyle w:val="2"/>
        <w:spacing w:before="0" w:after="0" w:line="240" w:lineRule="auto"/>
        <w:rPr>
          <w:rFonts w:eastAsia="黑体"/>
          <w:sz w:val="28"/>
          <w:szCs w:val="28"/>
        </w:rPr>
      </w:pPr>
      <w:bookmarkStart w:id="442" w:name="_Toc16380"/>
      <w:bookmarkStart w:id="443" w:name="_Toc103677779"/>
      <w:bookmarkStart w:id="444" w:name="_Toc22090"/>
      <w:bookmarkStart w:id="445" w:name="_Toc23809"/>
      <w:r>
        <w:rPr>
          <w:rFonts w:hint="eastAsia" w:eastAsia="黑体"/>
          <w:sz w:val="28"/>
          <w:szCs w:val="28"/>
        </w:rPr>
        <w:t>七、</w:t>
      </w:r>
      <w:r>
        <w:rPr>
          <w:rFonts w:eastAsia="黑体"/>
          <w:sz w:val="28"/>
          <w:szCs w:val="28"/>
        </w:rPr>
        <w:t>售后服务承诺书</w:t>
      </w:r>
      <w:bookmarkEnd w:id="442"/>
      <w:bookmarkEnd w:id="443"/>
      <w:r>
        <w:rPr>
          <w:rFonts w:eastAsia="黑体"/>
          <w:sz w:val="28"/>
          <w:szCs w:val="28"/>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446" w:name="_Toc6550"/>
      <w:bookmarkStart w:id="447" w:name="_Toc7524"/>
      <w:r>
        <w:rPr>
          <w:sz w:val="24"/>
        </w:rPr>
        <w:t>一、拟提供售后服务的项目：</w:t>
      </w:r>
      <w:bookmarkEnd w:id="446"/>
      <w:bookmarkEnd w:id="447"/>
    </w:p>
    <w:p>
      <w:pPr>
        <w:spacing w:line="360" w:lineRule="auto"/>
        <w:rPr>
          <w:sz w:val="24"/>
        </w:rPr>
      </w:pPr>
      <w:bookmarkStart w:id="448" w:name="_Toc20237"/>
      <w:bookmarkStart w:id="449" w:name="_Toc3487"/>
      <w:r>
        <w:rPr>
          <w:sz w:val="24"/>
        </w:rPr>
        <w:t>二、所投产品售后免费质保服务期限：</w:t>
      </w:r>
      <w:bookmarkEnd w:id="448"/>
      <w:bookmarkEnd w:id="449"/>
    </w:p>
    <w:p>
      <w:pPr>
        <w:spacing w:line="360" w:lineRule="auto"/>
        <w:rPr>
          <w:sz w:val="24"/>
        </w:rPr>
      </w:pPr>
      <w:bookmarkStart w:id="450" w:name="_Toc23033"/>
      <w:bookmarkStart w:id="451" w:name="_Toc3033"/>
      <w:r>
        <w:rPr>
          <w:sz w:val="24"/>
        </w:rPr>
        <w:t>三、服务响应及到达现场的时间：</w:t>
      </w:r>
      <w:bookmarkEnd w:id="450"/>
      <w:bookmarkEnd w:id="451"/>
    </w:p>
    <w:p>
      <w:pPr>
        <w:spacing w:line="360" w:lineRule="auto"/>
        <w:rPr>
          <w:sz w:val="24"/>
        </w:rPr>
      </w:pPr>
      <w:r>
        <w:rPr>
          <w:sz w:val="24"/>
        </w:rPr>
        <w:t>四、</w:t>
      </w:r>
      <w:bookmarkStart w:id="452" w:name="_Toc13169"/>
      <w:bookmarkStart w:id="453" w:name="_Toc12891"/>
      <w:r>
        <w:rPr>
          <w:sz w:val="24"/>
        </w:rPr>
        <w:t>投标人的其他服务承诺：</w:t>
      </w:r>
      <w:bookmarkEnd w:id="452"/>
      <w:bookmarkEnd w:id="453"/>
    </w:p>
    <w:bookmarkEnd w:id="444"/>
    <w:bookmarkEnd w:id="445"/>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spacing w:line="360" w:lineRule="auto"/>
        <w:outlineLvl w:val="1"/>
        <w:rPr>
          <w:b/>
          <w:sz w:val="24"/>
        </w:rPr>
        <w:sectPr>
          <w:footerReference r:id="rId13"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sz w:val="24"/>
        </w:rPr>
      </w:pPr>
      <w:bookmarkStart w:id="454" w:name="_Toc103677780"/>
      <w:bookmarkStart w:id="455" w:name="_Toc29664"/>
      <w:r>
        <w:rPr>
          <w:rFonts w:hint="eastAsia" w:eastAsia="黑体"/>
          <w:sz w:val="28"/>
          <w:szCs w:val="28"/>
        </w:rPr>
        <w:t>八、</w:t>
      </w:r>
      <w:r>
        <w:rPr>
          <w:rFonts w:eastAsia="黑体"/>
          <w:sz w:val="28"/>
          <w:szCs w:val="28"/>
        </w:rPr>
        <w:t>质量保证承诺书</w:t>
      </w:r>
      <w:bookmarkEnd w:id="454"/>
      <w:bookmarkEnd w:id="455"/>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456" w:name="_Toc103677781"/>
      <w:bookmarkStart w:id="457" w:name="_Toc7853"/>
      <w:r>
        <w:rPr>
          <w:rFonts w:hint="eastAsia" w:eastAsia="黑体"/>
          <w:sz w:val="28"/>
          <w:szCs w:val="28"/>
        </w:rPr>
        <w:t>九、</w:t>
      </w:r>
      <w:r>
        <w:rPr>
          <w:rFonts w:eastAsia="黑体"/>
          <w:sz w:val="28"/>
          <w:szCs w:val="28"/>
        </w:rPr>
        <w:t>其他资料</w:t>
      </w:r>
      <w:bookmarkEnd w:id="456"/>
      <w:bookmarkEnd w:id="457"/>
    </w:p>
    <w:p>
      <w:pPr>
        <w:spacing w:line="360" w:lineRule="auto"/>
        <w:rPr>
          <w:sz w:val="24"/>
        </w:rPr>
      </w:pPr>
    </w:p>
    <w:p>
      <w:pPr>
        <w:spacing w:line="360" w:lineRule="auto"/>
        <w:rPr>
          <w:sz w:val="24"/>
        </w:rPr>
      </w:pPr>
      <w:r>
        <w:rPr>
          <w:sz w:val="24"/>
        </w:rPr>
        <w:t>招标文件中要求提交的其他技术资料，或投标人认为需要提供的其它说明和资料。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w:t>
      </w:r>
      <w:r>
        <w:rPr>
          <w:u w:val="single"/>
        </w:rPr>
        <w:t xml:space="preserve">                  </w:t>
      </w:r>
      <w:r>
        <w:t>（公章）</w:t>
      </w:r>
    </w:p>
    <w:p>
      <w:pPr>
        <w:spacing w:before="120" w:beforeLines="50" w:line="440" w:lineRule="exact"/>
        <w:ind w:left="1105" w:leftChars="526" w:firstLine="15"/>
      </w:pPr>
      <w:r>
        <w:t>法定代表人或其委托代理人：</w:t>
      </w:r>
      <w:r>
        <w:rPr>
          <w:u w:val="single"/>
        </w:rPr>
        <w:t xml:space="preserve">                        </w:t>
      </w:r>
      <w:r>
        <w:t>（签字或加盖人名章）</w:t>
      </w:r>
    </w:p>
    <w:p>
      <w:pPr>
        <w:spacing w:before="120" w:beforeLines="50" w:line="440" w:lineRule="exact"/>
        <w:ind w:left="1105" w:leftChars="526" w:firstLine="15"/>
        <w:rPr>
          <w:u w:val="single"/>
        </w:rPr>
      </w:pPr>
      <w:r>
        <w:t xml:space="preserve">日期： </w:t>
      </w:r>
      <w:r>
        <w:rPr>
          <w:u w:val="single"/>
        </w:rPr>
        <w:t xml:space="preserve">                      </w:t>
      </w:r>
    </w:p>
    <w:p>
      <w:pPr>
        <w:snapToGrid w:val="0"/>
        <w:spacing w:after="120" w:afterLines="50"/>
      </w:pPr>
    </w:p>
    <w:p>
      <w:pPr>
        <w:snapToGrid w:val="0"/>
        <w:spacing w:after="120" w:afterLines="50"/>
      </w:pPr>
    </w:p>
    <w:p>
      <w:pPr>
        <w:pStyle w:val="19"/>
        <w:tabs>
          <w:tab w:val="left" w:pos="567"/>
        </w:tabs>
        <w:rPr>
          <w:rFonts w:eastAsia="黑体"/>
          <w:i/>
        </w:rPr>
      </w:pPr>
    </w:p>
    <w:p>
      <w:pPr>
        <w:snapToGrid w:val="0"/>
        <w:spacing w:after="120" w:afterLines="50"/>
      </w:pPr>
    </w:p>
    <w:p>
      <w:pPr>
        <w:spacing w:line="360" w:lineRule="auto"/>
        <w:jc w:val="center"/>
        <w:outlineLvl w:val="0"/>
        <w:rPr>
          <w:kern w:val="0"/>
          <w:sz w:val="32"/>
          <w:szCs w:val="32"/>
        </w:rPr>
      </w:pPr>
      <w:r>
        <w:br w:type="page"/>
      </w:r>
      <w:bookmarkStart w:id="458" w:name="_Toc103677782"/>
      <w:bookmarkStart w:id="459" w:name="_Toc23048"/>
      <w:bookmarkStart w:id="460" w:name="_Toc32087"/>
      <w:r>
        <w:rPr>
          <w:kern w:val="0"/>
          <w:sz w:val="32"/>
          <w:szCs w:val="32"/>
        </w:rPr>
        <w:t>第七章 其它</w:t>
      </w:r>
      <w:bookmarkEnd w:id="458"/>
      <w:bookmarkEnd w:id="459"/>
      <w:bookmarkEnd w:id="460"/>
      <w:r>
        <w:rPr>
          <w:kern w:val="0"/>
          <w:sz w:val="32"/>
          <w:szCs w:val="32"/>
        </w:rPr>
        <w:t xml:space="preserve"> </w:t>
      </w:r>
    </w:p>
    <w:p>
      <w:pPr>
        <w:tabs>
          <w:tab w:val="left" w:pos="3552"/>
        </w:tabs>
        <w:snapToGrid w:val="0"/>
        <w:spacing w:after="120" w:afterLines="50"/>
      </w:pPr>
      <w:r>
        <w:tab/>
      </w: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一、质疑供应商基本信息</w:t>
      </w:r>
    </w:p>
    <w:p>
      <w:pPr>
        <w:adjustRightInd w:val="0"/>
        <w:snapToGrid w:val="0"/>
        <w:spacing w:line="360" w:lineRule="auto"/>
        <w:rPr>
          <w:sz w:val="24"/>
          <w:u w:val="dotted"/>
        </w:rPr>
      </w:pPr>
      <w:r>
        <w:rPr>
          <w:sz w:val="24"/>
        </w:rPr>
        <w:t>质疑供应商：</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1.供应商提出质疑时，应提交质疑函和必要的证明材料。</w:t>
      </w:r>
    </w:p>
    <w:p>
      <w:pPr>
        <w:widowControl/>
        <w:ind w:firstLine="480" w:firstLineChars="200"/>
        <w:jc w:val="left"/>
        <w:rPr>
          <w:bCs/>
          <w:sz w:val="24"/>
        </w:rPr>
      </w:pPr>
      <w:r>
        <w:rPr>
          <w:bCs/>
          <w:sz w:val="24"/>
        </w:rPr>
        <w:t>2.质疑供应商若委托代理人进行质疑的，质疑函应按要求列明“授权代表”的有关内容，并在附件中提交由质疑</w:t>
      </w:r>
      <w:r>
        <w:rPr>
          <w:bCs/>
          <w:kern w:val="0"/>
          <w:sz w:val="24"/>
        </w:rPr>
        <w:t>供应商签署的授权委托书。授权委托书应载明代理人的姓名或者名称、代理事项、具体权限、期限和相关事项。</w:t>
      </w:r>
    </w:p>
    <w:p>
      <w:pPr>
        <w:widowControl/>
        <w:ind w:firstLine="480" w:firstLineChars="200"/>
        <w:jc w:val="left"/>
        <w:rPr>
          <w:bCs/>
          <w:sz w:val="24"/>
        </w:rPr>
      </w:pPr>
      <w:r>
        <w:rPr>
          <w:bCs/>
          <w:sz w:val="24"/>
        </w:rPr>
        <w:t>3.质疑供应商若对项目的某一分包进行质疑，质疑函中应列明具体分包号。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6.质疑供应商为自然人的，质疑函应由本人签字；质疑供应商为法人或者其他组织的，质疑函应由法定代表人、主要负责人，或者其授权代表签字或者盖章，并加盖公章。</w:t>
      </w:r>
    </w:p>
    <w:p>
      <w:pPr>
        <w:snapToGrid w:val="0"/>
        <w:spacing w:after="120" w:afterLines="50"/>
        <w:rPr>
          <w:sz w:val="24"/>
        </w:rPr>
      </w:pPr>
    </w:p>
    <w:p>
      <w:pPr>
        <w:snapToGrid w:val="0"/>
        <w:spacing w:after="120" w:afterLines="50"/>
        <w:rPr>
          <w:sz w:val="24"/>
        </w:rPr>
      </w:pPr>
    </w:p>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-1905</wp:posOffset>
              </wp:positionV>
              <wp:extent cx="259080" cy="1828800"/>
              <wp:effectExtent l="0" t="0" r="0" b="0"/>
              <wp:wrapNone/>
              <wp:docPr id="10"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1312;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1dKi0wAAAAUBAAAPAAAAAAAAAAEAIAAAACIAAABkcnMv&#10;ZG93bnJldi54bWxQSwECFAAUAAAACACHTuJAy8qrkc8BAACa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z-index:251660288;mso-width-relative:page;mso-height-relative:page;" filled="f" stroked="f" coordsize="21600,21600" o:gfxdata="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FFhq0wAAAAYBAAAPAAAAAAAAAAEAIAAAACIAAABkcnMvZG93bnJldi54bWxQ&#10;SwECFAAUAAAACACHTuJALXE1K8MBAACPAwAADgAAAAAAAAABACAAAAAiAQAAZHJzL2Uyb0RvYy54&#10;bWxQSwUGAAAAAAYABgBZAQAAVwUAAAAA&#10;">
              <v:fill on="f" focussize="0,0"/>
              <v:stroke on="f"/>
              <v:imagedata o:title=""/>
              <o:lock v:ext="edit" aspectratio="f"/>
              <v:textbox inset="0mm,0mm,0mm,0mm" style="mso-fit-shape-to-text:t;">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文本框5" o:spid="_x0000_s1026" o:spt="202" type="#_x0000_t202" style="position:absolute;left:0pt;margin-top:-0.15pt;height:144pt;width:144pt;mso-position-horizontal:center;mso-position-horizontal-relative:margin;mso-wrap-style:none;z-index:251662336;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x7MLcgBAACZAwAADgAAAGRycy9lMm9Eb2MueG1srVPNjtMwEL4j&#10;8Q6W79RpJ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SLm7CixHGLE798/3b58evy&#10;8+vr3J4+QI1ZDwHz0nDnB0yd/YDOrHpQ0eYv6iEYx+aer82VQyIiP1qv1usKQwJj8wXx2ePzECG9&#10;ld6SbDQ04vRKU/npPaQxdU7J1Zy/18aUCRr3lwMxs4dl7iPHbKVhP0yC9r49o54eB99Qh3tOiXnn&#10;sK95R2YjzsZ+No4h6kOH1JaFF4TbY0IShVuuMMJOhXFiRd20XXkl/ryXrMc/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PsezC3IAQAAmQ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3360;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AFFpRMgBAACYAwAADgAAAGRycy9lMm9Eb2MueG1srVPNjtMwEL4j&#10;8Q6W79Rpk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Tb0BUljlsc+OX7t8uPX5ef&#10;X1/n7vQBakx6CJiWhjs/4M7MfkBnFj2oaPMX5RCMY2/P197KIRGRH61X63WFIYGx+YL47PF5iJDe&#10;Sm9JNhoacXilp/z0HtKYOqfkas7fa2PKAI37y4GY2cMy95FjttKwHyZBe9+eUU+Pc2+owzWnxLxz&#10;2Na8IrMRZ2M/G8cQ9aFDasvCC8LtMSGJwi1XGGGnwjiwom5arrwRf95L1u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ABRaUT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4384;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EbBIY/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68480;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t2TVYrAgAAVw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7dk1WKwIAAFcEAAAOAAAAAAAAAAEAIAAAACIBAABkcnMvZTJvRG9jLnhtbFBLBQYAAAAA&#10;BgAGAFkBAAC/BQ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iUsgBAACY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19e5&#10;O32AGpMeAqal4c4PuDOzH9CZRQ8q2vxFOQTj2NvztbdySETkR+vVel1hSGBsviA+e3weIqS30luS&#10;jYZGHF7pKT+9hzSmzim5mvP32pgyQOP+ciBm9rDMfeSYrTTsh0nQ3rdn1NPj3BvqcM0pMe8ctjWv&#10;yGzE2djPxjFEfeiQ2rLwgnB7TEiicMsVRtipMA6sqJuWK2/En/eS9fhD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vpYlL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r>
      <w:rPr>
        <w:rFonts w:hint="eastAsia"/>
      </w:rPr>
      <w:t>72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lang w:eastAsia="zh-CN"/>
      </w:rPr>
      <w:t>新疆维吾尔自治区人民医院国产医用耗材采购项目</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F1D69"/>
    <w:multiLevelType w:val="singleLevel"/>
    <w:tmpl w:val="C10F1D69"/>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2">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3">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4">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6">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7">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9">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0">
    <w:nsid w:val="21A86DCB"/>
    <w:multiLevelType w:val="multilevel"/>
    <w:tmpl w:val="21A86DCB"/>
    <w:lvl w:ilvl="0" w:tentative="0">
      <w:start w:val="1"/>
      <w:numFmt w:val="chineseCountingThousand"/>
      <w:suff w:val="nothing"/>
      <w:lvlText w:val="%1、"/>
      <w:lvlJc w:val="left"/>
      <w:pPr>
        <w:ind w:left="422"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1">
    <w:nsid w:val="2B4E197E"/>
    <w:multiLevelType w:val="multilevel"/>
    <w:tmpl w:val="2B4E197E"/>
    <w:lvl w:ilvl="0" w:tentative="0">
      <w:start w:val="4"/>
      <w:numFmt w:val="decimal"/>
      <w:lvlText w:val="%1"/>
      <w:lvlJc w:val="left"/>
      <w:pPr>
        <w:tabs>
          <w:tab w:val="left" w:pos="1134"/>
        </w:tabs>
        <w:ind w:left="1134" w:hanging="1134"/>
      </w:pPr>
      <w:rPr>
        <w:rFonts w:hint="eastAsia" w:ascii="宋体" w:eastAsia="宋体"/>
        <w:sz w:val="24"/>
        <w:szCs w:val="24"/>
      </w:rPr>
    </w:lvl>
    <w:lvl w:ilvl="1" w:tentative="0">
      <w:start w:val="3"/>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2">
    <w:nsid w:val="533A20A9"/>
    <w:multiLevelType w:val="multilevel"/>
    <w:tmpl w:val="533A20A9"/>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2"/>
  </w:num>
  <w:num w:numId="3">
    <w:abstractNumId w:val="8"/>
  </w:num>
  <w:num w:numId="4">
    <w:abstractNumId w:val="1"/>
  </w:num>
  <w:num w:numId="5">
    <w:abstractNumId w:val="5"/>
  </w:num>
  <w:num w:numId="6">
    <w:abstractNumId w:val="6"/>
  </w:num>
  <w:num w:numId="7">
    <w:abstractNumId w:val="3"/>
  </w:num>
  <w:num w:numId="8">
    <w:abstractNumId w:val="12"/>
  </w:num>
  <w:num w:numId="9">
    <w:abstractNumId w:val="11"/>
  </w:num>
  <w:num w:numId="10">
    <w:abstractNumId w:val="9"/>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172A27"/>
    <w:rsid w:val="00000A9B"/>
    <w:rsid w:val="00001C32"/>
    <w:rsid w:val="00005472"/>
    <w:rsid w:val="00006FBD"/>
    <w:rsid w:val="000078C3"/>
    <w:rsid w:val="0001143A"/>
    <w:rsid w:val="000246F1"/>
    <w:rsid w:val="000247EC"/>
    <w:rsid w:val="00025F22"/>
    <w:rsid w:val="000319EE"/>
    <w:rsid w:val="00033E05"/>
    <w:rsid w:val="000404B0"/>
    <w:rsid w:val="00045943"/>
    <w:rsid w:val="000512E4"/>
    <w:rsid w:val="00055F5F"/>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679A3"/>
    <w:rsid w:val="00172A27"/>
    <w:rsid w:val="001735E4"/>
    <w:rsid w:val="001748D6"/>
    <w:rsid w:val="00181DCE"/>
    <w:rsid w:val="001823BF"/>
    <w:rsid w:val="001832A3"/>
    <w:rsid w:val="00184941"/>
    <w:rsid w:val="001941D6"/>
    <w:rsid w:val="00196A2C"/>
    <w:rsid w:val="001A2794"/>
    <w:rsid w:val="001A2AA7"/>
    <w:rsid w:val="001A7142"/>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6BD8"/>
    <w:rsid w:val="0021761F"/>
    <w:rsid w:val="002176FE"/>
    <w:rsid w:val="00225378"/>
    <w:rsid w:val="00225F12"/>
    <w:rsid w:val="00232541"/>
    <w:rsid w:val="002330AA"/>
    <w:rsid w:val="0023355C"/>
    <w:rsid w:val="00235A12"/>
    <w:rsid w:val="0024142C"/>
    <w:rsid w:val="00246615"/>
    <w:rsid w:val="00255026"/>
    <w:rsid w:val="00256600"/>
    <w:rsid w:val="00256A18"/>
    <w:rsid w:val="0025734D"/>
    <w:rsid w:val="0026068D"/>
    <w:rsid w:val="00261625"/>
    <w:rsid w:val="0026246C"/>
    <w:rsid w:val="002629D1"/>
    <w:rsid w:val="002663B5"/>
    <w:rsid w:val="0027000B"/>
    <w:rsid w:val="002706E6"/>
    <w:rsid w:val="00273723"/>
    <w:rsid w:val="00273C95"/>
    <w:rsid w:val="0027590C"/>
    <w:rsid w:val="00276330"/>
    <w:rsid w:val="002825FF"/>
    <w:rsid w:val="002836A4"/>
    <w:rsid w:val="0028622C"/>
    <w:rsid w:val="00290475"/>
    <w:rsid w:val="00290C17"/>
    <w:rsid w:val="00292730"/>
    <w:rsid w:val="002958FD"/>
    <w:rsid w:val="002963C4"/>
    <w:rsid w:val="00296EE6"/>
    <w:rsid w:val="002A106E"/>
    <w:rsid w:val="002A30BE"/>
    <w:rsid w:val="002A5C6D"/>
    <w:rsid w:val="002A761B"/>
    <w:rsid w:val="002B01F1"/>
    <w:rsid w:val="002B23C3"/>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1DA2"/>
    <w:rsid w:val="002E2D76"/>
    <w:rsid w:val="002E3770"/>
    <w:rsid w:val="002E55BF"/>
    <w:rsid w:val="002E58FA"/>
    <w:rsid w:val="002E7E8B"/>
    <w:rsid w:val="002F1F91"/>
    <w:rsid w:val="002F450C"/>
    <w:rsid w:val="002F47C9"/>
    <w:rsid w:val="002F4BAE"/>
    <w:rsid w:val="002F603B"/>
    <w:rsid w:val="002F7828"/>
    <w:rsid w:val="0030137D"/>
    <w:rsid w:val="003016DF"/>
    <w:rsid w:val="00301FF5"/>
    <w:rsid w:val="00302C78"/>
    <w:rsid w:val="00305976"/>
    <w:rsid w:val="003102B1"/>
    <w:rsid w:val="00310554"/>
    <w:rsid w:val="003113DB"/>
    <w:rsid w:val="003126AB"/>
    <w:rsid w:val="00312B05"/>
    <w:rsid w:val="00313091"/>
    <w:rsid w:val="003154AE"/>
    <w:rsid w:val="00316D81"/>
    <w:rsid w:val="00316F2D"/>
    <w:rsid w:val="00317E4A"/>
    <w:rsid w:val="00322B2C"/>
    <w:rsid w:val="003233CA"/>
    <w:rsid w:val="00324DA1"/>
    <w:rsid w:val="00326187"/>
    <w:rsid w:val="0033137D"/>
    <w:rsid w:val="00331B48"/>
    <w:rsid w:val="00334521"/>
    <w:rsid w:val="00334A2F"/>
    <w:rsid w:val="0033632C"/>
    <w:rsid w:val="003422C5"/>
    <w:rsid w:val="003445A4"/>
    <w:rsid w:val="003467CF"/>
    <w:rsid w:val="003476CA"/>
    <w:rsid w:val="00347F86"/>
    <w:rsid w:val="003507A6"/>
    <w:rsid w:val="0035299D"/>
    <w:rsid w:val="003529DD"/>
    <w:rsid w:val="0035500B"/>
    <w:rsid w:val="00364495"/>
    <w:rsid w:val="00370E18"/>
    <w:rsid w:val="00371037"/>
    <w:rsid w:val="003716CC"/>
    <w:rsid w:val="00373BE9"/>
    <w:rsid w:val="00376ABF"/>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4F0D"/>
    <w:rsid w:val="003B5D7C"/>
    <w:rsid w:val="003B7537"/>
    <w:rsid w:val="003C7710"/>
    <w:rsid w:val="003C798A"/>
    <w:rsid w:val="003D412A"/>
    <w:rsid w:val="003D6D3A"/>
    <w:rsid w:val="003E0A1F"/>
    <w:rsid w:val="003E29AE"/>
    <w:rsid w:val="003E7F76"/>
    <w:rsid w:val="003F0345"/>
    <w:rsid w:val="003F0570"/>
    <w:rsid w:val="003F3F04"/>
    <w:rsid w:val="003F460B"/>
    <w:rsid w:val="004009C2"/>
    <w:rsid w:val="00401D9E"/>
    <w:rsid w:val="00403880"/>
    <w:rsid w:val="00411580"/>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3CDC"/>
    <w:rsid w:val="004777D3"/>
    <w:rsid w:val="004819A6"/>
    <w:rsid w:val="0048373F"/>
    <w:rsid w:val="004851EB"/>
    <w:rsid w:val="00485231"/>
    <w:rsid w:val="004860D3"/>
    <w:rsid w:val="00495071"/>
    <w:rsid w:val="004A1512"/>
    <w:rsid w:val="004A271E"/>
    <w:rsid w:val="004A3BF6"/>
    <w:rsid w:val="004A54F5"/>
    <w:rsid w:val="004A57BA"/>
    <w:rsid w:val="004C2813"/>
    <w:rsid w:val="004C36A1"/>
    <w:rsid w:val="004C5D7B"/>
    <w:rsid w:val="004D0990"/>
    <w:rsid w:val="004D197D"/>
    <w:rsid w:val="004D4B72"/>
    <w:rsid w:val="004D67ED"/>
    <w:rsid w:val="004E06DC"/>
    <w:rsid w:val="004E43AB"/>
    <w:rsid w:val="004F0D31"/>
    <w:rsid w:val="004F2ECA"/>
    <w:rsid w:val="004F64DB"/>
    <w:rsid w:val="004F7F20"/>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1F3D"/>
    <w:rsid w:val="005432C7"/>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063E"/>
    <w:rsid w:val="0061117A"/>
    <w:rsid w:val="006115DF"/>
    <w:rsid w:val="00612235"/>
    <w:rsid w:val="006169BA"/>
    <w:rsid w:val="00617A0D"/>
    <w:rsid w:val="006235EC"/>
    <w:rsid w:val="0063131C"/>
    <w:rsid w:val="00636619"/>
    <w:rsid w:val="00636A9C"/>
    <w:rsid w:val="00636F4E"/>
    <w:rsid w:val="00641D97"/>
    <w:rsid w:val="00642486"/>
    <w:rsid w:val="0064357D"/>
    <w:rsid w:val="00643792"/>
    <w:rsid w:val="006501DD"/>
    <w:rsid w:val="00650DE5"/>
    <w:rsid w:val="00652C67"/>
    <w:rsid w:val="00652DA9"/>
    <w:rsid w:val="00657FB8"/>
    <w:rsid w:val="00660B36"/>
    <w:rsid w:val="00662228"/>
    <w:rsid w:val="006643C0"/>
    <w:rsid w:val="0066745D"/>
    <w:rsid w:val="00667700"/>
    <w:rsid w:val="00667F5A"/>
    <w:rsid w:val="0067485B"/>
    <w:rsid w:val="00683F4B"/>
    <w:rsid w:val="00683FEF"/>
    <w:rsid w:val="00684352"/>
    <w:rsid w:val="00690E32"/>
    <w:rsid w:val="006A2AD1"/>
    <w:rsid w:val="006A3CAA"/>
    <w:rsid w:val="006A67D2"/>
    <w:rsid w:val="006B1FD3"/>
    <w:rsid w:val="006B20B2"/>
    <w:rsid w:val="006B267F"/>
    <w:rsid w:val="006B4DA1"/>
    <w:rsid w:val="006B596F"/>
    <w:rsid w:val="006C2050"/>
    <w:rsid w:val="006C2D4E"/>
    <w:rsid w:val="006C2FDC"/>
    <w:rsid w:val="006C40AC"/>
    <w:rsid w:val="006C632A"/>
    <w:rsid w:val="006C64EC"/>
    <w:rsid w:val="006D5251"/>
    <w:rsid w:val="006D7370"/>
    <w:rsid w:val="006E173C"/>
    <w:rsid w:val="006E3A21"/>
    <w:rsid w:val="006E6008"/>
    <w:rsid w:val="006E7694"/>
    <w:rsid w:val="006F115D"/>
    <w:rsid w:val="0070493B"/>
    <w:rsid w:val="00706B99"/>
    <w:rsid w:val="0071069D"/>
    <w:rsid w:val="0072038C"/>
    <w:rsid w:val="0072132A"/>
    <w:rsid w:val="00723ABB"/>
    <w:rsid w:val="00723B39"/>
    <w:rsid w:val="00725275"/>
    <w:rsid w:val="00725472"/>
    <w:rsid w:val="0072588A"/>
    <w:rsid w:val="00726891"/>
    <w:rsid w:val="00726B71"/>
    <w:rsid w:val="00726D2D"/>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4646"/>
    <w:rsid w:val="007A615A"/>
    <w:rsid w:val="007A6368"/>
    <w:rsid w:val="007A6455"/>
    <w:rsid w:val="007A699E"/>
    <w:rsid w:val="007A6FC5"/>
    <w:rsid w:val="007A7028"/>
    <w:rsid w:val="007B3475"/>
    <w:rsid w:val="007C3A69"/>
    <w:rsid w:val="007C418B"/>
    <w:rsid w:val="007C79F9"/>
    <w:rsid w:val="007D033D"/>
    <w:rsid w:val="007D0491"/>
    <w:rsid w:val="007D30BD"/>
    <w:rsid w:val="007D3129"/>
    <w:rsid w:val="007D6767"/>
    <w:rsid w:val="007D7A9B"/>
    <w:rsid w:val="007E0D78"/>
    <w:rsid w:val="007E385A"/>
    <w:rsid w:val="007E739B"/>
    <w:rsid w:val="007F006F"/>
    <w:rsid w:val="007F24A5"/>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5AFB"/>
    <w:rsid w:val="008872B7"/>
    <w:rsid w:val="00887CBD"/>
    <w:rsid w:val="00891E36"/>
    <w:rsid w:val="00892DA5"/>
    <w:rsid w:val="008959B6"/>
    <w:rsid w:val="00896E9E"/>
    <w:rsid w:val="008A06C3"/>
    <w:rsid w:val="008A3A1F"/>
    <w:rsid w:val="008A6041"/>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06786"/>
    <w:rsid w:val="00907D81"/>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82823"/>
    <w:rsid w:val="00990265"/>
    <w:rsid w:val="00990D36"/>
    <w:rsid w:val="00996282"/>
    <w:rsid w:val="009A1D06"/>
    <w:rsid w:val="009A244C"/>
    <w:rsid w:val="009A26AC"/>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2D7"/>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33DC"/>
    <w:rsid w:val="00A25DE2"/>
    <w:rsid w:val="00A26EEF"/>
    <w:rsid w:val="00A2704E"/>
    <w:rsid w:val="00A31464"/>
    <w:rsid w:val="00A31D36"/>
    <w:rsid w:val="00A32A01"/>
    <w:rsid w:val="00A35607"/>
    <w:rsid w:val="00A37D73"/>
    <w:rsid w:val="00A411B8"/>
    <w:rsid w:val="00A42822"/>
    <w:rsid w:val="00A50A2E"/>
    <w:rsid w:val="00A52282"/>
    <w:rsid w:val="00A5434B"/>
    <w:rsid w:val="00A562BC"/>
    <w:rsid w:val="00A6142C"/>
    <w:rsid w:val="00A64934"/>
    <w:rsid w:val="00A70A5F"/>
    <w:rsid w:val="00A7115B"/>
    <w:rsid w:val="00A80912"/>
    <w:rsid w:val="00A81737"/>
    <w:rsid w:val="00A838F9"/>
    <w:rsid w:val="00A90455"/>
    <w:rsid w:val="00A91B9C"/>
    <w:rsid w:val="00A93379"/>
    <w:rsid w:val="00A9505F"/>
    <w:rsid w:val="00A9594F"/>
    <w:rsid w:val="00AA2FD5"/>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3D5"/>
    <w:rsid w:val="00AF5497"/>
    <w:rsid w:val="00B00114"/>
    <w:rsid w:val="00B001FF"/>
    <w:rsid w:val="00B01E77"/>
    <w:rsid w:val="00B04EAC"/>
    <w:rsid w:val="00B062B1"/>
    <w:rsid w:val="00B11624"/>
    <w:rsid w:val="00B16A47"/>
    <w:rsid w:val="00B1746B"/>
    <w:rsid w:val="00B17603"/>
    <w:rsid w:val="00B24572"/>
    <w:rsid w:val="00B24B08"/>
    <w:rsid w:val="00B325ED"/>
    <w:rsid w:val="00B34C1B"/>
    <w:rsid w:val="00B3555C"/>
    <w:rsid w:val="00B42635"/>
    <w:rsid w:val="00B4492D"/>
    <w:rsid w:val="00B44A1B"/>
    <w:rsid w:val="00B46093"/>
    <w:rsid w:val="00B55944"/>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10C"/>
    <w:rsid w:val="00B92354"/>
    <w:rsid w:val="00B92D42"/>
    <w:rsid w:val="00B935A2"/>
    <w:rsid w:val="00B94761"/>
    <w:rsid w:val="00B950EE"/>
    <w:rsid w:val="00B9764E"/>
    <w:rsid w:val="00BA003C"/>
    <w:rsid w:val="00BA570C"/>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017"/>
    <w:rsid w:val="00BE1A94"/>
    <w:rsid w:val="00BE4BF9"/>
    <w:rsid w:val="00BE793A"/>
    <w:rsid w:val="00BE7A9F"/>
    <w:rsid w:val="00BF2012"/>
    <w:rsid w:val="00BF4B66"/>
    <w:rsid w:val="00BF53BC"/>
    <w:rsid w:val="00BF6072"/>
    <w:rsid w:val="00C009CD"/>
    <w:rsid w:val="00C03BC2"/>
    <w:rsid w:val="00C065E7"/>
    <w:rsid w:val="00C10943"/>
    <w:rsid w:val="00C10C76"/>
    <w:rsid w:val="00C16B78"/>
    <w:rsid w:val="00C21755"/>
    <w:rsid w:val="00C22AE8"/>
    <w:rsid w:val="00C22DAE"/>
    <w:rsid w:val="00C2450D"/>
    <w:rsid w:val="00C263C5"/>
    <w:rsid w:val="00C27CFC"/>
    <w:rsid w:val="00C31431"/>
    <w:rsid w:val="00C3421D"/>
    <w:rsid w:val="00C351AF"/>
    <w:rsid w:val="00C42CA9"/>
    <w:rsid w:val="00C42D3C"/>
    <w:rsid w:val="00C46F3E"/>
    <w:rsid w:val="00C528E2"/>
    <w:rsid w:val="00C529FD"/>
    <w:rsid w:val="00C5593F"/>
    <w:rsid w:val="00C60F31"/>
    <w:rsid w:val="00C62005"/>
    <w:rsid w:val="00C65479"/>
    <w:rsid w:val="00C72B2D"/>
    <w:rsid w:val="00C73B4C"/>
    <w:rsid w:val="00C75FA7"/>
    <w:rsid w:val="00C76714"/>
    <w:rsid w:val="00C76721"/>
    <w:rsid w:val="00C81C88"/>
    <w:rsid w:val="00C8518B"/>
    <w:rsid w:val="00C855CB"/>
    <w:rsid w:val="00C864AF"/>
    <w:rsid w:val="00C867C3"/>
    <w:rsid w:val="00C87B77"/>
    <w:rsid w:val="00C919BE"/>
    <w:rsid w:val="00C94AF3"/>
    <w:rsid w:val="00C96C33"/>
    <w:rsid w:val="00C9763E"/>
    <w:rsid w:val="00C976AE"/>
    <w:rsid w:val="00CA17B6"/>
    <w:rsid w:val="00CA3A50"/>
    <w:rsid w:val="00CA45C0"/>
    <w:rsid w:val="00CA6181"/>
    <w:rsid w:val="00CB5A29"/>
    <w:rsid w:val="00CC062D"/>
    <w:rsid w:val="00CC1F4D"/>
    <w:rsid w:val="00CC383B"/>
    <w:rsid w:val="00CC5042"/>
    <w:rsid w:val="00CC7EC7"/>
    <w:rsid w:val="00CD183D"/>
    <w:rsid w:val="00CD20C4"/>
    <w:rsid w:val="00CD3211"/>
    <w:rsid w:val="00CD6266"/>
    <w:rsid w:val="00CE077E"/>
    <w:rsid w:val="00CE09D9"/>
    <w:rsid w:val="00CE4ED4"/>
    <w:rsid w:val="00CE5EA7"/>
    <w:rsid w:val="00CE7320"/>
    <w:rsid w:val="00CE7A9F"/>
    <w:rsid w:val="00CE7C7D"/>
    <w:rsid w:val="00CF41C2"/>
    <w:rsid w:val="00CF4DAA"/>
    <w:rsid w:val="00CF757B"/>
    <w:rsid w:val="00D003FC"/>
    <w:rsid w:val="00D12E64"/>
    <w:rsid w:val="00D1342D"/>
    <w:rsid w:val="00D23242"/>
    <w:rsid w:val="00D27BC5"/>
    <w:rsid w:val="00D3072C"/>
    <w:rsid w:val="00D322AC"/>
    <w:rsid w:val="00D33BE2"/>
    <w:rsid w:val="00D3582C"/>
    <w:rsid w:val="00D372D2"/>
    <w:rsid w:val="00D41218"/>
    <w:rsid w:val="00D4655B"/>
    <w:rsid w:val="00D507EE"/>
    <w:rsid w:val="00D512C6"/>
    <w:rsid w:val="00D5330B"/>
    <w:rsid w:val="00D53BB4"/>
    <w:rsid w:val="00D53CFD"/>
    <w:rsid w:val="00D55D81"/>
    <w:rsid w:val="00D55EAB"/>
    <w:rsid w:val="00D5729C"/>
    <w:rsid w:val="00D57847"/>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1480"/>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267D"/>
    <w:rsid w:val="00DF49D9"/>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66C0"/>
    <w:rsid w:val="00E46A65"/>
    <w:rsid w:val="00E50665"/>
    <w:rsid w:val="00E50EC4"/>
    <w:rsid w:val="00E53695"/>
    <w:rsid w:val="00E548C3"/>
    <w:rsid w:val="00E54EF4"/>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04B5"/>
    <w:rsid w:val="00EA22EA"/>
    <w:rsid w:val="00EA3C88"/>
    <w:rsid w:val="00EA69AB"/>
    <w:rsid w:val="00EB1E9B"/>
    <w:rsid w:val="00EB36C2"/>
    <w:rsid w:val="00EB6B2E"/>
    <w:rsid w:val="00EB6D65"/>
    <w:rsid w:val="00EC028B"/>
    <w:rsid w:val="00EC0FD9"/>
    <w:rsid w:val="00EC5046"/>
    <w:rsid w:val="00ED18E8"/>
    <w:rsid w:val="00ED1DBD"/>
    <w:rsid w:val="00ED299D"/>
    <w:rsid w:val="00EE47FD"/>
    <w:rsid w:val="00EE72DD"/>
    <w:rsid w:val="00EE7F58"/>
    <w:rsid w:val="00EF1BA5"/>
    <w:rsid w:val="00EF1BE3"/>
    <w:rsid w:val="00EF28E3"/>
    <w:rsid w:val="00F05785"/>
    <w:rsid w:val="00F079FD"/>
    <w:rsid w:val="00F07E8D"/>
    <w:rsid w:val="00F11CC1"/>
    <w:rsid w:val="00F1407C"/>
    <w:rsid w:val="00F155D6"/>
    <w:rsid w:val="00F162D0"/>
    <w:rsid w:val="00F16A51"/>
    <w:rsid w:val="00F1749C"/>
    <w:rsid w:val="00F17613"/>
    <w:rsid w:val="00F200FA"/>
    <w:rsid w:val="00F21099"/>
    <w:rsid w:val="00F249DD"/>
    <w:rsid w:val="00F30101"/>
    <w:rsid w:val="00F30682"/>
    <w:rsid w:val="00F3076D"/>
    <w:rsid w:val="00F421FD"/>
    <w:rsid w:val="00F44E61"/>
    <w:rsid w:val="00F4573D"/>
    <w:rsid w:val="00F5786E"/>
    <w:rsid w:val="00F57A13"/>
    <w:rsid w:val="00F57A35"/>
    <w:rsid w:val="00F623C3"/>
    <w:rsid w:val="00F64188"/>
    <w:rsid w:val="00F66D2B"/>
    <w:rsid w:val="00F70644"/>
    <w:rsid w:val="00F7388D"/>
    <w:rsid w:val="00F76AA9"/>
    <w:rsid w:val="00F7760E"/>
    <w:rsid w:val="00F80197"/>
    <w:rsid w:val="00F83894"/>
    <w:rsid w:val="00F84932"/>
    <w:rsid w:val="00F84EAC"/>
    <w:rsid w:val="00F86494"/>
    <w:rsid w:val="00F907C8"/>
    <w:rsid w:val="00F92D9A"/>
    <w:rsid w:val="00F9312C"/>
    <w:rsid w:val="00F935E3"/>
    <w:rsid w:val="00F9524A"/>
    <w:rsid w:val="00F96B2F"/>
    <w:rsid w:val="00FA044C"/>
    <w:rsid w:val="00FA6150"/>
    <w:rsid w:val="00FA6445"/>
    <w:rsid w:val="00FA6684"/>
    <w:rsid w:val="00FB312B"/>
    <w:rsid w:val="00FC49DC"/>
    <w:rsid w:val="00FD114D"/>
    <w:rsid w:val="00FD206B"/>
    <w:rsid w:val="00FD45B3"/>
    <w:rsid w:val="00FD65D1"/>
    <w:rsid w:val="00FD7757"/>
    <w:rsid w:val="00FE2014"/>
    <w:rsid w:val="00FE414C"/>
    <w:rsid w:val="00FE48E9"/>
    <w:rsid w:val="00FE7E07"/>
    <w:rsid w:val="00FF22DA"/>
    <w:rsid w:val="00FF6F1B"/>
    <w:rsid w:val="01075C21"/>
    <w:rsid w:val="010B405F"/>
    <w:rsid w:val="011F753E"/>
    <w:rsid w:val="0125078D"/>
    <w:rsid w:val="012B35C7"/>
    <w:rsid w:val="01461956"/>
    <w:rsid w:val="016651A5"/>
    <w:rsid w:val="01761E20"/>
    <w:rsid w:val="01865B7E"/>
    <w:rsid w:val="019D73AC"/>
    <w:rsid w:val="01A93FA3"/>
    <w:rsid w:val="01C43576"/>
    <w:rsid w:val="01C56903"/>
    <w:rsid w:val="01D066AF"/>
    <w:rsid w:val="01E512EF"/>
    <w:rsid w:val="01E52B01"/>
    <w:rsid w:val="01E856A0"/>
    <w:rsid w:val="02045B03"/>
    <w:rsid w:val="02054F52"/>
    <w:rsid w:val="02103C8D"/>
    <w:rsid w:val="021711DF"/>
    <w:rsid w:val="022D6BC3"/>
    <w:rsid w:val="02443CCC"/>
    <w:rsid w:val="02691984"/>
    <w:rsid w:val="027B1C47"/>
    <w:rsid w:val="02803F31"/>
    <w:rsid w:val="02860795"/>
    <w:rsid w:val="02874D5C"/>
    <w:rsid w:val="028B36A9"/>
    <w:rsid w:val="02B31730"/>
    <w:rsid w:val="02BA5317"/>
    <w:rsid w:val="02BE0355"/>
    <w:rsid w:val="02C23F8B"/>
    <w:rsid w:val="02C60CDB"/>
    <w:rsid w:val="02C646E1"/>
    <w:rsid w:val="02C866AB"/>
    <w:rsid w:val="02CD5930"/>
    <w:rsid w:val="02D06F2C"/>
    <w:rsid w:val="02F72AEC"/>
    <w:rsid w:val="0331750E"/>
    <w:rsid w:val="0353484F"/>
    <w:rsid w:val="03555A65"/>
    <w:rsid w:val="03942D80"/>
    <w:rsid w:val="03A054CA"/>
    <w:rsid w:val="03B048C5"/>
    <w:rsid w:val="03BC09EC"/>
    <w:rsid w:val="03CB265C"/>
    <w:rsid w:val="03E47F2D"/>
    <w:rsid w:val="040C0819"/>
    <w:rsid w:val="0413222E"/>
    <w:rsid w:val="04310280"/>
    <w:rsid w:val="04335F2F"/>
    <w:rsid w:val="04356CF7"/>
    <w:rsid w:val="044E0E32"/>
    <w:rsid w:val="045F36C4"/>
    <w:rsid w:val="04732C05"/>
    <w:rsid w:val="04991CFE"/>
    <w:rsid w:val="04B969EB"/>
    <w:rsid w:val="04BC3FEE"/>
    <w:rsid w:val="04CD247C"/>
    <w:rsid w:val="04E74644"/>
    <w:rsid w:val="04EE6122"/>
    <w:rsid w:val="04F01EE9"/>
    <w:rsid w:val="050414F1"/>
    <w:rsid w:val="05051C3B"/>
    <w:rsid w:val="050613C0"/>
    <w:rsid w:val="050F4B2F"/>
    <w:rsid w:val="05183D16"/>
    <w:rsid w:val="05250EBD"/>
    <w:rsid w:val="053E18E4"/>
    <w:rsid w:val="05426301"/>
    <w:rsid w:val="054573B7"/>
    <w:rsid w:val="05504736"/>
    <w:rsid w:val="05647E81"/>
    <w:rsid w:val="05776166"/>
    <w:rsid w:val="05781409"/>
    <w:rsid w:val="0580330E"/>
    <w:rsid w:val="058C700C"/>
    <w:rsid w:val="058C7A5C"/>
    <w:rsid w:val="058D25C7"/>
    <w:rsid w:val="05942874"/>
    <w:rsid w:val="05EB52BF"/>
    <w:rsid w:val="060D50BB"/>
    <w:rsid w:val="06124A11"/>
    <w:rsid w:val="062748D8"/>
    <w:rsid w:val="06316315"/>
    <w:rsid w:val="06722A54"/>
    <w:rsid w:val="067C1396"/>
    <w:rsid w:val="06856661"/>
    <w:rsid w:val="0685695E"/>
    <w:rsid w:val="06A3092D"/>
    <w:rsid w:val="06AE5BB8"/>
    <w:rsid w:val="06B95ED7"/>
    <w:rsid w:val="06CA5CDD"/>
    <w:rsid w:val="06D373CC"/>
    <w:rsid w:val="06FE778E"/>
    <w:rsid w:val="07140111"/>
    <w:rsid w:val="07210937"/>
    <w:rsid w:val="07220A03"/>
    <w:rsid w:val="07261BF2"/>
    <w:rsid w:val="07596697"/>
    <w:rsid w:val="075C1B4F"/>
    <w:rsid w:val="07740BAF"/>
    <w:rsid w:val="077616B7"/>
    <w:rsid w:val="078246C2"/>
    <w:rsid w:val="07971454"/>
    <w:rsid w:val="07C531B9"/>
    <w:rsid w:val="07E86EA8"/>
    <w:rsid w:val="08041970"/>
    <w:rsid w:val="080E3F82"/>
    <w:rsid w:val="08145EEF"/>
    <w:rsid w:val="081C72A8"/>
    <w:rsid w:val="0829770A"/>
    <w:rsid w:val="082C7F1B"/>
    <w:rsid w:val="08313C7F"/>
    <w:rsid w:val="084B0887"/>
    <w:rsid w:val="08515374"/>
    <w:rsid w:val="08546EC5"/>
    <w:rsid w:val="08A721BB"/>
    <w:rsid w:val="08BD20E2"/>
    <w:rsid w:val="08D062B9"/>
    <w:rsid w:val="08F55D20"/>
    <w:rsid w:val="08F71A98"/>
    <w:rsid w:val="08FB46E2"/>
    <w:rsid w:val="090B5543"/>
    <w:rsid w:val="0910700E"/>
    <w:rsid w:val="09186F60"/>
    <w:rsid w:val="092D3853"/>
    <w:rsid w:val="09464101"/>
    <w:rsid w:val="0966277A"/>
    <w:rsid w:val="09684744"/>
    <w:rsid w:val="096E0EE2"/>
    <w:rsid w:val="09951D91"/>
    <w:rsid w:val="099D66DA"/>
    <w:rsid w:val="09A91A1A"/>
    <w:rsid w:val="09FB0BE0"/>
    <w:rsid w:val="0A187F18"/>
    <w:rsid w:val="0A217692"/>
    <w:rsid w:val="0A225BE7"/>
    <w:rsid w:val="0A2A5DED"/>
    <w:rsid w:val="0A314B36"/>
    <w:rsid w:val="0A402FCB"/>
    <w:rsid w:val="0A410AF1"/>
    <w:rsid w:val="0A4C1970"/>
    <w:rsid w:val="0A501BB4"/>
    <w:rsid w:val="0A5E496A"/>
    <w:rsid w:val="0A782C23"/>
    <w:rsid w:val="0A80786B"/>
    <w:rsid w:val="0A85103E"/>
    <w:rsid w:val="0A8D6782"/>
    <w:rsid w:val="0A956499"/>
    <w:rsid w:val="0A9F2BA8"/>
    <w:rsid w:val="0ADC0D82"/>
    <w:rsid w:val="0AEB71AE"/>
    <w:rsid w:val="0AEC2B45"/>
    <w:rsid w:val="0AF81AF7"/>
    <w:rsid w:val="0B036EA1"/>
    <w:rsid w:val="0B085A65"/>
    <w:rsid w:val="0B111A50"/>
    <w:rsid w:val="0B113360"/>
    <w:rsid w:val="0B1957C1"/>
    <w:rsid w:val="0B3E7194"/>
    <w:rsid w:val="0B444A32"/>
    <w:rsid w:val="0B523714"/>
    <w:rsid w:val="0B57276C"/>
    <w:rsid w:val="0B8213C1"/>
    <w:rsid w:val="0B8D0A07"/>
    <w:rsid w:val="0B903D2C"/>
    <w:rsid w:val="0BA37CB5"/>
    <w:rsid w:val="0BA63302"/>
    <w:rsid w:val="0BCA5515"/>
    <w:rsid w:val="0BE056FA"/>
    <w:rsid w:val="0C13125D"/>
    <w:rsid w:val="0C233558"/>
    <w:rsid w:val="0C2A3F33"/>
    <w:rsid w:val="0C3D004B"/>
    <w:rsid w:val="0C411777"/>
    <w:rsid w:val="0C6F059C"/>
    <w:rsid w:val="0C91743F"/>
    <w:rsid w:val="0C9B273A"/>
    <w:rsid w:val="0CBA252E"/>
    <w:rsid w:val="0CC53C5B"/>
    <w:rsid w:val="0CE54E38"/>
    <w:rsid w:val="0CFC7D38"/>
    <w:rsid w:val="0D0115C4"/>
    <w:rsid w:val="0D110C4F"/>
    <w:rsid w:val="0D165FEA"/>
    <w:rsid w:val="0D2A6FC0"/>
    <w:rsid w:val="0D3154AD"/>
    <w:rsid w:val="0D336C85"/>
    <w:rsid w:val="0D3F4141"/>
    <w:rsid w:val="0D460D83"/>
    <w:rsid w:val="0D680802"/>
    <w:rsid w:val="0D6F0F0B"/>
    <w:rsid w:val="0D81757E"/>
    <w:rsid w:val="0DA90565"/>
    <w:rsid w:val="0DAF0B93"/>
    <w:rsid w:val="0DB77A48"/>
    <w:rsid w:val="0DCC0B92"/>
    <w:rsid w:val="0DDC300B"/>
    <w:rsid w:val="0DE16873"/>
    <w:rsid w:val="0DEB634F"/>
    <w:rsid w:val="0DF5231E"/>
    <w:rsid w:val="0E3B7858"/>
    <w:rsid w:val="0E4A4418"/>
    <w:rsid w:val="0E6E0892"/>
    <w:rsid w:val="0E8F6A08"/>
    <w:rsid w:val="0E947D89"/>
    <w:rsid w:val="0E973EDC"/>
    <w:rsid w:val="0EAC151C"/>
    <w:rsid w:val="0ED463D8"/>
    <w:rsid w:val="0F01062B"/>
    <w:rsid w:val="0F035579"/>
    <w:rsid w:val="0F075BEC"/>
    <w:rsid w:val="0F2B5643"/>
    <w:rsid w:val="0F4470B9"/>
    <w:rsid w:val="0F464759"/>
    <w:rsid w:val="0F5E0C2E"/>
    <w:rsid w:val="0F7450E6"/>
    <w:rsid w:val="0F7E0D2B"/>
    <w:rsid w:val="0F8B2F3A"/>
    <w:rsid w:val="0F9672E9"/>
    <w:rsid w:val="0F9C6EF5"/>
    <w:rsid w:val="0FA20284"/>
    <w:rsid w:val="0FB326EA"/>
    <w:rsid w:val="0FC14BAE"/>
    <w:rsid w:val="0FC53FE3"/>
    <w:rsid w:val="0FD6350A"/>
    <w:rsid w:val="0FE436F9"/>
    <w:rsid w:val="0FF02238"/>
    <w:rsid w:val="0FF50CA6"/>
    <w:rsid w:val="10577FF7"/>
    <w:rsid w:val="107C11A1"/>
    <w:rsid w:val="108005C5"/>
    <w:rsid w:val="10A02A15"/>
    <w:rsid w:val="10AF4A06"/>
    <w:rsid w:val="10BC1F88"/>
    <w:rsid w:val="10CB66C4"/>
    <w:rsid w:val="10D12BCF"/>
    <w:rsid w:val="10D23753"/>
    <w:rsid w:val="10E5667A"/>
    <w:rsid w:val="10ED552F"/>
    <w:rsid w:val="10F25191"/>
    <w:rsid w:val="110F456B"/>
    <w:rsid w:val="11270A41"/>
    <w:rsid w:val="11335BD7"/>
    <w:rsid w:val="11586E4C"/>
    <w:rsid w:val="11690137"/>
    <w:rsid w:val="117D68B3"/>
    <w:rsid w:val="11961CCB"/>
    <w:rsid w:val="11C10E95"/>
    <w:rsid w:val="11D3607E"/>
    <w:rsid w:val="11FA6155"/>
    <w:rsid w:val="11FC1F7F"/>
    <w:rsid w:val="12080923"/>
    <w:rsid w:val="121C60CC"/>
    <w:rsid w:val="12456041"/>
    <w:rsid w:val="12676FF8"/>
    <w:rsid w:val="12695E57"/>
    <w:rsid w:val="12985F6F"/>
    <w:rsid w:val="12C81DAF"/>
    <w:rsid w:val="12D77066"/>
    <w:rsid w:val="12F2507E"/>
    <w:rsid w:val="12F82873"/>
    <w:rsid w:val="13026EC7"/>
    <w:rsid w:val="13166FBF"/>
    <w:rsid w:val="132D45C4"/>
    <w:rsid w:val="1336140F"/>
    <w:rsid w:val="133E02C4"/>
    <w:rsid w:val="134C1CEB"/>
    <w:rsid w:val="137912FC"/>
    <w:rsid w:val="137B32C6"/>
    <w:rsid w:val="13850E78"/>
    <w:rsid w:val="1393653E"/>
    <w:rsid w:val="13C33DC9"/>
    <w:rsid w:val="13C80904"/>
    <w:rsid w:val="13EA178A"/>
    <w:rsid w:val="14040F79"/>
    <w:rsid w:val="143A53BF"/>
    <w:rsid w:val="14522A66"/>
    <w:rsid w:val="146825D9"/>
    <w:rsid w:val="147246C9"/>
    <w:rsid w:val="14A20ACC"/>
    <w:rsid w:val="14A73067"/>
    <w:rsid w:val="14B1050B"/>
    <w:rsid w:val="14C173FE"/>
    <w:rsid w:val="14C66209"/>
    <w:rsid w:val="14DA401C"/>
    <w:rsid w:val="14E219FF"/>
    <w:rsid w:val="14E51F3A"/>
    <w:rsid w:val="14EC5EF6"/>
    <w:rsid w:val="15040702"/>
    <w:rsid w:val="150B7AED"/>
    <w:rsid w:val="1514752E"/>
    <w:rsid w:val="152A7A45"/>
    <w:rsid w:val="152D5484"/>
    <w:rsid w:val="152F6116"/>
    <w:rsid w:val="154B658F"/>
    <w:rsid w:val="158712F6"/>
    <w:rsid w:val="158C7006"/>
    <w:rsid w:val="159445ED"/>
    <w:rsid w:val="15A77B14"/>
    <w:rsid w:val="15C72FA5"/>
    <w:rsid w:val="15DE4E43"/>
    <w:rsid w:val="15EC27EF"/>
    <w:rsid w:val="16007AB2"/>
    <w:rsid w:val="161E6859"/>
    <w:rsid w:val="162701E6"/>
    <w:rsid w:val="16414353"/>
    <w:rsid w:val="165E18B1"/>
    <w:rsid w:val="1672275E"/>
    <w:rsid w:val="16867C8A"/>
    <w:rsid w:val="169930DC"/>
    <w:rsid w:val="16A6725D"/>
    <w:rsid w:val="16AF1C64"/>
    <w:rsid w:val="16B34B25"/>
    <w:rsid w:val="16C60CFC"/>
    <w:rsid w:val="16D2663D"/>
    <w:rsid w:val="17050116"/>
    <w:rsid w:val="170B670F"/>
    <w:rsid w:val="172E714C"/>
    <w:rsid w:val="173D7210"/>
    <w:rsid w:val="17681A81"/>
    <w:rsid w:val="17A0779F"/>
    <w:rsid w:val="17B82C5C"/>
    <w:rsid w:val="17E0004D"/>
    <w:rsid w:val="17F84EE5"/>
    <w:rsid w:val="180D1902"/>
    <w:rsid w:val="18143E7E"/>
    <w:rsid w:val="18486D9C"/>
    <w:rsid w:val="184E2252"/>
    <w:rsid w:val="188A5FFF"/>
    <w:rsid w:val="188F3E30"/>
    <w:rsid w:val="18A54759"/>
    <w:rsid w:val="18AE37F5"/>
    <w:rsid w:val="18B84674"/>
    <w:rsid w:val="18BC23B6"/>
    <w:rsid w:val="18C15C1F"/>
    <w:rsid w:val="18C77F9F"/>
    <w:rsid w:val="18CA752F"/>
    <w:rsid w:val="18DE057F"/>
    <w:rsid w:val="18F81250"/>
    <w:rsid w:val="18F8745B"/>
    <w:rsid w:val="18FF4051"/>
    <w:rsid w:val="1900118F"/>
    <w:rsid w:val="191E4E1F"/>
    <w:rsid w:val="19334157"/>
    <w:rsid w:val="19467ED2"/>
    <w:rsid w:val="194E045B"/>
    <w:rsid w:val="198A7DBF"/>
    <w:rsid w:val="19A10B83"/>
    <w:rsid w:val="19C239FC"/>
    <w:rsid w:val="19CE05F3"/>
    <w:rsid w:val="19CF7EC7"/>
    <w:rsid w:val="19DE010A"/>
    <w:rsid w:val="19E83200"/>
    <w:rsid w:val="1A087A83"/>
    <w:rsid w:val="1A0B5237"/>
    <w:rsid w:val="1A12131B"/>
    <w:rsid w:val="1A231FC1"/>
    <w:rsid w:val="1A407919"/>
    <w:rsid w:val="1A410E46"/>
    <w:rsid w:val="1A4F2DB6"/>
    <w:rsid w:val="1A511E09"/>
    <w:rsid w:val="1A5E3F18"/>
    <w:rsid w:val="1A5F4866"/>
    <w:rsid w:val="1A8A20B3"/>
    <w:rsid w:val="1A9A08B1"/>
    <w:rsid w:val="1AAB467C"/>
    <w:rsid w:val="1ABA183A"/>
    <w:rsid w:val="1ABC044C"/>
    <w:rsid w:val="1AD02149"/>
    <w:rsid w:val="1ADE366B"/>
    <w:rsid w:val="1B1E5CC8"/>
    <w:rsid w:val="1B28786A"/>
    <w:rsid w:val="1B2D0B48"/>
    <w:rsid w:val="1B31047F"/>
    <w:rsid w:val="1B400660"/>
    <w:rsid w:val="1B4544BE"/>
    <w:rsid w:val="1B492B8F"/>
    <w:rsid w:val="1B4B2504"/>
    <w:rsid w:val="1B4E306E"/>
    <w:rsid w:val="1B6A3019"/>
    <w:rsid w:val="1B730595"/>
    <w:rsid w:val="1B987B47"/>
    <w:rsid w:val="1BA76A6C"/>
    <w:rsid w:val="1BCA49F8"/>
    <w:rsid w:val="1BD21EF1"/>
    <w:rsid w:val="1BD44240"/>
    <w:rsid w:val="1BDF6F8C"/>
    <w:rsid w:val="1C00750C"/>
    <w:rsid w:val="1C082537"/>
    <w:rsid w:val="1C166281"/>
    <w:rsid w:val="1C1F1991"/>
    <w:rsid w:val="1C1F5136"/>
    <w:rsid w:val="1C3D55BC"/>
    <w:rsid w:val="1C3E1BB2"/>
    <w:rsid w:val="1C695DAA"/>
    <w:rsid w:val="1C821221"/>
    <w:rsid w:val="1C96296D"/>
    <w:rsid w:val="1C991608"/>
    <w:rsid w:val="1CBD77D4"/>
    <w:rsid w:val="1CF54B8A"/>
    <w:rsid w:val="1CFC2E6C"/>
    <w:rsid w:val="1D052F29"/>
    <w:rsid w:val="1D0A4ACA"/>
    <w:rsid w:val="1D142607"/>
    <w:rsid w:val="1D1446F2"/>
    <w:rsid w:val="1D1D719C"/>
    <w:rsid w:val="1D21672A"/>
    <w:rsid w:val="1D3A267F"/>
    <w:rsid w:val="1D4209B0"/>
    <w:rsid w:val="1D592234"/>
    <w:rsid w:val="1D5E6338"/>
    <w:rsid w:val="1D6E4ED7"/>
    <w:rsid w:val="1D7129B5"/>
    <w:rsid w:val="1DB63878"/>
    <w:rsid w:val="1DC35F95"/>
    <w:rsid w:val="1DC77766"/>
    <w:rsid w:val="1DDE692B"/>
    <w:rsid w:val="1E0F11DA"/>
    <w:rsid w:val="1E127A76"/>
    <w:rsid w:val="1E326C77"/>
    <w:rsid w:val="1E36109D"/>
    <w:rsid w:val="1E5D1F46"/>
    <w:rsid w:val="1E6C1577"/>
    <w:rsid w:val="1E7B2E65"/>
    <w:rsid w:val="1E7B6968"/>
    <w:rsid w:val="1E8C2FD4"/>
    <w:rsid w:val="1ECB0A06"/>
    <w:rsid w:val="1ECF072E"/>
    <w:rsid w:val="1EE3035C"/>
    <w:rsid w:val="1F2C5B22"/>
    <w:rsid w:val="1F38650F"/>
    <w:rsid w:val="1F4D2694"/>
    <w:rsid w:val="1F682713"/>
    <w:rsid w:val="1F7F7C9A"/>
    <w:rsid w:val="1F823640"/>
    <w:rsid w:val="1F9C7EBF"/>
    <w:rsid w:val="1FAD0CAB"/>
    <w:rsid w:val="1FBB2EAE"/>
    <w:rsid w:val="1FBC301E"/>
    <w:rsid w:val="201900EE"/>
    <w:rsid w:val="201E0AA9"/>
    <w:rsid w:val="202952E5"/>
    <w:rsid w:val="202B4E25"/>
    <w:rsid w:val="202C7E22"/>
    <w:rsid w:val="202D6F9C"/>
    <w:rsid w:val="202E0B6F"/>
    <w:rsid w:val="20304226"/>
    <w:rsid w:val="20370574"/>
    <w:rsid w:val="203A1FAA"/>
    <w:rsid w:val="208539D6"/>
    <w:rsid w:val="20A43E5C"/>
    <w:rsid w:val="20C52024"/>
    <w:rsid w:val="20D9162C"/>
    <w:rsid w:val="20E64474"/>
    <w:rsid w:val="20F070A1"/>
    <w:rsid w:val="21091F11"/>
    <w:rsid w:val="210A22DD"/>
    <w:rsid w:val="210D26E9"/>
    <w:rsid w:val="21156B08"/>
    <w:rsid w:val="211C60E8"/>
    <w:rsid w:val="21384A83"/>
    <w:rsid w:val="217F21D3"/>
    <w:rsid w:val="218D5001"/>
    <w:rsid w:val="2190618E"/>
    <w:rsid w:val="21920158"/>
    <w:rsid w:val="21933ED0"/>
    <w:rsid w:val="21942142"/>
    <w:rsid w:val="219D5FDD"/>
    <w:rsid w:val="21B02D1C"/>
    <w:rsid w:val="21B42E8F"/>
    <w:rsid w:val="21B62AC2"/>
    <w:rsid w:val="21C72E6D"/>
    <w:rsid w:val="21D342CD"/>
    <w:rsid w:val="22146DBF"/>
    <w:rsid w:val="221C353F"/>
    <w:rsid w:val="2225350A"/>
    <w:rsid w:val="222635DB"/>
    <w:rsid w:val="224C33BE"/>
    <w:rsid w:val="225603A9"/>
    <w:rsid w:val="225A0C09"/>
    <w:rsid w:val="227057CA"/>
    <w:rsid w:val="22835257"/>
    <w:rsid w:val="2286568A"/>
    <w:rsid w:val="228F55D2"/>
    <w:rsid w:val="2298179E"/>
    <w:rsid w:val="22E65B9F"/>
    <w:rsid w:val="22EB1A8E"/>
    <w:rsid w:val="22F56664"/>
    <w:rsid w:val="22FF5BB9"/>
    <w:rsid w:val="23186CF3"/>
    <w:rsid w:val="23203542"/>
    <w:rsid w:val="23256DAA"/>
    <w:rsid w:val="233A0AA7"/>
    <w:rsid w:val="23511462"/>
    <w:rsid w:val="236230E7"/>
    <w:rsid w:val="23700624"/>
    <w:rsid w:val="23796A18"/>
    <w:rsid w:val="238002CA"/>
    <w:rsid w:val="23B618A1"/>
    <w:rsid w:val="23B9652B"/>
    <w:rsid w:val="23C44815"/>
    <w:rsid w:val="23C959D7"/>
    <w:rsid w:val="23DE58D7"/>
    <w:rsid w:val="23EA5BC3"/>
    <w:rsid w:val="23F7700F"/>
    <w:rsid w:val="240C1EF0"/>
    <w:rsid w:val="2435402E"/>
    <w:rsid w:val="244D6141"/>
    <w:rsid w:val="245F6995"/>
    <w:rsid w:val="24670F28"/>
    <w:rsid w:val="249757F1"/>
    <w:rsid w:val="24A73F1B"/>
    <w:rsid w:val="24B30884"/>
    <w:rsid w:val="24D43410"/>
    <w:rsid w:val="24E45993"/>
    <w:rsid w:val="25083BE5"/>
    <w:rsid w:val="253879ED"/>
    <w:rsid w:val="25890B3D"/>
    <w:rsid w:val="259961A6"/>
    <w:rsid w:val="259A75DB"/>
    <w:rsid w:val="25A641D2"/>
    <w:rsid w:val="25B74631"/>
    <w:rsid w:val="25EE74A0"/>
    <w:rsid w:val="2613475F"/>
    <w:rsid w:val="261C69C9"/>
    <w:rsid w:val="26444656"/>
    <w:rsid w:val="264A075D"/>
    <w:rsid w:val="2650413E"/>
    <w:rsid w:val="26DE2FF3"/>
    <w:rsid w:val="26EB0CD8"/>
    <w:rsid w:val="26FC0C63"/>
    <w:rsid w:val="26FD0D49"/>
    <w:rsid w:val="27165388"/>
    <w:rsid w:val="2732081E"/>
    <w:rsid w:val="273437E7"/>
    <w:rsid w:val="27460774"/>
    <w:rsid w:val="27982240"/>
    <w:rsid w:val="279F35CF"/>
    <w:rsid w:val="27B801ED"/>
    <w:rsid w:val="27BB43F5"/>
    <w:rsid w:val="27BD1CA7"/>
    <w:rsid w:val="27CD727F"/>
    <w:rsid w:val="27E24B00"/>
    <w:rsid w:val="27F23665"/>
    <w:rsid w:val="281C12EF"/>
    <w:rsid w:val="28223E36"/>
    <w:rsid w:val="2827273D"/>
    <w:rsid w:val="282E6701"/>
    <w:rsid w:val="28367301"/>
    <w:rsid w:val="28380C96"/>
    <w:rsid w:val="28885E11"/>
    <w:rsid w:val="28971753"/>
    <w:rsid w:val="28AA4330"/>
    <w:rsid w:val="28AB1AFF"/>
    <w:rsid w:val="28B31225"/>
    <w:rsid w:val="28CA68B9"/>
    <w:rsid w:val="2900009D"/>
    <w:rsid w:val="29052806"/>
    <w:rsid w:val="291F0617"/>
    <w:rsid w:val="292226AF"/>
    <w:rsid w:val="296454F8"/>
    <w:rsid w:val="297107C7"/>
    <w:rsid w:val="297B6774"/>
    <w:rsid w:val="298E4358"/>
    <w:rsid w:val="298F31CF"/>
    <w:rsid w:val="29965F04"/>
    <w:rsid w:val="29C8521C"/>
    <w:rsid w:val="29C97B0E"/>
    <w:rsid w:val="29CB291D"/>
    <w:rsid w:val="29FD4993"/>
    <w:rsid w:val="2A0C292E"/>
    <w:rsid w:val="2A0E2346"/>
    <w:rsid w:val="2A261D85"/>
    <w:rsid w:val="2A5A1A2F"/>
    <w:rsid w:val="2A8A2314"/>
    <w:rsid w:val="2A904799"/>
    <w:rsid w:val="2A9410D5"/>
    <w:rsid w:val="2A9773EA"/>
    <w:rsid w:val="2AA66A22"/>
    <w:rsid w:val="2AAE3A07"/>
    <w:rsid w:val="2AB15801"/>
    <w:rsid w:val="2AF87901"/>
    <w:rsid w:val="2B03773B"/>
    <w:rsid w:val="2B102276"/>
    <w:rsid w:val="2B3A3025"/>
    <w:rsid w:val="2B5C0993"/>
    <w:rsid w:val="2B5E72FD"/>
    <w:rsid w:val="2B9070E1"/>
    <w:rsid w:val="2BAF74B7"/>
    <w:rsid w:val="2BC56073"/>
    <w:rsid w:val="2BD06374"/>
    <w:rsid w:val="2BD355F5"/>
    <w:rsid w:val="2BDA5428"/>
    <w:rsid w:val="2BDF78E1"/>
    <w:rsid w:val="2BE048B9"/>
    <w:rsid w:val="2BFA0959"/>
    <w:rsid w:val="2C104F88"/>
    <w:rsid w:val="2C261C4B"/>
    <w:rsid w:val="2C275941"/>
    <w:rsid w:val="2C2C601B"/>
    <w:rsid w:val="2C765D7F"/>
    <w:rsid w:val="2C7F752B"/>
    <w:rsid w:val="2CAB0320"/>
    <w:rsid w:val="2CC413E2"/>
    <w:rsid w:val="2D0312D3"/>
    <w:rsid w:val="2D0B7011"/>
    <w:rsid w:val="2D1063D5"/>
    <w:rsid w:val="2D187243"/>
    <w:rsid w:val="2D4D3EEA"/>
    <w:rsid w:val="2D5A4622"/>
    <w:rsid w:val="2D607001"/>
    <w:rsid w:val="2D6377C4"/>
    <w:rsid w:val="2D813DD7"/>
    <w:rsid w:val="2DA30137"/>
    <w:rsid w:val="2DB41456"/>
    <w:rsid w:val="2DD02307"/>
    <w:rsid w:val="2DD4793D"/>
    <w:rsid w:val="2E0352BC"/>
    <w:rsid w:val="2E125AEB"/>
    <w:rsid w:val="2E186EBD"/>
    <w:rsid w:val="2E1879D5"/>
    <w:rsid w:val="2E344345"/>
    <w:rsid w:val="2E3714A4"/>
    <w:rsid w:val="2E396D0E"/>
    <w:rsid w:val="2E3E00ED"/>
    <w:rsid w:val="2E3F25AE"/>
    <w:rsid w:val="2E6C32E7"/>
    <w:rsid w:val="2E7A7223"/>
    <w:rsid w:val="2E826474"/>
    <w:rsid w:val="2E841817"/>
    <w:rsid w:val="2E850B60"/>
    <w:rsid w:val="2E862DF3"/>
    <w:rsid w:val="2E8757F1"/>
    <w:rsid w:val="2EB85D49"/>
    <w:rsid w:val="2EF23D44"/>
    <w:rsid w:val="2F0F2AC9"/>
    <w:rsid w:val="2F1E10E7"/>
    <w:rsid w:val="2F725125"/>
    <w:rsid w:val="2F7E4D74"/>
    <w:rsid w:val="2F892D42"/>
    <w:rsid w:val="2F9A3429"/>
    <w:rsid w:val="2FBC1110"/>
    <w:rsid w:val="2FEA779A"/>
    <w:rsid w:val="2FFA063A"/>
    <w:rsid w:val="2FFE2E5D"/>
    <w:rsid w:val="2FFF4660"/>
    <w:rsid w:val="300224CA"/>
    <w:rsid w:val="30264D1E"/>
    <w:rsid w:val="303E75EB"/>
    <w:rsid w:val="3049232A"/>
    <w:rsid w:val="307D5C1A"/>
    <w:rsid w:val="308948DA"/>
    <w:rsid w:val="30B73C5B"/>
    <w:rsid w:val="30C77323"/>
    <w:rsid w:val="30C827FD"/>
    <w:rsid w:val="30CE6CD3"/>
    <w:rsid w:val="30DB6CFA"/>
    <w:rsid w:val="30DC319E"/>
    <w:rsid w:val="30E66C01"/>
    <w:rsid w:val="30EB624E"/>
    <w:rsid w:val="30EC5700"/>
    <w:rsid w:val="310E5321"/>
    <w:rsid w:val="31183B98"/>
    <w:rsid w:val="313602F9"/>
    <w:rsid w:val="31557C6B"/>
    <w:rsid w:val="31644F41"/>
    <w:rsid w:val="31724B9C"/>
    <w:rsid w:val="31B96F05"/>
    <w:rsid w:val="31BE597C"/>
    <w:rsid w:val="31C4631C"/>
    <w:rsid w:val="31D56B0A"/>
    <w:rsid w:val="31EA1CF2"/>
    <w:rsid w:val="32023469"/>
    <w:rsid w:val="32085B11"/>
    <w:rsid w:val="321416BA"/>
    <w:rsid w:val="321915A3"/>
    <w:rsid w:val="321A1EE3"/>
    <w:rsid w:val="32274BE6"/>
    <w:rsid w:val="322F4F27"/>
    <w:rsid w:val="323745C1"/>
    <w:rsid w:val="32452FC5"/>
    <w:rsid w:val="325B46AF"/>
    <w:rsid w:val="32676A97"/>
    <w:rsid w:val="326F1DF0"/>
    <w:rsid w:val="3291620A"/>
    <w:rsid w:val="329A15A9"/>
    <w:rsid w:val="329A50BF"/>
    <w:rsid w:val="32B4216B"/>
    <w:rsid w:val="32BA0C51"/>
    <w:rsid w:val="32D7490F"/>
    <w:rsid w:val="32D83E39"/>
    <w:rsid w:val="32EB0A22"/>
    <w:rsid w:val="32EB591A"/>
    <w:rsid w:val="331210F9"/>
    <w:rsid w:val="33182487"/>
    <w:rsid w:val="33353CD3"/>
    <w:rsid w:val="33423060"/>
    <w:rsid w:val="33462630"/>
    <w:rsid w:val="335E60EC"/>
    <w:rsid w:val="33606A17"/>
    <w:rsid w:val="3369669F"/>
    <w:rsid w:val="33785BDE"/>
    <w:rsid w:val="33863895"/>
    <w:rsid w:val="33891E90"/>
    <w:rsid w:val="339C3931"/>
    <w:rsid w:val="33C30C5E"/>
    <w:rsid w:val="33E04D53"/>
    <w:rsid w:val="34100013"/>
    <w:rsid w:val="341E1D1F"/>
    <w:rsid w:val="342E1F62"/>
    <w:rsid w:val="344572AC"/>
    <w:rsid w:val="34610279"/>
    <w:rsid w:val="3462703E"/>
    <w:rsid w:val="349124F1"/>
    <w:rsid w:val="349D49F2"/>
    <w:rsid w:val="34A55F9D"/>
    <w:rsid w:val="34C77CC1"/>
    <w:rsid w:val="34CC76FA"/>
    <w:rsid w:val="34D663AF"/>
    <w:rsid w:val="34E24AFB"/>
    <w:rsid w:val="350E3F95"/>
    <w:rsid w:val="352020BE"/>
    <w:rsid w:val="35AA4ED1"/>
    <w:rsid w:val="35B8635F"/>
    <w:rsid w:val="35B91A99"/>
    <w:rsid w:val="35C81F43"/>
    <w:rsid w:val="35D5640E"/>
    <w:rsid w:val="35E8510B"/>
    <w:rsid w:val="360B1E2F"/>
    <w:rsid w:val="361A4FF4"/>
    <w:rsid w:val="36264037"/>
    <w:rsid w:val="367022A9"/>
    <w:rsid w:val="36985DB9"/>
    <w:rsid w:val="369A0379"/>
    <w:rsid w:val="36DB3EF8"/>
    <w:rsid w:val="36EE56C3"/>
    <w:rsid w:val="36EF5F27"/>
    <w:rsid w:val="36F308D9"/>
    <w:rsid w:val="36F9612C"/>
    <w:rsid w:val="36FD558B"/>
    <w:rsid w:val="36FF3742"/>
    <w:rsid w:val="372238D5"/>
    <w:rsid w:val="37296A11"/>
    <w:rsid w:val="3747333B"/>
    <w:rsid w:val="374F6680"/>
    <w:rsid w:val="375A48D2"/>
    <w:rsid w:val="3776710C"/>
    <w:rsid w:val="37981210"/>
    <w:rsid w:val="37AD13F0"/>
    <w:rsid w:val="37AD2A4C"/>
    <w:rsid w:val="37F214F9"/>
    <w:rsid w:val="38066D52"/>
    <w:rsid w:val="382D1009"/>
    <w:rsid w:val="383438BF"/>
    <w:rsid w:val="38392C84"/>
    <w:rsid w:val="385026F4"/>
    <w:rsid w:val="385F4274"/>
    <w:rsid w:val="38713724"/>
    <w:rsid w:val="38825E66"/>
    <w:rsid w:val="388C36FB"/>
    <w:rsid w:val="389D1465"/>
    <w:rsid w:val="38AC27BD"/>
    <w:rsid w:val="38C16036"/>
    <w:rsid w:val="38E01351"/>
    <w:rsid w:val="38E928FC"/>
    <w:rsid w:val="38F01BC3"/>
    <w:rsid w:val="38F92DBF"/>
    <w:rsid w:val="38FD6C84"/>
    <w:rsid w:val="39095C94"/>
    <w:rsid w:val="392373ED"/>
    <w:rsid w:val="392D1347"/>
    <w:rsid w:val="392F491E"/>
    <w:rsid w:val="393029C8"/>
    <w:rsid w:val="394221A2"/>
    <w:rsid w:val="39474A0A"/>
    <w:rsid w:val="395155D3"/>
    <w:rsid w:val="395E33AA"/>
    <w:rsid w:val="39621D5E"/>
    <w:rsid w:val="396B1A41"/>
    <w:rsid w:val="39A86313"/>
    <w:rsid w:val="3A0003D7"/>
    <w:rsid w:val="3A174F19"/>
    <w:rsid w:val="3A1E666A"/>
    <w:rsid w:val="3A2401B7"/>
    <w:rsid w:val="3A497F78"/>
    <w:rsid w:val="3A502507"/>
    <w:rsid w:val="3A5D3360"/>
    <w:rsid w:val="3A673B47"/>
    <w:rsid w:val="3A7C12C5"/>
    <w:rsid w:val="3A800389"/>
    <w:rsid w:val="3A8521B0"/>
    <w:rsid w:val="3A912A0A"/>
    <w:rsid w:val="3B104705"/>
    <w:rsid w:val="3B1F4001"/>
    <w:rsid w:val="3B30719C"/>
    <w:rsid w:val="3B53405D"/>
    <w:rsid w:val="3B612EFA"/>
    <w:rsid w:val="3BAC751F"/>
    <w:rsid w:val="3BC44AB4"/>
    <w:rsid w:val="3BD721B7"/>
    <w:rsid w:val="3C01497A"/>
    <w:rsid w:val="3C0812EB"/>
    <w:rsid w:val="3C0909AF"/>
    <w:rsid w:val="3C2D76D8"/>
    <w:rsid w:val="3C303945"/>
    <w:rsid w:val="3C353837"/>
    <w:rsid w:val="3C4816E7"/>
    <w:rsid w:val="3C5A00F3"/>
    <w:rsid w:val="3C6D311F"/>
    <w:rsid w:val="3C9823E3"/>
    <w:rsid w:val="3CA2250B"/>
    <w:rsid w:val="3CAA1ED1"/>
    <w:rsid w:val="3CD010C9"/>
    <w:rsid w:val="3CD34B17"/>
    <w:rsid w:val="3CD76F0F"/>
    <w:rsid w:val="3CE70777"/>
    <w:rsid w:val="3CF55271"/>
    <w:rsid w:val="3D00184F"/>
    <w:rsid w:val="3D0C6006"/>
    <w:rsid w:val="3D1D0FEA"/>
    <w:rsid w:val="3D220FDE"/>
    <w:rsid w:val="3D51232B"/>
    <w:rsid w:val="3D5612A3"/>
    <w:rsid w:val="3D5817DE"/>
    <w:rsid w:val="3D6C331F"/>
    <w:rsid w:val="3D804EB1"/>
    <w:rsid w:val="3DB66B25"/>
    <w:rsid w:val="3DB72FC9"/>
    <w:rsid w:val="3DB8289D"/>
    <w:rsid w:val="3DF24001"/>
    <w:rsid w:val="3DF83452"/>
    <w:rsid w:val="3E535B95"/>
    <w:rsid w:val="3E636124"/>
    <w:rsid w:val="3E6660AE"/>
    <w:rsid w:val="3E755F09"/>
    <w:rsid w:val="3E846C23"/>
    <w:rsid w:val="3E946E66"/>
    <w:rsid w:val="3EA133EA"/>
    <w:rsid w:val="3EA93D0D"/>
    <w:rsid w:val="3EAD43CC"/>
    <w:rsid w:val="3EBE2135"/>
    <w:rsid w:val="3ED87036"/>
    <w:rsid w:val="3EE93E44"/>
    <w:rsid w:val="3EF02308"/>
    <w:rsid w:val="3F0853A8"/>
    <w:rsid w:val="3F0C73DB"/>
    <w:rsid w:val="3F204B9E"/>
    <w:rsid w:val="3F306D25"/>
    <w:rsid w:val="3F343EDD"/>
    <w:rsid w:val="3F5A3485"/>
    <w:rsid w:val="3F5E1222"/>
    <w:rsid w:val="3F76656C"/>
    <w:rsid w:val="3F93084A"/>
    <w:rsid w:val="3FAE21A9"/>
    <w:rsid w:val="3FAF4200"/>
    <w:rsid w:val="3FC43B67"/>
    <w:rsid w:val="3FC92FE8"/>
    <w:rsid w:val="3FD73804"/>
    <w:rsid w:val="3FDF3768"/>
    <w:rsid w:val="3FE213FE"/>
    <w:rsid w:val="3FF613D6"/>
    <w:rsid w:val="4040191C"/>
    <w:rsid w:val="404C083A"/>
    <w:rsid w:val="404E573A"/>
    <w:rsid w:val="40605A4F"/>
    <w:rsid w:val="407F393A"/>
    <w:rsid w:val="40AA5CF0"/>
    <w:rsid w:val="4105404B"/>
    <w:rsid w:val="41117623"/>
    <w:rsid w:val="41140732"/>
    <w:rsid w:val="41141717"/>
    <w:rsid w:val="413A0E45"/>
    <w:rsid w:val="416163D3"/>
    <w:rsid w:val="416645D9"/>
    <w:rsid w:val="41765224"/>
    <w:rsid w:val="41790595"/>
    <w:rsid w:val="41827D15"/>
    <w:rsid w:val="41962FC4"/>
    <w:rsid w:val="41A84F13"/>
    <w:rsid w:val="41B810BD"/>
    <w:rsid w:val="41BC492B"/>
    <w:rsid w:val="41FB7F1B"/>
    <w:rsid w:val="42087906"/>
    <w:rsid w:val="420B6D41"/>
    <w:rsid w:val="4229687C"/>
    <w:rsid w:val="424E1964"/>
    <w:rsid w:val="42887029"/>
    <w:rsid w:val="429A6A15"/>
    <w:rsid w:val="42AC3A3A"/>
    <w:rsid w:val="42AD419D"/>
    <w:rsid w:val="42B70F03"/>
    <w:rsid w:val="42CD0B98"/>
    <w:rsid w:val="42DD3AB9"/>
    <w:rsid w:val="42F57A6A"/>
    <w:rsid w:val="431525BD"/>
    <w:rsid w:val="43317379"/>
    <w:rsid w:val="43494082"/>
    <w:rsid w:val="437A6A42"/>
    <w:rsid w:val="438C2D35"/>
    <w:rsid w:val="439534B9"/>
    <w:rsid w:val="43957638"/>
    <w:rsid w:val="44063E32"/>
    <w:rsid w:val="441122B4"/>
    <w:rsid w:val="441D78FE"/>
    <w:rsid w:val="4439440E"/>
    <w:rsid w:val="44524995"/>
    <w:rsid w:val="445B0148"/>
    <w:rsid w:val="446931AC"/>
    <w:rsid w:val="447F2366"/>
    <w:rsid w:val="44A21BB1"/>
    <w:rsid w:val="44A75419"/>
    <w:rsid w:val="44A80D9D"/>
    <w:rsid w:val="44A973E3"/>
    <w:rsid w:val="44DA6974"/>
    <w:rsid w:val="450F4A4B"/>
    <w:rsid w:val="452C68CE"/>
    <w:rsid w:val="45416628"/>
    <w:rsid w:val="45521829"/>
    <w:rsid w:val="45572253"/>
    <w:rsid w:val="45592BB7"/>
    <w:rsid w:val="456B2958"/>
    <w:rsid w:val="4586581D"/>
    <w:rsid w:val="45CA2D97"/>
    <w:rsid w:val="45D24718"/>
    <w:rsid w:val="4603066A"/>
    <w:rsid w:val="46087AA4"/>
    <w:rsid w:val="461A0599"/>
    <w:rsid w:val="46503FBA"/>
    <w:rsid w:val="46524477"/>
    <w:rsid w:val="465854C9"/>
    <w:rsid w:val="465F41FD"/>
    <w:rsid w:val="469D363E"/>
    <w:rsid w:val="46B94BBA"/>
    <w:rsid w:val="46C95B1B"/>
    <w:rsid w:val="46E12E64"/>
    <w:rsid w:val="46E75FA1"/>
    <w:rsid w:val="47072496"/>
    <w:rsid w:val="470B7648"/>
    <w:rsid w:val="470F5D4E"/>
    <w:rsid w:val="471A1ED2"/>
    <w:rsid w:val="471F398D"/>
    <w:rsid w:val="4725528A"/>
    <w:rsid w:val="472D3BDD"/>
    <w:rsid w:val="47453A8F"/>
    <w:rsid w:val="47460F19"/>
    <w:rsid w:val="477E798F"/>
    <w:rsid w:val="479666D5"/>
    <w:rsid w:val="47AF25E8"/>
    <w:rsid w:val="47CA38F8"/>
    <w:rsid w:val="47ED3CCD"/>
    <w:rsid w:val="47FA06E5"/>
    <w:rsid w:val="47FC3091"/>
    <w:rsid w:val="480534AF"/>
    <w:rsid w:val="48164D90"/>
    <w:rsid w:val="4840005F"/>
    <w:rsid w:val="48550E49"/>
    <w:rsid w:val="487D096B"/>
    <w:rsid w:val="487E515D"/>
    <w:rsid w:val="48AB197C"/>
    <w:rsid w:val="48BB6798"/>
    <w:rsid w:val="48CC5345"/>
    <w:rsid w:val="48F923DD"/>
    <w:rsid w:val="49062186"/>
    <w:rsid w:val="49146D80"/>
    <w:rsid w:val="4916491B"/>
    <w:rsid w:val="49182D28"/>
    <w:rsid w:val="49352F56"/>
    <w:rsid w:val="494A53F2"/>
    <w:rsid w:val="496B4C67"/>
    <w:rsid w:val="49BF718C"/>
    <w:rsid w:val="49C273D2"/>
    <w:rsid w:val="49D15BEE"/>
    <w:rsid w:val="49E55A72"/>
    <w:rsid w:val="49F44C34"/>
    <w:rsid w:val="4A0B0B6D"/>
    <w:rsid w:val="4A112B40"/>
    <w:rsid w:val="4A3072E3"/>
    <w:rsid w:val="4A34774F"/>
    <w:rsid w:val="4A440E6D"/>
    <w:rsid w:val="4A814DEF"/>
    <w:rsid w:val="4A9E3DCA"/>
    <w:rsid w:val="4AB63EA1"/>
    <w:rsid w:val="4AC7411F"/>
    <w:rsid w:val="4B0144FF"/>
    <w:rsid w:val="4B182BCD"/>
    <w:rsid w:val="4B5B76B8"/>
    <w:rsid w:val="4B836726"/>
    <w:rsid w:val="4B8B7991"/>
    <w:rsid w:val="4B9C55AC"/>
    <w:rsid w:val="4BA206E8"/>
    <w:rsid w:val="4BA56BB1"/>
    <w:rsid w:val="4BAD7E9E"/>
    <w:rsid w:val="4BD25D21"/>
    <w:rsid w:val="4BEA4569"/>
    <w:rsid w:val="4BFA7163"/>
    <w:rsid w:val="4C107D48"/>
    <w:rsid w:val="4C1D5048"/>
    <w:rsid w:val="4C215AB1"/>
    <w:rsid w:val="4C28494E"/>
    <w:rsid w:val="4C2B3B59"/>
    <w:rsid w:val="4C5D71E0"/>
    <w:rsid w:val="4C6B5820"/>
    <w:rsid w:val="4C6F0F12"/>
    <w:rsid w:val="4C7B73CA"/>
    <w:rsid w:val="4C8D1398"/>
    <w:rsid w:val="4CB84667"/>
    <w:rsid w:val="4CD945DE"/>
    <w:rsid w:val="4CDD70E0"/>
    <w:rsid w:val="4CF21EE0"/>
    <w:rsid w:val="4CFF22B6"/>
    <w:rsid w:val="4D0673AC"/>
    <w:rsid w:val="4D090380"/>
    <w:rsid w:val="4D2910C1"/>
    <w:rsid w:val="4D44414D"/>
    <w:rsid w:val="4D683313"/>
    <w:rsid w:val="4D6F03FB"/>
    <w:rsid w:val="4D8C73EB"/>
    <w:rsid w:val="4D8E614E"/>
    <w:rsid w:val="4DB16804"/>
    <w:rsid w:val="4DB31E94"/>
    <w:rsid w:val="4DCA28A4"/>
    <w:rsid w:val="4DDA2295"/>
    <w:rsid w:val="4DDE00FE"/>
    <w:rsid w:val="4DFF063E"/>
    <w:rsid w:val="4E01203E"/>
    <w:rsid w:val="4E0F6997"/>
    <w:rsid w:val="4E444416"/>
    <w:rsid w:val="4E52289A"/>
    <w:rsid w:val="4E6D31DA"/>
    <w:rsid w:val="4E80031D"/>
    <w:rsid w:val="4E854A1D"/>
    <w:rsid w:val="4E855F30"/>
    <w:rsid w:val="4EA07161"/>
    <w:rsid w:val="4EAC15B1"/>
    <w:rsid w:val="4EBC0F48"/>
    <w:rsid w:val="4EC44D7B"/>
    <w:rsid w:val="4EDF3AAF"/>
    <w:rsid w:val="4EE73F7A"/>
    <w:rsid w:val="4EFC5CCA"/>
    <w:rsid w:val="4F0903A9"/>
    <w:rsid w:val="4F23768C"/>
    <w:rsid w:val="4F242555"/>
    <w:rsid w:val="4F311B45"/>
    <w:rsid w:val="4F4444F1"/>
    <w:rsid w:val="4F5B577E"/>
    <w:rsid w:val="4F6A7558"/>
    <w:rsid w:val="4F7C7A8C"/>
    <w:rsid w:val="4F7F3DFA"/>
    <w:rsid w:val="4F93316A"/>
    <w:rsid w:val="4F946B56"/>
    <w:rsid w:val="4F952A3E"/>
    <w:rsid w:val="4FB1539E"/>
    <w:rsid w:val="4FB54E8E"/>
    <w:rsid w:val="4FBD3D43"/>
    <w:rsid w:val="4FD03A76"/>
    <w:rsid w:val="4FE15C83"/>
    <w:rsid w:val="4FE45773"/>
    <w:rsid w:val="4FE94AB8"/>
    <w:rsid w:val="50013FD8"/>
    <w:rsid w:val="500E276F"/>
    <w:rsid w:val="503F05B1"/>
    <w:rsid w:val="5040775D"/>
    <w:rsid w:val="504273BB"/>
    <w:rsid w:val="504C5972"/>
    <w:rsid w:val="504D50C7"/>
    <w:rsid w:val="5074796C"/>
    <w:rsid w:val="50827466"/>
    <w:rsid w:val="50841B1F"/>
    <w:rsid w:val="50976109"/>
    <w:rsid w:val="50AB011C"/>
    <w:rsid w:val="50B61EFB"/>
    <w:rsid w:val="50B9287D"/>
    <w:rsid w:val="50B96D3A"/>
    <w:rsid w:val="5119144D"/>
    <w:rsid w:val="513C2171"/>
    <w:rsid w:val="513F6888"/>
    <w:rsid w:val="514B1790"/>
    <w:rsid w:val="514F01E1"/>
    <w:rsid w:val="514F0B06"/>
    <w:rsid w:val="516C77CE"/>
    <w:rsid w:val="517A3CF4"/>
    <w:rsid w:val="517C5E3E"/>
    <w:rsid w:val="5180327A"/>
    <w:rsid w:val="518907DB"/>
    <w:rsid w:val="5191613E"/>
    <w:rsid w:val="51A76A58"/>
    <w:rsid w:val="51C452E5"/>
    <w:rsid w:val="51CF0055"/>
    <w:rsid w:val="51CF1221"/>
    <w:rsid w:val="51E51AE5"/>
    <w:rsid w:val="51F04F4A"/>
    <w:rsid w:val="51FC240F"/>
    <w:rsid w:val="5225614D"/>
    <w:rsid w:val="52455DAC"/>
    <w:rsid w:val="525C5A95"/>
    <w:rsid w:val="525F10E1"/>
    <w:rsid w:val="52671C33"/>
    <w:rsid w:val="52750C77"/>
    <w:rsid w:val="5296030C"/>
    <w:rsid w:val="52AE78B9"/>
    <w:rsid w:val="52EB79AB"/>
    <w:rsid w:val="52F201A7"/>
    <w:rsid w:val="52F91536"/>
    <w:rsid w:val="52F9420E"/>
    <w:rsid w:val="533C1422"/>
    <w:rsid w:val="535350EA"/>
    <w:rsid w:val="536270DB"/>
    <w:rsid w:val="5381642B"/>
    <w:rsid w:val="538C23AA"/>
    <w:rsid w:val="539C677A"/>
    <w:rsid w:val="53B866C0"/>
    <w:rsid w:val="53B90521"/>
    <w:rsid w:val="53C549D3"/>
    <w:rsid w:val="53D0673A"/>
    <w:rsid w:val="53DE7679"/>
    <w:rsid w:val="53FD5056"/>
    <w:rsid w:val="53FD6E9A"/>
    <w:rsid w:val="54102DC5"/>
    <w:rsid w:val="54165D94"/>
    <w:rsid w:val="54336627"/>
    <w:rsid w:val="544232BE"/>
    <w:rsid w:val="54476B8C"/>
    <w:rsid w:val="544F7757"/>
    <w:rsid w:val="54562F47"/>
    <w:rsid w:val="5479602E"/>
    <w:rsid w:val="548A6041"/>
    <w:rsid w:val="548B70B6"/>
    <w:rsid w:val="54901A26"/>
    <w:rsid w:val="54B15016"/>
    <w:rsid w:val="54B15E53"/>
    <w:rsid w:val="54C5062E"/>
    <w:rsid w:val="54D53D30"/>
    <w:rsid w:val="54DA7145"/>
    <w:rsid w:val="54DC110F"/>
    <w:rsid w:val="54E22B90"/>
    <w:rsid w:val="54E611A9"/>
    <w:rsid w:val="5503345D"/>
    <w:rsid w:val="5555648E"/>
    <w:rsid w:val="555962BC"/>
    <w:rsid w:val="556436F4"/>
    <w:rsid w:val="556B57FF"/>
    <w:rsid w:val="557A6C6A"/>
    <w:rsid w:val="557C1FAA"/>
    <w:rsid w:val="55856E52"/>
    <w:rsid w:val="558E411C"/>
    <w:rsid w:val="559D337F"/>
    <w:rsid w:val="55D10548"/>
    <w:rsid w:val="56045CA6"/>
    <w:rsid w:val="56384123"/>
    <w:rsid w:val="564B6950"/>
    <w:rsid w:val="5681375B"/>
    <w:rsid w:val="568D26C1"/>
    <w:rsid w:val="56986659"/>
    <w:rsid w:val="56A27888"/>
    <w:rsid w:val="56A33C92"/>
    <w:rsid w:val="56A51F17"/>
    <w:rsid w:val="56AD4B11"/>
    <w:rsid w:val="56FC33A3"/>
    <w:rsid w:val="570D1A54"/>
    <w:rsid w:val="57103A18"/>
    <w:rsid w:val="57183B71"/>
    <w:rsid w:val="57462870"/>
    <w:rsid w:val="574B00F5"/>
    <w:rsid w:val="575257A5"/>
    <w:rsid w:val="5771432A"/>
    <w:rsid w:val="579C4088"/>
    <w:rsid w:val="57B43C7D"/>
    <w:rsid w:val="57B74B58"/>
    <w:rsid w:val="57CE286F"/>
    <w:rsid w:val="57D165DD"/>
    <w:rsid w:val="57E63206"/>
    <w:rsid w:val="57FA36A6"/>
    <w:rsid w:val="57FD73D2"/>
    <w:rsid w:val="580544D9"/>
    <w:rsid w:val="580D330F"/>
    <w:rsid w:val="581F37ED"/>
    <w:rsid w:val="582C415B"/>
    <w:rsid w:val="583077A8"/>
    <w:rsid w:val="583E3C5F"/>
    <w:rsid w:val="58524939"/>
    <w:rsid w:val="58591997"/>
    <w:rsid w:val="58647037"/>
    <w:rsid w:val="589A7317"/>
    <w:rsid w:val="589D121E"/>
    <w:rsid w:val="58A152D9"/>
    <w:rsid w:val="58D8399B"/>
    <w:rsid w:val="59177F48"/>
    <w:rsid w:val="592866D1"/>
    <w:rsid w:val="592F3F03"/>
    <w:rsid w:val="596040BD"/>
    <w:rsid w:val="59794FE7"/>
    <w:rsid w:val="598633F7"/>
    <w:rsid w:val="59AD6BD6"/>
    <w:rsid w:val="59D0451D"/>
    <w:rsid w:val="59DB69B0"/>
    <w:rsid w:val="5A37271A"/>
    <w:rsid w:val="5A691E21"/>
    <w:rsid w:val="5A8E07B6"/>
    <w:rsid w:val="5A9870AD"/>
    <w:rsid w:val="5A992F99"/>
    <w:rsid w:val="5AAE0103"/>
    <w:rsid w:val="5AB757B2"/>
    <w:rsid w:val="5AB85193"/>
    <w:rsid w:val="5AB94067"/>
    <w:rsid w:val="5AE97FCB"/>
    <w:rsid w:val="5B022D15"/>
    <w:rsid w:val="5B0867BA"/>
    <w:rsid w:val="5B247EA7"/>
    <w:rsid w:val="5B263BBB"/>
    <w:rsid w:val="5B6248F3"/>
    <w:rsid w:val="5B6559BA"/>
    <w:rsid w:val="5B6D0D13"/>
    <w:rsid w:val="5B8F774E"/>
    <w:rsid w:val="5BAC183B"/>
    <w:rsid w:val="5BF14209"/>
    <w:rsid w:val="5C0F5926"/>
    <w:rsid w:val="5C253E3D"/>
    <w:rsid w:val="5C291ECB"/>
    <w:rsid w:val="5C467452"/>
    <w:rsid w:val="5C50666A"/>
    <w:rsid w:val="5C753960"/>
    <w:rsid w:val="5C7B28DE"/>
    <w:rsid w:val="5C7E6AB7"/>
    <w:rsid w:val="5C8D5A90"/>
    <w:rsid w:val="5CAC0FA1"/>
    <w:rsid w:val="5CAC586B"/>
    <w:rsid w:val="5CB24F3D"/>
    <w:rsid w:val="5CD31049"/>
    <w:rsid w:val="5CDF354A"/>
    <w:rsid w:val="5CE212E7"/>
    <w:rsid w:val="5D6A35D0"/>
    <w:rsid w:val="5D7731B7"/>
    <w:rsid w:val="5D952CEB"/>
    <w:rsid w:val="5DB833BB"/>
    <w:rsid w:val="5DB91AB2"/>
    <w:rsid w:val="5DFC14FB"/>
    <w:rsid w:val="5E267CFF"/>
    <w:rsid w:val="5E336359"/>
    <w:rsid w:val="5E652175"/>
    <w:rsid w:val="5EB71319"/>
    <w:rsid w:val="5EC479D0"/>
    <w:rsid w:val="5ECA6F8E"/>
    <w:rsid w:val="5EDE7DA8"/>
    <w:rsid w:val="5EE777C4"/>
    <w:rsid w:val="5EEE3F19"/>
    <w:rsid w:val="5EFD5F0A"/>
    <w:rsid w:val="5F1C0B30"/>
    <w:rsid w:val="5F2711D9"/>
    <w:rsid w:val="5F2B2A77"/>
    <w:rsid w:val="5F3003BD"/>
    <w:rsid w:val="5F356E87"/>
    <w:rsid w:val="5FAF4401"/>
    <w:rsid w:val="5FB70C17"/>
    <w:rsid w:val="5FF1267B"/>
    <w:rsid w:val="5FF90DC7"/>
    <w:rsid w:val="601B3FE0"/>
    <w:rsid w:val="602A2D2E"/>
    <w:rsid w:val="602A71D2"/>
    <w:rsid w:val="60397415"/>
    <w:rsid w:val="60595FDE"/>
    <w:rsid w:val="60720B77"/>
    <w:rsid w:val="6075270A"/>
    <w:rsid w:val="60762289"/>
    <w:rsid w:val="60841098"/>
    <w:rsid w:val="608D7975"/>
    <w:rsid w:val="60911000"/>
    <w:rsid w:val="60A15829"/>
    <w:rsid w:val="60A20F8F"/>
    <w:rsid w:val="60A62E6E"/>
    <w:rsid w:val="60A66B07"/>
    <w:rsid w:val="60B42F40"/>
    <w:rsid w:val="60B62CA5"/>
    <w:rsid w:val="60BB1361"/>
    <w:rsid w:val="60C51CAB"/>
    <w:rsid w:val="60D64C64"/>
    <w:rsid w:val="60E61215"/>
    <w:rsid w:val="60E72519"/>
    <w:rsid w:val="611B04DE"/>
    <w:rsid w:val="618D7A19"/>
    <w:rsid w:val="61D35CA3"/>
    <w:rsid w:val="61D65F44"/>
    <w:rsid w:val="620E37A7"/>
    <w:rsid w:val="623C331A"/>
    <w:rsid w:val="62403D31"/>
    <w:rsid w:val="62643CF8"/>
    <w:rsid w:val="62884421"/>
    <w:rsid w:val="6290279A"/>
    <w:rsid w:val="62997921"/>
    <w:rsid w:val="62A53D5B"/>
    <w:rsid w:val="62B611F1"/>
    <w:rsid w:val="62B92EE2"/>
    <w:rsid w:val="62E75EA4"/>
    <w:rsid w:val="630D4BD5"/>
    <w:rsid w:val="634872C2"/>
    <w:rsid w:val="63A64E99"/>
    <w:rsid w:val="63A96660"/>
    <w:rsid w:val="63C45248"/>
    <w:rsid w:val="63C63383"/>
    <w:rsid w:val="63D27965"/>
    <w:rsid w:val="63D6255C"/>
    <w:rsid w:val="63E262C8"/>
    <w:rsid w:val="63E72456"/>
    <w:rsid w:val="64004D92"/>
    <w:rsid w:val="64153CF6"/>
    <w:rsid w:val="641859F7"/>
    <w:rsid w:val="643540FE"/>
    <w:rsid w:val="643C5726"/>
    <w:rsid w:val="64436CA9"/>
    <w:rsid w:val="6461518D"/>
    <w:rsid w:val="64713622"/>
    <w:rsid w:val="648D7A54"/>
    <w:rsid w:val="64956FFA"/>
    <w:rsid w:val="64AA76E1"/>
    <w:rsid w:val="64C25130"/>
    <w:rsid w:val="64D92F75"/>
    <w:rsid w:val="64F331A6"/>
    <w:rsid w:val="650C2D20"/>
    <w:rsid w:val="650D4D67"/>
    <w:rsid w:val="652D633A"/>
    <w:rsid w:val="652E281C"/>
    <w:rsid w:val="65325AEB"/>
    <w:rsid w:val="65330AF4"/>
    <w:rsid w:val="65493C57"/>
    <w:rsid w:val="655512DA"/>
    <w:rsid w:val="655A4FBD"/>
    <w:rsid w:val="65712A8C"/>
    <w:rsid w:val="658E71CA"/>
    <w:rsid w:val="65906EE7"/>
    <w:rsid w:val="65A6554D"/>
    <w:rsid w:val="65C215F7"/>
    <w:rsid w:val="65C71020"/>
    <w:rsid w:val="65E41BD1"/>
    <w:rsid w:val="66026D9A"/>
    <w:rsid w:val="660D550E"/>
    <w:rsid w:val="66116AFD"/>
    <w:rsid w:val="662841B4"/>
    <w:rsid w:val="662E2919"/>
    <w:rsid w:val="66464C58"/>
    <w:rsid w:val="668533B4"/>
    <w:rsid w:val="66A55805"/>
    <w:rsid w:val="66DB4D83"/>
    <w:rsid w:val="66FB2F87"/>
    <w:rsid w:val="67101492"/>
    <w:rsid w:val="67177D85"/>
    <w:rsid w:val="671845FF"/>
    <w:rsid w:val="671B5AC7"/>
    <w:rsid w:val="67257618"/>
    <w:rsid w:val="672908D6"/>
    <w:rsid w:val="6740552D"/>
    <w:rsid w:val="674E37D0"/>
    <w:rsid w:val="67506B86"/>
    <w:rsid w:val="675C3D15"/>
    <w:rsid w:val="67707E98"/>
    <w:rsid w:val="6773320D"/>
    <w:rsid w:val="67754078"/>
    <w:rsid w:val="679F2A6D"/>
    <w:rsid w:val="67B25FF2"/>
    <w:rsid w:val="67D45F35"/>
    <w:rsid w:val="67FB3A20"/>
    <w:rsid w:val="680369A8"/>
    <w:rsid w:val="681779BF"/>
    <w:rsid w:val="683F7593"/>
    <w:rsid w:val="685C5969"/>
    <w:rsid w:val="686D4100"/>
    <w:rsid w:val="688B4586"/>
    <w:rsid w:val="688C7BEB"/>
    <w:rsid w:val="68986FBA"/>
    <w:rsid w:val="68991171"/>
    <w:rsid w:val="68DC51DE"/>
    <w:rsid w:val="68EC3582"/>
    <w:rsid w:val="68FF2545"/>
    <w:rsid w:val="6904091F"/>
    <w:rsid w:val="690757FD"/>
    <w:rsid w:val="691907B3"/>
    <w:rsid w:val="69195C4A"/>
    <w:rsid w:val="692C6664"/>
    <w:rsid w:val="692F7608"/>
    <w:rsid w:val="694A7D99"/>
    <w:rsid w:val="69594684"/>
    <w:rsid w:val="695A7E42"/>
    <w:rsid w:val="69644D1D"/>
    <w:rsid w:val="69790883"/>
    <w:rsid w:val="698D6EBE"/>
    <w:rsid w:val="69943A6E"/>
    <w:rsid w:val="6995626D"/>
    <w:rsid w:val="699B12FA"/>
    <w:rsid w:val="69A55B1C"/>
    <w:rsid w:val="69AB7D3C"/>
    <w:rsid w:val="69AD2CCF"/>
    <w:rsid w:val="69BC72BD"/>
    <w:rsid w:val="69F36887"/>
    <w:rsid w:val="69F83E9D"/>
    <w:rsid w:val="69F93F58"/>
    <w:rsid w:val="6A090D15"/>
    <w:rsid w:val="6A1516F9"/>
    <w:rsid w:val="6A266C5C"/>
    <w:rsid w:val="6A3D3FA6"/>
    <w:rsid w:val="6A441AB9"/>
    <w:rsid w:val="6A446B7B"/>
    <w:rsid w:val="6A5D4E77"/>
    <w:rsid w:val="6A681023"/>
    <w:rsid w:val="6A9637CE"/>
    <w:rsid w:val="6A9E05E4"/>
    <w:rsid w:val="6AAE78FF"/>
    <w:rsid w:val="6ABF5CE5"/>
    <w:rsid w:val="6AC90ED7"/>
    <w:rsid w:val="6AD47CA9"/>
    <w:rsid w:val="6B217424"/>
    <w:rsid w:val="6B264C63"/>
    <w:rsid w:val="6B517D09"/>
    <w:rsid w:val="6B5B0B88"/>
    <w:rsid w:val="6B5F65ED"/>
    <w:rsid w:val="6B6C2E6F"/>
    <w:rsid w:val="6B700FC3"/>
    <w:rsid w:val="6B906D6C"/>
    <w:rsid w:val="6B911907"/>
    <w:rsid w:val="6B9D4CFC"/>
    <w:rsid w:val="6BD61FBC"/>
    <w:rsid w:val="6BED7D19"/>
    <w:rsid w:val="6C0A5498"/>
    <w:rsid w:val="6C0E769F"/>
    <w:rsid w:val="6C1A0813"/>
    <w:rsid w:val="6C225202"/>
    <w:rsid w:val="6C364E4A"/>
    <w:rsid w:val="6C3D028D"/>
    <w:rsid w:val="6C49059D"/>
    <w:rsid w:val="6C5F11D5"/>
    <w:rsid w:val="6C690506"/>
    <w:rsid w:val="6C7C7008"/>
    <w:rsid w:val="6C7F1B81"/>
    <w:rsid w:val="6C870A40"/>
    <w:rsid w:val="6C953C26"/>
    <w:rsid w:val="6CA16A6E"/>
    <w:rsid w:val="6CB6151D"/>
    <w:rsid w:val="6CBB5A72"/>
    <w:rsid w:val="6CCA0197"/>
    <w:rsid w:val="6CDC1854"/>
    <w:rsid w:val="6CEB380E"/>
    <w:rsid w:val="6CF03552"/>
    <w:rsid w:val="6CFA617E"/>
    <w:rsid w:val="6D260ECD"/>
    <w:rsid w:val="6D417909"/>
    <w:rsid w:val="6D520A39"/>
    <w:rsid w:val="6D7221B9"/>
    <w:rsid w:val="6D794FDE"/>
    <w:rsid w:val="6D796781"/>
    <w:rsid w:val="6D7B5A1B"/>
    <w:rsid w:val="6D91263F"/>
    <w:rsid w:val="6D9A22F9"/>
    <w:rsid w:val="6DAE4132"/>
    <w:rsid w:val="6DB36353"/>
    <w:rsid w:val="6DD24A05"/>
    <w:rsid w:val="6DF17C7C"/>
    <w:rsid w:val="6DF8446C"/>
    <w:rsid w:val="6E001F1B"/>
    <w:rsid w:val="6E041B02"/>
    <w:rsid w:val="6E13574A"/>
    <w:rsid w:val="6E1F7C4B"/>
    <w:rsid w:val="6E232EED"/>
    <w:rsid w:val="6E296D1B"/>
    <w:rsid w:val="6E2A4E9B"/>
    <w:rsid w:val="6E3851B0"/>
    <w:rsid w:val="6E4037A1"/>
    <w:rsid w:val="6E5400DA"/>
    <w:rsid w:val="6E6F6D9D"/>
    <w:rsid w:val="6E884432"/>
    <w:rsid w:val="6E8B4955"/>
    <w:rsid w:val="6EC407F2"/>
    <w:rsid w:val="6EE1695B"/>
    <w:rsid w:val="6EE862ED"/>
    <w:rsid w:val="6F0678E6"/>
    <w:rsid w:val="6F1A3327"/>
    <w:rsid w:val="6F1D3589"/>
    <w:rsid w:val="6F212166"/>
    <w:rsid w:val="6F2F79BF"/>
    <w:rsid w:val="6F3516F0"/>
    <w:rsid w:val="6F451933"/>
    <w:rsid w:val="6F500DA7"/>
    <w:rsid w:val="6F6820E9"/>
    <w:rsid w:val="6F6F69B0"/>
    <w:rsid w:val="6F7063D3"/>
    <w:rsid w:val="6FC13E8A"/>
    <w:rsid w:val="6FC47A36"/>
    <w:rsid w:val="6FD73ED6"/>
    <w:rsid w:val="6FE86198"/>
    <w:rsid w:val="6FF625F3"/>
    <w:rsid w:val="6FF96FFF"/>
    <w:rsid w:val="6FFD692C"/>
    <w:rsid w:val="700A59DA"/>
    <w:rsid w:val="701E76F2"/>
    <w:rsid w:val="707470BA"/>
    <w:rsid w:val="709366CE"/>
    <w:rsid w:val="70A4572A"/>
    <w:rsid w:val="70B054D2"/>
    <w:rsid w:val="70C64E68"/>
    <w:rsid w:val="70C75AA2"/>
    <w:rsid w:val="71065FA1"/>
    <w:rsid w:val="714E088A"/>
    <w:rsid w:val="71512CD6"/>
    <w:rsid w:val="71540487"/>
    <w:rsid w:val="719170B1"/>
    <w:rsid w:val="71A55F82"/>
    <w:rsid w:val="71D97BCC"/>
    <w:rsid w:val="71E002A1"/>
    <w:rsid w:val="71E16B1A"/>
    <w:rsid w:val="71E85505"/>
    <w:rsid w:val="71F2790F"/>
    <w:rsid w:val="71FA5AA8"/>
    <w:rsid w:val="721D47FD"/>
    <w:rsid w:val="7228600A"/>
    <w:rsid w:val="723004CB"/>
    <w:rsid w:val="72361A07"/>
    <w:rsid w:val="724265FE"/>
    <w:rsid w:val="72612BEE"/>
    <w:rsid w:val="72656FEF"/>
    <w:rsid w:val="72663166"/>
    <w:rsid w:val="727120BB"/>
    <w:rsid w:val="72736258"/>
    <w:rsid w:val="72B7183E"/>
    <w:rsid w:val="72C82C96"/>
    <w:rsid w:val="7306762B"/>
    <w:rsid w:val="730715B1"/>
    <w:rsid w:val="73182104"/>
    <w:rsid w:val="731C3D8A"/>
    <w:rsid w:val="733028FA"/>
    <w:rsid w:val="734F0FD2"/>
    <w:rsid w:val="73590E8E"/>
    <w:rsid w:val="735C2D56"/>
    <w:rsid w:val="735E0EEA"/>
    <w:rsid w:val="73686025"/>
    <w:rsid w:val="737237B7"/>
    <w:rsid w:val="737B3536"/>
    <w:rsid w:val="73CB2590"/>
    <w:rsid w:val="73CF62B0"/>
    <w:rsid w:val="73EF6311"/>
    <w:rsid w:val="741F55E9"/>
    <w:rsid w:val="7430558A"/>
    <w:rsid w:val="743957DE"/>
    <w:rsid w:val="74534471"/>
    <w:rsid w:val="74534C97"/>
    <w:rsid w:val="74714F78"/>
    <w:rsid w:val="747944A5"/>
    <w:rsid w:val="7489592E"/>
    <w:rsid w:val="748A7DE8"/>
    <w:rsid w:val="74943E9C"/>
    <w:rsid w:val="74996569"/>
    <w:rsid w:val="74AA355A"/>
    <w:rsid w:val="74D41FAD"/>
    <w:rsid w:val="74D46DA4"/>
    <w:rsid w:val="74DA7262"/>
    <w:rsid w:val="74DF0134"/>
    <w:rsid w:val="74F61AF8"/>
    <w:rsid w:val="74FE57B1"/>
    <w:rsid w:val="75073D33"/>
    <w:rsid w:val="751360FC"/>
    <w:rsid w:val="75322AAC"/>
    <w:rsid w:val="75550E18"/>
    <w:rsid w:val="75932903"/>
    <w:rsid w:val="75A1147F"/>
    <w:rsid w:val="75C0179C"/>
    <w:rsid w:val="75D72A47"/>
    <w:rsid w:val="75D82C21"/>
    <w:rsid w:val="75F41B11"/>
    <w:rsid w:val="75FF52F1"/>
    <w:rsid w:val="76154E2E"/>
    <w:rsid w:val="761756AB"/>
    <w:rsid w:val="761A519B"/>
    <w:rsid w:val="761E721E"/>
    <w:rsid w:val="76465329"/>
    <w:rsid w:val="76544062"/>
    <w:rsid w:val="76570C13"/>
    <w:rsid w:val="765A05BC"/>
    <w:rsid w:val="766B1420"/>
    <w:rsid w:val="767B6650"/>
    <w:rsid w:val="767C19B2"/>
    <w:rsid w:val="7682521B"/>
    <w:rsid w:val="7687395B"/>
    <w:rsid w:val="76982C90"/>
    <w:rsid w:val="769C6C9B"/>
    <w:rsid w:val="76A05667"/>
    <w:rsid w:val="76B85266"/>
    <w:rsid w:val="76BC129C"/>
    <w:rsid w:val="76CD220E"/>
    <w:rsid w:val="76CE596E"/>
    <w:rsid w:val="76EF03D6"/>
    <w:rsid w:val="77125C98"/>
    <w:rsid w:val="77147E3D"/>
    <w:rsid w:val="771C3B09"/>
    <w:rsid w:val="773504DF"/>
    <w:rsid w:val="773618B1"/>
    <w:rsid w:val="773A127C"/>
    <w:rsid w:val="773C186D"/>
    <w:rsid w:val="775407D3"/>
    <w:rsid w:val="777A05E8"/>
    <w:rsid w:val="777C2A8C"/>
    <w:rsid w:val="777F5BFE"/>
    <w:rsid w:val="779B2966"/>
    <w:rsid w:val="77CC1E42"/>
    <w:rsid w:val="77D20625"/>
    <w:rsid w:val="77EC012E"/>
    <w:rsid w:val="781A42C2"/>
    <w:rsid w:val="786170B2"/>
    <w:rsid w:val="78660A70"/>
    <w:rsid w:val="786A6C97"/>
    <w:rsid w:val="7879243F"/>
    <w:rsid w:val="78801C2E"/>
    <w:rsid w:val="78A85DD1"/>
    <w:rsid w:val="78DB50B6"/>
    <w:rsid w:val="78EA00BA"/>
    <w:rsid w:val="78F41CD4"/>
    <w:rsid w:val="78F41D35"/>
    <w:rsid w:val="78F7531E"/>
    <w:rsid w:val="78F968DF"/>
    <w:rsid w:val="79020163"/>
    <w:rsid w:val="79036A22"/>
    <w:rsid w:val="79305402"/>
    <w:rsid w:val="79330A4E"/>
    <w:rsid w:val="79346328"/>
    <w:rsid w:val="794669D3"/>
    <w:rsid w:val="79612EFA"/>
    <w:rsid w:val="796C7119"/>
    <w:rsid w:val="79870BE5"/>
    <w:rsid w:val="7988601A"/>
    <w:rsid w:val="798E2128"/>
    <w:rsid w:val="79905EA0"/>
    <w:rsid w:val="79980C4A"/>
    <w:rsid w:val="799A6EF2"/>
    <w:rsid w:val="79AC25AE"/>
    <w:rsid w:val="79B7342D"/>
    <w:rsid w:val="79BA4CCB"/>
    <w:rsid w:val="79C925D4"/>
    <w:rsid w:val="79D04B8F"/>
    <w:rsid w:val="79D51B05"/>
    <w:rsid w:val="79F30CC9"/>
    <w:rsid w:val="7A6D4434"/>
    <w:rsid w:val="7A807CC3"/>
    <w:rsid w:val="7A843E4B"/>
    <w:rsid w:val="7A886C59"/>
    <w:rsid w:val="7A9419C0"/>
    <w:rsid w:val="7AB90383"/>
    <w:rsid w:val="7AC301C8"/>
    <w:rsid w:val="7AD10ECD"/>
    <w:rsid w:val="7ADF662A"/>
    <w:rsid w:val="7AFD57B8"/>
    <w:rsid w:val="7B0A398E"/>
    <w:rsid w:val="7B0F1047"/>
    <w:rsid w:val="7B2438C9"/>
    <w:rsid w:val="7B2F25DE"/>
    <w:rsid w:val="7B580C40"/>
    <w:rsid w:val="7B7C76A7"/>
    <w:rsid w:val="7B992269"/>
    <w:rsid w:val="7BA2010D"/>
    <w:rsid w:val="7BA553F9"/>
    <w:rsid w:val="7BC13290"/>
    <w:rsid w:val="7BC736D0"/>
    <w:rsid w:val="7BD7073C"/>
    <w:rsid w:val="7BF62A6B"/>
    <w:rsid w:val="7C0E52B5"/>
    <w:rsid w:val="7C42194F"/>
    <w:rsid w:val="7C5F1B5A"/>
    <w:rsid w:val="7C6A2D3F"/>
    <w:rsid w:val="7C924679"/>
    <w:rsid w:val="7CBA3C1C"/>
    <w:rsid w:val="7CE51182"/>
    <w:rsid w:val="7CEB38F0"/>
    <w:rsid w:val="7CFD4BCC"/>
    <w:rsid w:val="7D034183"/>
    <w:rsid w:val="7D065865"/>
    <w:rsid w:val="7D231D04"/>
    <w:rsid w:val="7D3E309D"/>
    <w:rsid w:val="7D4868B1"/>
    <w:rsid w:val="7D625DA6"/>
    <w:rsid w:val="7D63567A"/>
    <w:rsid w:val="7D69294D"/>
    <w:rsid w:val="7D9A0179"/>
    <w:rsid w:val="7DA71A0B"/>
    <w:rsid w:val="7DD520D4"/>
    <w:rsid w:val="7E0230E5"/>
    <w:rsid w:val="7E2120FB"/>
    <w:rsid w:val="7E331719"/>
    <w:rsid w:val="7E3A462D"/>
    <w:rsid w:val="7E4E0472"/>
    <w:rsid w:val="7E58023B"/>
    <w:rsid w:val="7E603103"/>
    <w:rsid w:val="7E6250F7"/>
    <w:rsid w:val="7E6B0C8A"/>
    <w:rsid w:val="7E743A52"/>
    <w:rsid w:val="7E74673E"/>
    <w:rsid w:val="7E83691D"/>
    <w:rsid w:val="7EA451CB"/>
    <w:rsid w:val="7EF929CF"/>
    <w:rsid w:val="7F17496E"/>
    <w:rsid w:val="7F4A4868"/>
    <w:rsid w:val="7F72726E"/>
    <w:rsid w:val="7F965AE8"/>
    <w:rsid w:val="7FA04963"/>
    <w:rsid w:val="7FA44454"/>
    <w:rsid w:val="7FA93818"/>
    <w:rsid w:val="7FAA7590"/>
    <w:rsid w:val="7FBC15F0"/>
    <w:rsid w:val="7FC543EE"/>
    <w:rsid w:val="7FE231CE"/>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5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68"/>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55"/>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8">
    <w:name w:val="heading 7"/>
    <w:basedOn w:val="1"/>
    <w:next w:val="1"/>
    <w:link w:val="56"/>
    <w:qFormat/>
    <w:uiPriority w:val="0"/>
    <w:pPr>
      <w:keepNext/>
      <w:keepLines/>
      <w:tabs>
        <w:tab w:val="left" w:pos="1296"/>
      </w:tabs>
      <w:spacing w:before="240" w:after="64" w:line="317" w:lineRule="auto"/>
      <w:ind w:left="1296" w:hanging="1296"/>
      <w:outlineLvl w:val="6"/>
    </w:pPr>
    <w:rPr>
      <w:b/>
      <w:sz w:val="24"/>
    </w:rPr>
  </w:style>
  <w:style w:type="paragraph" w:styleId="9">
    <w:name w:val="heading 8"/>
    <w:basedOn w:val="1"/>
    <w:next w:val="1"/>
    <w:link w:val="57"/>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link w:val="58"/>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4">
    <w:name w:val="Normal Indent"/>
    <w:basedOn w:val="1"/>
    <w:next w:val="1"/>
    <w:qFormat/>
    <w:uiPriority w:val="99"/>
    <w:pPr>
      <w:ind w:firstLine="420" w:firstLineChars="200"/>
    </w:pPr>
  </w:style>
  <w:style w:type="paragraph" w:styleId="15">
    <w:name w:val="caption"/>
    <w:basedOn w:val="1"/>
    <w:next w:val="1"/>
    <w:link w:val="69"/>
    <w:qFormat/>
    <w:uiPriority w:val="0"/>
    <w:pPr>
      <w:ind w:firstLine="6290" w:firstLineChars="2282"/>
    </w:pPr>
    <w:rPr>
      <w:b/>
      <w:bCs/>
      <w:color w:val="000080"/>
      <w:sz w:val="28"/>
    </w:rPr>
  </w:style>
  <w:style w:type="paragraph" w:styleId="1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annotation text"/>
    <w:basedOn w:val="1"/>
    <w:link w:val="61"/>
    <w:qFormat/>
    <w:uiPriority w:val="0"/>
    <w:pPr>
      <w:jc w:val="left"/>
    </w:pPr>
  </w:style>
  <w:style w:type="paragraph" w:styleId="18">
    <w:name w:val="List Bullet 3"/>
    <w:basedOn w:val="1"/>
    <w:qFormat/>
    <w:uiPriority w:val="0"/>
    <w:pPr>
      <w:tabs>
        <w:tab w:val="left" w:pos="775"/>
      </w:tabs>
      <w:spacing w:line="360" w:lineRule="auto"/>
      <w:ind w:left="775" w:hanging="360"/>
    </w:pPr>
    <w:rPr>
      <w:kern w:val="0"/>
    </w:rPr>
  </w:style>
  <w:style w:type="paragraph" w:styleId="19">
    <w:name w:val="Body Text"/>
    <w:basedOn w:val="1"/>
    <w:next w:val="20"/>
    <w:link w:val="64"/>
    <w:qFormat/>
    <w:uiPriority w:val="0"/>
    <w:pPr>
      <w:spacing w:line="360" w:lineRule="auto"/>
    </w:pPr>
  </w:style>
  <w:style w:type="paragraph" w:styleId="20">
    <w:name w:val="Body Text 2"/>
    <w:basedOn w:val="1"/>
    <w:qFormat/>
    <w:uiPriority w:val="99"/>
    <w:pPr>
      <w:adjustRightInd w:val="0"/>
      <w:snapToGrid w:val="0"/>
      <w:spacing w:line="480" w:lineRule="atLeast"/>
    </w:pPr>
    <w:rPr>
      <w:sz w:val="28"/>
      <w:szCs w:val="28"/>
    </w:rPr>
  </w:style>
  <w:style w:type="paragraph" w:styleId="21">
    <w:name w:val="Body Text Indent"/>
    <w:basedOn w:val="1"/>
    <w:link w:val="441"/>
    <w:qFormat/>
    <w:uiPriority w:val="0"/>
    <w:pPr>
      <w:spacing w:after="120"/>
      <w:ind w:left="420" w:leftChars="200"/>
    </w:pPr>
  </w:style>
  <w:style w:type="paragraph" w:styleId="22">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25">
    <w:name w:val="Plain Text"/>
    <w:basedOn w:val="1"/>
    <w:link w:val="432"/>
    <w:qFormat/>
    <w:uiPriority w:val="0"/>
    <w:pPr>
      <w:spacing w:line="305" w:lineRule="auto"/>
      <w:ind w:firstLine="420"/>
    </w:pPr>
    <w:rPr>
      <w:rFonts w:ascii="宋体" w:hAnsi="Courier New" w:cs="Courier New"/>
      <w:szCs w:val="21"/>
    </w:rPr>
  </w:style>
  <w:style w:type="paragraph" w:styleId="26">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27">
    <w:name w:val="toc 8"/>
    <w:basedOn w:val="1"/>
    <w:next w:val="1"/>
    <w:qFormat/>
    <w:uiPriority w:val="0"/>
    <w:pPr>
      <w:ind w:left="1470"/>
      <w:jc w:val="left"/>
    </w:pPr>
    <w:rPr>
      <w:sz w:val="18"/>
      <w:szCs w:val="18"/>
    </w:rPr>
  </w:style>
  <w:style w:type="paragraph" w:styleId="28">
    <w:name w:val="endnote text"/>
    <w:basedOn w:val="1"/>
    <w:link w:val="84"/>
    <w:qFormat/>
    <w:uiPriority w:val="0"/>
    <w:pPr>
      <w:snapToGrid w:val="0"/>
      <w:spacing w:line="500" w:lineRule="exact"/>
      <w:jc w:val="left"/>
    </w:pPr>
  </w:style>
  <w:style w:type="paragraph" w:styleId="29">
    <w:name w:val="footer"/>
    <w:basedOn w:val="1"/>
    <w:link w:val="85"/>
    <w:qFormat/>
    <w:uiPriority w:val="99"/>
    <w:pPr>
      <w:tabs>
        <w:tab w:val="center" w:pos="4153"/>
        <w:tab w:val="right" w:pos="8306"/>
      </w:tabs>
      <w:snapToGrid w:val="0"/>
      <w:jc w:val="left"/>
    </w:pPr>
    <w:rPr>
      <w:sz w:val="18"/>
      <w:szCs w:val="18"/>
    </w:rPr>
  </w:style>
  <w:style w:type="paragraph" w:styleId="3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32">
    <w:name w:val="toc 4"/>
    <w:basedOn w:val="1"/>
    <w:next w:val="1"/>
    <w:qFormat/>
    <w:uiPriority w:val="0"/>
    <w:pPr>
      <w:ind w:left="630"/>
      <w:jc w:val="left"/>
    </w:pPr>
    <w:rPr>
      <w:sz w:val="18"/>
      <w:szCs w:val="18"/>
    </w:rPr>
  </w:style>
  <w:style w:type="paragraph" w:styleId="33">
    <w:name w:val="footnote text"/>
    <w:basedOn w:val="1"/>
    <w:link w:val="89"/>
    <w:qFormat/>
    <w:uiPriority w:val="0"/>
    <w:pPr>
      <w:adjustRightInd w:val="0"/>
      <w:spacing w:line="312" w:lineRule="atLeast"/>
      <w:jc w:val="left"/>
      <w:textAlignment w:val="baseline"/>
    </w:pPr>
    <w:rPr>
      <w:sz w:val="18"/>
    </w:rPr>
  </w:style>
  <w:style w:type="paragraph" w:styleId="34">
    <w:name w:val="toc 6"/>
    <w:basedOn w:val="1"/>
    <w:next w:val="1"/>
    <w:qFormat/>
    <w:uiPriority w:val="0"/>
    <w:pPr>
      <w:ind w:left="1050"/>
      <w:jc w:val="left"/>
    </w:pPr>
    <w:rPr>
      <w:sz w:val="18"/>
      <w:szCs w:val="18"/>
    </w:rPr>
  </w:style>
  <w:style w:type="paragraph" w:styleId="35">
    <w:name w:val="toc 2"/>
    <w:basedOn w:val="1"/>
    <w:next w:val="1"/>
    <w:qFormat/>
    <w:uiPriority w:val="39"/>
    <w:pPr>
      <w:tabs>
        <w:tab w:val="right" w:leader="dot" w:pos="8778"/>
      </w:tabs>
      <w:ind w:left="23" w:leftChars="9" w:hanging="4" w:hangingChars="2"/>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Normal (Web)"/>
    <w:basedOn w:val="1"/>
    <w:qFormat/>
    <w:uiPriority w:val="0"/>
    <w:pPr>
      <w:spacing w:beforeAutospacing="1" w:afterAutospacing="1"/>
      <w:jc w:val="left"/>
    </w:pPr>
    <w:rPr>
      <w:kern w:val="0"/>
      <w:sz w:val="24"/>
    </w:rPr>
  </w:style>
  <w:style w:type="paragraph" w:styleId="38">
    <w:name w:val="Title"/>
    <w:basedOn w:val="1"/>
    <w:link w:val="98"/>
    <w:qFormat/>
    <w:uiPriority w:val="0"/>
    <w:pPr>
      <w:widowControl/>
      <w:spacing w:before="240" w:after="60"/>
      <w:jc w:val="center"/>
      <w:outlineLvl w:val="0"/>
    </w:pPr>
    <w:rPr>
      <w:rFonts w:ascii="Arial" w:hAnsi="Arial" w:eastAsia="楷体_GB2312"/>
      <w:b/>
      <w:sz w:val="32"/>
    </w:rPr>
  </w:style>
  <w:style w:type="paragraph" w:styleId="39">
    <w:name w:val="annotation subject"/>
    <w:basedOn w:val="17"/>
    <w:next w:val="17"/>
    <w:link w:val="423"/>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yperlink"/>
    <w:basedOn w:val="42"/>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标题 1 字符"/>
    <w:link w:val="3"/>
    <w:semiHidden/>
    <w:qFormat/>
    <w:uiPriority w:val="0"/>
    <w:rPr>
      <w:rFonts w:ascii="Times New Roman" w:hAnsi="Times New Roman"/>
      <w:b/>
      <w:bCs/>
      <w:kern w:val="44"/>
      <w:sz w:val="44"/>
      <w:szCs w:val="44"/>
    </w:rPr>
  </w:style>
  <w:style w:type="character" w:customStyle="1" w:styleId="51">
    <w:name w:val="标题 2 字符"/>
    <w:link w:val="4"/>
    <w:qFormat/>
    <w:uiPriority w:val="0"/>
    <w:rPr>
      <w:rFonts w:ascii="Arial" w:hAnsi="Arial" w:eastAsia="黑体"/>
      <w:b/>
      <w:bCs/>
      <w:kern w:val="2"/>
      <w:sz w:val="32"/>
      <w:szCs w:val="32"/>
    </w:rPr>
  </w:style>
  <w:style w:type="character" w:customStyle="1" w:styleId="52">
    <w:name w:val="标题 3 字符"/>
    <w:link w:val="2"/>
    <w:semiHidden/>
    <w:qFormat/>
    <w:uiPriority w:val="0"/>
    <w:rPr>
      <w:rFonts w:ascii="Times New Roman" w:hAnsi="Times New Roman"/>
      <w:b/>
      <w:bCs/>
      <w:kern w:val="2"/>
      <w:sz w:val="32"/>
      <w:szCs w:val="32"/>
    </w:rPr>
  </w:style>
  <w:style w:type="character" w:customStyle="1" w:styleId="53">
    <w:name w:val="标题 4 字符"/>
    <w:link w:val="5"/>
    <w:qFormat/>
    <w:uiPriority w:val="0"/>
    <w:rPr>
      <w:rFonts w:ascii="Cambria" w:hAnsi="Cambria" w:eastAsia="宋体" w:cs="Times New Roman"/>
      <w:b/>
      <w:bCs/>
      <w:kern w:val="2"/>
      <w:sz w:val="28"/>
      <w:szCs w:val="28"/>
    </w:rPr>
  </w:style>
  <w:style w:type="character" w:customStyle="1" w:styleId="54">
    <w:name w:val="标题 5 Char"/>
    <w:semiHidden/>
    <w:qFormat/>
    <w:uiPriority w:val="0"/>
    <w:rPr>
      <w:rFonts w:ascii="Times New Roman" w:hAnsi="Times New Roman"/>
      <w:b/>
      <w:bCs/>
      <w:kern w:val="2"/>
      <w:sz w:val="28"/>
      <w:szCs w:val="28"/>
    </w:rPr>
  </w:style>
  <w:style w:type="character" w:customStyle="1" w:styleId="55">
    <w:name w:val="标题 6 字符"/>
    <w:link w:val="7"/>
    <w:semiHidden/>
    <w:qFormat/>
    <w:uiPriority w:val="0"/>
    <w:rPr>
      <w:rFonts w:ascii="Arial" w:hAnsi="Arial" w:eastAsia="黑体"/>
      <w:b/>
      <w:kern w:val="2"/>
      <w:sz w:val="24"/>
    </w:rPr>
  </w:style>
  <w:style w:type="character" w:customStyle="1" w:styleId="56">
    <w:name w:val="标题 7 字符"/>
    <w:link w:val="8"/>
    <w:semiHidden/>
    <w:qFormat/>
    <w:uiPriority w:val="0"/>
    <w:rPr>
      <w:rFonts w:ascii="Times New Roman" w:hAnsi="Times New Roman"/>
      <w:b/>
      <w:kern w:val="2"/>
      <w:sz w:val="24"/>
    </w:rPr>
  </w:style>
  <w:style w:type="character" w:customStyle="1" w:styleId="57">
    <w:name w:val="标题 8 字符"/>
    <w:link w:val="9"/>
    <w:semiHidden/>
    <w:qFormat/>
    <w:uiPriority w:val="0"/>
    <w:rPr>
      <w:rFonts w:ascii="Arial" w:hAnsi="Arial" w:eastAsia="黑体"/>
      <w:kern w:val="2"/>
      <w:sz w:val="24"/>
    </w:rPr>
  </w:style>
  <w:style w:type="character" w:customStyle="1" w:styleId="58">
    <w:name w:val="标题 9 字符"/>
    <w:link w:val="10"/>
    <w:semiHidden/>
    <w:qFormat/>
    <w:uiPriority w:val="0"/>
    <w:rPr>
      <w:rFonts w:ascii="Arial" w:hAnsi="Arial" w:eastAsia="黑体"/>
      <w:kern w:val="2"/>
      <w:sz w:val="21"/>
    </w:rPr>
  </w:style>
  <w:style w:type="character" w:customStyle="1" w:styleId="59">
    <w:name w:val="批注主题 Char"/>
    <w:link w:val="60"/>
    <w:semiHidden/>
    <w:qFormat/>
    <w:uiPriority w:val="0"/>
    <w:rPr>
      <w:rFonts w:ascii="Times New Roman" w:hAnsi="Times New Roman" w:eastAsia="宋体" w:cs="Times New Roman"/>
      <w:b/>
      <w:bCs/>
      <w:kern w:val="2"/>
      <w:sz w:val="21"/>
      <w:szCs w:val="24"/>
    </w:rPr>
  </w:style>
  <w:style w:type="paragraph" w:customStyle="1" w:styleId="60">
    <w:name w:val="批注主题1"/>
    <w:basedOn w:val="17"/>
    <w:next w:val="17"/>
    <w:link w:val="59"/>
    <w:qFormat/>
    <w:uiPriority w:val="0"/>
    <w:rPr>
      <w:b/>
      <w:bCs/>
    </w:rPr>
  </w:style>
  <w:style w:type="character" w:customStyle="1" w:styleId="61">
    <w:name w:val="批注文字 字符"/>
    <w:link w:val="17"/>
    <w:semiHidden/>
    <w:qFormat/>
    <w:uiPriority w:val="0"/>
    <w:rPr>
      <w:rFonts w:ascii="Times New Roman" w:hAnsi="Times New Roman" w:eastAsia="宋体" w:cs="Times New Roman"/>
      <w:szCs w:val="24"/>
    </w:rPr>
  </w:style>
  <w:style w:type="character" w:customStyle="1" w:styleId="62">
    <w:name w:val="正文首行缩进 Char"/>
    <w:link w:val="63"/>
    <w:semiHidden/>
    <w:qFormat/>
    <w:uiPriority w:val="0"/>
    <w:rPr>
      <w:rFonts w:ascii="Times New Roman" w:hAnsi="Times New Roman"/>
      <w:color w:val="7030A0"/>
      <w:kern w:val="2"/>
      <w:sz w:val="21"/>
      <w:szCs w:val="24"/>
    </w:rPr>
  </w:style>
  <w:style w:type="paragraph" w:customStyle="1" w:styleId="63">
    <w:name w:val="正文文本首行缩进1"/>
    <w:basedOn w:val="1"/>
    <w:link w:val="62"/>
    <w:qFormat/>
    <w:uiPriority w:val="0"/>
    <w:pPr>
      <w:tabs>
        <w:tab w:val="left" w:pos="360"/>
      </w:tabs>
      <w:spacing w:line="220" w:lineRule="exact"/>
      <w:ind w:left="360" w:hanging="360" w:firstLineChars="200"/>
      <w:jc w:val="left"/>
    </w:pPr>
    <w:rPr>
      <w:color w:val="7030A0"/>
    </w:rPr>
  </w:style>
  <w:style w:type="character" w:customStyle="1" w:styleId="64">
    <w:name w:val="正文文本 字符"/>
    <w:link w:val="19"/>
    <w:qFormat/>
    <w:uiPriority w:val="0"/>
    <w:rPr>
      <w:rFonts w:ascii="Times New Roman" w:hAnsi="Times New Roman"/>
      <w:kern w:val="2"/>
      <w:sz w:val="21"/>
      <w:szCs w:val="24"/>
    </w:rPr>
  </w:style>
  <w:style w:type="character" w:customStyle="1" w:styleId="65">
    <w:name w:val="宏文本 Char"/>
    <w:link w:val="66"/>
    <w:semiHidden/>
    <w:qFormat/>
    <w:uiPriority w:val="0"/>
    <w:rPr>
      <w:rFonts w:ascii="Courier New" w:hAnsi="Courier New" w:cs="Courier New"/>
      <w:kern w:val="2"/>
      <w:sz w:val="24"/>
      <w:szCs w:val="24"/>
      <w:lang w:val="en-US" w:eastAsia="zh-CN" w:bidi="ar-SA"/>
    </w:rPr>
  </w:style>
  <w:style w:type="paragraph" w:customStyle="1" w:styleId="66">
    <w:name w:val="宏文本1"/>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67">
    <w:name w:val="正文缩进 Char"/>
    <w:link w:val="68"/>
    <w:semiHidden/>
    <w:qFormat/>
    <w:uiPriority w:val="0"/>
    <w:rPr>
      <w:rFonts w:ascii="宋体" w:hAnsi="Times New Roman"/>
      <w:sz w:val="24"/>
    </w:rPr>
  </w:style>
  <w:style w:type="paragraph" w:customStyle="1" w:styleId="68">
    <w:name w:val="正文缩进1"/>
    <w:basedOn w:val="1"/>
    <w:link w:val="67"/>
    <w:qFormat/>
    <w:uiPriority w:val="0"/>
    <w:pPr>
      <w:autoSpaceDE w:val="0"/>
      <w:autoSpaceDN w:val="0"/>
      <w:adjustRightInd w:val="0"/>
      <w:spacing w:line="360" w:lineRule="atLeast"/>
      <w:ind w:firstLine="420"/>
      <w:textAlignment w:val="baseline"/>
    </w:pPr>
    <w:rPr>
      <w:rFonts w:ascii="宋体"/>
      <w:sz w:val="24"/>
    </w:rPr>
  </w:style>
  <w:style w:type="character" w:customStyle="1" w:styleId="69">
    <w:name w:val="题注 字符"/>
    <w:link w:val="15"/>
    <w:semiHidden/>
    <w:qFormat/>
    <w:uiPriority w:val="0"/>
    <w:rPr>
      <w:rFonts w:ascii="Times New Roman" w:hAnsi="Times New Roman"/>
      <w:b/>
      <w:bCs/>
      <w:color w:val="000080"/>
      <w:kern w:val="2"/>
      <w:sz w:val="28"/>
      <w:szCs w:val="24"/>
    </w:rPr>
  </w:style>
  <w:style w:type="character" w:customStyle="1" w:styleId="70">
    <w:name w:val="文档结构图 Char"/>
    <w:link w:val="71"/>
    <w:semiHidden/>
    <w:qFormat/>
    <w:uiPriority w:val="0"/>
    <w:rPr>
      <w:rFonts w:ascii="宋体" w:hAnsi="Times New Roman" w:eastAsia="宋体" w:cs="Times New Roman"/>
      <w:sz w:val="18"/>
      <w:szCs w:val="18"/>
    </w:rPr>
  </w:style>
  <w:style w:type="paragraph" w:customStyle="1" w:styleId="71">
    <w:name w:val="文档结构图1"/>
    <w:basedOn w:val="1"/>
    <w:link w:val="70"/>
    <w:qFormat/>
    <w:uiPriority w:val="0"/>
    <w:rPr>
      <w:rFonts w:ascii="宋体"/>
      <w:sz w:val="18"/>
      <w:szCs w:val="18"/>
    </w:rPr>
  </w:style>
  <w:style w:type="character" w:customStyle="1" w:styleId="72">
    <w:name w:val="称呼 Char"/>
    <w:link w:val="73"/>
    <w:semiHidden/>
    <w:qFormat/>
    <w:uiPriority w:val="0"/>
    <w:rPr>
      <w:rFonts w:ascii="Times New Roman" w:hAnsi="Times New Roman"/>
      <w:kern w:val="2"/>
      <w:sz w:val="24"/>
    </w:rPr>
  </w:style>
  <w:style w:type="paragraph" w:customStyle="1" w:styleId="73">
    <w:name w:val="称呼1"/>
    <w:basedOn w:val="1"/>
    <w:next w:val="1"/>
    <w:link w:val="72"/>
    <w:qFormat/>
    <w:uiPriority w:val="0"/>
    <w:rPr>
      <w:sz w:val="24"/>
    </w:rPr>
  </w:style>
  <w:style w:type="character" w:customStyle="1" w:styleId="74">
    <w:name w:val="正文文本 3 Char"/>
    <w:link w:val="75"/>
    <w:semiHidden/>
    <w:qFormat/>
    <w:uiPriority w:val="0"/>
    <w:rPr>
      <w:rFonts w:ascii="Times New Roman" w:hAnsi="Times New Roman"/>
      <w:kern w:val="2"/>
      <w:sz w:val="16"/>
      <w:szCs w:val="16"/>
    </w:rPr>
  </w:style>
  <w:style w:type="paragraph" w:customStyle="1" w:styleId="75">
    <w:name w:val="正文文本 31"/>
    <w:basedOn w:val="1"/>
    <w:link w:val="74"/>
    <w:qFormat/>
    <w:uiPriority w:val="0"/>
    <w:pPr>
      <w:spacing w:after="120"/>
    </w:pPr>
    <w:rPr>
      <w:sz w:val="16"/>
      <w:szCs w:val="16"/>
    </w:rPr>
  </w:style>
  <w:style w:type="character" w:customStyle="1" w:styleId="76">
    <w:name w:val="正文文本缩进 Char"/>
    <w:semiHidden/>
    <w:qFormat/>
    <w:uiPriority w:val="0"/>
    <w:rPr>
      <w:rFonts w:ascii="Times New Roman" w:hAnsi="Times New Roman"/>
      <w:kern w:val="2"/>
      <w:sz w:val="21"/>
      <w:szCs w:val="24"/>
    </w:rPr>
  </w:style>
  <w:style w:type="paragraph" w:customStyle="1" w:styleId="77">
    <w:name w:val="正文文本缩进1"/>
    <w:basedOn w:val="1"/>
    <w:link w:val="412"/>
    <w:qFormat/>
    <w:uiPriority w:val="0"/>
    <w:pPr>
      <w:spacing w:line="360" w:lineRule="auto"/>
    </w:pPr>
    <w:rPr>
      <w:rFonts w:ascii="宋体"/>
    </w:rPr>
  </w:style>
  <w:style w:type="character" w:customStyle="1" w:styleId="78">
    <w:name w:val="纯文本 Char"/>
    <w:link w:val="79"/>
    <w:qFormat/>
    <w:uiPriority w:val="0"/>
    <w:rPr>
      <w:rFonts w:ascii="宋体" w:hAnsi="Courier New" w:cs="Courier New"/>
      <w:kern w:val="2"/>
      <w:sz w:val="21"/>
      <w:szCs w:val="21"/>
    </w:rPr>
  </w:style>
  <w:style w:type="paragraph" w:customStyle="1" w:styleId="79">
    <w:name w:val="纯文本1"/>
    <w:basedOn w:val="1"/>
    <w:link w:val="78"/>
    <w:qFormat/>
    <w:uiPriority w:val="0"/>
    <w:rPr>
      <w:rFonts w:ascii="宋体" w:hAnsi="Courier New" w:cs="Courier New"/>
      <w:szCs w:val="21"/>
    </w:rPr>
  </w:style>
  <w:style w:type="character" w:customStyle="1" w:styleId="80">
    <w:name w:val="日期 Char"/>
    <w:link w:val="81"/>
    <w:semiHidden/>
    <w:qFormat/>
    <w:uiPriority w:val="0"/>
    <w:rPr>
      <w:rFonts w:eastAsia="楷体_GB2312"/>
      <w:kern w:val="2"/>
      <w:sz w:val="30"/>
    </w:rPr>
  </w:style>
  <w:style w:type="paragraph" w:customStyle="1" w:styleId="81">
    <w:name w:val="日期1"/>
    <w:basedOn w:val="1"/>
    <w:next w:val="1"/>
    <w:link w:val="80"/>
    <w:qFormat/>
    <w:uiPriority w:val="0"/>
    <w:pPr>
      <w:autoSpaceDE w:val="0"/>
      <w:autoSpaceDN w:val="0"/>
      <w:adjustRightInd w:val="0"/>
      <w:textAlignment w:val="baseline"/>
    </w:pPr>
    <w:rPr>
      <w:rFonts w:eastAsia="楷体_GB2312"/>
      <w:sz w:val="30"/>
    </w:rPr>
  </w:style>
  <w:style w:type="character" w:customStyle="1" w:styleId="82">
    <w:name w:val="正文文本缩进 2 Char"/>
    <w:link w:val="83"/>
    <w:semiHidden/>
    <w:qFormat/>
    <w:uiPriority w:val="0"/>
    <w:rPr>
      <w:rFonts w:ascii="Times New Roman" w:hAnsi="Times New Roman"/>
      <w:kern w:val="2"/>
      <w:sz w:val="21"/>
    </w:rPr>
  </w:style>
  <w:style w:type="paragraph" w:customStyle="1" w:styleId="83">
    <w:name w:val="正文文本缩进 21"/>
    <w:basedOn w:val="1"/>
    <w:link w:val="82"/>
    <w:qFormat/>
    <w:uiPriority w:val="0"/>
    <w:pPr>
      <w:spacing w:after="120" w:line="480" w:lineRule="auto"/>
      <w:ind w:left="420" w:leftChars="200"/>
    </w:pPr>
  </w:style>
  <w:style w:type="character" w:customStyle="1" w:styleId="84">
    <w:name w:val="尾注文本 字符"/>
    <w:link w:val="28"/>
    <w:semiHidden/>
    <w:qFormat/>
    <w:uiPriority w:val="0"/>
    <w:rPr>
      <w:rFonts w:ascii="Times New Roman" w:hAnsi="Times New Roman"/>
      <w:sz w:val="21"/>
      <w:szCs w:val="24"/>
    </w:rPr>
  </w:style>
  <w:style w:type="character" w:customStyle="1" w:styleId="85">
    <w:name w:val="页脚 字符"/>
    <w:link w:val="29"/>
    <w:qFormat/>
    <w:uiPriority w:val="99"/>
    <w:rPr>
      <w:rFonts w:ascii="Times New Roman" w:hAnsi="Times New Roman"/>
      <w:kern w:val="2"/>
      <w:sz w:val="18"/>
      <w:szCs w:val="18"/>
    </w:rPr>
  </w:style>
  <w:style w:type="character" w:customStyle="1" w:styleId="86">
    <w:name w:val="正文首行缩进 2 Char"/>
    <w:link w:val="87"/>
    <w:semiHidden/>
    <w:qFormat/>
    <w:uiPriority w:val="0"/>
    <w:rPr>
      <w:rFonts w:ascii="宋体" w:hAnsi="宋体"/>
      <w:kern w:val="2"/>
      <w:sz w:val="21"/>
      <w:szCs w:val="24"/>
    </w:rPr>
  </w:style>
  <w:style w:type="paragraph" w:customStyle="1" w:styleId="87">
    <w:name w:val="正文文本首行缩进 21"/>
    <w:basedOn w:val="77"/>
    <w:link w:val="86"/>
    <w:qFormat/>
    <w:uiPriority w:val="0"/>
    <w:pPr>
      <w:spacing w:after="120" w:line="240" w:lineRule="auto"/>
      <w:ind w:left="420" w:leftChars="200" w:firstLine="200" w:firstLineChars="200"/>
      <w:jc w:val="left"/>
    </w:pPr>
    <w:rPr>
      <w:rFonts w:hAnsi="宋体"/>
    </w:rPr>
  </w:style>
  <w:style w:type="character" w:customStyle="1" w:styleId="88">
    <w:name w:val="页眉 字符"/>
    <w:link w:val="30"/>
    <w:semiHidden/>
    <w:qFormat/>
    <w:uiPriority w:val="0"/>
    <w:rPr>
      <w:rFonts w:ascii="Times New Roman" w:hAnsi="Times New Roman"/>
      <w:kern w:val="2"/>
      <w:sz w:val="18"/>
      <w:szCs w:val="18"/>
    </w:rPr>
  </w:style>
  <w:style w:type="character" w:customStyle="1" w:styleId="89">
    <w:name w:val="脚注文本 字符"/>
    <w:link w:val="33"/>
    <w:semiHidden/>
    <w:qFormat/>
    <w:uiPriority w:val="0"/>
    <w:rPr>
      <w:rFonts w:ascii="Times New Roman" w:hAnsi="Times New Roman"/>
      <w:sz w:val="18"/>
    </w:rPr>
  </w:style>
  <w:style w:type="character" w:customStyle="1" w:styleId="90">
    <w:name w:val="正文文本缩进 3 Char"/>
    <w:link w:val="91"/>
    <w:semiHidden/>
    <w:qFormat/>
    <w:uiPriority w:val="0"/>
    <w:rPr>
      <w:rFonts w:ascii="Times New Roman" w:hAnsi="Times New Roman"/>
      <w:kern w:val="2"/>
      <w:sz w:val="21"/>
    </w:rPr>
  </w:style>
  <w:style w:type="paragraph" w:customStyle="1" w:styleId="91">
    <w:name w:val="正文文本缩进 31"/>
    <w:basedOn w:val="1"/>
    <w:link w:val="90"/>
    <w:qFormat/>
    <w:uiPriority w:val="0"/>
    <w:pPr>
      <w:ind w:left="1260" w:leftChars="600"/>
    </w:pPr>
  </w:style>
  <w:style w:type="character" w:customStyle="1" w:styleId="92">
    <w:name w:val="正文文本 2 Char"/>
    <w:link w:val="93"/>
    <w:semiHidden/>
    <w:qFormat/>
    <w:uiPriority w:val="0"/>
    <w:rPr>
      <w:rFonts w:ascii="Times New Roman" w:hAnsi="Times New Roman"/>
      <w:kern w:val="2"/>
      <w:sz w:val="21"/>
    </w:rPr>
  </w:style>
  <w:style w:type="paragraph" w:customStyle="1" w:styleId="93">
    <w:name w:val="正文文本 21"/>
    <w:basedOn w:val="1"/>
    <w:link w:val="92"/>
    <w:qFormat/>
    <w:uiPriority w:val="0"/>
    <w:pPr>
      <w:spacing w:after="120" w:line="480" w:lineRule="auto"/>
    </w:pPr>
  </w:style>
  <w:style w:type="character" w:customStyle="1" w:styleId="94">
    <w:name w:val="信息标题 Char"/>
    <w:link w:val="95"/>
    <w:semiHidden/>
    <w:qFormat/>
    <w:uiPriority w:val="0"/>
    <w:rPr>
      <w:rFonts w:ascii="Arial" w:hAnsi="Arial" w:cs="Arial"/>
      <w:color w:val="7030A0"/>
      <w:kern w:val="2"/>
      <w:sz w:val="24"/>
      <w:szCs w:val="24"/>
      <w:shd w:val="pct20" w:color="auto" w:fill="auto"/>
    </w:rPr>
  </w:style>
  <w:style w:type="paragraph" w:customStyle="1" w:styleId="95">
    <w:name w:val="信息标题1"/>
    <w:basedOn w:val="1"/>
    <w:link w:val="9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96">
    <w:name w:val="HTML 预设格式 Char"/>
    <w:link w:val="97"/>
    <w:semiHidden/>
    <w:qFormat/>
    <w:uiPriority w:val="0"/>
    <w:rPr>
      <w:rFonts w:ascii="Arial" w:hAnsi="Arial"/>
      <w:sz w:val="21"/>
      <w:szCs w:val="21"/>
    </w:rPr>
  </w:style>
  <w:style w:type="paragraph" w:customStyle="1" w:styleId="97">
    <w:name w:val="HTML 预设格式1"/>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98">
    <w:name w:val="标题 字符"/>
    <w:link w:val="38"/>
    <w:semiHidden/>
    <w:qFormat/>
    <w:uiPriority w:val="0"/>
    <w:rPr>
      <w:rFonts w:ascii="Arial" w:hAnsi="Arial" w:eastAsia="楷体_GB2312"/>
      <w:b/>
      <w:sz w:val="32"/>
    </w:rPr>
  </w:style>
  <w:style w:type="paragraph" w:customStyle="1" w:styleId="99">
    <w:name w:val="批注框文本 Char Char"/>
    <w:basedOn w:val="1"/>
    <w:link w:val="364"/>
    <w:qFormat/>
    <w:uiPriority w:val="0"/>
    <w:rPr>
      <w:sz w:val="18"/>
      <w:szCs w:val="18"/>
    </w:rPr>
  </w:style>
  <w:style w:type="paragraph" w:customStyle="1" w:styleId="100">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01">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02">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03">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04">
    <w:name w:val="引文目录标题1"/>
    <w:basedOn w:val="1"/>
    <w:next w:val="1"/>
    <w:qFormat/>
    <w:uiPriority w:val="0"/>
    <w:pPr>
      <w:spacing w:before="120"/>
    </w:pPr>
    <w:rPr>
      <w:rFonts w:ascii="Arial" w:hAnsi="Arial" w:cs="Arial"/>
      <w:sz w:val="24"/>
    </w:rPr>
  </w:style>
  <w:style w:type="paragraph" w:customStyle="1" w:styleId="105">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06">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07">
    <w:name w:val="列表 21"/>
    <w:basedOn w:val="1"/>
    <w:qFormat/>
    <w:uiPriority w:val="0"/>
    <w:pPr>
      <w:widowControl/>
      <w:ind w:left="840" w:hanging="420"/>
      <w:jc w:val="left"/>
    </w:pPr>
    <w:rPr>
      <w:rFonts w:ascii="宋体"/>
      <w:kern w:val="0"/>
      <w:sz w:val="22"/>
      <w:szCs w:val="20"/>
    </w:rPr>
  </w:style>
  <w:style w:type="paragraph" w:customStyle="1" w:styleId="108">
    <w:name w:val="列表接续1"/>
    <w:basedOn w:val="1"/>
    <w:qFormat/>
    <w:uiPriority w:val="0"/>
    <w:pPr>
      <w:widowControl/>
      <w:spacing w:after="120"/>
      <w:ind w:left="420"/>
      <w:jc w:val="left"/>
    </w:pPr>
    <w:rPr>
      <w:rFonts w:ascii="宋体"/>
      <w:kern w:val="0"/>
      <w:sz w:val="22"/>
      <w:szCs w:val="20"/>
    </w:rPr>
  </w:style>
  <w:style w:type="paragraph" w:customStyle="1" w:styleId="109">
    <w:name w:val="文本块1"/>
    <w:basedOn w:val="1"/>
    <w:qFormat/>
    <w:uiPriority w:val="0"/>
    <w:pPr>
      <w:tabs>
        <w:tab w:val="left" w:pos="8364"/>
      </w:tabs>
      <w:ind w:left="840" w:right="-57" w:hanging="300"/>
    </w:pPr>
    <w:rPr>
      <w:rFonts w:ascii="宋体"/>
      <w:szCs w:val="20"/>
    </w:rPr>
  </w:style>
  <w:style w:type="paragraph" w:customStyle="1" w:styleId="110">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11">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12">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13">
    <w:name w:val="索引标题1"/>
    <w:basedOn w:val="1"/>
    <w:next w:val="114"/>
    <w:qFormat/>
    <w:uiPriority w:val="0"/>
  </w:style>
  <w:style w:type="paragraph" w:customStyle="1" w:styleId="114">
    <w:name w:val="索引 11"/>
    <w:basedOn w:val="1"/>
    <w:next w:val="1"/>
    <w:qFormat/>
    <w:uiPriority w:val="0"/>
    <w:pPr>
      <w:spacing w:line="360" w:lineRule="auto"/>
      <w:ind w:left="1149" w:leftChars="547"/>
    </w:pPr>
    <w:rPr>
      <w:szCs w:val="20"/>
    </w:rPr>
  </w:style>
  <w:style w:type="paragraph" w:customStyle="1" w:styleId="115">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16">
    <w:name w:val="列表1"/>
    <w:basedOn w:val="1"/>
    <w:qFormat/>
    <w:uiPriority w:val="0"/>
    <w:pPr>
      <w:ind w:left="200" w:hanging="200" w:hangingChars="200"/>
    </w:pPr>
    <w:rPr>
      <w:szCs w:val="20"/>
    </w:rPr>
  </w:style>
  <w:style w:type="paragraph" w:customStyle="1" w:styleId="11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18">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19">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20">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1">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22">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23">
    <w:name w:val="四级标题格式"/>
    <w:basedOn w:val="5"/>
    <w:link w:val="367"/>
    <w:qFormat/>
    <w:uiPriority w:val="0"/>
    <w:pPr>
      <w:spacing w:before="0" w:afterLines="100" w:line="240" w:lineRule="auto"/>
      <w:jc w:val="left"/>
    </w:pPr>
    <w:rPr>
      <w:rFonts w:ascii="Times New Roman" w:hAnsi="Times New Roman" w:eastAsia="黑体"/>
    </w:rPr>
  </w:style>
  <w:style w:type="paragraph" w:customStyle="1" w:styleId="124">
    <w:name w:val="标题3"/>
    <w:basedOn w:val="2"/>
    <w:link w:val="370"/>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25">
    <w:name w:val="样式 宋体 行距: 固定值 24 磅"/>
    <w:basedOn w:val="1"/>
    <w:link w:val="372"/>
    <w:qFormat/>
    <w:uiPriority w:val="0"/>
    <w:pPr>
      <w:spacing w:line="480" w:lineRule="exact"/>
      <w:ind w:firstLine="585" w:firstLineChars="200"/>
      <w:jc w:val="left"/>
    </w:pPr>
    <w:rPr>
      <w:rFonts w:ascii="宋体" w:cs="宋体"/>
      <w:color w:val="7030A0"/>
      <w:sz w:val="28"/>
    </w:rPr>
  </w:style>
  <w:style w:type="paragraph" w:customStyle="1" w:styleId="126">
    <w:name w:val="样式 首行缩进:  2 字符"/>
    <w:basedOn w:val="1"/>
    <w:link w:val="373"/>
    <w:qFormat/>
    <w:uiPriority w:val="0"/>
    <w:pPr>
      <w:spacing w:line="480" w:lineRule="exact"/>
      <w:ind w:firstLine="480" w:firstLineChars="200"/>
      <w:jc w:val="left"/>
    </w:pPr>
    <w:rPr>
      <w:color w:val="7030A0"/>
      <w:sz w:val="24"/>
    </w:rPr>
  </w:style>
  <w:style w:type="paragraph" w:customStyle="1" w:styleId="127">
    <w:name w:val="正文－wjnew"/>
    <w:basedOn w:val="1"/>
    <w:link w:val="375"/>
    <w:qFormat/>
    <w:uiPriority w:val="0"/>
    <w:pPr>
      <w:adjustRightInd w:val="0"/>
      <w:snapToGrid w:val="0"/>
      <w:spacing w:line="360" w:lineRule="auto"/>
      <w:ind w:firstLine="420"/>
    </w:pPr>
    <w:rPr>
      <w:rFonts w:ascii="宋体" w:cs="宋体"/>
      <w:szCs w:val="21"/>
    </w:rPr>
  </w:style>
  <w:style w:type="paragraph" w:customStyle="1" w:styleId="128">
    <w:name w:val="(1)"/>
    <w:basedOn w:val="1"/>
    <w:next w:val="1"/>
    <w:link w:val="377"/>
    <w:qFormat/>
    <w:uiPriority w:val="0"/>
    <w:pPr>
      <w:tabs>
        <w:tab w:val="left" w:pos="813"/>
      </w:tabs>
      <w:spacing w:line="360" w:lineRule="auto"/>
      <w:ind w:left="813" w:hanging="567"/>
    </w:pPr>
    <w:rPr>
      <w:rFonts w:ascii="宋体" w:hAnsi="宋体"/>
      <w:sz w:val="24"/>
    </w:rPr>
  </w:style>
  <w:style w:type="paragraph" w:customStyle="1" w:styleId="129">
    <w:name w:val="正文 BJ15"/>
    <w:basedOn w:val="1"/>
    <w:link w:val="380"/>
    <w:qFormat/>
    <w:uiPriority w:val="0"/>
    <w:pPr>
      <w:adjustRightInd w:val="0"/>
      <w:snapToGrid w:val="0"/>
      <w:spacing w:line="360" w:lineRule="auto"/>
      <w:ind w:firstLine="200" w:firstLineChars="200"/>
      <w:jc w:val="left"/>
    </w:pPr>
    <w:rPr>
      <w:sz w:val="24"/>
    </w:rPr>
  </w:style>
  <w:style w:type="paragraph" w:customStyle="1" w:styleId="130">
    <w:name w:val="正文－zlb"/>
    <w:basedOn w:val="1"/>
    <w:link w:val="388"/>
    <w:qFormat/>
    <w:uiPriority w:val="0"/>
    <w:pPr>
      <w:adjustRightInd w:val="0"/>
      <w:snapToGrid w:val="0"/>
      <w:spacing w:line="360" w:lineRule="auto"/>
      <w:ind w:firstLine="420"/>
    </w:pPr>
    <w:rPr>
      <w:rFonts w:ascii="宋体" w:cs="宋体"/>
      <w:sz w:val="24"/>
    </w:rPr>
  </w:style>
  <w:style w:type="paragraph" w:customStyle="1" w:styleId="131">
    <w:name w:val="图表标题 BJ8"/>
    <w:basedOn w:val="1"/>
    <w:link w:val="393"/>
    <w:qFormat/>
    <w:uiPriority w:val="0"/>
    <w:pPr>
      <w:adjustRightInd w:val="0"/>
      <w:snapToGrid w:val="0"/>
      <w:ind w:firstLine="200" w:firstLineChars="200"/>
      <w:jc w:val="center"/>
    </w:pPr>
    <w:rPr>
      <w:rFonts w:eastAsia="黑体"/>
      <w:sz w:val="24"/>
    </w:rPr>
  </w:style>
  <w:style w:type="paragraph" w:customStyle="1" w:styleId="132">
    <w:name w:val="列表框2"/>
    <w:basedOn w:val="1"/>
    <w:link w:val="395"/>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33">
    <w:name w:val="五级标题格式"/>
    <w:basedOn w:val="6"/>
    <w:link w:val="397"/>
    <w:qFormat/>
    <w:uiPriority w:val="0"/>
    <w:pPr>
      <w:tabs>
        <w:tab w:val="clear" w:pos="1008"/>
      </w:tabs>
      <w:spacing w:before="0" w:afterLines="50" w:line="240" w:lineRule="auto"/>
      <w:ind w:left="0" w:firstLine="0"/>
      <w:jc w:val="left"/>
    </w:pPr>
    <w:rPr>
      <w:sz w:val="24"/>
    </w:rPr>
  </w:style>
  <w:style w:type="paragraph" w:customStyle="1" w:styleId="134">
    <w:name w:val="正文段落格式"/>
    <w:basedOn w:val="126"/>
    <w:link w:val="401"/>
    <w:qFormat/>
    <w:uiPriority w:val="0"/>
    <w:pPr>
      <w:spacing w:afterLines="50" w:line="336" w:lineRule="auto"/>
    </w:pPr>
  </w:style>
  <w:style w:type="paragraph" w:customStyle="1" w:styleId="135">
    <w:name w:val="表格文字 BJ8"/>
    <w:basedOn w:val="1"/>
    <w:link w:val="402"/>
    <w:qFormat/>
    <w:uiPriority w:val="0"/>
    <w:pPr>
      <w:adjustRightInd w:val="0"/>
      <w:snapToGrid w:val="0"/>
      <w:spacing w:line="400" w:lineRule="exact"/>
      <w:ind w:firstLine="200" w:firstLineChars="200"/>
      <w:jc w:val="center"/>
    </w:pPr>
    <w:rPr>
      <w:szCs w:val="21"/>
    </w:rPr>
  </w:style>
  <w:style w:type="paragraph" w:customStyle="1" w:styleId="136">
    <w:name w:val="样式 标题 31.1条标题1.1.1二级节名h3Heading 3 - oldheading 3H3H31H3..."/>
    <w:basedOn w:val="2"/>
    <w:link w:val="404"/>
    <w:qFormat/>
    <w:uiPriority w:val="0"/>
    <w:pPr>
      <w:spacing w:before="240" w:after="120" w:line="480" w:lineRule="exact"/>
      <w:jc w:val="left"/>
    </w:pPr>
    <w:rPr>
      <w:rFonts w:ascii="宋体" w:hAnsi="宋体" w:eastAsia="黑体"/>
      <w:sz w:val="24"/>
      <w:szCs w:val="21"/>
    </w:rPr>
  </w:style>
  <w:style w:type="paragraph" w:customStyle="1" w:styleId="137">
    <w:name w:val="标题2"/>
    <w:basedOn w:val="3"/>
    <w:link w:val="405"/>
    <w:qFormat/>
    <w:uiPriority w:val="0"/>
    <w:pPr>
      <w:spacing w:before="0" w:after="0" w:line="312" w:lineRule="auto"/>
      <w:ind w:left="0" w:firstLine="0"/>
      <w:jc w:val="center"/>
    </w:pPr>
    <w:rPr>
      <w:rFonts w:ascii="宋体"/>
      <w:color w:val="92D050"/>
      <w:sz w:val="30"/>
    </w:rPr>
  </w:style>
  <w:style w:type="paragraph" w:customStyle="1" w:styleId="138">
    <w:name w:val="正文 QD3"/>
    <w:basedOn w:val="1"/>
    <w:link w:val="408"/>
    <w:qFormat/>
    <w:uiPriority w:val="0"/>
    <w:pPr>
      <w:adjustRightInd w:val="0"/>
      <w:snapToGrid w:val="0"/>
      <w:spacing w:line="360" w:lineRule="auto"/>
      <w:ind w:firstLine="200" w:firstLineChars="200"/>
      <w:jc w:val="left"/>
    </w:pPr>
    <w:rPr>
      <w:sz w:val="24"/>
    </w:rPr>
  </w:style>
  <w:style w:type="paragraph" w:customStyle="1" w:styleId="139">
    <w:name w:val="正文 BJ8"/>
    <w:basedOn w:val="1"/>
    <w:link w:val="409"/>
    <w:qFormat/>
    <w:uiPriority w:val="0"/>
    <w:pPr>
      <w:adjustRightInd w:val="0"/>
      <w:snapToGrid w:val="0"/>
      <w:spacing w:line="360" w:lineRule="auto"/>
      <w:ind w:firstLine="200" w:firstLineChars="200"/>
      <w:jc w:val="left"/>
    </w:pPr>
    <w:rPr>
      <w:color w:val="7030A0"/>
      <w:sz w:val="24"/>
    </w:rPr>
  </w:style>
  <w:style w:type="paragraph" w:customStyle="1" w:styleId="140">
    <w:name w:val="正文1"/>
    <w:basedOn w:val="1"/>
    <w:link w:val="413"/>
    <w:qFormat/>
    <w:uiPriority w:val="0"/>
    <w:pPr>
      <w:tabs>
        <w:tab w:val="left" w:pos="720"/>
        <w:tab w:val="right" w:pos="1191"/>
      </w:tabs>
      <w:spacing w:line="360" w:lineRule="auto"/>
      <w:ind w:left="720" w:hanging="360"/>
    </w:pPr>
    <w:rPr>
      <w:rFonts w:ascii="宋体" w:hAnsi="宋体"/>
      <w:kern w:val="10"/>
    </w:rPr>
  </w:style>
  <w:style w:type="paragraph" w:customStyle="1" w:styleId="141">
    <w:name w:val="样式"/>
    <w:link w:val="414"/>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2">
    <w:name w:val="无编号正文"/>
    <w:basedOn w:val="19"/>
    <w:next w:val="1"/>
    <w:link w:val="415"/>
    <w:qFormat/>
    <w:uiPriority w:val="0"/>
    <w:pPr>
      <w:ind w:left="200" w:leftChars="200" w:firstLine="200" w:firstLineChars="200"/>
    </w:pPr>
    <w:rPr>
      <w:rFonts w:ascii="宋体" w:hAnsi="宋体"/>
      <w:sz w:val="24"/>
    </w:rPr>
  </w:style>
  <w:style w:type="paragraph" w:customStyle="1" w:styleId="143">
    <w:name w:val="表图名称"/>
    <w:link w:val="416"/>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44">
    <w:name w:val="表格文字图表文字"/>
    <w:basedOn w:val="1"/>
    <w:link w:val="418"/>
    <w:qFormat/>
    <w:uiPriority w:val="0"/>
    <w:pPr>
      <w:snapToGrid w:val="0"/>
      <w:ind w:firstLine="200" w:firstLineChars="200"/>
      <w:jc w:val="center"/>
    </w:pPr>
    <w:rPr>
      <w:color w:val="7030A0"/>
    </w:rPr>
  </w:style>
  <w:style w:type="paragraph" w:customStyle="1" w:styleId="145">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46">
    <w:name w:val="通用"/>
    <w:basedOn w:val="1"/>
    <w:qFormat/>
    <w:uiPriority w:val="0"/>
    <w:pPr>
      <w:spacing w:line="360" w:lineRule="auto"/>
      <w:ind w:left="840" w:leftChars="400"/>
    </w:pPr>
    <w:rPr>
      <w:rFonts w:ascii="宋体" w:hAnsi="宋体"/>
      <w:szCs w:val="20"/>
    </w:rPr>
  </w:style>
  <w:style w:type="paragraph" w:customStyle="1" w:styleId="147">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48">
    <w:name w:val="1"/>
    <w:basedOn w:val="1"/>
    <w:next w:val="93"/>
    <w:qFormat/>
    <w:uiPriority w:val="0"/>
    <w:pPr>
      <w:spacing w:after="120" w:line="480" w:lineRule="auto"/>
      <w:ind w:firstLine="200" w:firstLineChars="200"/>
      <w:jc w:val="left"/>
    </w:pPr>
    <w:rPr>
      <w:color w:val="7030A0"/>
    </w:rPr>
  </w:style>
  <w:style w:type="paragraph" w:customStyle="1" w:styleId="1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0">
    <w:name w:val="Footer First"/>
    <w:basedOn w:val="2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52">
    <w:name w:val="样式 宋体 行距: 1.5 倍行距"/>
    <w:basedOn w:val="1"/>
    <w:qFormat/>
    <w:uiPriority w:val="0"/>
    <w:pPr>
      <w:ind w:firstLine="200" w:firstLineChars="200"/>
      <w:jc w:val="left"/>
    </w:pPr>
    <w:rPr>
      <w:rFonts w:ascii="宋体" w:hAnsi="宋体"/>
      <w:color w:val="7030A0"/>
      <w:szCs w:val="20"/>
    </w:rPr>
  </w:style>
  <w:style w:type="paragraph" w:customStyle="1" w:styleId="153">
    <w:name w:val="样式 左侧:  2 字符 段前: 0.5 行"/>
    <w:basedOn w:val="1"/>
    <w:qFormat/>
    <w:uiPriority w:val="0"/>
    <w:pPr>
      <w:spacing w:beforeLines="50"/>
      <w:ind w:firstLine="200" w:firstLineChars="200"/>
    </w:pPr>
    <w:rPr>
      <w:rFonts w:ascii="宋体" w:cs="宋体"/>
      <w:sz w:val="24"/>
      <w:szCs w:val="20"/>
    </w:rPr>
  </w:style>
  <w:style w:type="paragraph" w:customStyle="1" w:styleId="154">
    <w:name w:val="八级正文格式"/>
    <w:basedOn w:val="134"/>
    <w:qFormat/>
    <w:uiPriority w:val="0"/>
    <w:pPr>
      <w:spacing w:after="120"/>
      <w:ind w:firstLine="0" w:firstLineChars="0"/>
    </w:pPr>
  </w:style>
  <w:style w:type="paragraph" w:customStyle="1" w:styleId="1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56">
    <w:name w:val="样式 样式 列表框 Char Char Char Char Char + 段后: 0.5 行 + 左侧:  6 字符 首行缩进..."/>
    <w:basedOn w:val="157"/>
    <w:qFormat/>
    <w:uiPriority w:val="0"/>
    <w:pPr>
      <w:tabs>
        <w:tab w:val="left" w:pos="420"/>
        <w:tab w:val="left" w:pos="2297"/>
      </w:tabs>
      <w:ind w:left="2297" w:leftChars="0" w:hanging="420" w:firstLineChars="0"/>
    </w:pPr>
  </w:style>
  <w:style w:type="paragraph" w:customStyle="1" w:styleId="157">
    <w:name w:val="样式 列表框 Char Char Char Char Char + 段后: 0.5 行"/>
    <w:basedOn w:val="158"/>
    <w:qFormat/>
    <w:uiPriority w:val="0"/>
    <w:pPr>
      <w:tabs>
        <w:tab w:val="left" w:pos="420"/>
      </w:tabs>
      <w:spacing w:after="156"/>
    </w:pPr>
    <w:rPr>
      <w:szCs w:val="20"/>
    </w:rPr>
  </w:style>
  <w:style w:type="paragraph" w:customStyle="1" w:styleId="158">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6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3">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64">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65">
    <w:name w:val="批注框文本1"/>
    <w:basedOn w:val="1"/>
    <w:qFormat/>
    <w:uiPriority w:val="0"/>
    <w:rPr>
      <w:sz w:val="16"/>
      <w:szCs w:val="16"/>
    </w:rPr>
  </w:style>
  <w:style w:type="paragraph" w:customStyle="1" w:styleId="166">
    <w:name w:val="*"/>
    <w:basedOn w:val="1"/>
    <w:qFormat/>
    <w:uiPriority w:val="0"/>
    <w:pPr>
      <w:spacing w:line="360" w:lineRule="auto"/>
    </w:pPr>
    <w:rPr>
      <w:rFonts w:ascii="宋体" w:hAnsi="宋体"/>
      <w:kern w:val="0"/>
      <w:sz w:val="24"/>
    </w:rPr>
  </w:style>
  <w:style w:type="paragraph" w:customStyle="1" w:styleId="1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68">
    <w:name w:val="表格标题"/>
    <w:basedOn w:val="6"/>
    <w:qFormat/>
    <w:uiPriority w:val="0"/>
    <w:pPr>
      <w:tabs>
        <w:tab w:val="clear" w:pos="1008"/>
      </w:tabs>
      <w:spacing w:before="0" w:after="0" w:line="240" w:lineRule="auto"/>
      <w:ind w:left="0" w:firstLine="0"/>
      <w:jc w:val="center"/>
      <w:outlineLvl w:val="8"/>
    </w:pPr>
    <w:rPr>
      <w:b w:val="0"/>
      <w:sz w:val="21"/>
      <w:lang w:val="zh-CN"/>
    </w:rPr>
  </w:style>
  <w:style w:type="paragraph" w:customStyle="1" w:styleId="169">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7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71">
    <w:name w:val="表格文字"/>
    <w:basedOn w:val="144"/>
    <w:qFormat/>
    <w:uiPriority w:val="0"/>
  </w:style>
  <w:style w:type="paragraph" w:customStyle="1" w:styleId="172">
    <w:name w:val="二级标题格式"/>
    <w:basedOn w:val="4"/>
    <w:qFormat/>
    <w:uiPriority w:val="0"/>
    <w:pPr>
      <w:spacing w:before="0" w:afterLines="100" w:line="240" w:lineRule="auto"/>
      <w:jc w:val="left"/>
    </w:pPr>
    <w:rPr>
      <w:rFonts w:ascii="Times New Roman" w:hAnsi="Times New Roman"/>
      <w:b w:val="0"/>
      <w:color w:val="C00000"/>
      <w:sz w:val="28"/>
      <w:szCs w:val="28"/>
    </w:rPr>
  </w:style>
  <w:style w:type="paragraph" w:customStyle="1" w:styleId="173">
    <w:name w:val="样式 标题 1标题 1 1编号标题1标题1 + 宋体 加粗"/>
    <w:basedOn w:val="3"/>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7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5">
    <w:name w:val="列表框 Char Char Char Char Char"/>
    <w:basedOn w:val="158"/>
    <w:next w:val="158"/>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7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7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9">
    <w:name w:val="Sprechblasentext"/>
    <w:basedOn w:val="1"/>
    <w:qFormat/>
    <w:uiPriority w:val="0"/>
    <w:pPr>
      <w:spacing w:line="300" w:lineRule="atLeast"/>
      <w:ind w:firstLine="709"/>
    </w:pPr>
    <w:rPr>
      <w:rFonts w:ascii="Tahoma" w:hAnsi="Tahoma" w:cs="Tahoma"/>
      <w:sz w:val="16"/>
      <w:szCs w:val="16"/>
    </w:rPr>
  </w:style>
  <w:style w:type="paragraph" w:customStyle="1" w:styleId="180">
    <w:name w:val="p0"/>
    <w:basedOn w:val="1"/>
    <w:qFormat/>
    <w:uiPriority w:val="0"/>
    <w:pPr>
      <w:widowControl/>
    </w:pPr>
    <w:rPr>
      <w:kern w:val="0"/>
      <w:szCs w:val="21"/>
    </w:rPr>
  </w:style>
  <w:style w:type="paragraph" w:customStyle="1" w:styleId="181">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82">
    <w:name w:val="表格正文"/>
    <w:basedOn w:val="1"/>
    <w:next w:val="1"/>
    <w:qFormat/>
    <w:uiPriority w:val="0"/>
    <w:pPr>
      <w:adjustRightInd w:val="0"/>
      <w:snapToGrid w:val="0"/>
      <w:jc w:val="center"/>
    </w:pPr>
    <w:rPr>
      <w:color w:val="548DD4"/>
    </w:rPr>
  </w:style>
  <w:style w:type="paragraph" w:customStyle="1" w:styleId="183">
    <w:name w:val="样式1"/>
    <w:basedOn w:val="30"/>
    <w:next w:val="1"/>
    <w:qFormat/>
    <w:uiPriority w:val="0"/>
    <w:pPr>
      <w:jc w:val="left"/>
    </w:pPr>
  </w:style>
  <w:style w:type="paragraph" w:customStyle="1" w:styleId="184">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9">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91">
    <w:name w:val="默认段落字体 Para Char Char Char Char Char Char Char"/>
    <w:basedOn w:val="1"/>
    <w:qFormat/>
    <w:uiPriority w:val="0"/>
    <w:pPr>
      <w:tabs>
        <w:tab w:val="left" w:pos="4665"/>
        <w:tab w:val="left" w:pos="8970"/>
      </w:tabs>
      <w:ind w:firstLine="400"/>
    </w:pPr>
    <w:rPr>
      <w:szCs w:val="20"/>
    </w:rPr>
  </w:style>
  <w:style w:type="paragraph" w:customStyle="1" w:styleId="19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93">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94">
    <w:name w:val="招标文件》"/>
    <w:basedOn w:val="195"/>
    <w:qFormat/>
    <w:uiPriority w:val="0"/>
    <w:pPr>
      <w:tabs>
        <w:tab w:val="left" w:pos="560"/>
      </w:tabs>
      <w:ind w:left="200" w:firstLine="0" w:firstLineChars="0"/>
    </w:pPr>
  </w:style>
  <w:style w:type="paragraph" w:customStyle="1" w:styleId="19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96">
    <w:name w:val="Numbered List"/>
    <w:basedOn w:val="3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97">
    <w:name w:val="列出段落1"/>
    <w:basedOn w:val="1"/>
    <w:qFormat/>
    <w:uiPriority w:val="34"/>
    <w:pPr>
      <w:ind w:firstLine="420" w:firstLineChars="200"/>
    </w:pPr>
    <w:rPr>
      <w:szCs w:val="20"/>
    </w:rPr>
  </w:style>
  <w:style w:type="paragraph" w:customStyle="1" w:styleId="198">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02">
    <w:name w:val="Char1 Char Char1 Char Char Char Char Char Char"/>
    <w:basedOn w:val="1"/>
    <w:qFormat/>
    <w:uiPriority w:val="0"/>
  </w:style>
  <w:style w:type="paragraph" w:customStyle="1" w:styleId="20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4">
    <w:name w:val="样式 标题 5 + 右侧:  -0.18 字符"/>
    <w:basedOn w:val="1"/>
    <w:qFormat/>
    <w:uiPriority w:val="0"/>
    <w:pPr>
      <w:tabs>
        <w:tab w:val="left" w:pos="1008"/>
      </w:tabs>
      <w:ind w:left="1134" w:hanging="1134"/>
    </w:pPr>
  </w:style>
  <w:style w:type="paragraph" w:customStyle="1" w:styleId="205">
    <w:name w:val="xl24"/>
    <w:basedOn w:val="1"/>
    <w:qFormat/>
    <w:uiPriority w:val="0"/>
    <w:pPr>
      <w:widowControl/>
      <w:spacing w:before="100" w:beforeAutospacing="1" w:after="100" w:afterAutospacing="1"/>
      <w:jc w:val="left"/>
    </w:pPr>
    <w:rPr>
      <w:kern w:val="0"/>
      <w:sz w:val="24"/>
    </w:rPr>
  </w:style>
  <w:style w:type="paragraph" w:customStyle="1" w:styleId="206">
    <w:name w:val="xl28"/>
    <w:basedOn w:val="1"/>
    <w:qFormat/>
    <w:uiPriority w:val="0"/>
    <w:pPr>
      <w:widowControl/>
      <w:spacing w:before="100" w:beforeAutospacing="1" w:after="100" w:afterAutospacing="1"/>
      <w:jc w:val="center"/>
    </w:pPr>
    <w:rPr>
      <w:kern w:val="0"/>
      <w:sz w:val="24"/>
    </w:rPr>
  </w:style>
  <w:style w:type="paragraph" w:customStyle="1" w:styleId="207">
    <w:name w:val="默认段落字体 Para Char Char Char Char"/>
    <w:basedOn w:val="1"/>
    <w:qFormat/>
    <w:uiPriority w:val="0"/>
    <w:rPr>
      <w:szCs w:val="20"/>
    </w:rPr>
  </w:style>
  <w:style w:type="paragraph" w:customStyle="1" w:styleId="208">
    <w:name w:val="註解方塊文字"/>
    <w:basedOn w:val="1"/>
    <w:qFormat/>
    <w:uiPriority w:val="0"/>
    <w:pPr>
      <w:widowControl/>
      <w:jc w:val="left"/>
    </w:pPr>
    <w:rPr>
      <w:rFonts w:ascii="Arial" w:hAnsi="Arial" w:eastAsia="PMingLiU"/>
      <w:kern w:val="0"/>
      <w:sz w:val="18"/>
      <w:szCs w:val="18"/>
    </w:rPr>
  </w:style>
  <w:style w:type="paragraph" w:customStyle="1" w:styleId="209">
    <w:name w:val="标题四"/>
    <w:basedOn w:val="210"/>
    <w:qFormat/>
    <w:uiPriority w:val="0"/>
    <w:pPr>
      <w:tabs>
        <w:tab w:val="left" w:pos="0"/>
      </w:tabs>
      <w:spacing w:line="360" w:lineRule="auto"/>
      <w:ind w:left="0"/>
    </w:pPr>
    <w:rPr>
      <w:rFonts w:ascii="Tahoma" w:hAnsi="Tahoma"/>
      <w:sz w:val="24"/>
      <w:szCs w:val="24"/>
    </w:rPr>
  </w:style>
  <w:style w:type="paragraph" w:customStyle="1" w:styleId="210">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11">
    <w:name w:val="font5"/>
    <w:basedOn w:val="1"/>
    <w:qFormat/>
    <w:uiPriority w:val="0"/>
    <w:pPr>
      <w:widowControl/>
      <w:spacing w:before="100" w:beforeAutospacing="1" w:after="100" w:afterAutospacing="1"/>
      <w:jc w:val="left"/>
    </w:pPr>
    <w:rPr>
      <w:b/>
      <w:bCs/>
      <w:kern w:val="0"/>
      <w:sz w:val="22"/>
      <w:szCs w:val="22"/>
    </w:rPr>
  </w:style>
  <w:style w:type="paragraph" w:customStyle="1" w:styleId="212">
    <w:name w:val="Char Char Char Char Char"/>
    <w:basedOn w:val="1"/>
    <w:qFormat/>
    <w:uiPriority w:val="0"/>
    <w:pPr>
      <w:ind w:firstLine="200" w:firstLineChars="200"/>
      <w:jc w:val="left"/>
    </w:pPr>
    <w:rPr>
      <w:rFonts w:ascii="Tahoma" w:hAnsi="Tahoma"/>
      <w:color w:val="7030A0"/>
      <w:sz w:val="24"/>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14">
    <w:name w:val="样式 标题 4 + 段前: 自动"/>
    <w:basedOn w:val="5"/>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15">
    <w:name w:val="顺序编号-zlb"/>
    <w:basedOn w:val="216"/>
    <w:qFormat/>
    <w:uiPriority w:val="0"/>
    <w:pPr>
      <w:tabs>
        <w:tab w:val="left" w:pos="0"/>
      </w:tabs>
      <w:ind w:firstLine="425"/>
      <w:outlineLvl w:val="8"/>
    </w:pPr>
  </w:style>
  <w:style w:type="paragraph" w:customStyle="1" w:styleId="216">
    <w:name w:val="级别4"/>
    <w:basedOn w:val="217"/>
    <w:qFormat/>
    <w:uiPriority w:val="0"/>
    <w:pPr>
      <w:tabs>
        <w:tab w:val="left" w:pos="0"/>
      </w:tabs>
      <w:outlineLvl w:val="3"/>
    </w:pPr>
    <w:rPr>
      <w:b w:val="0"/>
      <w:kern w:val="0"/>
    </w:rPr>
  </w:style>
  <w:style w:type="paragraph" w:customStyle="1" w:styleId="217">
    <w:name w:val="级别2"/>
    <w:basedOn w:val="3"/>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1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专用"/>
    <w:basedOn w:val="1"/>
    <w:qFormat/>
    <w:uiPriority w:val="0"/>
    <w:pPr>
      <w:spacing w:afterLines="100"/>
      <w:ind w:left="838" w:hanging="838" w:hangingChars="262"/>
    </w:pPr>
    <w:rPr>
      <w:rFonts w:ascii="宋体"/>
      <w:b/>
      <w:color w:val="000000"/>
      <w:sz w:val="32"/>
      <w:szCs w:val="20"/>
    </w:rPr>
  </w:style>
  <w:style w:type="paragraph" w:customStyle="1" w:styleId="22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2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23">
    <w:name w:val="Sub title 1"/>
    <w:basedOn w:val="203"/>
    <w:qFormat/>
    <w:uiPriority w:val="0"/>
    <w:pPr>
      <w:tabs>
        <w:tab w:val="left" w:pos="1304"/>
      </w:tabs>
      <w:ind w:left="1304" w:hanging="170"/>
    </w:pPr>
    <w:rPr>
      <w:color w:val="auto"/>
    </w:rPr>
  </w:style>
  <w:style w:type="paragraph" w:customStyle="1" w:styleId="22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5">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26">
    <w:name w:val="正缩2字符"/>
    <w:basedOn w:val="1"/>
    <w:qFormat/>
    <w:uiPriority w:val="0"/>
    <w:pPr>
      <w:spacing w:line="480" w:lineRule="exact"/>
      <w:ind w:firstLine="200" w:firstLineChars="200"/>
    </w:pPr>
    <w:rPr>
      <w:sz w:val="24"/>
    </w:rPr>
  </w:style>
  <w:style w:type="paragraph" w:customStyle="1" w:styleId="227">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2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2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级别3"/>
    <w:basedOn w:val="217"/>
    <w:qFormat/>
    <w:uiPriority w:val="0"/>
    <w:pPr>
      <w:ind w:firstLine="425"/>
      <w:outlineLvl w:val="2"/>
    </w:pPr>
    <w:rPr>
      <w:b w:val="0"/>
    </w:rPr>
  </w:style>
  <w:style w:type="paragraph" w:customStyle="1" w:styleId="23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33">
    <w:name w:val="样式 标题 3列表编号33 bulletb23 bullet1b1213 bullet2b2223 bul...2"/>
    <w:basedOn w:val="1"/>
    <w:qFormat/>
    <w:uiPriority w:val="0"/>
    <w:pPr>
      <w:ind w:left="1320" w:hanging="420" w:firstLineChars="200"/>
      <w:jc w:val="left"/>
    </w:pPr>
    <w:rPr>
      <w:color w:val="7030A0"/>
    </w:rPr>
  </w:style>
  <w:style w:type="paragraph" w:customStyle="1" w:styleId="234">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5">
    <w:name w:val="附图 BJ8"/>
    <w:basedOn w:val="1"/>
    <w:qFormat/>
    <w:uiPriority w:val="0"/>
    <w:pPr>
      <w:adjustRightInd w:val="0"/>
      <w:snapToGrid w:val="0"/>
      <w:ind w:firstLine="200" w:firstLineChars="200"/>
      <w:jc w:val="center"/>
    </w:pPr>
    <w:rPr>
      <w:rFonts w:hAnsi="Arial"/>
      <w:color w:val="7030A0"/>
      <w:kern w:val="0"/>
    </w:rPr>
  </w:style>
  <w:style w:type="paragraph" w:customStyle="1" w:styleId="236">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38">
    <w:name w:val="Report Level 1"/>
    <w:basedOn w:val="1"/>
    <w:next w:val="23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9">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40">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1">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级别5"/>
    <w:basedOn w:val="216"/>
    <w:qFormat/>
    <w:uiPriority w:val="0"/>
    <w:pPr>
      <w:outlineLvl w:val="4"/>
    </w:pPr>
  </w:style>
  <w:style w:type="paragraph" w:customStyle="1" w:styleId="24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46">
    <w:name w:val="级别1"/>
    <w:basedOn w:val="3"/>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47">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48">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49">
    <w:name w:val="标准"/>
    <w:basedOn w:val="1"/>
    <w:qFormat/>
    <w:uiPriority w:val="0"/>
    <w:pPr>
      <w:adjustRightInd w:val="0"/>
      <w:spacing w:line="312" w:lineRule="atLeast"/>
      <w:jc w:val="center"/>
      <w:textAlignment w:val="baseline"/>
    </w:pPr>
    <w:rPr>
      <w:kern w:val="24"/>
      <w:sz w:val="24"/>
    </w:rPr>
  </w:style>
  <w:style w:type="paragraph" w:customStyle="1" w:styleId="250">
    <w:name w:val="1.1"/>
    <w:basedOn w:val="4"/>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51">
    <w:name w:val="Char Char Char Char"/>
    <w:basedOn w:val="7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52">
    <w:name w:val="样式 标题2 + 字距调整8 磅"/>
    <w:qFormat/>
    <w:uiPriority w:val="0"/>
    <w:rPr>
      <w:rFonts w:ascii="Times New Roman" w:hAnsi="Times New Roman" w:eastAsia="宋体" w:cs="Times New Roman"/>
      <w:kern w:val="16"/>
      <w:lang w:val="en-US" w:eastAsia="zh-CN" w:bidi="ar-SA"/>
    </w:rPr>
  </w:style>
  <w:style w:type="paragraph" w:customStyle="1" w:styleId="253">
    <w:name w:val="Char Char Char Char Char Char1 Char Char Char Char"/>
    <w:basedOn w:val="1"/>
    <w:qFormat/>
    <w:uiPriority w:val="0"/>
    <w:rPr>
      <w:rFonts w:ascii="仿宋_GB2312" w:eastAsia="仿宋_GB2312"/>
      <w:b/>
      <w:sz w:val="32"/>
      <w:szCs w:val="32"/>
    </w:rPr>
  </w:style>
  <w:style w:type="paragraph" w:customStyle="1" w:styleId="254">
    <w:name w:val="xl32"/>
    <w:basedOn w:val="1"/>
    <w:qFormat/>
    <w:uiPriority w:val="0"/>
    <w:pPr>
      <w:widowControl/>
      <w:spacing w:before="100" w:beforeAutospacing="1" w:after="100" w:afterAutospacing="1"/>
      <w:jc w:val="center"/>
    </w:pPr>
    <w:rPr>
      <w:b/>
      <w:bCs/>
      <w:kern w:val="0"/>
      <w:sz w:val="24"/>
      <w:u w:val="single"/>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5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级别6"/>
    <w:basedOn w:val="244"/>
    <w:qFormat/>
    <w:uiPriority w:val="0"/>
    <w:pPr>
      <w:tabs>
        <w:tab w:val="left" w:pos="405"/>
      </w:tabs>
      <w:ind w:left="409" w:hanging="23"/>
      <w:outlineLvl w:val="5"/>
    </w:pPr>
  </w:style>
  <w:style w:type="paragraph" w:customStyle="1" w:styleId="25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1">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3">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264">
    <w:name w:val="一"/>
    <w:basedOn w:val="3"/>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6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66">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6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9">
    <w:name w:val="三点段 Char"/>
    <w:basedOn w:val="1"/>
    <w:qFormat/>
    <w:uiPriority w:val="0"/>
    <w:pPr>
      <w:spacing w:line="360" w:lineRule="auto"/>
      <w:ind w:left="1200" w:hanging="1200" w:hangingChars="500"/>
    </w:pPr>
    <w:rPr>
      <w:rFonts w:hint="eastAsia" w:ascii="宋体"/>
      <w:sz w:val="24"/>
    </w:rPr>
  </w:style>
  <w:style w:type="paragraph" w:customStyle="1" w:styleId="270">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71">
    <w:name w:val="小标题一"/>
    <w:basedOn w:val="1"/>
    <w:next w:val="1"/>
    <w:qFormat/>
    <w:uiPriority w:val="0"/>
    <w:pPr>
      <w:tabs>
        <w:tab w:val="left" w:pos="1080"/>
      </w:tabs>
      <w:spacing w:line="500" w:lineRule="exact"/>
      <w:ind w:left="1080" w:hanging="1080"/>
    </w:pPr>
    <w:rPr>
      <w:sz w:val="28"/>
      <w:szCs w:val="20"/>
    </w:rPr>
  </w:style>
  <w:style w:type="paragraph" w:customStyle="1" w:styleId="272">
    <w:name w:val="Char"/>
    <w:basedOn w:val="1"/>
    <w:qFormat/>
    <w:uiPriority w:val="0"/>
    <w:rPr>
      <w:rFonts w:ascii="仿宋_GB2312" w:eastAsia="仿宋_GB2312"/>
      <w:b/>
      <w:sz w:val="32"/>
      <w:szCs w:val="32"/>
    </w:rPr>
  </w:style>
  <w:style w:type="paragraph" w:customStyle="1" w:styleId="273">
    <w:name w:val="文档正文"/>
    <w:basedOn w:val="1"/>
    <w:qFormat/>
    <w:uiPriority w:val="0"/>
    <w:pPr>
      <w:spacing w:line="360" w:lineRule="auto"/>
      <w:ind w:firstLine="200" w:firstLineChars="200"/>
    </w:pPr>
    <w:rPr>
      <w:rFonts w:ascii="宋体" w:hAnsi="宋体"/>
      <w:sz w:val="24"/>
    </w:rPr>
  </w:style>
  <w:style w:type="paragraph" w:customStyle="1" w:styleId="274">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75">
    <w:name w:val="合同书"/>
    <w:basedOn w:val="1"/>
    <w:qFormat/>
    <w:uiPriority w:val="0"/>
    <w:pPr>
      <w:spacing w:afterLines="100"/>
      <w:jc w:val="center"/>
    </w:pPr>
    <w:rPr>
      <w:rFonts w:hAnsi="宋体"/>
      <w:b/>
      <w:color w:val="000000"/>
      <w:sz w:val="44"/>
      <w:szCs w:val="44"/>
    </w:rPr>
  </w:style>
  <w:style w:type="paragraph" w:customStyle="1" w:styleId="2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78">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7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0">
    <w:name w:val="样式 目录 1 + 左侧:  3 字符"/>
    <w:basedOn w:val="3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81">
    <w:name w:val="章节标题 BJ8"/>
    <w:basedOn w:val="139"/>
    <w:next w:val="139"/>
    <w:qFormat/>
    <w:uiPriority w:val="0"/>
    <w:pPr>
      <w:ind w:firstLine="0" w:firstLineChars="0"/>
      <w:jc w:val="center"/>
    </w:pPr>
    <w:rPr>
      <w:rFonts w:eastAsia="黑体"/>
      <w:b/>
      <w:sz w:val="44"/>
      <w:szCs w:val="84"/>
    </w:rPr>
  </w:style>
  <w:style w:type="paragraph" w:customStyle="1" w:styleId="28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3">
    <w:name w:val="表格"/>
    <w:basedOn w:val="1"/>
    <w:qFormat/>
    <w:uiPriority w:val="0"/>
    <w:pPr>
      <w:widowControl/>
      <w:snapToGrid w:val="0"/>
      <w:spacing w:before="60" w:after="60"/>
      <w:jc w:val="left"/>
    </w:pPr>
    <w:rPr>
      <w:rFonts w:ascii="宋体"/>
      <w:sz w:val="20"/>
      <w:szCs w:val="20"/>
    </w:rPr>
  </w:style>
  <w:style w:type="paragraph" w:customStyle="1" w:styleId="28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89">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0">
    <w:name w:val="青岛正文"/>
    <w:basedOn w:val="1"/>
    <w:qFormat/>
    <w:uiPriority w:val="0"/>
    <w:pPr>
      <w:spacing w:line="360" w:lineRule="auto"/>
    </w:pPr>
    <w:rPr>
      <w:sz w:val="28"/>
    </w:rPr>
  </w:style>
  <w:style w:type="paragraph" w:customStyle="1" w:styleId="291">
    <w:name w:val="样式 样式 列表框 Char Char Char Char Char + 右侧:  -0.05 字符 段后: 0.5 行 + 右..."/>
    <w:basedOn w:val="292"/>
    <w:qFormat/>
    <w:uiPriority w:val="0"/>
    <w:pPr>
      <w:tabs>
        <w:tab w:val="left" w:pos="375"/>
        <w:tab w:val="left" w:pos="630"/>
      </w:tabs>
    </w:pPr>
  </w:style>
  <w:style w:type="paragraph" w:customStyle="1" w:styleId="292">
    <w:name w:val="样式 列表框 Char Char Char Char Char + 右侧:  -0.05 字符 段后: 0.5 行"/>
    <w:basedOn w:val="175"/>
    <w:qFormat/>
    <w:uiPriority w:val="0"/>
    <w:pPr>
      <w:tabs>
        <w:tab w:val="left" w:pos="375"/>
        <w:tab w:val="clear" w:pos="450"/>
        <w:tab w:val="clear" w:pos="874"/>
      </w:tabs>
      <w:ind w:left="0" w:firstLine="0"/>
    </w:pPr>
    <w:rPr>
      <w:szCs w:val="20"/>
    </w:rPr>
  </w:style>
  <w:style w:type="paragraph" w:customStyle="1" w:styleId="293">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94">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95">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7">
    <w:name w:val="修订1"/>
    <w:qFormat/>
    <w:uiPriority w:val="0"/>
    <w:rPr>
      <w:rFonts w:ascii="Times New Roman" w:hAnsi="Times New Roman" w:eastAsia="宋体" w:cs="Times New Roman"/>
      <w:kern w:val="2"/>
      <w:sz w:val="21"/>
      <w:lang w:val="en-US" w:eastAsia="zh-CN" w:bidi="ar-SA"/>
    </w:rPr>
  </w:style>
  <w:style w:type="paragraph" w:customStyle="1" w:styleId="298">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99">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0">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01">
    <w:name w:val="样式 标题 2标题 1.1编号标题2head:2#2 headlinehheadlineS&amp;R2ERMH2He..."/>
    <w:basedOn w:val="4"/>
    <w:qFormat/>
    <w:uiPriority w:val="0"/>
    <w:pPr>
      <w:spacing w:before="120" w:after="120" w:line="500" w:lineRule="exact"/>
      <w:jc w:val="left"/>
    </w:pPr>
    <w:rPr>
      <w:rFonts w:cs="宋体"/>
      <w:color w:val="C00000"/>
      <w:kern w:val="44"/>
      <w:sz w:val="28"/>
      <w:szCs w:val="20"/>
    </w:rPr>
  </w:style>
  <w:style w:type="paragraph" w:customStyle="1" w:styleId="302">
    <w:name w:val="章节标题 QD3"/>
    <w:basedOn w:val="138"/>
    <w:next w:val="138"/>
    <w:qFormat/>
    <w:uiPriority w:val="0"/>
    <w:pPr>
      <w:ind w:firstLine="0" w:firstLineChars="0"/>
      <w:jc w:val="center"/>
    </w:pPr>
    <w:rPr>
      <w:rFonts w:eastAsia="黑体"/>
      <w:b/>
      <w:sz w:val="44"/>
      <w:szCs w:val="84"/>
    </w:rPr>
  </w:style>
  <w:style w:type="paragraph" w:customStyle="1" w:styleId="303">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04">
    <w:name w:val="xiao b"/>
    <w:basedOn w:val="1"/>
    <w:qFormat/>
    <w:uiPriority w:val="0"/>
    <w:pPr>
      <w:ind w:firstLine="200" w:firstLineChars="200"/>
      <w:jc w:val="center"/>
    </w:pPr>
    <w:rPr>
      <w:rFonts w:eastAsia="黑体"/>
      <w:color w:val="7030A0"/>
      <w:sz w:val="24"/>
      <w:szCs w:val="20"/>
    </w:rPr>
  </w:style>
  <w:style w:type="paragraph" w:customStyle="1" w:styleId="305">
    <w:name w:val="样式 标题 4 + 加粗"/>
    <w:basedOn w:val="5"/>
    <w:qFormat/>
    <w:uiPriority w:val="0"/>
    <w:pPr>
      <w:spacing w:before="120" w:after="0" w:line="240" w:lineRule="auto"/>
      <w:jc w:val="left"/>
    </w:pPr>
    <w:rPr>
      <w:rFonts w:ascii="Times New Roman" w:hAnsi="Times New Roman"/>
      <w:b w:val="0"/>
      <w:color w:val="00B050"/>
      <w:sz w:val="24"/>
    </w:rPr>
  </w:style>
  <w:style w:type="paragraph" w:customStyle="1" w:styleId="306">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7">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08">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9">
    <w:name w:val="正文2"/>
    <w:basedOn w:val="19"/>
    <w:qFormat/>
    <w:uiPriority w:val="0"/>
    <w:pPr>
      <w:ind w:firstLine="480" w:firstLineChars="200"/>
      <w:jc w:val="left"/>
    </w:pPr>
    <w:rPr>
      <w:rFonts w:ascii="宋体"/>
      <w:color w:val="7030A0"/>
    </w:rPr>
  </w:style>
  <w:style w:type="paragraph" w:customStyle="1" w:styleId="310">
    <w:name w:val="列表框1"/>
    <w:basedOn w:val="248"/>
    <w:next w:val="248"/>
    <w:qFormat/>
    <w:uiPriority w:val="0"/>
    <w:pPr>
      <w:tabs>
        <w:tab w:val="left" w:pos="960"/>
        <w:tab w:val="left" w:pos="1314"/>
      </w:tabs>
      <w:snapToGrid w:val="0"/>
      <w:ind w:left="1328" w:leftChars="397" w:hanging="375" w:hangingChars="163"/>
    </w:pPr>
    <w:rPr>
      <w:rFonts w:cs="Arial"/>
    </w:rPr>
  </w:style>
  <w:style w:type="paragraph" w:customStyle="1" w:styleId="311">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2">
    <w:name w:val="五级"/>
    <w:basedOn w:val="4"/>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13">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14">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5">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16">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1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18">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9">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20">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21">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23">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24">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25">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2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27">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9">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0">
    <w:name w:val="样式 目录 1"/>
    <w:basedOn w:val="3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31">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32">
    <w:name w:val="样式 样式 样式 宋体 小四 左侧:  1.85 厘米 段前: 11.15 磅 段后: 11.15 磅 + 图案: 清除 (白色..."/>
    <w:basedOn w:val="228"/>
    <w:qFormat/>
    <w:uiPriority w:val="0"/>
    <w:pPr>
      <w:spacing w:beforeLines="50" w:afterLines="50"/>
      <w:ind w:left="318"/>
    </w:pPr>
    <w:rPr>
      <w:szCs w:val="20"/>
    </w:rPr>
  </w:style>
  <w:style w:type="paragraph" w:customStyle="1" w:styleId="333">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34">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35">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36">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37">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38">
    <w:name w:val="三级条标题"/>
    <w:basedOn w:val="339"/>
    <w:next w:val="1"/>
    <w:qFormat/>
    <w:uiPriority w:val="0"/>
    <w:pPr>
      <w:tabs>
        <w:tab w:val="left" w:pos="425"/>
      </w:tabs>
      <w:outlineLvl w:val="4"/>
    </w:pPr>
  </w:style>
  <w:style w:type="paragraph" w:customStyle="1" w:styleId="339">
    <w:name w:val="二级条标题"/>
    <w:basedOn w:val="335"/>
    <w:next w:val="1"/>
    <w:qFormat/>
    <w:uiPriority w:val="0"/>
    <w:pPr>
      <w:tabs>
        <w:tab w:val="clear" w:pos="525"/>
      </w:tabs>
      <w:ind w:firstLine="0" w:firstLineChars="0"/>
      <w:outlineLvl w:val="3"/>
    </w:pPr>
  </w:style>
  <w:style w:type="paragraph" w:customStyle="1" w:styleId="340">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41">
    <w:name w:val="四级条标题"/>
    <w:basedOn w:val="338"/>
    <w:next w:val="1"/>
    <w:qFormat/>
    <w:uiPriority w:val="0"/>
    <w:pPr>
      <w:outlineLvl w:val="5"/>
    </w:pPr>
  </w:style>
  <w:style w:type="paragraph" w:customStyle="1" w:styleId="342">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4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44">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5">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46">
    <w:name w:val="Report Level 2"/>
    <w:basedOn w:val="238"/>
    <w:next w:val="239"/>
    <w:qFormat/>
    <w:uiPriority w:val="0"/>
    <w:pPr>
      <w:tabs>
        <w:tab w:val="left" w:pos="1500"/>
        <w:tab w:val="clear" w:pos="1080"/>
      </w:tabs>
      <w:ind w:left="1500"/>
      <w:outlineLvl w:val="1"/>
    </w:pPr>
    <w:rPr>
      <w:caps w:val="0"/>
    </w:rPr>
  </w:style>
  <w:style w:type="paragraph" w:customStyle="1" w:styleId="347">
    <w:name w:val="Report Level 3"/>
    <w:basedOn w:val="238"/>
    <w:next w:val="239"/>
    <w:qFormat/>
    <w:uiPriority w:val="0"/>
    <w:pPr>
      <w:tabs>
        <w:tab w:val="left" w:pos="1889"/>
        <w:tab w:val="clear" w:pos="1080"/>
      </w:tabs>
      <w:spacing w:before="120"/>
      <w:ind w:left="1889" w:hanging="420"/>
      <w:outlineLvl w:val="2"/>
    </w:pPr>
    <w:rPr>
      <w:caps w:val="0"/>
      <w:sz w:val="20"/>
    </w:rPr>
  </w:style>
  <w:style w:type="paragraph" w:customStyle="1" w:styleId="348">
    <w:name w:val="Report Level 4"/>
    <w:basedOn w:val="347"/>
    <w:next w:val="239"/>
    <w:qFormat/>
    <w:uiPriority w:val="0"/>
    <w:pPr>
      <w:tabs>
        <w:tab w:val="left" w:pos="720"/>
        <w:tab w:val="left" w:pos="2309"/>
        <w:tab w:val="clear" w:pos="1889"/>
      </w:tabs>
      <w:ind w:left="720" w:hanging="720"/>
      <w:outlineLvl w:val="3"/>
    </w:pPr>
    <w:rPr>
      <w:rFonts w:ascii="Times New Roman" w:hAnsi="Times New Roman"/>
    </w:rPr>
  </w:style>
  <w:style w:type="paragraph" w:customStyle="1" w:styleId="349">
    <w:name w:val="样式3"/>
    <w:basedOn w:val="2"/>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0">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51">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52">
    <w:name w:val="表格文字格式"/>
    <w:basedOn w:val="1"/>
    <w:qFormat/>
    <w:uiPriority w:val="0"/>
    <w:pPr>
      <w:snapToGrid w:val="0"/>
      <w:jc w:val="center"/>
    </w:pPr>
    <w:rPr>
      <w:rFonts w:cs="宋体"/>
      <w:szCs w:val="20"/>
    </w:rPr>
  </w:style>
  <w:style w:type="paragraph" w:customStyle="1" w:styleId="353">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4">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55">
    <w:name w:val="五级条标题"/>
    <w:basedOn w:val="341"/>
    <w:next w:val="1"/>
    <w:qFormat/>
    <w:uiPriority w:val="0"/>
    <w:pPr>
      <w:outlineLvl w:val="6"/>
    </w:pPr>
  </w:style>
  <w:style w:type="paragraph" w:customStyle="1" w:styleId="356">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7">
    <w:name w:val="註解方塊文字2"/>
    <w:basedOn w:val="1"/>
    <w:qFormat/>
    <w:uiPriority w:val="0"/>
    <w:rPr>
      <w:rFonts w:ascii="Arial" w:hAnsi="Arial" w:eastAsia="PMingLiU"/>
      <w:color w:val="7030A0"/>
      <w:sz w:val="18"/>
      <w:szCs w:val="18"/>
    </w:rPr>
  </w:style>
  <w:style w:type="paragraph" w:customStyle="1" w:styleId="358">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59">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三级标题格式"/>
    <w:basedOn w:val="2"/>
    <w:qFormat/>
    <w:uiPriority w:val="0"/>
    <w:pPr>
      <w:spacing w:before="0" w:afterLines="100" w:line="240" w:lineRule="auto"/>
      <w:jc w:val="left"/>
    </w:pPr>
    <w:rPr>
      <w:rFonts w:eastAsia="黑体"/>
      <w:b w:val="0"/>
      <w:sz w:val="28"/>
      <w:szCs w:val="28"/>
    </w:rPr>
  </w:style>
  <w:style w:type="paragraph" w:customStyle="1" w:styleId="361">
    <w:name w:val="正文缩进11"/>
    <w:basedOn w:val="1"/>
    <w:link w:val="420"/>
    <w:qFormat/>
    <w:uiPriority w:val="0"/>
    <w:pPr>
      <w:spacing w:line="360" w:lineRule="auto"/>
      <w:ind w:firstLine="420"/>
    </w:pPr>
  </w:style>
  <w:style w:type="paragraph" w:customStyle="1" w:styleId="362">
    <w:name w:val="图文"/>
    <w:basedOn w:val="1"/>
    <w:qFormat/>
    <w:uiPriority w:val="0"/>
    <w:pPr>
      <w:adjustRightInd w:val="0"/>
      <w:snapToGrid w:val="0"/>
      <w:spacing w:after="50" w:line="360" w:lineRule="auto"/>
    </w:pPr>
    <w:rPr>
      <w:sz w:val="24"/>
    </w:rPr>
  </w:style>
  <w:style w:type="character" w:customStyle="1" w:styleId="363">
    <w:name w:val="页码1"/>
    <w:basedOn w:val="42"/>
    <w:qFormat/>
    <w:uiPriority w:val="0"/>
  </w:style>
  <w:style w:type="character" w:customStyle="1" w:styleId="364">
    <w:name w:val="批注框文本 Char Char Char Char"/>
    <w:link w:val="99"/>
    <w:semiHidden/>
    <w:qFormat/>
    <w:uiPriority w:val="0"/>
    <w:rPr>
      <w:rFonts w:ascii="Times New Roman" w:hAnsi="Times New Roman" w:eastAsia="宋体" w:cs="Times New Roman"/>
      <w:sz w:val="18"/>
      <w:szCs w:val="18"/>
    </w:rPr>
  </w:style>
  <w:style w:type="character" w:customStyle="1" w:styleId="365">
    <w:name w:val="HTML 打字机1"/>
    <w:qFormat/>
    <w:uiPriority w:val="0"/>
    <w:rPr>
      <w:rFonts w:ascii="黑体" w:hAnsi="Courier New" w:eastAsia="黑体" w:cs="Courier New"/>
      <w:sz w:val="20"/>
      <w:szCs w:val="20"/>
    </w:rPr>
  </w:style>
  <w:style w:type="character" w:customStyle="1" w:styleId="366">
    <w:name w:val="批注引用1"/>
    <w:qFormat/>
    <w:uiPriority w:val="0"/>
    <w:rPr>
      <w:sz w:val="21"/>
      <w:szCs w:val="21"/>
    </w:rPr>
  </w:style>
  <w:style w:type="character" w:customStyle="1" w:styleId="367">
    <w:name w:val="四级标题格式 Char Char"/>
    <w:link w:val="123"/>
    <w:semiHidden/>
    <w:qFormat/>
    <w:uiPriority w:val="0"/>
    <w:rPr>
      <w:rFonts w:ascii="Times New Roman" w:hAnsi="Times New Roman" w:eastAsia="黑体"/>
      <w:bCs/>
      <w:kern w:val="2"/>
      <w:sz w:val="28"/>
      <w:szCs w:val="28"/>
    </w:rPr>
  </w:style>
  <w:style w:type="character" w:customStyle="1" w:styleId="368">
    <w:name w:val="标题 5 字符"/>
    <w:link w:val="6"/>
    <w:qFormat/>
    <w:uiPriority w:val="0"/>
    <w:rPr>
      <w:rFonts w:ascii="Times New Roman" w:hAnsi="Times New Roman"/>
      <w:b/>
      <w:kern w:val="2"/>
      <w:sz w:val="28"/>
    </w:rPr>
  </w:style>
  <w:style w:type="character" w:customStyle="1" w:styleId="369">
    <w:name w:val="样式 标题 31.1条标题1.1.1二级节名h3Heading 3 - oldheading 3H3H31H3... Char Char"/>
    <w:qFormat/>
    <w:uiPriority w:val="0"/>
    <w:rPr>
      <w:rFonts w:ascii="宋体" w:hAnsi="宋体" w:eastAsia="黑体"/>
      <w:kern w:val="2"/>
      <w:sz w:val="24"/>
      <w:szCs w:val="21"/>
    </w:rPr>
  </w:style>
  <w:style w:type="character" w:customStyle="1" w:styleId="370">
    <w:name w:val="标题3 Char Char"/>
    <w:link w:val="124"/>
    <w:semiHidden/>
    <w:qFormat/>
    <w:uiPriority w:val="0"/>
    <w:rPr>
      <w:rFonts w:ascii="宋体" w:hAnsi="宋体"/>
      <w:b/>
      <w:bCs/>
      <w:color w:val="92D050"/>
      <w:kern w:val="44"/>
      <w:sz w:val="24"/>
      <w:szCs w:val="21"/>
    </w:rPr>
  </w:style>
  <w:style w:type="character" w:customStyle="1" w:styleId="371">
    <w:name w:val="selected"/>
    <w:qFormat/>
    <w:uiPriority w:val="0"/>
    <w:rPr>
      <w:shd w:val="clear" w:color="auto" w:fill="B00006"/>
    </w:rPr>
  </w:style>
  <w:style w:type="character" w:customStyle="1" w:styleId="372">
    <w:name w:val="样式 宋体 行距: 固定值 24 磅 Char Char"/>
    <w:link w:val="125"/>
    <w:semiHidden/>
    <w:qFormat/>
    <w:uiPriority w:val="0"/>
    <w:rPr>
      <w:rFonts w:ascii="宋体" w:cs="宋体"/>
      <w:color w:val="7030A0"/>
      <w:kern w:val="2"/>
      <w:sz w:val="28"/>
    </w:rPr>
  </w:style>
  <w:style w:type="character" w:customStyle="1" w:styleId="373">
    <w:name w:val="样式 首行缩进:  2 字符 Char1"/>
    <w:link w:val="126"/>
    <w:semiHidden/>
    <w:qFormat/>
    <w:uiPriority w:val="0"/>
    <w:rPr>
      <w:rFonts w:ascii="Times New Roman" w:hAnsi="Times New Roman"/>
      <w:color w:val="7030A0"/>
      <w:kern w:val="2"/>
      <w:sz w:val="24"/>
    </w:rPr>
  </w:style>
  <w:style w:type="character" w:customStyle="1" w:styleId="374">
    <w:name w:val="日期 Char1"/>
    <w:qFormat/>
    <w:uiPriority w:val="0"/>
    <w:rPr>
      <w:rFonts w:ascii="Times New Roman" w:hAnsi="Times New Roman"/>
      <w:kern w:val="2"/>
      <w:sz w:val="21"/>
      <w:szCs w:val="24"/>
    </w:rPr>
  </w:style>
  <w:style w:type="character" w:customStyle="1" w:styleId="375">
    <w:name w:val="正文－wjnew Char Char"/>
    <w:link w:val="127"/>
    <w:semiHidden/>
    <w:qFormat/>
    <w:uiPriority w:val="0"/>
    <w:rPr>
      <w:rFonts w:ascii="宋体" w:cs="宋体"/>
      <w:kern w:val="2"/>
      <w:sz w:val="21"/>
      <w:szCs w:val="21"/>
    </w:rPr>
  </w:style>
  <w:style w:type="character" w:customStyle="1" w:styleId="376">
    <w:name w:val="标题 4 Char1"/>
    <w:qFormat/>
    <w:uiPriority w:val="0"/>
    <w:rPr>
      <w:rFonts w:ascii="宋体" w:hAnsi="宋体"/>
      <w:b/>
      <w:bCs/>
      <w:kern w:val="2"/>
      <w:sz w:val="21"/>
    </w:rPr>
  </w:style>
  <w:style w:type="character" w:customStyle="1" w:styleId="377">
    <w:name w:val="(1) Char Char"/>
    <w:link w:val="128"/>
    <w:semiHidden/>
    <w:qFormat/>
    <w:uiPriority w:val="0"/>
    <w:rPr>
      <w:rFonts w:ascii="宋体" w:hAnsi="宋体"/>
      <w:kern w:val="2"/>
      <w:sz w:val="24"/>
      <w:szCs w:val="24"/>
    </w:rPr>
  </w:style>
  <w:style w:type="character" w:customStyle="1" w:styleId="378">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79">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80">
    <w:name w:val="正文 BJ15 Char Char"/>
    <w:link w:val="129"/>
    <w:semiHidden/>
    <w:qFormat/>
    <w:uiPriority w:val="0"/>
    <w:rPr>
      <w:rFonts w:ascii="Times New Roman" w:hAnsi="Times New Roman"/>
      <w:kern w:val="2"/>
      <w:sz w:val="24"/>
      <w:szCs w:val="24"/>
    </w:rPr>
  </w:style>
  <w:style w:type="character" w:customStyle="1" w:styleId="381">
    <w:name w:val="纯文本 Char Char"/>
    <w:qFormat/>
    <w:uiPriority w:val="0"/>
    <w:rPr>
      <w:rFonts w:ascii="宋体" w:hAnsi="Courier New" w:eastAsia="宋体" w:cs="Century"/>
      <w:kern w:val="2"/>
      <w:sz w:val="21"/>
      <w:szCs w:val="21"/>
      <w:lang w:val="en-US" w:eastAsia="zh-CN" w:bidi="ar-SA"/>
    </w:rPr>
  </w:style>
  <w:style w:type="character" w:customStyle="1" w:styleId="382">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3">
    <w:name w:val="1.1 Char Char"/>
    <w:qFormat/>
    <w:uiPriority w:val="0"/>
    <w:rPr>
      <w:rFonts w:ascii="宋体" w:eastAsia="宋体"/>
      <w:b/>
      <w:bCs/>
      <w:kern w:val="2"/>
      <w:sz w:val="24"/>
      <w:szCs w:val="32"/>
      <w:lang w:val="en-US" w:eastAsia="zh-CN" w:bidi="ar-SA"/>
    </w:rPr>
  </w:style>
  <w:style w:type="character" w:customStyle="1" w:styleId="384">
    <w:name w:val="正文文本 Char1"/>
    <w:qFormat/>
    <w:uiPriority w:val="0"/>
    <w:rPr>
      <w:rFonts w:ascii="Times New Roman" w:hAnsi="Times New Roman"/>
      <w:kern w:val="2"/>
      <w:sz w:val="24"/>
    </w:rPr>
  </w:style>
  <w:style w:type="character" w:customStyle="1" w:styleId="385">
    <w:name w:val="普通文字 Char Char"/>
    <w:qFormat/>
    <w:uiPriority w:val="0"/>
    <w:rPr>
      <w:rFonts w:ascii="宋体" w:hAnsi="Courier New" w:eastAsia="宋体"/>
      <w:kern w:val="2"/>
      <w:sz w:val="21"/>
      <w:lang w:val="en-US" w:eastAsia="zh-CN" w:bidi="ar-SA"/>
    </w:rPr>
  </w:style>
  <w:style w:type="character" w:customStyle="1" w:styleId="386">
    <w:name w:val="样式 二号 红色 边框:: (单实线 自动设置  0.5 磅 行宽)"/>
    <w:qFormat/>
    <w:uiPriority w:val="0"/>
    <w:rPr>
      <w:rFonts w:eastAsia="宋体"/>
      <w:color w:val="0000FF"/>
      <w:sz w:val="44"/>
      <w:bdr w:val="single" w:color="0000FF" w:sz="4" w:space="0"/>
    </w:rPr>
  </w:style>
  <w:style w:type="character" w:customStyle="1" w:styleId="387">
    <w:name w:val="displayarti"/>
    <w:qFormat/>
    <w:uiPriority w:val="0"/>
    <w:rPr>
      <w:color w:val="FFFFFF"/>
      <w:shd w:val="clear" w:color="auto" w:fill="A00000"/>
    </w:rPr>
  </w:style>
  <w:style w:type="character" w:customStyle="1" w:styleId="388">
    <w:name w:val="正文－zlb Char Char"/>
    <w:link w:val="130"/>
    <w:semiHidden/>
    <w:qFormat/>
    <w:uiPriority w:val="0"/>
    <w:rPr>
      <w:rFonts w:ascii="宋体" w:cs="宋体"/>
      <w:kern w:val="2"/>
      <w:sz w:val="24"/>
      <w:szCs w:val="24"/>
    </w:rPr>
  </w:style>
  <w:style w:type="character" w:customStyle="1" w:styleId="389">
    <w:name w:val="Char Char11"/>
    <w:qFormat/>
    <w:uiPriority w:val="0"/>
    <w:rPr>
      <w:rFonts w:eastAsia="宋体"/>
      <w:b/>
      <w:bCs/>
      <w:kern w:val="2"/>
      <w:sz w:val="24"/>
      <w:szCs w:val="24"/>
      <w:lang w:val="en-US" w:eastAsia="zh-CN" w:bidi="ar-SA"/>
    </w:rPr>
  </w:style>
  <w:style w:type="character" w:customStyle="1" w:styleId="390">
    <w:name w:val="正文（首行缩进两字） Char"/>
    <w:qFormat/>
    <w:uiPriority w:val="0"/>
    <w:rPr>
      <w:rFonts w:eastAsia="宋体"/>
      <w:sz w:val="32"/>
      <w:lang w:val="en-US" w:eastAsia="zh-CN" w:bidi="ar-SA"/>
    </w:rPr>
  </w:style>
  <w:style w:type="character" w:customStyle="1" w:styleId="391">
    <w:name w:val="b Char"/>
    <w:qFormat/>
    <w:uiPriority w:val="0"/>
    <w:rPr>
      <w:rFonts w:eastAsia="宋体"/>
      <w:b/>
      <w:bCs/>
      <w:kern w:val="2"/>
      <w:sz w:val="28"/>
      <w:szCs w:val="28"/>
      <w:lang w:val="en-US" w:eastAsia="zh-CN" w:bidi="ar-SA"/>
    </w:rPr>
  </w:style>
  <w:style w:type="character" w:customStyle="1" w:styleId="392">
    <w:name w:val="正文段落格式 Char Char"/>
    <w:qFormat/>
    <w:uiPriority w:val="0"/>
    <w:rPr>
      <w:rFonts w:cs="宋体"/>
      <w:color w:val="7030A0"/>
      <w:kern w:val="2"/>
      <w:sz w:val="24"/>
    </w:rPr>
  </w:style>
  <w:style w:type="character" w:customStyle="1" w:styleId="393">
    <w:name w:val="图表标题 BJ8 Char Char"/>
    <w:link w:val="131"/>
    <w:semiHidden/>
    <w:qFormat/>
    <w:uiPriority w:val="0"/>
    <w:rPr>
      <w:rFonts w:ascii="Times New Roman" w:hAnsi="Times New Roman" w:eastAsia="黑体"/>
      <w:kern w:val="2"/>
      <w:sz w:val="24"/>
    </w:rPr>
  </w:style>
  <w:style w:type="character" w:customStyle="1" w:styleId="394">
    <w:name w:val="应答文本 Char Char"/>
    <w:qFormat/>
    <w:uiPriority w:val="0"/>
    <w:rPr>
      <w:rFonts w:ascii="Arial" w:hAnsi="Arial" w:eastAsia="楷体_GB2312" w:cs="宋体"/>
      <w:spacing w:val="10"/>
      <w:sz w:val="21"/>
      <w:lang w:val="en-US" w:eastAsia="zh-CN" w:bidi="ar-SA"/>
    </w:rPr>
  </w:style>
  <w:style w:type="character" w:customStyle="1" w:styleId="395">
    <w:name w:val="列表框2 Char Char"/>
    <w:link w:val="132"/>
    <w:semiHidden/>
    <w:qFormat/>
    <w:uiPriority w:val="0"/>
    <w:rPr>
      <w:color w:val="7030A0"/>
      <w:spacing w:val="10"/>
      <w:sz w:val="24"/>
      <w:szCs w:val="24"/>
    </w:rPr>
  </w:style>
  <w:style w:type="character" w:customStyle="1" w:styleId="396">
    <w:name w:val="sub-dash Char"/>
    <w:qFormat/>
    <w:uiPriority w:val="0"/>
    <w:rPr>
      <w:rFonts w:ascii="Arial" w:hAnsi="Arial" w:eastAsia="黑体"/>
      <w:b/>
      <w:bCs/>
      <w:kern w:val="2"/>
      <w:sz w:val="24"/>
      <w:szCs w:val="24"/>
      <w:lang w:val="en-US" w:eastAsia="zh-CN" w:bidi="ar-SA"/>
    </w:rPr>
  </w:style>
  <w:style w:type="character" w:customStyle="1" w:styleId="397">
    <w:name w:val="五级标题格式 Char Char"/>
    <w:link w:val="133"/>
    <w:semiHidden/>
    <w:qFormat/>
    <w:uiPriority w:val="0"/>
    <w:rPr>
      <w:rFonts w:ascii="Times New Roman" w:hAnsi="Times New Roman"/>
      <w:b/>
      <w:bCs/>
      <w:kern w:val="2"/>
      <w:sz w:val="24"/>
      <w:szCs w:val="28"/>
    </w:rPr>
  </w:style>
  <w:style w:type="character" w:customStyle="1" w:styleId="398">
    <w:name w:val="Char Char111"/>
    <w:qFormat/>
    <w:uiPriority w:val="0"/>
    <w:rPr>
      <w:rFonts w:eastAsia="宋体"/>
      <w:b/>
      <w:bCs/>
      <w:kern w:val="2"/>
      <w:sz w:val="24"/>
      <w:szCs w:val="24"/>
      <w:lang w:val="en-US" w:eastAsia="zh-CN" w:bidi="ar-SA"/>
    </w:rPr>
  </w:style>
  <w:style w:type="character" w:customStyle="1" w:styleId="399">
    <w:name w:val="表格文字图表文字 Char Char"/>
    <w:qFormat/>
    <w:uiPriority w:val="0"/>
    <w:rPr>
      <w:color w:val="7030A0"/>
      <w:kern w:val="2"/>
      <w:sz w:val="21"/>
    </w:rPr>
  </w:style>
  <w:style w:type="character" w:customStyle="1" w:styleId="400">
    <w:name w:val="占位符文本1"/>
    <w:qFormat/>
    <w:uiPriority w:val="0"/>
    <w:rPr>
      <w:color w:val="808080"/>
    </w:rPr>
  </w:style>
  <w:style w:type="character" w:customStyle="1" w:styleId="401">
    <w:name w:val="正文段落格式 Char Char Char"/>
    <w:link w:val="134"/>
    <w:semiHidden/>
    <w:qFormat/>
    <w:uiPriority w:val="0"/>
    <w:rPr>
      <w:rFonts w:ascii="Times New Roman" w:hAnsi="Times New Roman"/>
      <w:color w:val="7030A0"/>
      <w:kern w:val="2"/>
      <w:sz w:val="24"/>
    </w:rPr>
  </w:style>
  <w:style w:type="character" w:customStyle="1" w:styleId="402">
    <w:name w:val="表格文字 BJ8 Char Char"/>
    <w:link w:val="135"/>
    <w:semiHidden/>
    <w:qFormat/>
    <w:uiPriority w:val="0"/>
    <w:rPr>
      <w:rFonts w:ascii="Times New Roman" w:hAnsi="Times New Roman"/>
      <w:kern w:val="2"/>
      <w:sz w:val="21"/>
      <w:szCs w:val="21"/>
    </w:rPr>
  </w:style>
  <w:style w:type="character" w:customStyle="1" w:styleId="403">
    <w:name w:val="gpa"/>
    <w:qFormat/>
    <w:uiPriority w:val="0"/>
    <w:rPr>
      <w:rFonts w:ascii="Arial" w:hAnsi="Arial" w:cs="Arial"/>
      <w:sz w:val="12"/>
      <w:szCs w:val="12"/>
    </w:rPr>
  </w:style>
  <w:style w:type="character" w:customStyle="1" w:styleId="404">
    <w:name w:val="样式 标题 31.1条标题1.1.1二级节名h3Heading 3 - oldheading 3H3H31H3... Char Char Char"/>
    <w:link w:val="136"/>
    <w:semiHidden/>
    <w:qFormat/>
    <w:uiPriority w:val="0"/>
    <w:rPr>
      <w:rFonts w:ascii="宋体" w:hAnsi="宋体" w:eastAsia="黑体"/>
      <w:kern w:val="2"/>
      <w:sz w:val="24"/>
      <w:szCs w:val="21"/>
    </w:rPr>
  </w:style>
  <w:style w:type="character" w:customStyle="1" w:styleId="405">
    <w:name w:val="标题2 Char Char"/>
    <w:link w:val="137"/>
    <w:semiHidden/>
    <w:qFormat/>
    <w:uiPriority w:val="0"/>
    <w:rPr>
      <w:rFonts w:ascii="宋体" w:hAnsi="Times New Roman"/>
      <w:b/>
      <w:color w:val="92D050"/>
      <w:kern w:val="44"/>
      <w:sz w:val="30"/>
    </w:rPr>
  </w:style>
  <w:style w:type="character" w:customStyle="1" w:styleId="406">
    <w:name w:val="Char Char2"/>
    <w:qFormat/>
    <w:uiPriority w:val="0"/>
    <w:rPr>
      <w:rFonts w:eastAsia="仿宋_GB2312"/>
      <w:kern w:val="2"/>
      <w:sz w:val="28"/>
      <w:lang w:val="en-US" w:eastAsia="zh-CN" w:bidi="ar-SA"/>
    </w:rPr>
  </w:style>
  <w:style w:type="character" w:customStyle="1" w:styleId="407">
    <w:name w:val="2 headline Char Char"/>
    <w:qFormat/>
    <w:uiPriority w:val="0"/>
    <w:rPr>
      <w:rFonts w:eastAsia="黑体"/>
      <w:bCs/>
      <w:kern w:val="2"/>
      <w:sz w:val="28"/>
      <w:szCs w:val="28"/>
      <w:lang w:val="en-US" w:eastAsia="zh-CN" w:bidi="ar-SA"/>
    </w:rPr>
  </w:style>
  <w:style w:type="character" w:customStyle="1" w:styleId="408">
    <w:name w:val="正文 QD3 Char Char"/>
    <w:link w:val="138"/>
    <w:semiHidden/>
    <w:qFormat/>
    <w:uiPriority w:val="0"/>
    <w:rPr>
      <w:rFonts w:ascii="Times New Roman" w:hAnsi="Times New Roman"/>
      <w:kern w:val="2"/>
      <w:sz w:val="24"/>
      <w:szCs w:val="24"/>
    </w:rPr>
  </w:style>
  <w:style w:type="character" w:customStyle="1" w:styleId="409">
    <w:name w:val="正文 BJ8 Char Char"/>
    <w:link w:val="139"/>
    <w:semiHidden/>
    <w:qFormat/>
    <w:uiPriority w:val="0"/>
    <w:rPr>
      <w:rFonts w:ascii="Times New Roman" w:hAnsi="Times New Roman"/>
      <w:color w:val="7030A0"/>
      <w:kern w:val="2"/>
      <w:sz w:val="24"/>
      <w:szCs w:val="24"/>
    </w:rPr>
  </w:style>
  <w:style w:type="character" w:customStyle="1" w:styleId="410">
    <w:name w:val="书籍标题1"/>
    <w:qFormat/>
    <w:uiPriority w:val="0"/>
    <w:rPr>
      <w:b/>
      <w:bCs/>
      <w:smallCaps/>
      <w:spacing w:val="5"/>
    </w:rPr>
  </w:style>
  <w:style w:type="character" w:customStyle="1" w:styleId="411">
    <w:name w:val="Char Char8"/>
    <w:qFormat/>
    <w:uiPriority w:val="0"/>
    <w:rPr>
      <w:rFonts w:eastAsia="宋体"/>
      <w:kern w:val="2"/>
      <w:sz w:val="21"/>
      <w:lang w:val="en-US" w:eastAsia="zh-CN" w:bidi="ar-SA"/>
    </w:rPr>
  </w:style>
  <w:style w:type="character" w:customStyle="1" w:styleId="412">
    <w:name w:val="正文文本缩进 Char1"/>
    <w:link w:val="77"/>
    <w:semiHidden/>
    <w:qFormat/>
    <w:uiPriority w:val="0"/>
    <w:rPr>
      <w:rFonts w:ascii="宋体" w:hAnsi="Times New Roman"/>
      <w:kern w:val="2"/>
      <w:sz w:val="21"/>
    </w:rPr>
  </w:style>
  <w:style w:type="character" w:customStyle="1" w:styleId="413">
    <w:name w:val="正文1 Char Char"/>
    <w:link w:val="140"/>
    <w:semiHidden/>
    <w:qFormat/>
    <w:uiPriority w:val="0"/>
    <w:rPr>
      <w:rFonts w:ascii="宋体" w:hAnsi="宋体"/>
      <w:kern w:val="10"/>
      <w:sz w:val="21"/>
      <w:szCs w:val="24"/>
    </w:rPr>
  </w:style>
  <w:style w:type="character" w:customStyle="1" w:styleId="414">
    <w:name w:val="样式 Char Char"/>
    <w:link w:val="141"/>
    <w:semiHidden/>
    <w:qFormat/>
    <w:uiPriority w:val="0"/>
    <w:rPr>
      <w:rFonts w:ascii="宋体" w:hAnsi="宋体" w:cs="宋体"/>
      <w:sz w:val="24"/>
      <w:szCs w:val="24"/>
      <w:lang w:val="en-US" w:eastAsia="zh-CN" w:bidi="ar-SA"/>
    </w:rPr>
  </w:style>
  <w:style w:type="character" w:customStyle="1" w:styleId="415">
    <w:name w:val="无编号正文 Char Char"/>
    <w:link w:val="142"/>
    <w:semiHidden/>
    <w:qFormat/>
    <w:uiPriority w:val="0"/>
    <w:rPr>
      <w:rFonts w:ascii="宋体" w:hAnsi="宋体"/>
      <w:sz w:val="24"/>
      <w:szCs w:val="24"/>
    </w:rPr>
  </w:style>
  <w:style w:type="character" w:customStyle="1" w:styleId="416">
    <w:name w:val="表图名称 Char Char"/>
    <w:link w:val="143"/>
    <w:semiHidden/>
    <w:qFormat/>
    <w:uiPriority w:val="0"/>
    <w:rPr>
      <w:rFonts w:ascii="黑体" w:hAnsi="宋体" w:eastAsia="黑体"/>
      <w:kern w:val="2"/>
      <w:sz w:val="24"/>
      <w:szCs w:val="24"/>
      <w:lang w:val="en-US" w:eastAsia="zh-CN" w:bidi="ar-SA"/>
    </w:rPr>
  </w:style>
  <w:style w:type="character" w:customStyle="1" w:styleId="417">
    <w:name w:val="列表框1 Char Char"/>
    <w:qFormat/>
    <w:uiPriority w:val="0"/>
    <w:rPr>
      <w:rFonts w:ascii="Arial" w:hAnsi="Arial" w:eastAsia="楷体_GB2312" w:cs="Arial"/>
      <w:spacing w:val="10"/>
      <w:sz w:val="21"/>
      <w:lang w:val="en-US" w:eastAsia="zh-CN" w:bidi="ar-SA"/>
    </w:rPr>
  </w:style>
  <w:style w:type="character" w:customStyle="1" w:styleId="418">
    <w:name w:val="表格文字图表文字 Char Char Char"/>
    <w:link w:val="144"/>
    <w:semiHidden/>
    <w:qFormat/>
    <w:uiPriority w:val="0"/>
    <w:rPr>
      <w:rFonts w:ascii="Times New Roman" w:hAnsi="Times New Roman"/>
      <w:color w:val="7030A0"/>
      <w:kern w:val="2"/>
      <w:sz w:val="21"/>
    </w:rPr>
  </w:style>
  <w:style w:type="character" w:customStyle="1" w:styleId="419">
    <w:name w:val="批注文字 Char1"/>
    <w:qFormat/>
    <w:uiPriority w:val="0"/>
    <w:rPr>
      <w:kern w:val="2"/>
      <w:sz w:val="24"/>
      <w:szCs w:val="24"/>
    </w:rPr>
  </w:style>
  <w:style w:type="character" w:customStyle="1" w:styleId="420">
    <w:name w:val="正文缩进 Char Char"/>
    <w:link w:val="361"/>
    <w:semiHidden/>
    <w:qFormat/>
    <w:uiPriority w:val="0"/>
    <w:rPr>
      <w:kern w:val="2"/>
      <w:sz w:val="21"/>
      <w:szCs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423">
    <w:name w:val="批注主题 字符"/>
    <w:link w:val="39"/>
    <w:qFormat/>
    <w:uiPriority w:val="0"/>
    <w:rPr>
      <w:rFonts w:ascii="Times New Roman" w:hAnsi="Times New Roman" w:eastAsia="宋体" w:cs="Times New Roman"/>
      <w:b/>
      <w:bCs/>
      <w:kern w:val="2"/>
      <w:sz w:val="21"/>
      <w:szCs w:val="24"/>
    </w:rPr>
  </w:style>
  <w:style w:type="paragraph" w:customStyle="1" w:styleId="4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5">
    <w:name w:val="样式 宋体 五号 行距: 单倍行距"/>
    <w:basedOn w:val="1"/>
    <w:qFormat/>
    <w:uiPriority w:val="0"/>
    <w:pPr>
      <w:adjustRightInd w:val="0"/>
      <w:jc w:val="left"/>
      <w:textAlignment w:val="baseline"/>
    </w:pPr>
    <w:rPr>
      <w:rFonts w:ascii="宋体" w:hAnsi="宋体"/>
      <w:kern w:val="0"/>
    </w:rPr>
  </w:style>
  <w:style w:type="paragraph" w:customStyle="1" w:styleId="4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428">
    <w:name w:val="List Paragraph"/>
    <w:basedOn w:val="1"/>
    <w:qFormat/>
    <w:uiPriority w:val="34"/>
    <w:pPr>
      <w:ind w:firstLine="420" w:firstLineChars="200"/>
    </w:pPr>
  </w:style>
  <w:style w:type="paragraph" w:customStyle="1" w:styleId="429">
    <w:name w:val="WPSOffice手动目录 1"/>
    <w:qFormat/>
    <w:uiPriority w:val="0"/>
    <w:rPr>
      <w:rFonts w:ascii="Times New Roman" w:hAnsi="Times New Roman" w:eastAsia="宋体" w:cs="Times New Roman"/>
      <w:lang w:val="en-US" w:eastAsia="zh-CN" w:bidi="ar-SA"/>
    </w:rPr>
  </w:style>
  <w:style w:type="paragraph" w:customStyle="1" w:styleId="430">
    <w:name w:val="纯文本3"/>
    <w:basedOn w:val="1"/>
    <w:qFormat/>
    <w:uiPriority w:val="0"/>
    <w:rPr>
      <w:rFonts w:ascii="宋体" w:hAnsi="Courier New" w:cs="Courier New"/>
      <w:szCs w:val="21"/>
    </w:rPr>
  </w:style>
  <w:style w:type="paragraph" w:customStyle="1" w:styleId="431">
    <w:name w:val="_Style 1"/>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32">
    <w:name w:val="纯文本 字符"/>
    <w:link w:val="25"/>
    <w:qFormat/>
    <w:locked/>
    <w:uiPriority w:val="0"/>
    <w:rPr>
      <w:rFonts w:ascii="宋体" w:hAnsi="Courier New" w:cs="Courier New"/>
      <w:kern w:val="2"/>
      <w:sz w:val="21"/>
      <w:szCs w:val="21"/>
    </w:rPr>
  </w:style>
  <w:style w:type="paragraph" w:customStyle="1" w:styleId="433">
    <w:name w:val="TOC 标题2"/>
    <w:basedOn w:val="3"/>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36">
    <w:name w:val="apple-style-span"/>
    <w:qFormat/>
    <w:uiPriority w:val="0"/>
  </w:style>
  <w:style w:type="paragraph" w:styleId="4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_Style 436"/>
    <w:basedOn w:val="1"/>
    <w:next w:val="428"/>
    <w:qFormat/>
    <w:uiPriority w:val="34"/>
    <w:pPr>
      <w:ind w:firstLine="420" w:firstLineChars="200"/>
    </w:pPr>
    <w:rPr>
      <w:rFonts w:ascii="等线" w:hAnsi="等线" w:eastAsia="等线" w:cs="宋体"/>
      <w:szCs w:val="22"/>
    </w:rPr>
  </w:style>
  <w:style w:type="character" w:customStyle="1" w:styleId="439">
    <w:name w:val="NormalCharacter"/>
    <w:semiHidden/>
    <w:qFormat/>
    <w:uiPriority w:val="0"/>
    <w:rPr>
      <w:rFonts w:ascii="Times New Roman" w:hAnsi="Times New Roman" w:eastAsia="宋体"/>
      <w:sz w:val="24"/>
      <w:szCs w:val="24"/>
      <w:lang w:val="en-US" w:eastAsia="zh-CN" w:bidi="ar-SA"/>
    </w:rPr>
  </w:style>
  <w:style w:type="paragraph" w:customStyle="1" w:styleId="440">
    <w:name w:val="国内标题2"/>
    <w:basedOn w:val="4"/>
    <w:qFormat/>
    <w:uiPriority w:val="0"/>
    <w:pPr>
      <w:spacing w:line="416" w:lineRule="auto"/>
    </w:pPr>
    <w:rPr>
      <w:rFonts w:ascii="Calibri" w:hAnsi="Calibri" w:eastAsia="宋体"/>
    </w:rPr>
  </w:style>
  <w:style w:type="character" w:customStyle="1" w:styleId="441">
    <w:name w:val="正文文本缩进 字符"/>
    <w:basedOn w:val="42"/>
    <w:link w:val="21"/>
    <w:qFormat/>
    <w:uiPriority w:val="0"/>
    <w:rPr>
      <w:kern w:val="2"/>
      <w:sz w:val="21"/>
      <w:szCs w:val="24"/>
    </w:rPr>
  </w:style>
  <w:style w:type="character" w:customStyle="1" w:styleId="442">
    <w:name w:val="font01"/>
    <w:basedOn w:val="42"/>
    <w:qFormat/>
    <w:uiPriority w:val="0"/>
    <w:rPr>
      <w:rFonts w:hint="eastAsia" w:ascii="宋体" w:hAnsi="宋体" w:eastAsia="宋体" w:cs="宋体"/>
      <w:color w:val="000000"/>
      <w:sz w:val="32"/>
      <w:szCs w:val="32"/>
      <w:u w:val="none"/>
    </w:rPr>
  </w:style>
  <w:style w:type="character" w:customStyle="1" w:styleId="443">
    <w:name w:val="font11"/>
    <w:basedOn w:val="42"/>
    <w:qFormat/>
    <w:uiPriority w:val="0"/>
    <w:rPr>
      <w:rFonts w:hint="eastAsia" w:ascii="宋体" w:hAnsi="宋体" w:eastAsia="宋体" w:cs="宋体"/>
      <w:color w:val="000000"/>
      <w:sz w:val="22"/>
      <w:szCs w:val="22"/>
      <w:u w:val="none"/>
    </w:rPr>
  </w:style>
  <w:style w:type="character" w:customStyle="1" w:styleId="444">
    <w:name w:val="font41"/>
    <w:basedOn w:val="42"/>
    <w:qFormat/>
    <w:uiPriority w:val="0"/>
    <w:rPr>
      <w:rFonts w:hint="eastAsia" w:ascii="宋体" w:hAnsi="宋体" w:eastAsia="宋体" w:cs="宋体"/>
      <w:color w:val="000000"/>
      <w:sz w:val="20"/>
      <w:szCs w:val="20"/>
      <w:u w:val="none"/>
    </w:rPr>
  </w:style>
  <w:style w:type="character" w:customStyle="1" w:styleId="445">
    <w:name w:val="font21"/>
    <w:basedOn w:val="42"/>
    <w:qFormat/>
    <w:uiPriority w:val="0"/>
    <w:rPr>
      <w:rFonts w:hint="default" w:ascii="Times New Roman" w:hAnsi="Times New Roman" w:cs="Times New Roman"/>
      <w:color w:val="000000"/>
      <w:sz w:val="20"/>
      <w:szCs w:val="20"/>
      <w:u w:val="none"/>
    </w:rPr>
  </w:style>
  <w:style w:type="character" w:customStyle="1" w:styleId="446">
    <w:name w:val="font51"/>
    <w:basedOn w:val="42"/>
    <w:qFormat/>
    <w:uiPriority w:val="0"/>
    <w:rPr>
      <w:rFonts w:hint="eastAsia" w:ascii="宋体" w:hAnsi="宋体" w:eastAsia="宋体" w:cs="宋体"/>
      <w:color w:val="000000"/>
      <w:sz w:val="20"/>
      <w:szCs w:val="20"/>
      <w:u w:val="none"/>
    </w:rPr>
  </w:style>
  <w:style w:type="character" w:customStyle="1" w:styleId="447">
    <w:name w:val="font61"/>
    <w:basedOn w:val="42"/>
    <w:qFormat/>
    <w:uiPriority w:val="0"/>
    <w:rPr>
      <w:rFonts w:hint="eastAsia" w:ascii="宋体" w:hAnsi="宋体" w:eastAsia="宋体" w:cs="宋体"/>
      <w:color w:val="000000"/>
      <w:sz w:val="20"/>
      <w:szCs w:val="20"/>
      <w:u w:val="none"/>
    </w:rPr>
  </w:style>
  <w:style w:type="character" w:customStyle="1" w:styleId="448">
    <w:name w:val="font31"/>
    <w:basedOn w:val="42"/>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117</Pages>
  <Words>46252</Words>
  <Characters>49570</Characters>
  <Lines>334</Lines>
  <Paragraphs>94</Paragraphs>
  <TotalTime>0</TotalTime>
  <ScaleCrop>false</ScaleCrop>
  <LinksUpToDate>false</LinksUpToDate>
  <CharactersWithSpaces>53497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2023-03-29T06:23:00Z</dcterms:created>
  <dc:creator>wmq</dc:creator>
  <cp:lastModifiedBy>Administrator</cp:lastModifiedBy>
  <cp:lastPrinted>2018-03-19T01:37:00Z</cp:lastPrinted>
  <dcterms:modified xsi:type="dcterms:W3CDTF">2023-08-17T04:01:08Z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6B7E4C470A2349CAA267BF629E4B0A9E</vt:lpwstr>
  </property>
</Properties>
</file>