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rPr>
          <w:color w:val="000000" w:themeColor="text1"/>
          <w:highlight w:val="none"/>
          <w14:textFill>
            <w14:solidFill>
              <w14:schemeClr w14:val="tx1"/>
            </w14:solidFill>
          </w14:textFill>
        </w:rPr>
      </w:pPr>
    </w:p>
    <w:p>
      <w:pPr>
        <w:pStyle w:val="33"/>
        <w:ind w:firstLine="480"/>
        <w:rPr>
          <w:color w:val="000000" w:themeColor="text1"/>
          <w:highlight w:val="none"/>
          <w14:textFill>
            <w14:solidFill>
              <w14:schemeClr w14:val="tx1"/>
            </w14:solidFill>
          </w14:textFill>
        </w:rPr>
      </w:pPr>
    </w:p>
    <w:p>
      <w:pPr>
        <w:ind w:firstLine="480"/>
        <w:jc w:val="center"/>
        <w:rPr>
          <w:rFonts w:ascii="仿宋" w:hAnsi="仿宋" w:cs="仿宋"/>
          <w:color w:val="000000" w:themeColor="text1"/>
          <w:highlight w:val="none"/>
          <w14:textFill>
            <w14:solidFill>
              <w14:schemeClr w14:val="tx1"/>
            </w14:solidFill>
          </w14:textFill>
        </w:rPr>
      </w:pPr>
    </w:p>
    <w:p>
      <w:pPr>
        <w:ind w:firstLine="480"/>
        <w:rPr>
          <w:rFonts w:ascii="仿宋" w:hAnsi="仿宋" w:cs="仿宋"/>
          <w:color w:val="000000" w:themeColor="text1"/>
          <w:highlight w:val="none"/>
          <w14:textFill>
            <w14:solidFill>
              <w14:schemeClr w14:val="tx1"/>
            </w14:solidFill>
          </w14:textFill>
        </w:rPr>
      </w:pPr>
    </w:p>
    <w:p>
      <w:pPr>
        <w:pStyle w:val="20"/>
        <w:tabs>
          <w:tab w:val="left" w:pos="8460"/>
        </w:tabs>
        <w:snapToGrid w:val="0"/>
        <w:ind w:left="0" w:leftChars="0" w:firstLine="0" w:firstLineChars="0"/>
        <w:jc w:val="center"/>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乌鲁木齐信用信息共享平台和信用信息网站运营服务项目</w:t>
      </w:r>
    </w:p>
    <w:p>
      <w:pPr>
        <w:pStyle w:val="20"/>
        <w:tabs>
          <w:tab w:val="left" w:pos="8460"/>
        </w:tabs>
        <w:snapToGrid w:val="0"/>
        <w:ind w:firstLine="883"/>
        <w:jc w:val="center"/>
        <w:rPr>
          <w:rFonts w:ascii="仿宋" w:hAnsi="仿宋" w:eastAsia="仿宋" w:cs="仿宋"/>
          <w:b/>
          <w:bCs/>
          <w:color w:val="000000" w:themeColor="text1"/>
          <w:sz w:val="44"/>
          <w:szCs w:val="44"/>
          <w:highlight w:val="none"/>
          <w14:textFill>
            <w14:solidFill>
              <w14:schemeClr w14:val="tx1"/>
            </w14:solidFill>
          </w14:textFill>
        </w:rPr>
      </w:pPr>
    </w:p>
    <w:p>
      <w:pPr>
        <w:pStyle w:val="20"/>
        <w:tabs>
          <w:tab w:val="left" w:pos="8460"/>
        </w:tabs>
        <w:snapToGrid w:val="0"/>
        <w:ind w:firstLine="480"/>
        <w:jc w:val="center"/>
        <w:rPr>
          <w:rFonts w:ascii="仿宋" w:hAnsi="仿宋" w:eastAsia="仿宋" w:cs="仿宋"/>
          <w:b/>
          <w:bCs/>
          <w:color w:val="000000" w:themeColor="text1"/>
          <w:sz w:val="84"/>
          <w:szCs w:val="84"/>
          <w:highlight w:val="none"/>
          <w14:textFill>
            <w14:solidFill>
              <w14:schemeClr w14:val="tx1"/>
            </w14:solidFill>
          </w14:textFill>
        </w:rPr>
      </w:pPr>
      <w:r>
        <w:rPr>
          <w:rFonts w:hint="eastAsia"/>
          <w:color w:val="000000" w:themeColor="text1"/>
          <w:highlight w:val="none"/>
          <w14:textFill>
            <w14:solidFill>
              <w14:schemeClr w14:val="tx1"/>
            </w14:solidFill>
          </w14:textFill>
        </w:rPr>
        <w:drawing>
          <wp:anchor distT="0" distB="0" distL="114300" distR="114300" simplePos="0" relativeHeight="251679744" behindDoc="0" locked="0" layoutInCell="1" allowOverlap="1">
            <wp:simplePos x="0" y="0"/>
            <wp:positionH relativeFrom="column">
              <wp:posOffset>2323465</wp:posOffset>
            </wp:positionH>
            <wp:positionV relativeFrom="paragraph">
              <wp:posOffset>1003300</wp:posOffset>
            </wp:positionV>
            <wp:extent cx="1787525" cy="1371600"/>
            <wp:effectExtent l="0" t="0" r="3175" b="0"/>
            <wp:wrapNone/>
            <wp:docPr id="8" name="图片 1" descr="1"/>
            <wp:cNvGraphicFramePr/>
            <a:graphic xmlns:a="http://schemas.openxmlformats.org/drawingml/2006/main">
              <a:graphicData uri="http://schemas.openxmlformats.org/drawingml/2006/picture">
                <pic:pic xmlns:pic="http://schemas.openxmlformats.org/drawingml/2006/picture">
                  <pic:nvPicPr>
                    <pic:cNvPr id="8" name="图片 1" descr="1"/>
                    <pic:cNvPicPr/>
                  </pic:nvPicPr>
                  <pic:blipFill>
                    <a:blip r:embed="rId29"/>
                    <a:stretch>
                      <a:fillRect/>
                    </a:stretch>
                  </pic:blipFill>
                  <pic:spPr>
                    <a:xfrm>
                      <a:off x="0" y="0"/>
                      <a:ext cx="1787525" cy="1371600"/>
                    </a:xfrm>
                    <a:prstGeom prst="rect">
                      <a:avLst/>
                    </a:prstGeom>
                    <a:noFill/>
                    <a:ln>
                      <a:noFill/>
                    </a:ln>
                  </pic:spPr>
                </pic:pic>
              </a:graphicData>
            </a:graphic>
          </wp:anchor>
        </w:drawing>
      </w:r>
      <w:r>
        <w:rPr>
          <w:rFonts w:hint="eastAsia" w:ascii="仿宋" w:hAnsi="仿宋" w:eastAsia="仿宋" w:cs="仿宋"/>
          <w:b/>
          <w:bCs/>
          <w:color w:val="000000" w:themeColor="text1"/>
          <w:sz w:val="84"/>
          <w:szCs w:val="84"/>
          <w:highlight w:val="none"/>
          <w14:textFill>
            <w14:solidFill>
              <w14:schemeClr w14:val="tx1"/>
            </w14:solidFill>
          </w14:textFill>
        </w:rPr>
        <w:t>公开招标文件</w:t>
      </w:r>
    </w:p>
    <w:p>
      <w:pPr>
        <w:pStyle w:val="20"/>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20"/>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20"/>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20"/>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20"/>
        <w:tabs>
          <w:tab w:val="left" w:pos="8460"/>
        </w:tabs>
        <w:snapToGrid w:val="0"/>
        <w:ind w:firstLine="643"/>
        <w:jc w:val="both"/>
        <w:rPr>
          <w:rFonts w:ascii="仿宋" w:hAnsi="仿宋" w:eastAsia="仿宋" w:cs="仿宋"/>
          <w:b/>
          <w:bCs/>
          <w:color w:val="000000" w:themeColor="text1"/>
          <w:sz w:val="32"/>
          <w:szCs w:val="32"/>
          <w:highlight w:val="none"/>
          <w14:textFill>
            <w14:solidFill>
              <w14:schemeClr w14:val="tx1"/>
            </w14:solidFill>
          </w14:textFill>
        </w:rPr>
      </w:pPr>
    </w:p>
    <w:p>
      <w:pPr>
        <w:pStyle w:val="20"/>
        <w:tabs>
          <w:tab w:val="left" w:pos="8460"/>
        </w:tabs>
        <w:snapToGrid w:val="0"/>
        <w:ind w:firstLine="643"/>
        <w:jc w:val="both"/>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项目编号：</w:t>
      </w:r>
      <w:r>
        <w:rPr>
          <w:rFonts w:hint="eastAsia" w:ascii="仿宋" w:hAnsi="仿宋" w:eastAsia="仿宋" w:cs="仿宋"/>
          <w:b/>
          <w:bCs/>
          <w:color w:val="000000" w:themeColor="text1"/>
          <w:sz w:val="28"/>
          <w:szCs w:val="28"/>
          <w:highlight w:val="none"/>
          <w14:textFill>
            <w14:solidFill>
              <w14:schemeClr w14:val="tx1"/>
            </w14:solidFill>
          </w14:textFill>
        </w:rPr>
        <w:t>XJXECWLMQ-2023</w:t>
      </w:r>
      <w:r>
        <w:rPr>
          <w:rFonts w:hint="eastAsia" w:ascii="仿宋" w:hAnsi="仿宋" w:eastAsia="仿宋" w:cs="仿宋"/>
          <w:b/>
          <w:bCs/>
          <w:color w:val="000000" w:themeColor="text1"/>
          <w:sz w:val="28"/>
          <w:szCs w:val="28"/>
          <w:highlight w:val="none"/>
          <w:lang w:eastAsia="zh-CN"/>
          <w14:textFill>
            <w14:solidFill>
              <w14:schemeClr w14:val="tx1"/>
            </w14:solidFill>
          </w14:textFill>
        </w:rPr>
        <w:t>058</w:t>
      </w:r>
    </w:p>
    <w:p>
      <w:pPr>
        <w:pStyle w:val="20"/>
        <w:tabs>
          <w:tab w:val="left" w:pos="8460"/>
        </w:tabs>
        <w:snapToGrid w:val="0"/>
        <w:ind w:firstLine="602"/>
        <w:jc w:val="both"/>
        <w:rPr>
          <w:rFonts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项目名称：</w:t>
      </w:r>
      <w:r>
        <w:rPr>
          <w:rFonts w:hint="eastAsia" w:ascii="仿宋" w:hAnsi="仿宋" w:eastAsia="仿宋" w:cs="仿宋"/>
          <w:b/>
          <w:bCs/>
          <w:color w:val="000000" w:themeColor="text1"/>
          <w:sz w:val="30"/>
          <w:szCs w:val="30"/>
          <w:highlight w:val="none"/>
          <w:lang w:eastAsia="zh-CN"/>
          <w14:textFill>
            <w14:solidFill>
              <w14:schemeClr w14:val="tx1"/>
            </w14:solidFill>
          </w14:textFill>
        </w:rPr>
        <w:t>乌鲁木齐信用信息共享平台和信用信息网站运营服务项目</w:t>
      </w:r>
    </w:p>
    <w:p>
      <w:pPr>
        <w:pStyle w:val="20"/>
        <w:tabs>
          <w:tab w:val="left" w:pos="8460"/>
        </w:tabs>
        <w:snapToGrid w:val="0"/>
        <w:ind w:firstLine="602"/>
        <w:jc w:val="both"/>
        <w:rPr>
          <w:rFonts w:hint="eastAsia" w:ascii="仿宋" w:hAnsi="仿宋" w:eastAsia="仿宋" w:cs="仿宋"/>
          <w:b/>
          <w:bCs/>
          <w:color w:val="000000" w:themeColor="text1"/>
          <w:sz w:val="30"/>
          <w:szCs w:val="30"/>
          <w:highlight w:val="none"/>
          <w:lang w:eastAsia="zh-CN"/>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招标人（盖章）：</w:t>
      </w:r>
      <w:r>
        <w:rPr>
          <w:rFonts w:hint="eastAsia" w:ascii="仿宋" w:hAnsi="仿宋" w:eastAsia="仿宋" w:cs="仿宋"/>
          <w:b/>
          <w:bCs/>
          <w:color w:val="000000" w:themeColor="text1"/>
          <w:sz w:val="30"/>
          <w:szCs w:val="30"/>
          <w:highlight w:val="none"/>
          <w:lang w:eastAsia="zh-CN"/>
          <w14:textFill>
            <w14:solidFill>
              <w14:schemeClr w14:val="tx1"/>
            </w14:solidFill>
          </w14:textFill>
        </w:rPr>
        <w:t>乌鲁木齐市发展和改革委员会（乌鲁木齐市粮食和物资储备局）</w:t>
      </w:r>
    </w:p>
    <w:p>
      <w:pPr>
        <w:pStyle w:val="20"/>
        <w:tabs>
          <w:tab w:val="left" w:pos="8460"/>
        </w:tabs>
        <w:snapToGrid w:val="0"/>
        <w:ind w:firstLine="602"/>
        <w:jc w:val="center"/>
        <w:rPr>
          <w:rFonts w:ascii="仿宋" w:hAnsi="仿宋" w:eastAsia="仿宋" w:cs="仿宋"/>
          <w:b/>
          <w:bCs/>
          <w:color w:val="000000" w:themeColor="text1"/>
          <w:sz w:val="30"/>
          <w:szCs w:val="30"/>
          <w:highlight w:val="none"/>
          <w14:textFill>
            <w14:solidFill>
              <w14:schemeClr w14:val="tx1"/>
            </w14:solidFill>
          </w14:textFill>
        </w:rPr>
      </w:pPr>
    </w:p>
    <w:p>
      <w:pPr>
        <w:pStyle w:val="20"/>
        <w:tabs>
          <w:tab w:val="left" w:pos="8460"/>
        </w:tabs>
        <w:snapToGrid w:val="0"/>
        <w:ind w:firstLine="602"/>
        <w:jc w:val="both"/>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30"/>
          <w:szCs w:val="30"/>
          <w:highlight w:val="none"/>
          <w14:textFill>
            <w14:solidFill>
              <w14:schemeClr w14:val="tx1"/>
            </w14:solidFill>
          </w14:textFill>
        </w:rPr>
        <w:t>招标代理机构（盖章）：新疆信尔成工程项目管理有限公司</w:t>
      </w:r>
    </w:p>
    <w:p>
      <w:pPr>
        <w:pStyle w:val="20"/>
        <w:tabs>
          <w:tab w:val="left" w:pos="8460"/>
        </w:tabs>
        <w:snapToGrid w:val="0"/>
        <w:ind w:firstLine="0" w:firstLineChars="0"/>
        <w:jc w:val="both"/>
        <w:rPr>
          <w:rFonts w:ascii="仿宋" w:hAnsi="仿宋" w:eastAsia="仿宋" w:cs="仿宋"/>
          <w:b/>
          <w:bCs/>
          <w:color w:val="000000" w:themeColor="text1"/>
          <w:sz w:val="44"/>
          <w:szCs w:val="44"/>
          <w:highlight w:val="none"/>
          <w14:textFill>
            <w14:solidFill>
              <w14:schemeClr w14:val="tx1"/>
            </w14:solidFill>
          </w14:textFill>
        </w:rPr>
      </w:pPr>
    </w:p>
    <w:p>
      <w:pPr>
        <w:pStyle w:val="20"/>
        <w:tabs>
          <w:tab w:val="left" w:pos="8460"/>
        </w:tabs>
        <w:snapToGrid w:val="0"/>
        <w:ind w:left="0" w:leftChars="0" w:firstLine="0" w:firstLineChars="0"/>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2023年0</w:t>
      </w:r>
      <w:r>
        <w:rPr>
          <w:rFonts w:hint="eastAsia" w:ascii="仿宋" w:hAnsi="仿宋" w:eastAsia="仿宋" w:cs="仿宋"/>
          <w:b/>
          <w:bCs/>
          <w:color w:val="000000" w:themeColor="text1"/>
          <w:sz w:val="44"/>
          <w:szCs w:val="44"/>
          <w:highlight w:val="none"/>
          <w:lang w:val="en-US" w:eastAsia="zh-CN"/>
          <w14:textFill>
            <w14:solidFill>
              <w14:schemeClr w14:val="tx1"/>
            </w14:solidFill>
          </w14:textFill>
        </w:rPr>
        <w:t>8</w:t>
      </w:r>
      <w:r>
        <w:rPr>
          <w:rFonts w:hint="eastAsia" w:ascii="仿宋" w:hAnsi="仿宋" w:eastAsia="仿宋" w:cs="仿宋"/>
          <w:b/>
          <w:bCs/>
          <w:color w:val="000000" w:themeColor="text1"/>
          <w:sz w:val="44"/>
          <w:szCs w:val="44"/>
          <w:highlight w:val="none"/>
          <w14:textFill>
            <w14:solidFill>
              <w14:schemeClr w14:val="tx1"/>
            </w14:solidFill>
          </w14:textFill>
        </w:rPr>
        <w:t>月</w:t>
      </w:r>
    </w:p>
    <w:p>
      <w:pPr>
        <w:pStyle w:val="5"/>
        <w:ind w:firstLine="480"/>
        <w:rPr>
          <w:color w:val="000000" w:themeColor="text1"/>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40" w:right="1287" w:bottom="1440" w:left="1080" w:header="851" w:footer="992" w:gutter="0"/>
          <w:pgNumType w:start="1"/>
          <w:cols w:space="720" w:num="1"/>
          <w:docGrid w:type="linesAndChars" w:linePitch="312" w:charSpace="0"/>
        </w:sectPr>
      </w:pPr>
    </w:p>
    <w:p>
      <w:pPr>
        <w:ind w:firstLine="480"/>
        <w:jc w:val="center"/>
        <w:rPr>
          <w:rFonts w:ascii="仿宋" w:hAnsi="仿宋" w:cs="仿宋"/>
          <w:color w:val="000000" w:themeColor="text1"/>
          <w:highlight w:val="none"/>
          <w:lang w:val="zh-TW" w:eastAsia="zh-TW" w:bidi="zh-TW"/>
          <w14:textFill>
            <w14:solidFill>
              <w14:schemeClr w14:val="tx1"/>
            </w14:solidFill>
          </w14:textFill>
        </w:rPr>
      </w:pPr>
    </w:p>
    <w:sdt>
      <w:sdtPr>
        <w:rPr>
          <w:rFonts w:hint="eastAsia" w:ascii="仿宋" w:hAnsi="仿宋" w:eastAsia="宋体" w:cs="仿宋"/>
          <w:color w:val="000000" w:themeColor="text1"/>
          <w:sz w:val="20"/>
          <w:szCs w:val="20"/>
          <w:highlight w:val="none"/>
          <w:lang w:val="zh-TW" w:eastAsia="zh-TW" w:bidi="zh-TW"/>
          <w14:textFill>
            <w14:solidFill>
              <w14:schemeClr w14:val="tx1"/>
            </w14:solidFill>
          </w14:textFill>
        </w:rPr>
        <w:id w:val="147481868"/>
        <w15:color w:val="DBDBDB"/>
        <w:docPartObj>
          <w:docPartGallery w:val="Table of Contents"/>
          <w:docPartUnique/>
        </w:docPartObj>
      </w:sdtPr>
      <w:sdtEndPr>
        <w:rPr>
          <w:rFonts w:hint="eastAsia" w:ascii="仿宋" w:hAnsi="仿宋" w:eastAsia="宋体" w:cs="仿宋"/>
          <w:color w:val="000000" w:themeColor="text1"/>
          <w:sz w:val="20"/>
          <w:szCs w:val="20"/>
          <w:highlight w:val="none"/>
          <w:lang w:val="zh-TW" w:eastAsia="zh-TW" w:bidi="zh-TW"/>
          <w14:textFill>
            <w14:solidFill>
              <w14:schemeClr w14:val="tx1"/>
            </w14:solidFill>
          </w14:textFill>
        </w:rPr>
      </w:sdtEndPr>
      <w:sdtContent>
        <w:p>
          <w:pPr>
            <w:spacing w:line="720" w:lineRule="auto"/>
            <w:ind w:firstLine="400"/>
            <w:jc w:val="center"/>
            <w:rPr>
              <w:rFonts w:ascii="仿宋" w:hAnsi="仿宋" w:cs="仿宋"/>
              <w:color w:val="000000" w:themeColor="text1"/>
              <w:sz w:val="28"/>
              <w:szCs w:val="28"/>
              <w:highlight w:val="none"/>
              <w14:textFill>
                <w14:solidFill>
                  <w14:schemeClr w14:val="tx1"/>
                </w14:solidFill>
              </w14:textFill>
            </w:rPr>
          </w:pPr>
          <w:r>
            <w:rPr>
              <w:rFonts w:hint="eastAsia" w:ascii="仿宋" w:hAnsi="仿宋" w:cs="仿宋"/>
              <w:color w:val="000000" w:themeColor="text1"/>
              <w:sz w:val="28"/>
              <w:szCs w:val="28"/>
              <w:highlight w:val="none"/>
              <w14:textFill>
                <w14:solidFill>
                  <w14:schemeClr w14:val="tx1"/>
                </w14:solidFill>
              </w14:textFill>
            </w:rPr>
            <w:t>目录</w:t>
          </w:r>
        </w:p>
        <w:p>
          <w:pPr>
            <w:pStyle w:val="16"/>
            <w:tabs>
              <w:tab w:val="right" w:leader="dot" w:pos="10509"/>
            </w:tabs>
            <w:ind w:firstLine="560"/>
            <w:rPr>
              <w:color w:val="000000" w:themeColor="text1"/>
              <w:highlight w:val="none"/>
              <w14:textFill>
                <w14:solidFill>
                  <w14:schemeClr w14:val="tx1"/>
                </w14:solidFill>
              </w14:textFill>
            </w:rPr>
          </w:pPr>
          <w:r>
            <w:rPr>
              <w:rFonts w:hint="eastAsia" w:ascii="仿宋" w:hAnsi="仿宋" w:cs="仿宋"/>
              <w:color w:val="000000" w:themeColor="text1"/>
              <w:sz w:val="28"/>
              <w:szCs w:val="28"/>
              <w:highlight w:val="none"/>
              <w14:textFill>
                <w14:solidFill>
                  <w14:schemeClr w14:val="tx1"/>
                </w14:solidFill>
              </w14:textFill>
            </w:rPr>
            <w:fldChar w:fldCharType="begin"/>
          </w:r>
          <w:r>
            <w:rPr>
              <w:rFonts w:hint="eastAsia" w:ascii="仿宋" w:hAnsi="仿宋" w:cs="仿宋"/>
              <w:color w:val="000000" w:themeColor="text1"/>
              <w:sz w:val="28"/>
              <w:szCs w:val="28"/>
              <w:highlight w:val="none"/>
              <w14:textFill>
                <w14:solidFill>
                  <w14:schemeClr w14:val="tx1"/>
                </w14:solidFill>
              </w14:textFill>
            </w:rPr>
            <w:instrText xml:space="preserve">TOC \o "1-1" \h \u </w:instrText>
          </w:r>
          <w:r>
            <w:rPr>
              <w:rFonts w:hint="eastAsia" w:ascii="仿宋" w:hAnsi="仿宋" w:cs="仿宋"/>
              <w:color w:val="000000" w:themeColor="text1"/>
              <w:sz w:val="28"/>
              <w:szCs w:val="28"/>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"_Toc11221"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第一部分招标公告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_Toc11221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6"/>
            <w:tabs>
              <w:tab w:val="right" w:leader="dot" w:pos="10509"/>
            </w:tabs>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"_Toc7905"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第二部分投标人须知前附表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6"/>
            <w:tabs>
              <w:tab w:val="right" w:leader="dot" w:pos="10509"/>
            </w:tabs>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"_Toc26833"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第三部分授予合同（参考）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_Toc26833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6"/>
            <w:tabs>
              <w:tab w:val="right" w:leader="dot" w:pos="10509"/>
            </w:tabs>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"_Toc24685"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第四部分招标需求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6"/>
            <w:tabs>
              <w:tab w:val="right" w:leader="dot" w:pos="10509"/>
            </w:tabs>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"_Toc8098" </w:instrText>
          </w:r>
          <w:r>
            <w:rPr>
              <w:color w:val="000000" w:themeColor="text1"/>
              <w:highlight w:val="none"/>
              <w14:textFill>
                <w14:solidFill>
                  <w14:schemeClr w14:val="tx1"/>
                </w14:solidFill>
              </w14:textFill>
            </w:rPr>
            <w:fldChar w:fldCharType="separate"/>
          </w:r>
          <w:r>
            <w:rPr>
              <w:rFonts w:hint="eastAsia"/>
              <w:color w:val="000000" w:themeColor="text1"/>
              <w:highlight w:val="none"/>
              <w:lang w:eastAsia="zh-CN"/>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43"/>
            <w:tabs>
              <w:tab w:val="right" w:leader="dot" w:pos="9390"/>
            </w:tabs>
            <w:spacing w:after="0"/>
            <w:ind w:firstLine="400"/>
            <w:jc w:val="both"/>
            <w:rPr>
              <w:rFonts w:ascii="仿宋" w:hAnsi="仿宋" w:eastAsia="仿宋" w:cs="仿宋"/>
              <w:color w:val="000000" w:themeColor="text1"/>
              <w:sz w:val="24"/>
              <w:szCs w:val="24"/>
              <w:highlight w:val="none"/>
              <w14:textFill>
                <w14:solidFill>
                  <w14:schemeClr w14:val="tx1"/>
                </w14:solidFill>
              </w14:textFill>
            </w:rPr>
            <w:sectPr>
              <w:headerReference r:id="rId11" w:type="first"/>
              <w:footerReference r:id="rId13" w:type="first"/>
              <w:footerReference r:id="rId12" w:type="default"/>
              <w:pgSz w:w="11900" w:h="16840"/>
              <w:pgMar w:top="1519" w:right="645" w:bottom="2076" w:left="746" w:header="0" w:footer="0" w:gutter="0"/>
              <w:pgNumType w:start="1"/>
              <w:cols w:space="720" w:num="1"/>
              <w:titlePg/>
              <w:docGrid w:linePitch="360" w:charSpace="0"/>
            </w:sectPr>
          </w:pPr>
          <w:r>
            <w:rPr>
              <w:rFonts w:hint="eastAsia" w:ascii="仿宋" w:hAnsi="仿宋" w:eastAsia="仿宋" w:cs="仿宋"/>
              <w:color w:val="000000" w:themeColor="text1"/>
              <w:szCs w:val="28"/>
              <w:highlight w:val="none"/>
              <w14:textFill>
                <w14:solidFill>
                  <w14:schemeClr w14:val="tx1"/>
                </w14:solidFill>
              </w14:textFill>
            </w:rPr>
            <w:fldChar w:fldCharType="end"/>
          </w:r>
        </w:p>
      </w:sdtContent>
    </w:sdt>
    <w:p>
      <w:pPr>
        <w:pStyle w:val="3"/>
        <w:pageBreakBefore w:val="0"/>
        <w:widowControl w:val="0"/>
        <w:kinsoku/>
        <w:wordWrap/>
        <w:overflowPunct/>
        <w:topLinePunct w:val="0"/>
        <w:autoSpaceDE/>
        <w:autoSpaceDN/>
        <w:bidi w:val="0"/>
        <w:adjustRightInd/>
        <w:snapToGrid/>
        <w:spacing w:before="0" w:line="600" w:lineRule="exact"/>
        <w:ind w:left="0" w:leftChars="0" w:firstLine="643" w:firstLineChars="200"/>
        <w:textAlignment w:val="auto"/>
        <w:rPr>
          <w:color w:val="000000" w:themeColor="text1"/>
          <w:highlight w:val="none"/>
          <w:lang w:eastAsia="zh-CN"/>
          <w14:textFill>
            <w14:solidFill>
              <w14:schemeClr w14:val="tx1"/>
            </w14:solidFill>
          </w14:textFill>
        </w:rPr>
      </w:pPr>
      <w:bookmarkStart w:id="0" w:name="_Toc11221"/>
      <w:bookmarkStart w:id="1" w:name="bookmark0"/>
      <w:bookmarkStart w:id="2" w:name="_Hlk44597626"/>
      <w:r>
        <w:rPr>
          <w:rFonts w:hint="eastAsia"/>
          <w:color w:val="000000" w:themeColor="text1"/>
          <w:highlight w:val="none"/>
          <w:lang w:eastAsia="zh-CN"/>
          <w14:textFill>
            <w14:solidFill>
              <w14:schemeClr w14:val="tx1"/>
            </w14:solidFill>
          </w14:textFill>
        </w:rPr>
        <w:t>第一部分招标公告</w:t>
      </w:r>
      <w:bookmarkEnd w:id="0"/>
      <w:bookmarkEnd w:id="1"/>
    </w:p>
    <w:bookmarkEnd w:id="2"/>
    <w:p>
      <w:pPr>
        <w:pageBreakBefore w:val="0"/>
        <w:widowControl w:val="0"/>
        <w:kinsoku/>
        <w:wordWrap/>
        <w:overflowPunct/>
        <w:topLinePunct w:val="0"/>
        <w:autoSpaceDE/>
        <w:autoSpaceDN/>
        <w:bidi w:val="0"/>
        <w:adjustRightInd/>
        <w:snapToGrid/>
        <w:spacing w:line="600" w:lineRule="exact"/>
        <w:ind w:left="0" w:leftChars="0" w:firstLine="482" w:firstLineChars="200"/>
        <w:jc w:val="center"/>
        <w:textAlignment w:val="auto"/>
        <w:rPr>
          <w:rFonts w:ascii="仿宋" w:hAnsi="仿宋" w:cs="仿宋"/>
          <w:b/>
          <w:color w:val="000000" w:themeColor="text1"/>
          <w:highlight w:val="none"/>
          <w:lang w:eastAsia="zh-CN"/>
          <w14:textFill>
            <w14:solidFill>
              <w14:schemeClr w14:val="tx1"/>
            </w14:solidFill>
          </w14:textFill>
        </w:rPr>
      </w:pPr>
      <w:bookmarkStart w:id="3" w:name="bookmark63"/>
      <w:r>
        <w:rPr>
          <w:rFonts w:hint="eastAsia" w:ascii="仿宋" w:hAnsi="仿宋" w:cs="仿宋"/>
          <w:b/>
          <w:color w:val="000000" w:themeColor="text1"/>
          <w:highlight w:val="none"/>
          <w:lang w:eastAsia="zh-CN"/>
          <w14:textFill>
            <w14:solidFill>
              <w14:schemeClr w14:val="tx1"/>
            </w14:solidFill>
          </w14:textFill>
        </w:rPr>
        <w:t>乌鲁木齐信用信息共享平台和信用信息网站运营服务项目的公开招标公告</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项目概况:</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乌鲁木齐市发展和改革委员会（乌鲁木齐市粮食和物资储备局）</w:t>
      </w:r>
      <w:r>
        <w:rPr>
          <w:rFonts w:hint="eastAsia" w:ascii="仿宋" w:hAnsi="仿宋" w:eastAsia="仿宋" w:cs="仿宋"/>
          <w:b w:val="0"/>
          <w:bCs w:val="0"/>
          <w:color w:val="000000" w:themeColor="text1"/>
          <w:sz w:val="24"/>
          <w:szCs w:val="24"/>
          <w:highlight w:val="none"/>
          <w:u w:val="single"/>
          <w:lang w:val="en-US" w:eastAsia="zh-CN"/>
          <w14:textFill>
            <w14:solidFill>
              <w14:schemeClr w14:val="tx1"/>
            </w14:solidFill>
          </w14:textFill>
        </w:rPr>
        <w:t>关于</w:t>
      </w:r>
      <w:r>
        <w:rPr>
          <w:rFonts w:hint="eastAsia" w:ascii="仿宋" w:hAnsi="仿宋" w:eastAsia="仿宋" w:cs="仿宋"/>
          <w:b w:val="0"/>
          <w:bCs w:val="0"/>
          <w:color w:val="000000" w:themeColor="text1"/>
          <w:sz w:val="24"/>
          <w:szCs w:val="24"/>
          <w:highlight w:val="none"/>
          <w:u w:val="single"/>
          <w:lang w:eastAsia="zh-CN"/>
          <w14:textFill>
            <w14:solidFill>
              <w14:schemeClr w14:val="tx1"/>
            </w14:solidFill>
          </w14:textFill>
        </w:rPr>
        <w:t>乌鲁木齐信用信息共享平台和信用信息网站运营服务项目招标项目</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的潜在投标人、潜在供应商应在政采云平台线上获取采购文件获取招标文件，并于2023年09月18日16:00</w:t>
      </w:r>
      <w:r>
        <w:rPr>
          <w:rFonts w:ascii="仿宋" w:hAnsi="仿宋" w:eastAsia="仿宋" w:cs="仿宋"/>
          <w:b w:val="0"/>
          <w:bCs w:val="0"/>
          <w:color w:val="000000" w:themeColor="text1"/>
          <w:sz w:val="24"/>
          <w:szCs w:val="24"/>
          <w:highlight w:val="none"/>
          <w:lang w:eastAsia="zh-CN"/>
          <w14:textFill>
            <w14:solidFill>
              <w14:schemeClr w14:val="tx1"/>
            </w14:solidFill>
          </w14:textFill>
        </w:rPr>
        <w:t>（北京时间）</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前递交投标文件。</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一、项目基本情况</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项目编号：XJXECWLMQ-2023058</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项目名称：乌鲁木齐信用信息共享平台和信用信息网站运营服务项目</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采购方式：公开招标</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预算金额（万元）：</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100</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简要规格描述或项目基本概况介绍、用途：提升</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乌市</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信用监测排名。（</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具体内容详见招标文件</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备注：</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合同履约期限：详见招标文件</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本项目（否）接受联合体投标。</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二、申请人的资格要求：</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1.满足《中华人民共和国政府采购法》第二十二条规定；</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2.落实政府采购政策需满足的资格要求：供应商为中小</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微</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企业 </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3.本项目的特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定资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格要求：</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三、获取招标文件</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时间：202</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年0</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日至202</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年0</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月</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04</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日，每天上午</w:t>
      </w:r>
      <w:r>
        <w:rPr>
          <w:rFonts w:ascii="仿宋" w:hAnsi="仿宋" w:eastAsia="仿宋" w:cs="仿宋"/>
          <w:b w:val="0"/>
          <w:bCs w:val="0"/>
          <w:color w:val="000000" w:themeColor="text1"/>
          <w:sz w:val="24"/>
          <w:szCs w:val="24"/>
          <w:highlight w:val="none"/>
          <w:lang w:eastAsia="zh-CN"/>
          <w14:textFill>
            <w14:solidFill>
              <w14:schemeClr w14:val="tx1"/>
            </w14:solidFill>
          </w14:textFill>
        </w:rPr>
        <w:t>10:30至1</w:t>
      </w:r>
      <w:r>
        <w:rPr>
          <w:rFonts w:ascii="仿宋" w:hAnsi="仿宋" w:eastAsia="仿宋" w:cs="仿宋"/>
          <w:b w:val="0"/>
          <w:bCs w:val="0"/>
          <w:color w:val="000000" w:themeColor="text1"/>
          <w:sz w:val="24"/>
          <w:szCs w:val="24"/>
          <w:highlight w:val="none"/>
          <w:lang w:val="en-US" w:eastAsia="zh-CN"/>
          <w14:textFill>
            <w14:solidFill>
              <w14:schemeClr w14:val="tx1"/>
            </w14:solidFill>
          </w14:textFill>
        </w:rPr>
        <w:t>3</w:t>
      </w:r>
      <w:r>
        <w:rPr>
          <w:rFonts w:ascii="仿宋" w:hAnsi="仿宋" w:eastAsia="仿宋" w:cs="仿宋"/>
          <w:b w:val="0"/>
          <w:bCs w:val="0"/>
          <w:color w:val="000000" w:themeColor="text1"/>
          <w:sz w:val="24"/>
          <w:szCs w:val="24"/>
          <w:highlight w:val="none"/>
          <w:lang w:eastAsia="zh-CN"/>
          <w14:textFill>
            <w14:solidFill>
              <w14:schemeClr w14:val="tx1"/>
            </w14:solidFill>
          </w14:textFill>
        </w:rPr>
        <w:t>:00，下午1</w:t>
      </w:r>
      <w:r>
        <w:rPr>
          <w:rFonts w:ascii="仿宋" w:hAnsi="仿宋" w:eastAsia="仿宋" w:cs="仿宋"/>
          <w:b w:val="0"/>
          <w:bCs w:val="0"/>
          <w:color w:val="000000" w:themeColor="text1"/>
          <w:sz w:val="24"/>
          <w:szCs w:val="24"/>
          <w:highlight w:val="none"/>
          <w:lang w:val="en-US" w:eastAsia="zh-CN"/>
          <w14:textFill>
            <w14:solidFill>
              <w14:schemeClr w14:val="tx1"/>
            </w14:solidFill>
          </w14:textFill>
        </w:rPr>
        <w:t>6</w:t>
      </w:r>
      <w:r>
        <w:rPr>
          <w:rFonts w:ascii="仿宋" w:hAnsi="仿宋" w:eastAsia="仿宋" w:cs="仿宋"/>
          <w:b w:val="0"/>
          <w:bCs w:val="0"/>
          <w:color w:val="000000" w:themeColor="text1"/>
          <w:sz w:val="24"/>
          <w:szCs w:val="24"/>
          <w:highlight w:val="none"/>
          <w:lang w:eastAsia="zh-CN"/>
          <w14:textFill>
            <w14:solidFill>
              <w14:schemeClr w14:val="tx1"/>
            </w14:solidFill>
          </w14:textFill>
        </w:rPr>
        <w:t>:00至1</w:t>
      </w:r>
      <w:r>
        <w:rPr>
          <w:rFonts w:ascii="仿宋" w:hAnsi="仿宋" w:eastAsia="仿宋" w:cs="仿宋"/>
          <w:b w:val="0"/>
          <w:bCs w:val="0"/>
          <w:color w:val="000000" w:themeColor="text1"/>
          <w:sz w:val="24"/>
          <w:szCs w:val="24"/>
          <w:highlight w:val="none"/>
          <w:lang w:val="en-US" w:eastAsia="zh-CN"/>
          <w14:textFill>
            <w14:solidFill>
              <w14:schemeClr w14:val="tx1"/>
            </w14:solidFill>
          </w14:textFill>
        </w:rPr>
        <w:t>8</w:t>
      </w:r>
      <w:r>
        <w:rPr>
          <w:rFonts w:ascii="仿宋" w:hAnsi="仿宋" w:eastAsia="仿宋" w:cs="仿宋"/>
          <w:b w:val="0"/>
          <w:bCs w:val="0"/>
          <w:color w:val="000000" w:themeColor="text1"/>
          <w:sz w:val="24"/>
          <w:szCs w:val="24"/>
          <w:highlight w:val="none"/>
          <w:lang w:eastAsia="zh-CN"/>
          <w14:textFill>
            <w14:solidFill>
              <w14:schemeClr w14:val="tx1"/>
            </w14:solidFill>
          </w14:textFill>
        </w:rPr>
        <w:t>:00（北京时间，法定节假日除外）</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地点：中国政府采购网新疆分网（政府采购云平台）</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方式：供应商</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登录</w:t>
      </w:r>
      <w:r>
        <w:rPr>
          <w:rFonts w:hint="eastAsia" w:ascii="仿宋" w:hAnsi="仿宋" w:eastAsia="仿宋" w:cs="仿宋"/>
          <w:b w:val="0"/>
          <w:bCs w:val="0"/>
          <w:color w:val="000000" w:themeColor="text1"/>
          <w:sz w:val="24"/>
          <w:szCs w:val="24"/>
          <w:highlight w:val="none"/>
          <w14:textFill>
            <w14:solidFill>
              <w14:schemeClr w14:val="tx1"/>
            </w14:solidFill>
          </w14:textFill>
        </w:rPr>
        <w:t>政采云系统平台（https://www.zcygov.cn/）进入“项目采购”栏目，在获取采购文件菜单中选择所要获取采购文件的项目，申请获取采购文件。</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注：采购文件获取成功不代表评审现场通过资格审查。</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四、提交投标文件截止时间、开标时间和地点</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提交投标文件截止时间：2023年09月18日16:00</w:t>
      </w:r>
      <w:r>
        <w:rPr>
          <w:rFonts w:ascii="仿宋" w:hAnsi="仿宋" w:eastAsia="仿宋" w:cs="仿宋"/>
          <w:b w:val="0"/>
          <w:bCs w:val="0"/>
          <w:color w:val="000000" w:themeColor="text1"/>
          <w:sz w:val="24"/>
          <w:szCs w:val="24"/>
          <w:highlight w:val="none"/>
          <w:lang w:eastAsia="zh-CN"/>
          <w14:textFill>
            <w14:solidFill>
              <w14:schemeClr w14:val="tx1"/>
            </w14:solidFill>
          </w14:textFill>
        </w:rPr>
        <w:t>（北京时间）</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投标地点：</w:t>
      </w:r>
      <w:r>
        <w:rPr>
          <w:rFonts w:hint="eastAsia" w:ascii="仿宋" w:hAnsi="仿宋" w:eastAsia="仿宋" w:cs="仿宋"/>
          <w:b w:val="0"/>
          <w:bCs w:val="0"/>
          <w:color w:val="000000" w:themeColor="text1"/>
          <w:sz w:val="24"/>
          <w:szCs w:val="24"/>
          <w:highlight w:val="none"/>
          <w:lang w:val="en-US"/>
          <w14:textFill>
            <w14:solidFill>
              <w14:schemeClr w14:val="tx1"/>
            </w14:solidFill>
          </w14:textFill>
        </w:rPr>
        <w:t>政采云平台http://www.zcygov.cn</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开标时间：2023年09月18日16:00（北京时间）</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开标地点：</w:t>
      </w:r>
      <w:r>
        <w:rPr>
          <w:rFonts w:hint="eastAsia" w:ascii="仿宋" w:hAnsi="仿宋" w:eastAsia="仿宋" w:cs="仿宋"/>
          <w:b w:val="0"/>
          <w:bCs w:val="0"/>
          <w:color w:val="000000" w:themeColor="text1"/>
          <w:sz w:val="24"/>
          <w:szCs w:val="24"/>
          <w:highlight w:val="none"/>
          <w:lang w:val="en-US"/>
          <w14:textFill>
            <w14:solidFill>
              <w14:schemeClr w14:val="tx1"/>
            </w14:solidFill>
          </w14:textFill>
        </w:rPr>
        <w:t>政采云平台http://www.zcygov.cn</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五、公告期限</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自本公告发布之日起5个工作日。</w:t>
      </w:r>
    </w:p>
    <w:p>
      <w:pPr>
        <w:pStyle w:val="39"/>
        <w:pageBreakBefore w:val="0"/>
        <w:widowControl w:val="0"/>
        <w:numPr>
          <w:ilvl w:val="0"/>
          <w:numId w:val="4"/>
        </w:numPr>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其他补充事宜</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1.（1）请潜在供应商自行随时关注本项目的澄清、答疑、变更事项。</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2.（1）本项目采用全流程不见面电子开评标，供应商需要使用CA加密设备，供应商可通过新疆数字证书认证中心官网（https://www.xjca.com.cn/）或下载“新疆政务通”APP自行进行申领。</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（2）本项目实行网上投标，采用加密电子投标响应文件(供应商须使用CA加密设备通过政采云电子投标客户端制作投标响应文件)。若供应商参与投标，自行承担投标一切费用。</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（3）各投标人在开标前应确保成为新疆政府采购网正式注册入库供应商，并完成CA数字证书申领。因未注册入库、未办理CA数字证书等原因造成无法投标或投标失败等后果由供应商自行承担。</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招标代理机构不予异常处理，视为供应商自动弃标。</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七、对本次采购提出询问，请按以下方式联系</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1.招标人信息</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名称：乌鲁木齐市发展和改革委员会（乌鲁木齐市粮食和物资储备局）</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地址：乌鲁木齐市水磨沟区准噶尔街299号益民大厦</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项目委托人：马晓曦</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联系方式：</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0991-4615587</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2.招标代理机构信息</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名称：新疆信尔成工程项目管理有限公司</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地址：新疆乌鲁木齐市水磨沟区会展大道1119号大成尔雅第一栋第十八层A座1806号房</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3.项目联系方式</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项目联系人：</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张工</w:t>
      </w:r>
    </w:p>
    <w:p>
      <w:pPr>
        <w:pStyle w:val="39"/>
        <w:pageBreakBefore w:val="0"/>
        <w:widowControl w:val="0"/>
        <w:kinsoku/>
        <w:wordWrap/>
        <w:overflowPunct/>
        <w:topLinePunct w:val="0"/>
        <w:autoSpaceDE/>
        <w:autoSpaceDN/>
        <w:bidi w:val="0"/>
        <w:adjustRightInd/>
        <w:snapToGrid/>
        <w:spacing w:after="0" w:line="600" w:lineRule="exact"/>
        <w:ind w:left="0" w:leftChars="0" w:firstLine="480" w:firstLineChars="200"/>
        <w:jc w:val="both"/>
        <w:textAlignment w:val="auto"/>
        <w:rPr>
          <w:rFonts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电话：15899238271</w:t>
      </w:r>
    </w:p>
    <w:p>
      <w:pPr>
        <w:widowControl/>
        <w:ind w:left="0" w:leftChars="0" w:firstLine="0" w:firstLineChars="0"/>
        <w:jc w:val="center"/>
        <w:rPr>
          <w:rFonts w:hint="eastAsia"/>
          <w:b/>
          <w:bCs/>
          <w:i w:val="0"/>
          <w:iCs w:val="0"/>
          <w:color w:val="000000" w:themeColor="text1"/>
          <w:sz w:val="32"/>
          <w:szCs w:val="32"/>
          <w:highlight w:val="none"/>
          <w:lang w:eastAsia="zh-CN"/>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bookmarkStart w:id="4" w:name="_Toc7905"/>
      <w:r>
        <w:rPr>
          <w:rFonts w:hint="eastAsia"/>
          <w:b/>
          <w:bCs/>
          <w:i w:val="0"/>
          <w:iCs w:val="0"/>
          <w:color w:val="000000" w:themeColor="text1"/>
          <w:sz w:val="32"/>
          <w:szCs w:val="32"/>
          <w:highlight w:val="none"/>
          <w:lang w:eastAsia="zh-CN"/>
          <w14:textFill>
            <w14:solidFill>
              <w14:schemeClr w14:val="tx1"/>
            </w14:solidFill>
          </w14:textFill>
        </w:rPr>
        <w:t>第二部分投标人须知前附表</w:t>
      </w:r>
      <w:bookmarkEnd w:id="4"/>
    </w:p>
    <w:p>
      <w:pPr>
        <w:pStyle w:val="32"/>
        <w:rPr>
          <w:color w:val="000000" w:themeColor="text1"/>
          <w:highlight w:val="none"/>
          <w:lang w:eastAsia="zh-CN"/>
          <w14:textFill>
            <w14:solidFill>
              <w14:schemeClr w14:val="tx1"/>
            </w14:solidFill>
          </w14:textFill>
        </w:rPr>
      </w:pPr>
    </w:p>
    <w:tbl>
      <w:tblPr>
        <w:tblStyle w:val="23"/>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954" w:type="dxa"/>
            <w:vAlign w:val="center"/>
          </w:tcPr>
          <w:p>
            <w:pPr>
              <w:snapToGrid w:val="0"/>
              <w:ind w:firstLine="0" w:firstLineChars="0"/>
              <w:rPr>
                <w:rFonts w:ascii="仿宋" w:hAnsi="仿宋" w:cs="仿宋"/>
                <w:b/>
                <w:bCs/>
                <w:color w:val="000000" w:themeColor="text1"/>
                <w:highlight w:val="none"/>
                <w14:textFill>
                  <w14:solidFill>
                    <w14:schemeClr w14:val="tx1"/>
                  </w14:solidFill>
                </w14:textFill>
              </w:rPr>
            </w:pPr>
            <w:bookmarkStart w:id="5" w:name="_Hlk44596285"/>
            <w:r>
              <w:rPr>
                <w:rFonts w:hint="eastAsia" w:ascii="仿宋" w:hAnsi="仿宋" w:cs="仿宋"/>
                <w:b/>
                <w:bCs/>
                <w:color w:val="000000" w:themeColor="text1"/>
                <w:highlight w:val="none"/>
                <w14:textFill>
                  <w14:solidFill>
                    <w14:schemeClr w14:val="tx1"/>
                  </w14:solidFill>
                </w14:textFill>
              </w:rPr>
              <w:t>项目</w:t>
            </w:r>
          </w:p>
        </w:tc>
        <w:tc>
          <w:tcPr>
            <w:tcW w:w="9546" w:type="dxa"/>
            <w:vAlign w:val="center"/>
          </w:tcPr>
          <w:p>
            <w:pPr>
              <w:snapToGrid w:val="0"/>
              <w:ind w:firstLine="482"/>
              <w:jc w:val="center"/>
              <w:rPr>
                <w:rFonts w:ascii="仿宋" w:hAnsi="仿宋" w:cs="仿宋"/>
                <w:b/>
                <w:bCs/>
                <w:color w:val="000000" w:themeColor="text1"/>
                <w:highlight w:val="none"/>
                <w14:textFill>
                  <w14:solidFill>
                    <w14:schemeClr w14:val="tx1"/>
                  </w14:solidFill>
                </w14:textFill>
              </w:rPr>
            </w:pPr>
            <w:r>
              <w:rPr>
                <w:rFonts w:hint="eastAsia" w:ascii="仿宋" w:hAnsi="仿宋" w:cs="仿宋"/>
                <w:b/>
                <w:bCs/>
                <w:color w:val="000000" w:themeColor="text1"/>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14:textFill>
                  <w14:solidFill>
                    <w14:schemeClr w14:val="tx1"/>
                  </w14:solidFill>
                </w14:textFill>
              </w:rPr>
            </w:pPr>
          </w:p>
        </w:tc>
        <w:tc>
          <w:tcPr>
            <w:tcW w:w="9546" w:type="dxa"/>
            <w:vAlign w:val="center"/>
          </w:tcPr>
          <w:p>
            <w:pPr>
              <w:pStyle w:val="47"/>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项目名称：乌鲁木齐信用信息共享平台和信用信息网站运营服务项目</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项目编号：XJXECWLMQ-2023058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2"/>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内容简介：</w:t>
            </w:r>
          </w:p>
          <w:p>
            <w:pPr>
              <w:snapToGrid w:val="0"/>
              <w:ind w:firstLine="480"/>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为贯彻落实国家及自治区关于社会信用体系建设工作要求，对照《国家公共信用信息中心印发&lt;城市信用状况监测预警指标（2022年版）&gt;的通知》，为乌市提供城市信用监测排名提升及七类行政管理信息归集排名提升的信用咨询服务及技术支持服务，由乌市信用牵头部门协调信用成员单位形成合力共同提升乌市信用监测排名至全国36个省会及副省级以上城市排名30名以内；七类行政管理信息归集工作在全疆通报中提升至全疆前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pStyle w:val="47"/>
              <w:numPr>
                <w:ilvl w:val="0"/>
                <w:numId w:val="6"/>
              </w:numPr>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本项目</w:t>
            </w:r>
            <w:r>
              <w:rPr>
                <w:rFonts w:hint="eastAsia" w:ascii="仿宋" w:hAnsi="仿宋" w:eastAsia="仿宋" w:cs="仿宋"/>
                <w:color w:val="000000" w:themeColor="text1"/>
                <w:highlight w:val="none"/>
                <w:lang w:eastAsia="zh-CN"/>
                <w14:textFill>
                  <w14:solidFill>
                    <w14:schemeClr w14:val="tx1"/>
                  </w14:solidFill>
                </w14:textFill>
              </w:rPr>
              <w:t>资格要求：满足《中华人民共和国政府采购法》第二十二条规定；</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（1）法人授权委托书和被授权人有效身份证（法定代表人直接参加的需提供法人身份证明和身份证）；</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供应商须在“信用中国”（www.creditchina.gov.cn）和中国政府采购网（www.ccgp.gov.cn）以及国家企业信用信息公示系统网站（http://www.gsxt.gov.cn）上未被列入失信被执行人、重大税收违法案件当事人名单、未被列入政府采购严重违法失信行为记录名单里以及未被列入严重违法失信企业名单（黑名单）信息；</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（3）供应商为企业法人应提供合法有效的标识有统一社会信用代码的营业执照；事业法人应提供事业单位法人证书；其他组织应提供合法登记证明文件；自然人提供身份证明文件；</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（4）供应商提供近半年内已缴存的至少一个月的社会保障资金缴存单据或社保机构开具的社会保险参保缴费情况证明，依法不需要缴纳社会保障资金的供应商应提供相关文件证明；</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5）供应商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（6）供应商提供近半年内已缴纳的至少一个月的纳税证明或完税证明，纳税证明或完税证明上应有代收机构或税务机关的公章，依法免税的供应商应提供相关文件证明；</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（7）供应商应具备良好的商业信誉，提供参加政府采购活动前3年内在经营活动中没有重大违法记录的书面声明；</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（8）保证金缴纳凭证；</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（9）不参与围标串标承诺书；</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10）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2.落实政府采购政策需满足的资格要求：</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（1）采购政策政府采购应当采购本国货物、工程和服务，并执行节能产品、环境标志产品、中小</w:t>
            </w:r>
            <w:r>
              <w:rPr>
                <w:rFonts w:hint="eastAsia" w:ascii="仿宋" w:hAnsi="仿宋" w:eastAsia="仿宋" w:cs="仿宋"/>
                <w:color w:val="000000" w:themeColor="text1"/>
                <w:kern w:val="2"/>
                <w:highlight w:val="none"/>
                <w:lang w:val="en-US" w:eastAsia="zh-CN"/>
                <w14:textFill>
                  <w14:solidFill>
                    <w14:schemeClr w14:val="tx1"/>
                  </w14:solidFill>
                </w14:textFill>
              </w:rPr>
              <w:t>微</w:t>
            </w:r>
            <w:r>
              <w:rPr>
                <w:rFonts w:hint="eastAsia" w:ascii="仿宋" w:hAnsi="仿宋" w:eastAsia="仿宋" w:cs="仿宋"/>
                <w:color w:val="000000" w:themeColor="text1"/>
                <w:kern w:val="2"/>
                <w:highlight w:val="none"/>
                <w14:textFill>
                  <w14:solidFill>
                    <w14:schemeClr w14:val="tx1"/>
                  </w14:solidFill>
                </w14:textFill>
              </w:rPr>
              <w:t>企业、残疾人福利性单位、监狱企业等适宜本项目的政府采购政策。</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 xml:space="preserve">（2）政策依据 </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1）财政部、国家发展改革委、生态环境部、市场监管总局《关于调整优化节能产品、环境标志产品政府采购执行机制的通知》（财库[2019]9号文）；</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2）财政部、生态环境部《关于印发环境标志产品政府采购品目清单的通知》（财库[2019]18号文）；</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3）财政部、发展改革委《关于印发节能产品政府采购品目清单的通知》（财库[2019]19号文）；</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4）市场监管总局《市场监管总局关于发布参与实施政府采购节能产品、环境标志产品认证机构名录的公告》（2019年第16号）；</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5）财政部、工业和信息化部《关于印发《政府采购促进中小企业展暂行办法》的通知》（财库[2020]46号文）；</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6）财政部、民政部、中国残疾人联合会《关于促进残疾人就业政府采购政策的通知》（财库[2017]141号）；</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7）财政部、司法部《关于政府采购支持监狱企业发展有关问题的通知》（财库[2014]68号文）。</w:t>
            </w:r>
          </w:p>
          <w:p>
            <w:pPr>
              <w:pStyle w:val="20"/>
              <w:ind w:firstLine="480"/>
              <w:jc w:val="both"/>
              <w:rPr>
                <w:rFonts w:hint="eastAsia"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8）《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财政部办公厅关于组织地方预算单位做好2021年政府采购脱贫地区农副产品工作的通知》(财办库〔2021〕76号)、关于印发《关于深入开展政府采购脱贫地区农副产品工作推进乡村产业振兴的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中小微型企业有关政策</w:t>
            </w:r>
            <w:r>
              <w:rPr>
                <w:rFonts w:hint="eastAsia" w:ascii="仿宋" w:hAnsi="仿宋" w:eastAsia="仿宋" w:cs="仿宋"/>
                <w:color w:val="000000" w:themeColor="text1"/>
                <w:kern w:val="2"/>
                <w:highlight w:val="none"/>
                <w:lang w:eastAsia="zh-CN"/>
                <w14:textFill>
                  <w14:solidFill>
                    <w14:schemeClr w14:val="tx1"/>
                  </w14:solidFill>
                </w14:textFill>
              </w:rPr>
              <w:t>：(1) 据《政府采购促进中小企业展暂行办法》（财库【2020】46号文）、关于转发《政府采购促进中小企业发展管理办法》的通知（兵财库〔2021〕7号文）规定执行；</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(2)根据工信部等部委发布的《关于印发中小企业划型标准规定的通知》（工信部联企业[2011]300号）规定执行；</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 xml:space="preserve">本项目采购标的对应的中小企业划分标准所属行业为（十六）其他未列明行业。从业人员300人以下的为中小微型企业。其中，从业人员100人及以上的为中型企业；从业人员10人及以上的为小型企业；从业人员10人以下的为微型企业。 </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(3)根据政府采购有关规定和采购项目的实际情况：本项目为</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sym w:font="Wingdings" w:char="00A8"/>
            </w:r>
            <w:r>
              <w:rPr>
                <w:rFonts w:hint="eastAsia" w:ascii="仿宋" w:hAnsi="仿宋" w:eastAsia="仿宋" w:cs="仿宋"/>
                <w:color w:val="000000" w:themeColor="text1"/>
                <w:kern w:val="2"/>
                <w:highlight w:val="none"/>
                <w:lang w:eastAsia="zh-CN"/>
                <w14:textFill>
                  <w14:solidFill>
                    <w14:schemeClr w14:val="tx1"/>
                  </w14:solidFill>
                </w14:textFill>
              </w:rPr>
              <w:t>货物项目</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sym w:font="Wingdings" w:char="00A8"/>
            </w:r>
            <w:r>
              <w:rPr>
                <w:rFonts w:hint="eastAsia" w:ascii="仿宋" w:hAnsi="仿宋" w:eastAsia="仿宋" w:cs="仿宋"/>
                <w:color w:val="000000" w:themeColor="text1"/>
                <w:kern w:val="2"/>
                <w:highlight w:val="none"/>
                <w:lang w:eastAsia="zh-CN"/>
                <w14:textFill>
                  <w14:solidFill>
                    <w14:schemeClr w14:val="tx1"/>
                  </w14:solidFill>
                </w14:textFill>
              </w:rPr>
              <w:t>工程项目</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sym w:font="Wingdings" w:char="00FE"/>
            </w:r>
            <w:r>
              <w:rPr>
                <w:rFonts w:hint="eastAsia" w:ascii="仿宋" w:hAnsi="仿宋" w:eastAsia="仿宋" w:cs="仿宋"/>
                <w:color w:val="000000" w:themeColor="text1"/>
                <w:kern w:val="2"/>
                <w:highlight w:val="none"/>
                <w:lang w:eastAsia="zh-CN"/>
                <w14:textFill>
                  <w14:solidFill>
                    <w14:schemeClr w14:val="tx1"/>
                  </w14:solidFill>
                </w14:textFill>
              </w:rPr>
              <w:t>服务项目</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享受中小企业扶持政策的供应商应当满足下列条件：</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①在货物采购项目中，货物由中小企业制造，即货物由中小企业生产且使用该中小企业商号或者注册商标。不对其中涉及的服务的承接商作出要求；</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②在工程采购项目中，工程由中小企业承建，即工程施工单位为中小企业。不对其中涉及的货物的制造商和服务的承接商作出要求；</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③在服务采购项目中，服务由中小企业承接，即提供服务的人员为中小企业依照《中华人民共和国劳动合同法》订立劳动合同的从业人员。不对其中涉及的货物的制造商作出要求。</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 xml:space="preserve">④在货物采购项目中，供应商提供的货物既有中小企业制造货物，也有大型企业制造货物的，不享受本办法规定的中小企业扶持政策。 </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⑤以联合体形式参加政府采购活动，联合体各方均为中小企业的，联合体视同中小企业。其中，联合体各方均为小微企业的，联合体视同小微企业。</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(4)价格扣除幅度：符合招标文件规定的小微企业、监狱企业、残疾人福利性单位优惠条件的供应商，价格给予10%的扣除，用扣除后的价格参与评审。</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(5)小型和微型企业适用价格扣除办法时应提供的相关资料：</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供应商需在响应文件报价部分中“中、小、微型企业产品明细表”中逐项注明所投产品的产品名称、制造商、型号并备注是否属于中、小企业。</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若所投标产品为进口产品的，不适用《政府采购促进中小企业发展暂行办法》。</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根据中华人民共和国财政部、中华人民共和国民政部、中国残疾人联合会《关于促进残疾人就业政府采购政策的通知》（（财库〔2017〕141号）文件的规定：残疾人福利性单位视同中、小企业。</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根据财政部、司法部《关于政府采购支持监狱企业发展有关问题的通知》(财库【2014】68号)文件的规定：在政府采购活动中，监狱企业视同中、小企业。</w:t>
            </w:r>
          </w:p>
          <w:p>
            <w:pPr>
              <w:pStyle w:val="20"/>
              <w:ind w:firstLine="480"/>
              <w:jc w:val="both"/>
              <w:rPr>
                <w:rFonts w:hint="eastAsia" w:ascii="仿宋" w:hAnsi="仿宋" w:eastAsia="仿宋" w:cs="仿宋"/>
                <w:color w:val="000000" w:themeColor="text1"/>
                <w:kern w:val="2"/>
                <w:highlight w:val="none"/>
                <w:lang w:eastAsia="zh-CN"/>
                <w14:textFill>
                  <w14:solidFill>
                    <w14:schemeClr w14:val="tx1"/>
                  </w14:solidFill>
                </w14:textFill>
              </w:rPr>
            </w:pPr>
            <w:r>
              <w:rPr>
                <w:rFonts w:hint="eastAsia" w:ascii="仿宋" w:hAnsi="仿宋" w:eastAsia="仿宋" w:cs="仿宋"/>
                <w:color w:val="000000" w:themeColor="text1"/>
                <w:kern w:val="2"/>
                <w:highlight w:val="none"/>
                <w:lang w:eastAsia="zh-CN"/>
                <w14:textFill>
                  <w14:solidFill>
                    <w14:schemeClr w14:val="tx1"/>
                  </w14:solidFill>
                </w14:textFill>
              </w:rPr>
              <w:t>供应商若为残疾人福利性单位，须在响应性文件中提供《残疾人福利性单位声明函》，否则将不给予价格扣除。供应商须对其声明的真实性负责，若与事实不符的，将依照《政府采购法》第七十七条第一款的规定追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pStyle w:val="20"/>
              <w:ind w:firstLine="480"/>
              <w:jc w:val="both"/>
              <w:rPr>
                <w:rFonts w:ascii="仿宋" w:hAnsi="仿宋" w:eastAsia="仿宋" w:cs="仿宋"/>
                <w:color w:val="000000" w:themeColor="text1"/>
                <w:kern w:val="2"/>
                <w:highlight w:val="none"/>
                <w:lang w:val="zh-CN"/>
                <w14:textFill>
                  <w14:solidFill>
                    <w14:schemeClr w14:val="tx1"/>
                  </w14:solidFill>
                </w14:textFill>
              </w:rPr>
            </w:pPr>
            <w:r>
              <w:rPr>
                <w:rFonts w:hint="eastAsia" w:ascii="仿宋" w:hAnsi="仿宋" w:eastAsia="仿宋" w:cs="仿宋"/>
                <w:color w:val="000000" w:themeColor="text1"/>
                <w:kern w:val="2"/>
                <w:highlight w:val="none"/>
                <w:lang w:val="zh-CN"/>
                <w14:textFill>
                  <w14:solidFill>
                    <w14:schemeClr w14:val="tx1"/>
                  </w14:solidFill>
                </w14:textFill>
              </w:rPr>
              <w:t>中标公告的时间、媒介和期限：</w:t>
            </w:r>
          </w:p>
          <w:p>
            <w:pPr>
              <w:pStyle w:val="20"/>
              <w:ind w:firstLine="480"/>
              <w:jc w:val="both"/>
              <w:rPr>
                <w:rFonts w:ascii="仿宋" w:hAnsi="仿宋" w:eastAsia="仿宋" w:cs="仿宋"/>
                <w:color w:val="000000" w:themeColor="text1"/>
                <w:kern w:val="2"/>
                <w:highlight w:val="none"/>
                <w:lang w:val="zh-CN"/>
                <w14:textFill>
                  <w14:solidFill>
                    <w14:schemeClr w14:val="tx1"/>
                  </w14:solidFill>
                </w14:textFill>
              </w:rPr>
            </w:pPr>
            <w:r>
              <w:rPr>
                <w:rFonts w:hint="eastAsia" w:ascii="仿宋" w:hAnsi="仿宋" w:eastAsia="仿宋" w:cs="仿宋"/>
                <w:color w:val="000000" w:themeColor="text1"/>
                <w:kern w:val="2"/>
                <w:highlight w:val="none"/>
                <w:lang w:val="zh-CN"/>
                <w14:textFill>
                  <w14:solidFill>
                    <w14:schemeClr w14:val="tx1"/>
                  </w14:solidFill>
                </w14:textFill>
              </w:rPr>
              <w:t>公告时间：在确定中标人之日起2个工作日内</w:t>
            </w:r>
          </w:p>
          <w:p>
            <w:pPr>
              <w:pStyle w:val="20"/>
              <w:ind w:firstLine="480"/>
              <w:jc w:val="both"/>
              <w:rPr>
                <w:rFonts w:ascii="仿宋" w:hAnsi="仿宋" w:eastAsia="仿宋" w:cs="仿宋"/>
                <w:color w:val="000000" w:themeColor="text1"/>
                <w:kern w:val="2"/>
                <w:highlight w:val="none"/>
                <w:lang w:val="zh-CN"/>
                <w14:textFill>
                  <w14:solidFill>
                    <w14:schemeClr w14:val="tx1"/>
                  </w14:solidFill>
                </w14:textFill>
              </w:rPr>
            </w:pPr>
            <w:r>
              <w:rPr>
                <w:rFonts w:hint="eastAsia" w:ascii="仿宋" w:hAnsi="仿宋" w:eastAsia="仿宋" w:cs="仿宋"/>
                <w:color w:val="000000" w:themeColor="text1"/>
                <w:kern w:val="2"/>
                <w:highlight w:val="none"/>
                <w:lang w:val="zh-CN"/>
                <w14:textFill>
                  <w14:solidFill>
                    <w14:schemeClr w14:val="tx1"/>
                  </w14:solidFill>
                </w14:textFill>
              </w:rPr>
              <w:t>公告媒介：新疆政府采购网</w:t>
            </w:r>
          </w:p>
          <w:p>
            <w:pPr>
              <w:pStyle w:val="20"/>
              <w:ind w:firstLine="480"/>
              <w:jc w:val="both"/>
              <w:rPr>
                <w:rFonts w:ascii="仿宋" w:hAnsi="仿宋" w:eastAsia="仿宋" w:cs="仿宋"/>
                <w:color w:val="000000" w:themeColor="text1"/>
                <w:kern w:val="2"/>
                <w:highlight w:val="none"/>
                <w14:textFill>
                  <w14:solidFill>
                    <w14:schemeClr w14:val="tx1"/>
                  </w14:solidFill>
                </w14:textFill>
              </w:rPr>
            </w:pPr>
            <w:r>
              <w:rPr>
                <w:rFonts w:hint="eastAsia" w:ascii="仿宋" w:hAnsi="仿宋" w:eastAsia="仿宋" w:cs="仿宋"/>
                <w:color w:val="000000" w:themeColor="text1"/>
                <w:kern w:val="2"/>
                <w:highlight w:val="none"/>
                <w:lang w:val="zh-CN"/>
                <w14:textFill>
                  <w14:solidFill>
                    <w14:schemeClr w14:val="tx1"/>
                  </w14:solidFill>
                </w14:textFill>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pStyle w:val="47"/>
              <w:ind w:firstLine="482"/>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lang w:eastAsia="zh-CN"/>
                <w14:textFill>
                  <w14:solidFill>
                    <w14:schemeClr w14:val="tx1"/>
                  </w14:solidFill>
                </w14:textFill>
              </w:rPr>
              <w:t>本项目费用预算：</w:t>
            </w:r>
            <w:r>
              <w:rPr>
                <w:rFonts w:hint="eastAsia" w:ascii="仿宋" w:hAnsi="仿宋" w:eastAsia="仿宋" w:cs="仿宋"/>
                <w:color w:val="000000" w:themeColor="text1"/>
                <w:highlight w:val="none"/>
                <w:lang w:val="en-US" w:eastAsia="zh-CN"/>
                <w14:textFill>
                  <w14:solidFill>
                    <w14:schemeClr w14:val="tx1"/>
                  </w14:solidFill>
                </w14:textFill>
              </w:rPr>
              <w:t>100</w:t>
            </w:r>
            <w:r>
              <w:rPr>
                <w:rFonts w:hint="eastAsia" w:ascii="仿宋" w:hAnsi="仿宋" w:eastAsia="仿宋" w:cs="仿宋"/>
                <w:color w:val="000000" w:themeColor="text1"/>
                <w:highlight w:val="none"/>
                <w:lang w:eastAsia="zh-CN"/>
                <w14:textFill>
                  <w14:solidFill>
                    <w14:schemeClr w14:val="tx1"/>
                  </w14:solidFill>
                </w14:textFill>
              </w:rPr>
              <w:t>万元（含税价）</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投标报价：投标人的报价应为所确定的招标范围内的全部工作内容的价格体现。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2"/>
              <w:rPr>
                <w:rFonts w:ascii="仿宋" w:hAnsi="仿宋" w:cs="仿宋"/>
                <w:b/>
                <w:color w:val="000000" w:themeColor="text1"/>
                <w:highlight w:val="none"/>
                <w:lang w:eastAsia="zh-CN"/>
                <w14:textFill>
                  <w14:solidFill>
                    <w14:schemeClr w14:val="tx1"/>
                  </w14:solidFill>
                </w14:textFill>
              </w:rPr>
            </w:pPr>
            <w:r>
              <w:rPr>
                <w:rFonts w:ascii="仿宋" w:hAnsi="仿宋" w:cs="仿宋"/>
                <w:b/>
                <w:color w:val="000000" w:themeColor="text1"/>
                <w:highlight w:val="none"/>
                <w:lang w:eastAsia="zh-CN"/>
                <w14:textFill>
                  <w14:solidFill>
                    <w14:schemeClr w14:val="tx1"/>
                  </w14:solidFill>
                </w14:textFill>
              </w:rPr>
              <w:t>服务期：</w:t>
            </w:r>
            <w:r>
              <w:rPr>
                <w:rFonts w:hint="eastAsia" w:ascii="仿宋" w:hAnsi="仿宋" w:cs="仿宋"/>
                <w:b/>
                <w:color w:val="000000" w:themeColor="text1"/>
                <w:highlight w:val="none"/>
                <w:lang w:eastAsia="zh-CN"/>
                <w14:textFill>
                  <w14:solidFill>
                    <w14:schemeClr w14:val="tx1"/>
                  </w14:solidFill>
                </w14:textFill>
              </w:rPr>
              <w:t>签订合同后</w:t>
            </w:r>
            <w:r>
              <w:rPr>
                <w:rFonts w:hint="eastAsia" w:ascii="仿宋" w:hAnsi="仿宋" w:cs="仿宋"/>
                <w:b/>
                <w:color w:val="000000" w:themeColor="text1"/>
                <w:highlight w:val="none"/>
                <w:lang w:val="en-US" w:eastAsia="zh-CN"/>
                <w14:textFill>
                  <w14:solidFill>
                    <w14:schemeClr w14:val="tx1"/>
                  </w14:solidFill>
                </w14:textFill>
              </w:rPr>
              <w:t>12</w:t>
            </w:r>
            <w:r>
              <w:rPr>
                <w:rFonts w:hint="eastAsia" w:ascii="仿宋" w:hAnsi="仿宋" w:cs="仿宋"/>
                <w:b/>
                <w:color w:val="000000" w:themeColor="text1"/>
                <w:highlight w:val="none"/>
                <w:lang w:eastAsia="zh-CN"/>
                <w14:textFill>
                  <w14:solidFill>
                    <w14:schemeClr w14:val="tx1"/>
                  </w14:solidFill>
                </w14:textFill>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2"/>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t>付款方式：合同签订后支付总项目款的</w:t>
            </w:r>
            <w:r>
              <w:rPr>
                <w:rFonts w:hint="eastAsia" w:ascii="仿宋" w:hAnsi="仿宋" w:cs="仿宋"/>
                <w:b/>
                <w:bCs/>
                <w:color w:val="000000" w:themeColor="text1"/>
                <w:highlight w:val="none"/>
                <w:lang w:val="en-US" w:eastAsia="zh-CN"/>
                <w14:textFill>
                  <w14:solidFill>
                    <w14:schemeClr w14:val="tx1"/>
                  </w14:solidFill>
                </w14:textFill>
              </w:rPr>
              <w:t>3</w:t>
            </w:r>
            <w:r>
              <w:rPr>
                <w:rFonts w:hint="eastAsia" w:ascii="仿宋" w:hAnsi="仿宋" w:cs="仿宋"/>
                <w:b/>
                <w:bCs/>
                <w:color w:val="000000" w:themeColor="text1"/>
                <w:highlight w:val="none"/>
                <w:lang w:eastAsia="zh-CN"/>
                <w14:textFill>
                  <w14:solidFill>
                    <w14:schemeClr w14:val="tx1"/>
                  </w14:solidFill>
                </w14:textFill>
              </w:rPr>
              <w:t>0%，</w:t>
            </w:r>
            <w:r>
              <w:rPr>
                <w:rFonts w:hint="eastAsia" w:ascii="仿宋" w:hAnsi="仿宋" w:cs="仿宋"/>
                <w:b/>
                <w:bCs/>
                <w:color w:val="000000" w:themeColor="text1"/>
                <w:highlight w:val="none"/>
                <w:lang w:val="en-US" w:eastAsia="zh-CN"/>
                <w14:textFill>
                  <w14:solidFill>
                    <w14:schemeClr w14:val="tx1"/>
                  </w14:solidFill>
                </w14:textFill>
              </w:rPr>
              <w:t>项目中期完成所有项目成果提交后支付</w:t>
            </w:r>
            <w:r>
              <w:rPr>
                <w:rFonts w:hint="eastAsia" w:ascii="仿宋" w:hAnsi="仿宋" w:cs="仿宋"/>
                <w:b/>
                <w:bCs/>
                <w:color w:val="000000" w:themeColor="text1"/>
                <w:highlight w:val="none"/>
                <w:lang w:eastAsia="zh-CN"/>
                <w14:textFill>
                  <w14:solidFill>
                    <w14:schemeClr w14:val="tx1"/>
                  </w14:solidFill>
                </w14:textFill>
              </w:rPr>
              <w:t>40%，项目验收通过后支付剩余</w:t>
            </w:r>
            <w:r>
              <w:rPr>
                <w:rFonts w:hint="eastAsia" w:ascii="仿宋" w:hAnsi="仿宋" w:cs="仿宋"/>
                <w:b/>
                <w:bCs/>
                <w:color w:val="000000" w:themeColor="text1"/>
                <w:highlight w:val="none"/>
                <w:lang w:val="en-US" w:eastAsia="zh-CN"/>
                <w14:textFill>
                  <w14:solidFill>
                    <w14:schemeClr w14:val="tx1"/>
                  </w14:solidFill>
                </w14:textFill>
              </w:rPr>
              <w:t>3</w:t>
            </w:r>
            <w:r>
              <w:rPr>
                <w:rFonts w:hint="eastAsia" w:ascii="仿宋" w:hAnsi="仿宋" w:cs="仿宋"/>
                <w:b/>
                <w:bCs/>
                <w:color w:val="000000" w:themeColor="text1"/>
                <w:highlight w:val="none"/>
                <w:lang w:eastAsia="zh-CN"/>
                <w14:textFill>
                  <w14:solidFill>
                    <w14:schemeClr w14:val="tx1"/>
                  </w14:solidFill>
                </w14:textFill>
              </w:rPr>
              <w:t>0%。在甲方支付相关费用前，乙方应当先向甲方提供等额完税发票，否则甲方有权拒绝付款。如因政府资金计划改变、审批流程延误等特殊原因导致付款延误时，甲方不支付延期应付款项的利息，甲方与乙方应友好协商确定延期付款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响应文件份数</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☑采用不见面开标：</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1．本项目采用不见面开标、投标人需要递交电子响应性文件，加密的电子响应性文件，在投标截止时间前通过政采云平台（https://www.zcygov.cn/）上传到指定位置。无需递交纸质文件。</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招标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p>
            <w:pPr>
              <w:snapToGrid w:val="0"/>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3.远程开标前，投标人务必在政采云平台（https://www.zcygov.cn/）响应性文件上传模块中使用“模拟解密”功能，验证本机远程自助解密环境。</w:t>
            </w:r>
          </w:p>
          <w:p>
            <w:pPr>
              <w:snapToGrid w:val="0"/>
              <w:ind w:firstLine="480"/>
              <w:rPr>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注：中标单位在领取中标通知书前须向招标代理公司递交纸质版投标文件三份（一正二副）（包括电子版：光盘和U盘各1份）。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54" w:type="dxa"/>
            <w:vAlign w:val="center"/>
          </w:tcPr>
          <w:p>
            <w:pPr>
              <w:numPr>
                <w:ilvl w:val="0"/>
                <w:numId w:val="5"/>
              </w:numPr>
              <w:snapToGrid w:val="0"/>
              <w:ind w:left="0" w:firstLine="480"/>
              <w:jc w:val="both"/>
              <w:rPr>
                <w:rFonts w:ascii="仿宋" w:hAnsi="仿宋" w:cs="仿宋"/>
                <w:color w:val="000000" w:themeColor="text1"/>
                <w:highlight w:val="none"/>
                <w:lang w:eastAsia="zh-CN"/>
                <w14:textFill>
                  <w14:solidFill>
                    <w14:schemeClr w14:val="tx1"/>
                  </w14:solidFill>
                </w14:textFill>
              </w:rPr>
            </w:pPr>
          </w:p>
        </w:tc>
        <w:tc>
          <w:tcPr>
            <w:tcW w:w="9546"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☑采用不见面开标：</w:t>
            </w:r>
          </w:p>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开标时间：同投标截止时间</w:t>
            </w:r>
          </w:p>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开标地点：政采云远程不见面开标大厅</w:t>
            </w:r>
          </w:p>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不见面开标默认解密时长：30分钟</w:t>
            </w:r>
          </w:p>
          <w:p>
            <w:pPr>
              <w:pStyle w:val="21"/>
              <w:ind w:firstLine="240"/>
              <w:rPr>
                <w:color w:val="000000" w:themeColor="text1"/>
                <w:highlight w:val="none"/>
                <w:lang w:eastAsia="zh-CN"/>
                <w14:textFill>
                  <w14:solidFill>
                    <w14:schemeClr w14:val="tx1"/>
                  </w14:solidFill>
                </w14:textFill>
              </w:rPr>
            </w:pPr>
            <w:r>
              <w:rPr>
                <w:rFonts w:hint="eastAsia" w:ascii="仿宋" w:hAnsi="仿宋" w:cs="仿宋"/>
                <w:color w:val="000000" w:themeColor="text1"/>
                <w:sz w:val="24"/>
                <w:highlight w:val="none"/>
                <w:lang w:eastAsia="zh-CN"/>
                <w14:textFill>
                  <w14:solidFill>
                    <w14:schemeClr w14:val="tx1"/>
                  </w14:solidFill>
                </w14:textFill>
              </w:rPr>
              <w:t>关于能否延长</w:t>
            </w:r>
            <w:permStart w:id="0" w:edGrp="everyone"/>
            <w:permEnd w:id="0"/>
            <w:r>
              <w:rPr>
                <w:rFonts w:hint="eastAsia" w:ascii="仿宋" w:hAnsi="仿宋" w:cs="仿宋"/>
                <w:color w:val="000000" w:themeColor="text1"/>
                <w:sz w:val="24"/>
                <w:highlight w:val="none"/>
                <w:lang w:eastAsia="zh-CN"/>
                <w14:textFill>
                  <w14:solidFill>
                    <w14:schemeClr w14:val="tx1"/>
                  </w14:solidFill>
                </w14:textFill>
              </w:rPr>
              <w:t>解密时间的约定：开标现场若发现默认解密时长不足，由招标人决定是否延长解密时长。</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54" w:type="dxa"/>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snapToGrid w:val="0"/>
              <w:ind w:firstLine="482"/>
              <w:rPr>
                <w:rFonts w:ascii="仿宋" w:hAnsi="仿宋" w:cs="仿宋"/>
                <w:color w:val="000000" w:themeColor="text1"/>
                <w:highlight w:val="none"/>
                <w:lang w:eastAsia="zh-CN"/>
                <w14:textFill>
                  <w14:solidFill>
                    <w14:schemeClr w14:val="tx1"/>
                  </w14:solidFill>
                </w14:textFill>
              </w:rPr>
            </w:pPr>
            <w:r>
              <w:rPr>
                <w:rFonts w:hint="eastAsia" w:ascii="仿宋" w:hAnsi="仿宋" w:cs="仿宋"/>
                <w:b/>
                <w:color w:val="000000" w:themeColor="text1"/>
                <w:highlight w:val="none"/>
                <w:lang w:eastAsia="zh-CN"/>
                <w14:textFill>
                  <w14:solidFill>
                    <w14:schemeClr w14:val="tx1"/>
                  </w14:solidFill>
                </w14:textFill>
              </w:rPr>
              <w:t>保证金：</w:t>
            </w:r>
            <w:r>
              <w:rPr>
                <w:rFonts w:hint="eastAsia" w:ascii="仿宋" w:hAnsi="仿宋" w:cs="仿宋"/>
                <w:color w:val="000000" w:themeColor="text1"/>
                <w:highlight w:val="none"/>
                <w:lang w:eastAsia="zh-CN"/>
                <w14:textFill>
                  <w14:solidFill>
                    <w14:schemeClr w14:val="tx1"/>
                  </w14:solidFill>
                </w14:textFill>
              </w:rPr>
              <w:t>金额：</w:t>
            </w:r>
            <w:r>
              <w:rPr>
                <w:rFonts w:hint="eastAsia" w:ascii="仿宋" w:hAnsi="仿宋" w:cs="仿宋"/>
                <w:color w:val="000000" w:themeColor="text1"/>
                <w:highlight w:val="none"/>
                <w:lang w:val="en-US" w:eastAsia="zh-CN" w:bidi="ar"/>
                <w14:textFill>
                  <w14:solidFill>
                    <w14:schemeClr w14:val="tx1"/>
                  </w14:solidFill>
                </w14:textFill>
              </w:rPr>
              <w:t>10000</w:t>
            </w:r>
            <w:r>
              <w:rPr>
                <w:rFonts w:hint="eastAsia" w:ascii="仿宋" w:hAnsi="仿宋" w:cs="仿宋"/>
                <w:color w:val="000000" w:themeColor="text1"/>
                <w:highlight w:val="none"/>
                <w:lang w:eastAsia="zh-CN" w:bidi="ar"/>
                <w14:textFill>
                  <w14:solidFill>
                    <w14:schemeClr w14:val="tx1"/>
                  </w14:solidFill>
                </w14:textFill>
              </w:rPr>
              <w:t>元</w:t>
            </w:r>
            <w:r>
              <w:rPr>
                <w:rFonts w:hint="eastAsia" w:ascii="仿宋" w:hAnsi="仿宋" w:cs="仿宋"/>
                <w:color w:val="000000" w:themeColor="text1"/>
                <w:highlight w:val="none"/>
                <w:lang w:eastAsia="zh-CN"/>
                <w14:textFill>
                  <w14:solidFill>
                    <w14:schemeClr w14:val="tx1"/>
                  </w14:solidFill>
                </w14:textFill>
              </w:rPr>
              <w:t>（</w:t>
            </w:r>
            <w:r>
              <w:rPr>
                <w:rFonts w:hint="eastAsia" w:ascii="仿宋" w:hAnsi="仿宋" w:cs="仿宋"/>
                <w:color w:val="000000" w:themeColor="text1"/>
                <w:highlight w:val="none"/>
                <w:lang w:val="en-US" w:eastAsia="zh-CN"/>
                <w14:textFill>
                  <w14:solidFill>
                    <w14:schemeClr w14:val="tx1"/>
                  </w14:solidFill>
                </w14:textFill>
              </w:rPr>
              <w:t>壹万</w:t>
            </w:r>
            <w:r>
              <w:rPr>
                <w:rFonts w:hint="eastAsia" w:ascii="仿宋" w:hAnsi="仿宋" w:cs="仿宋"/>
                <w:color w:val="000000" w:themeColor="text1"/>
                <w:highlight w:val="none"/>
                <w:lang w:eastAsia="zh-CN"/>
                <w14:textFill>
                  <w14:solidFill>
                    <w14:schemeClr w14:val="tx1"/>
                  </w14:solidFill>
                </w14:textFill>
              </w:rPr>
              <w:t>元整）；</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1、交款方式：（1）缴纳方式：电汇、网银转账；</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单位名称：新疆信尔成工程项目管理有限公司</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开户银行：中国工商银行股份有限公司乌鲁木齐长春路支行</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银行账号：3002030109100074747</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行号：102881003011</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在递交的投标保证金转账单附注说明中写清：项目名称（有包号的需注明包号）保证金收据或凭证作为投标保证金交纳的证据，否则投标按无效响应处理。</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2、政采云电子保函须知</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(1)本项目推荐使用政采云电子保函形式缴纳投标保证金，在线完成保函的申请、审核、开票、出函等环节；</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(2)如采用政采云电子保函形式，可按照以下形式进行在线申请，电子保函申请链接（https://jinrong.zcygov.cn/finance/letter/product/detail?id=30&amp;source=41），如遇问题可拨打客服电话：4009039583；</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(3)开标前将保函制作到电子响应性文件即可。</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投标保证金以到账信息为准，供应商应充分考虑在途时间，供应商未按照文件要求提交</w:t>
            </w:r>
            <w:r>
              <w:rPr>
                <w:rFonts w:hint="eastAsia" w:ascii="仿宋" w:hAnsi="仿宋" w:eastAsia="仿宋" w:cs="仿宋"/>
                <w:color w:val="000000" w:themeColor="text1"/>
                <w:szCs w:val="24"/>
                <w:highlight w:val="none"/>
                <w:lang w:val="en-US" w:eastAsia="zh-CN"/>
                <w14:textFill>
                  <w14:solidFill>
                    <w14:schemeClr w14:val="tx1"/>
                  </w14:solidFill>
                </w14:textFill>
              </w:rPr>
              <w:t>投标</w:t>
            </w:r>
            <w:r>
              <w:rPr>
                <w:rFonts w:hint="eastAsia" w:ascii="仿宋" w:hAnsi="仿宋" w:eastAsia="仿宋" w:cs="仿宋"/>
                <w:color w:val="000000" w:themeColor="text1"/>
                <w:szCs w:val="24"/>
                <w:highlight w:val="none"/>
                <w14:textFill>
                  <w14:solidFill>
                    <w14:schemeClr w14:val="tx1"/>
                  </w14:solidFill>
                </w14:textFill>
              </w:rPr>
              <w:t>保证金的，</w:t>
            </w:r>
            <w:r>
              <w:rPr>
                <w:rFonts w:hint="eastAsia" w:ascii="仿宋" w:hAnsi="仿宋" w:eastAsia="仿宋" w:cs="仿宋"/>
                <w:color w:val="000000" w:themeColor="text1"/>
                <w:szCs w:val="24"/>
                <w:highlight w:val="none"/>
                <w:lang w:val="en-US" w:eastAsia="zh-CN"/>
                <w14:textFill>
                  <w14:solidFill>
                    <w14:schemeClr w14:val="tx1"/>
                  </w14:solidFill>
                </w14:textFill>
              </w:rPr>
              <w:t>投标</w:t>
            </w:r>
            <w:r>
              <w:rPr>
                <w:rFonts w:hint="eastAsia" w:ascii="仿宋" w:hAnsi="仿宋" w:eastAsia="仿宋" w:cs="仿宋"/>
                <w:color w:val="000000" w:themeColor="text1"/>
                <w:szCs w:val="24"/>
                <w:highlight w:val="none"/>
                <w14:textFill>
                  <w14:solidFill>
                    <w14:schemeClr w14:val="tx1"/>
                  </w14:solidFill>
                </w14:textFill>
              </w:rPr>
              <w:t>无效。</w:t>
            </w:r>
          </w:p>
          <w:p>
            <w:pPr>
              <w:pStyle w:val="32"/>
              <w:spacing w:line="360" w:lineRule="auto"/>
              <w:rPr>
                <w:rFonts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投标人须在开标日期</w:t>
            </w:r>
            <w:r>
              <w:rPr>
                <w:rFonts w:hint="eastAsia" w:ascii="仿宋" w:hAnsi="仿宋" w:eastAsia="仿宋" w:cs="仿宋"/>
                <w:b/>
                <w:bCs/>
                <w:color w:val="000000" w:themeColor="text1"/>
                <w:szCs w:val="24"/>
                <w:highlight w:val="none"/>
                <w:lang w:eastAsia="zh-CN"/>
                <w14:textFill>
                  <w14:solidFill>
                    <w14:schemeClr w14:val="tx1"/>
                  </w14:solidFill>
                </w14:textFill>
              </w:rPr>
              <w:t>2023年09月18日16:00</w:t>
            </w:r>
            <w:r>
              <w:rPr>
                <w:rFonts w:hint="eastAsia" w:ascii="仿宋" w:hAnsi="仿宋" w:eastAsia="仿宋" w:cs="仿宋"/>
                <w:b/>
                <w:bCs/>
                <w:color w:val="000000" w:themeColor="text1"/>
                <w:szCs w:val="24"/>
                <w:highlight w:val="none"/>
                <w14:textFill>
                  <w14:solidFill>
                    <w14:schemeClr w14:val="tx1"/>
                  </w14:solidFill>
                </w14:textFill>
              </w:rPr>
              <w:t>（北京时间）前将投标保证金汇至招标代理公司帐户，由招标代理公司查实到帐即可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ind w:firstLine="482"/>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b/>
                <w:bCs/>
                <w:color w:val="000000" w:themeColor="text1"/>
                <w:highlight w:val="none"/>
                <w:lang w:val="en-US"/>
                <w14:textFill>
                  <w14:solidFill>
                    <w14:schemeClr w14:val="tx1"/>
                  </w14:solidFill>
                </w14:textFill>
              </w:rPr>
              <w:t>补充的其他内容：</w:t>
            </w:r>
            <w:r>
              <w:rPr>
                <w:rFonts w:hint="eastAsia" w:ascii="仿宋" w:hAnsi="仿宋" w:eastAsia="仿宋" w:cs="仿宋"/>
                <w:color w:val="000000" w:themeColor="text1"/>
                <w:highlight w:val="none"/>
                <w:lang w:val="en-US"/>
                <w14:textFill>
                  <w14:solidFill>
                    <w14:schemeClr w14:val="tx1"/>
                  </w14:solidFill>
                </w14:textFill>
              </w:rPr>
              <w:t>本项目采用不见面开标，投标人的法定代表人或其委托代理人无需到达开标现场，仅需在任意地点通过政采云平台（https://www.zcygov.cn/），使用CA密钥完成远程解密、提疑澄清、开标唱标、结果公布等交互环节。</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ind w:firstLine="482"/>
              <w:rPr>
                <w:rFonts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其他：</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1、各投标人必须针对每包项目分别制作响应文件并报价，每包的响应文件均必须满足采购文件份数与制作等要求，否则将导致投标被拒绝。</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2、当出现下列情形之一，响应文件将予以退回：</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（1）投标人在响应文件递交截止时间前未成功上传加密电子响应文件；</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（2）投标人使用解密的CA数字证书与上传加密响应文件使用的CA数字证书不一致；</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（3）投标人解密时CA数字证书已过期，导致无法正常解密；</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（4）加密响应文件时，CA数字证书未过期，解密时，显示CA数字证书已过期，导致无法正常解密；</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（5）未在规定的响应文件解密时间内进行解密的；</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（6）投标人个人原因导致无法解密的其他情形。 </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3、投标人应在投标截止时间前将投标时使用的计算机安装相关的浏览器（推荐使用谷歌浏览器）、CA驱动等软件，方便响应文件解密时能够正常解密。</w:t>
            </w:r>
          </w:p>
          <w:p>
            <w:pPr>
              <w:pStyle w:val="47"/>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4、投标人需在投标截止时间前自行测试开标时使用的计算机，如因投标人自身原因导致响应文件解密失败的，由投标人自行承担相应后果。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ind w:firstLine="480"/>
              <w:rPr>
                <w:rFonts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加密的电子投标文件，在投标截止时间前上传新疆政府采购网（http://www.ccgp-xinjiang.gov.cn）政采云线上平台；</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注：加密的电子投标文件为使用政采云提供的电子投标文件制作工具制作生成的加密版投标文件。</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备注：因供应商自身原因导致解密失败的，将导致其投标被拒绝且投标文件被退回。</w:t>
            </w:r>
          </w:p>
          <w:p>
            <w:pPr>
              <w:pStyle w:val="47"/>
              <w:ind w:firstLine="48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中标单位在领取中标通知书前须向招标代理公司递交纸质版投标文件三份（一正二副）（包括电子版：光盘和U盘各1份）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评标办法：本综合评分法，按照得分由高到低依次推荐为中标候选人。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4" w:type="dxa"/>
            <w:vAlign w:val="center"/>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中标服务费：本项目的招标代理服务费由中标人承担。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各投标人的调研费、差旅费等费用自理。无论投标结果如何，投标人均应自行承担投标所需一切费用。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特别说明：</w:t>
            </w:r>
          </w:p>
          <w:p>
            <w:pPr>
              <w:pStyle w:val="47"/>
              <w:numPr>
                <w:ilvl w:val="0"/>
                <w:numId w:val="7"/>
              </w:numPr>
              <w:tabs>
                <w:tab w:val="left" w:pos="225"/>
                <w:tab w:val="left" w:pos="284"/>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为保证本项目质量，良好的售后服务，最低报价不作为中标的唯一依据。</w:t>
            </w:r>
          </w:p>
          <w:p>
            <w:pPr>
              <w:pStyle w:val="47"/>
              <w:numPr>
                <w:ilvl w:val="0"/>
                <w:numId w:val="7"/>
              </w:numPr>
              <w:tabs>
                <w:tab w:val="left" w:pos="240"/>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招标人若发现中标候选人在投标过程中提供虚假证明文件，故意隐瞒公司不良信誉和财务状况，以及存在可能对合同圆满履行造成风险的其他因素等，则按规定取消其中标资格，监管部门依法进行处理。</w:t>
            </w:r>
          </w:p>
          <w:p>
            <w:pPr>
              <w:pStyle w:val="47"/>
              <w:numPr>
                <w:ilvl w:val="0"/>
                <w:numId w:val="7"/>
              </w:numPr>
              <w:tabs>
                <w:tab w:val="left" w:pos="236"/>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本项目设最高限价，超出此限价的投标将被做无效标处理。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4" w:type="dxa"/>
            <w:vAlign w:val="center"/>
          </w:tcPr>
          <w:p>
            <w:pPr>
              <w:pStyle w:val="47"/>
              <w:numPr>
                <w:ilvl w:val="0"/>
                <w:numId w:val="5"/>
              </w:numPr>
              <w:ind w:left="0" w:firstLine="480"/>
              <w:jc w:val="both"/>
              <w:rPr>
                <w:rFonts w:ascii="仿宋" w:hAnsi="仿宋" w:eastAsia="仿宋" w:cs="仿宋"/>
                <w:color w:val="000000" w:themeColor="text1"/>
                <w:highlight w:val="none"/>
                <w:lang w:eastAsia="zh-CN"/>
                <w14:textFill>
                  <w14:solidFill>
                    <w14:schemeClr w14:val="tx1"/>
                  </w14:solidFill>
                </w14:textFill>
              </w:rPr>
            </w:pPr>
          </w:p>
        </w:tc>
        <w:tc>
          <w:tcPr>
            <w:tcW w:w="9546" w:type="dxa"/>
          </w:tcPr>
          <w:p>
            <w:pPr>
              <w:pStyle w:val="47"/>
              <w:numPr>
                <w:ilvl w:val="0"/>
                <w:numId w:val="0"/>
              </w:numPr>
              <w:tabs>
                <w:tab w:val="left" w:pos="236"/>
              </w:tabs>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特别提示：1.此项目有演示部分，请各投标单位在开标时间：2023年09月18日16:00（北京时间）开标前二个小时内</w:t>
            </w:r>
            <w:r>
              <w:rPr>
                <w:rFonts w:hint="eastAsia" w:ascii="仿宋" w:hAnsi="仿宋" w:eastAsia="仿宋" w:cs="仿宋"/>
                <w:b/>
                <w:bCs/>
                <w:color w:val="000000" w:themeColor="text1"/>
                <w:highlight w:val="none"/>
                <w:lang w:val="en-US" w:eastAsia="zh-CN"/>
                <w14:textFill>
                  <w14:solidFill>
                    <w14:schemeClr w14:val="tx1"/>
                  </w14:solidFill>
                </w14:textFill>
              </w:rPr>
              <w:t>【14:0</w:t>
            </w:r>
            <w:bookmarkStart w:id="398" w:name="_GoBack"/>
            <w:bookmarkEnd w:id="398"/>
            <w:r>
              <w:rPr>
                <w:rFonts w:hint="eastAsia" w:ascii="仿宋" w:hAnsi="仿宋" w:eastAsia="仿宋" w:cs="仿宋"/>
                <w:b/>
                <w:bCs/>
                <w:color w:val="000000" w:themeColor="text1"/>
                <w:highlight w:val="none"/>
                <w:lang w:val="en-US" w:eastAsia="zh-CN"/>
                <w14:textFill>
                  <w14:solidFill>
                    <w14:schemeClr w14:val="tx1"/>
                  </w14:solidFill>
                </w14:textFill>
              </w:rPr>
              <w:t>0-16:00】</w:t>
            </w:r>
            <w:r>
              <w:rPr>
                <w:rFonts w:hint="eastAsia" w:ascii="仿宋" w:hAnsi="仿宋" w:eastAsia="仿宋" w:cs="仿宋"/>
                <w:b/>
                <w:bCs/>
                <w:color w:val="000000" w:themeColor="text1"/>
                <w:highlight w:val="none"/>
                <w:lang w:val="en-US" w:eastAsia="zh-CN"/>
                <w14:textFill>
                  <w14:solidFill>
                    <w14:schemeClr w14:val="tx1"/>
                  </w14:solidFill>
                </w14:textFill>
              </w:rPr>
              <w:t>将演示系统【因全程电子标无法面对面演示，演示部分只能发到邮箱，因此演示部分只能通过投屏方式给评审专家展示，请各投标单位录制带有讲解音频的视频、PPT或简易系统等形式的演示文件，演示文件时长不超过10分钟】加密发到2531548272@qq.com邮箱中，请各投标单位合理安排时间，若投标人在响应文件递交截止时间前未成功发送，一律按未发送处理；后果由投标单位自行承担。【请备注单位名称+授权委托人姓名+电话】。</w:t>
            </w:r>
          </w:p>
          <w:p>
            <w:pPr>
              <w:pStyle w:val="47"/>
              <w:numPr>
                <w:ilvl w:val="0"/>
                <w:numId w:val="0"/>
              </w:numPr>
              <w:tabs>
                <w:tab w:val="left" w:pos="236"/>
              </w:tabs>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2.投标单位在开标后的规定时间</w:t>
            </w:r>
            <w:r>
              <w:rPr>
                <w:rFonts w:hint="eastAsia" w:ascii="仿宋" w:hAnsi="仿宋" w:eastAsia="仿宋" w:cs="仿宋"/>
                <w:b/>
                <w:bCs/>
                <w:color w:val="000000" w:themeColor="text1"/>
                <w:highlight w:val="none"/>
                <w:lang w:val="en-US" w:eastAsia="zh-CN"/>
                <w14:textFill>
                  <w14:solidFill>
                    <w14:schemeClr w14:val="tx1"/>
                  </w14:solidFill>
                </w14:textFill>
              </w:rPr>
              <w:t>（2023年09月18日16:00-16:10之内）</w:t>
            </w:r>
            <w:r>
              <w:rPr>
                <w:rFonts w:hint="eastAsia" w:ascii="仿宋" w:hAnsi="仿宋" w:eastAsia="仿宋" w:cs="仿宋"/>
                <w:b/>
                <w:bCs/>
                <w:color w:val="000000" w:themeColor="text1"/>
                <w:highlight w:val="none"/>
                <w:lang w:val="en-US" w:eastAsia="zh-CN"/>
                <w14:textFill>
                  <w14:solidFill>
                    <w14:schemeClr w14:val="tx1"/>
                  </w14:solidFill>
                </w14:textFill>
              </w:rPr>
              <w:t>将加密演示文件的密码发到2531548272@qq.com邮箱中，请各投标单位合理安排时间若未按时成功发送密码，一律按未发送处理；后果由投标单位自行承担。【正文请写明单位名称+解密密码】。</w:t>
            </w:r>
          </w:p>
        </w:tc>
      </w:tr>
    </w:tbl>
    <w:p>
      <w:pPr>
        <w:pStyle w:val="39"/>
        <w:tabs>
          <w:tab w:val="left" w:pos="621"/>
        </w:tabs>
        <w:spacing w:after="0"/>
        <w:ind w:left="0" w:firstLine="482"/>
        <w:jc w:val="center"/>
        <w:rPr>
          <w:rFonts w:ascii="仿宋" w:hAnsi="仿宋" w:eastAsia="仿宋" w:cs="仿宋"/>
          <w:color w:val="000000" w:themeColor="text1"/>
          <w:sz w:val="24"/>
          <w:szCs w:val="24"/>
          <w:highlight w:val="none"/>
          <w:lang w:val="en-US" w:eastAsia="zh-CN"/>
          <w14:textFill>
            <w14:solidFill>
              <w14:schemeClr w14:val="tx1"/>
            </w14:solidFill>
          </w14:textFill>
        </w:rPr>
      </w:pPr>
    </w:p>
    <w:p>
      <w:pPr>
        <w:widowControl/>
        <w:ind w:firstLine="480"/>
        <w:rPr>
          <w:rFonts w:ascii="仿宋" w:hAnsi="仿宋" w:cs="仿宋"/>
          <w:b/>
          <w:bCs/>
          <w:color w:val="000000" w:themeColor="text1"/>
          <w:highlight w:val="none"/>
          <w:lang w:val="zh-TW" w:eastAsia="zh-CN" w:bidi="zh-TW"/>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br w:type="page"/>
      </w:r>
    </w:p>
    <w:bookmarkEnd w:id="3"/>
    <w:p>
      <w:pPr>
        <w:pStyle w:val="4"/>
        <w:pageBreakBefore w:val="0"/>
        <w:widowControl w:val="0"/>
        <w:numPr>
          <w:ilvl w:val="0"/>
          <w:numId w:val="0"/>
        </w:numPr>
        <w:kinsoku/>
        <w:wordWrap/>
        <w:overflowPunct w:val="0"/>
        <w:topLinePunct w:val="0"/>
        <w:autoSpaceDE/>
        <w:autoSpaceDN/>
        <w:bidi w:val="0"/>
        <w:adjustRightInd/>
        <w:snapToGrid/>
        <w:spacing w:before="0" w:after="0" w:line="600" w:lineRule="exact"/>
        <w:jc w:val="center"/>
        <w:textAlignment w:val="auto"/>
        <w:rPr>
          <w:color w:val="000000" w:themeColor="text1"/>
          <w:highlight w:val="none"/>
          <w:lang w:eastAsia="zh-CN"/>
          <w14:textFill>
            <w14:solidFill>
              <w14:schemeClr w14:val="tx1"/>
            </w14:solidFill>
          </w14:textFill>
        </w:rPr>
      </w:pPr>
      <w:bookmarkStart w:id="6" w:name="_Toc4743"/>
      <w:bookmarkStart w:id="7" w:name="_Toc9521"/>
      <w:r>
        <w:rPr>
          <w:rFonts w:hint="eastAsia"/>
          <w:color w:val="000000" w:themeColor="text1"/>
          <w:highlight w:val="none"/>
          <w:lang w:eastAsia="zh-CN"/>
          <w14:textFill>
            <w14:solidFill>
              <w14:schemeClr w14:val="tx1"/>
            </w14:solidFill>
          </w14:textFill>
        </w:rPr>
        <w:t>一、总则</w:t>
      </w:r>
      <w:bookmarkEnd w:id="6"/>
      <w:bookmarkEnd w:id="7"/>
      <w:bookmarkStart w:id="8" w:name="bookmark71"/>
      <w:bookmarkStart w:id="9" w:name="bookmark70"/>
      <w:bookmarkStart w:id="10" w:name="bookmark69"/>
      <w:bookmarkStart w:id="11" w:name="bookmark72"/>
    </w:p>
    <w:p>
      <w:pPr>
        <w:pStyle w:val="2"/>
        <w:pageBreakBefore w:val="0"/>
        <w:widowControl w:val="0"/>
        <w:numPr>
          <w:ilvl w:val="0"/>
          <w:numId w:val="0"/>
        </w:numPr>
        <w:kinsoku/>
        <w:wordWrap/>
        <w:overflowPunct w:val="0"/>
        <w:topLinePunct w:val="0"/>
        <w:autoSpaceDE/>
        <w:autoSpaceDN/>
        <w:bidi w:val="0"/>
        <w:adjustRightInd/>
        <w:snapToGrid/>
        <w:spacing w:line="600" w:lineRule="exact"/>
        <w:jc w:val="center"/>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（一）项目目的</w:t>
      </w:r>
    </w:p>
    <w:bookmarkEnd w:id="8"/>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 w:name="_Toc11"/>
      <w:r>
        <w:rPr>
          <w:rFonts w:hint="eastAsia"/>
          <w:color w:val="000000" w:themeColor="text1"/>
          <w:highlight w:val="none"/>
          <w:lang w:eastAsia="zh-CN"/>
          <w14:textFill>
            <w14:solidFill>
              <w14:schemeClr w14:val="tx1"/>
            </w14:solidFill>
          </w14:textFill>
        </w:rPr>
        <w:t>为贯彻落实国家及自治区关于社会信用体系建设工作要求，对照《国家公共信用信息中心印发&lt;城市信用状况监测预警指标（2022年版）&gt;的通知》，为乌市提供城市信用监测排名提升及七类行政管理信息归集排名提升的信用咨询服务及技术支持服务，由乌市信用牵头部门协调信用成员单位形成合力共同提升乌市信用监测排名至全国36个省会及副省级以上城市排名30名以内；七类行政管理信息归集工作在全疆通报中提升至全疆前3名。</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3" w:name="_Toc10"/>
      <w:bookmarkStart w:id="14" w:name="_Toc16618"/>
      <w:r>
        <w:rPr>
          <w:rFonts w:hint="eastAsia"/>
          <w:color w:val="000000" w:themeColor="text1"/>
          <w:highlight w:val="none"/>
          <w:lang w:eastAsia="zh-CN"/>
          <w14:textFill>
            <w14:solidFill>
              <w14:schemeClr w14:val="tx1"/>
            </w14:solidFill>
          </w14:textFill>
        </w:rPr>
        <w:t>（二）完成时限</w:t>
      </w:r>
      <w:bookmarkEnd w:id="13"/>
      <w:bookmarkEnd w:id="14"/>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5" w:name="_Toc13666"/>
      <w:bookmarkStart w:id="16" w:name="_Toc9773"/>
      <w:r>
        <w:rPr>
          <w:rFonts w:hint="eastAsia"/>
          <w:color w:val="000000" w:themeColor="text1"/>
          <w:highlight w:val="none"/>
          <w:lang w:eastAsia="zh-CN"/>
          <w14:textFill>
            <w14:solidFill>
              <w14:schemeClr w14:val="tx1"/>
            </w14:solidFill>
          </w14:textFill>
        </w:rPr>
        <w:t>服务期：</w:t>
      </w:r>
      <w:bookmarkEnd w:id="15"/>
      <w:bookmarkEnd w:id="16"/>
      <w:r>
        <w:rPr>
          <w:rFonts w:hint="eastAsia" w:ascii="宋体" w:hAnsi="宋体"/>
          <w:b w:val="0"/>
          <w:bCs w:val="0"/>
          <w:color w:val="000000" w:themeColor="text1"/>
          <w:sz w:val="24"/>
          <w:szCs w:val="24"/>
          <w:highlight w:val="none"/>
          <w14:textFill>
            <w14:solidFill>
              <w14:schemeClr w14:val="tx1"/>
            </w14:solidFill>
          </w14:textFill>
        </w:rPr>
        <w:t>签订合同后</w:t>
      </w:r>
      <w:r>
        <w:rPr>
          <w:rFonts w:hint="eastAsia" w:ascii="宋体" w:hAnsi="宋体"/>
          <w:b w:val="0"/>
          <w:bCs w:val="0"/>
          <w:color w:val="000000" w:themeColor="text1"/>
          <w:sz w:val="24"/>
          <w:szCs w:val="24"/>
          <w:highlight w:val="none"/>
          <w:lang w:val="en-US" w:eastAsia="zh-CN"/>
          <w14:textFill>
            <w14:solidFill>
              <w14:schemeClr w14:val="tx1"/>
            </w14:solidFill>
          </w14:textFill>
        </w:rPr>
        <w:t>12</w:t>
      </w:r>
      <w:r>
        <w:rPr>
          <w:rFonts w:hint="eastAsia" w:ascii="宋体" w:hAnsi="宋体"/>
          <w:b w:val="0"/>
          <w:bCs w:val="0"/>
          <w:color w:val="000000" w:themeColor="text1"/>
          <w:sz w:val="24"/>
          <w:szCs w:val="24"/>
          <w:highlight w:val="none"/>
          <w14:textFill>
            <w14:solidFill>
              <w14:schemeClr w14:val="tx1"/>
            </w14:solidFill>
          </w14:textFill>
        </w:rPr>
        <w:t>个月</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7" w:name="_Toc4043"/>
      <w:bookmarkStart w:id="18" w:name="_Toc7408"/>
      <w:r>
        <w:rPr>
          <w:rFonts w:hint="eastAsia"/>
          <w:color w:val="000000" w:themeColor="text1"/>
          <w:highlight w:val="none"/>
          <w:lang w:eastAsia="zh-CN"/>
          <w14:textFill>
            <w14:solidFill>
              <w14:schemeClr w14:val="tx1"/>
            </w14:solidFill>
          </w14:textFill>
        </w:rPr>
        <w:t>（三）采购方式</w:t>
      </w:r>
      <w:bookmarkEnd w:id="17"/>
      <w:bookmarkEnd w:id="18"/>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 w:name="_Toc5009"/>
      <w:bookmarkStart w:id="20" w:name="_Toc28760"/>
      <w:r>
        <w:rPr>
          <w:rFonts w:hint="eastAsia"/>
          <w:color w:val="000000" w:themeColor="text1"/>
          <w:highlight w:val="none"/>
          <w:lang w:eastAsia="zh-CN"/>
          <w14:textFill>
            <w14:solidFill>
              <w14:schemeClr w14:val="tx1"/>
            </w14:solidFill>
          </w14:textFill>
        </w:rPr>
        <w:t>本项目采取公开招标方式采购。</w:t>
      </w:r>
      <w:bookmarkEnd w:id="19"/>
      <w:bookmarkEnd w:id="20"/>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1" w:name="_Toc17559"/>
      <w:bookmarkStart w:id="22" w:name="_Toc1295"/>
      <w:r>
        <w:rPr>
          <w:rFonts w:hint="eastAsia"/>
          <w:color w:val="000000" w:themeColor="text1"/>
          <w:highlight w:val="none"/>
          <w:lang w:eastAsia="zh-CN"/>
          <w14:textFill>
            <w14:solidFill>
              <w14:schemeClr w14:val="tx1"/>
            </w14:solidFill>
          </w14:textFill>
        </w:rPr>
        <w:t>（四）项目预算</w:t>
      </w:r>
      <w:bookmarkEnd w:id="21"/>
      <w:bookmarkEnd w:id="22"/>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3" w:name="_Toc22119"/>
      <w:bookmarkStart w:id="24" w:name="_Toc15893"/>
      <w:r>
        <w:rPr>
          <w:rFonts w:hint="eastAsia"/>
          <w:color w:val="000000" w:themeColor="text1"/>
          <w:highlight w:val="none"/>
          <w:lang w:eastAsia="zh-CN"/>
          <w14:textFill>
            <w14:solidFill>
              <w14:schemeClr w14:val="tx1"/>
            </w14:solidFill>
          </w14:textFill>
        </w:rPr>
        <w:t>本项目总体预算为</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lang w:eastAsia="zh-CN"/>
          <w14:textFill>
            <w14:solidFill>
              <w14:schemeClr w14:val="tx1"/>
            </w14:solidFill>
          </w14:textFill>
        </w:rPr>
        <w:t>万元（含税价）。</w:t>
      </w:r>
      <w:bookmarkEnd w:id="23"/>
      <w:bookmarkEnd w:id="24"/>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5" w:name="_Toc18301"/>
      <w:bookmarkStart w:id="26" w:name="_Toc7862"/>
      <w:r>
        <w:rPr>
          <w:rFonts w:hint="eastAsia"/>
          <w:color w:val="000000" w:themeColor="text1"/>
          <w:highlight w:val="none"/>
          <w:lang w:eastAsia="zh-CN"/>
          <w14:textFill>
            <w14:solidFill>
              <w14:schemeClr w14:val="tx1"/>
            </w14:solidFill>
          </w14:textFill>
        </w:rPr>
        <w:t>（五）投标资格</w:t>
      </w:r>
      <w:bookmarkEnd w:id="25"/>
      <w:bookmarkEnd w:id="26"/>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7" w:name="_Toc32044"/>
      <w:bookmarkStart w:id="28" w:name="_Toc18976"/>
      <w:r>
        <w:rPr>
          <w:rFonts w:hint="eastAsia"/>
          <w:color w:val="000000" w:themeColor="text1"/>
          <w:highlight w:val="none"/>
          <w:lang w:eastAsia="zh-CN"/>
          <w14:textFill>
            <w14:solidFill>
              <w14:schemeClr w14:val="tx1"/>
            </w14:solidFill>
          </w14:textFill>
        </w:rPr>
        <w:t>1.合格的投标人必须是有能力按照本公开招标文件规定的要求提供服务，且具有独立承担民事等法律责任的法人或其它经济组织，本次招标不接受联合体投标。</w:t>
      </w:r>
      <w:bookmarkEnd w:id="27"/>
      <w:bookmarkEnd w:id="28"/>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9" w:name="_Toc13932"/>
      <w:bookmarkStart w:id="30" w:name="_Toc9271"/>
      <w:r>
        <w:rPr>
          <w:rFonts w:hint="eastAsia"/>
          <w:color w:val="000000" w:themeColor="text1"/>
          <w:highlight w:val="none"/>
          <w:lang w:eastAsia="zh-CN"/>
          <w14:textFill>
            <w14:solidFill>
              <w14:schemeClr w14:val="tx1"/>
            </w14:solidFill>
          </w14:textFill>
        </w:rPr>
        <w:t>2.合格的投标人必须符合第二部分投标人须知前附表中关于资质要求的规定，且具备独立完成本项目的能力。</w:t>
      </w:r>
      <w:bookmarkEnd w:id="29"/>
      <w:bookmarkEnd w:id="30"/>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31" w:name="_Toc19380"/>
      <w:bookmarkStart w:id="32" w:name="_Toc1248"/>
      <w:r>
        <w:rPr>
          <w:rFonts w:hint="eastAsia"/>
          <w:color w:val="000000" w:themeColor="text1"/>
          <w:highlight w:val="none"/>
          <w:lang w:eastAsia="zh-CN"/>
          <w14:textFill>
            <w14:solidFill>
              <w14:schemeClr w14:val="tx1"/>
            </w14:solidFill>
          </w14:textFill>
        </w:rPr>
        <w:t>3.合格的投标人应遵守中华人民共和国《招标法》、《合同法》和《反不正当竞争法》等有关法律、法规。</w:t>
      </w:r>
      <w:bookmarkEnd w:id="31"/>
      <w:bookmarkEnd w:id="32"/>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33" w:name="_Toc5960"/>
      <w:bookmarkStart w:id="34" w:name="_Toc19446"/>
      <w:r>
        <w:rPr>
          <w:rFonts w:hint="eastAsia"/>
          <w:color w:val="000000" w:themeColor="text1"/>
          <w:highlight w:val="none"/>
          <w:lang w:eastAsia="zh-CN"/>
          <w14:textFill>
            <w14:solidFill>
              <w14:schemeClr w14:val="tx1"/>
            </w14:solidFill>
          </w14:textFill>
        </w:rPr>
        <w:t>（六）采购方式</w:t>
      </w:r>
      <w:bookmarkEnd w:id="9"/>
      <w:bookmarkEnd w:id="10"/>
      <w:bookmarkEnd w:id="11"/>
      <w:bookmarkEnd w:id="12"/>
      <w:bookmarkEnd w:id="33"/>
      <w:bookmarkEnd w:id="34"/>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本项目采取公开招标方式采购。</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35" w:name="_Toc32597"/>
      <w:bookmarkStart w:id="36" w:name="bookmark73"/>
      <w:bookmarkStart w:id="37" w:name="_Toc14144"/>
      <w:bookmarkStart w:id="38" w:name="_Toc16719"/>
      <w:bookmarkStart w:id="39" w:name="bookmark76"/>
      <w:bookmarkStart w:id="40" w:name="bookmark74"/>
      <w:r>
        <w:rPr>
          <w:rFonts w:hint="eastAsia"/>
          <w:color w:val="000000" w:themeColor="text1"/>
          <w:highlight w:val="none"/>
          <w:lang w:eastAsia="zh-CN"/>
          <w14:textFill>
            <w14:solidFill>
              <w14:schemeClr w14:val="tx1"/>
            </w14:solidFill>
          </w14:textFill>
        </w:rPr>
        <w:t>（七）合格的投标人</w:t>
      </w:r>
      <w:bookmarkEnd w:id="35"/>
      <w:bookmarkEnd w:id="36"/>
      <w:bookmarkEnd w:id="37"/>
      <w:bookmarkEnd w:id="38"/>
      <w:bookmarkEnd w:id="39"/>
      <w:bookmarkEnd w:id="40"/>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41" w:name="bookmark77"/>
      <w:r>
        <w:rPr>
          <w:rFonts w:hint="eastAsia"/>
          <w:color w:val="000000" w:themeColor="text1"/>
          <w:highlight w:val="none"/>
          <w:lang w:eastAsia="zh-CN"/>
          <w14:textFill>
            <w14:solidFill>
              <w14:schemeClr w14:val="tx1"/>
            </w14:solidFill>
          </w14:textFill>
        </w:rPr>
        <w:t>1</w:t>
      </w:r>
      <w:bookmarkEnd w:id="41"/>
      <w:r>
        <w:rPr>
          <w:rFonts w:hint="eastAsia"/>
          <w:color w:val="000000" w:themeColor="text1"/>
          <w:highlight w:val="none"/>
          <w:lang w:eastAsia="zh-CN"/>
          <w14:textFill>
            <w14:solidFill>
              <w14:schemeClr w14:val="tx1"/>
            </w14:solidFill>
          </w14:textFill>
        </w:rPr>
        <w:t>、合格的投标人必须是有能力按照本公开招标文件规定的要求提供服务，且具有独立承担民事等法律责任的法人或其它经济组织，本次招标不接受联合体投标。</w:t>
      </w:r>
    </w:p>
    <w:p>
      <w:pPr>
        <w:pStyle w:val="45"/>
        <w:pageBreakBefore w:val="0"/>
        <w:widowControl w:val="0"/>
        <w:tabs>
          <w:tab w:val="left" w:pos="868"/>
        </w:tabs>
        <w:kinsoku/>
        <w:wordWrap/>
        <w:overflowPunct w:val="0"/>
        <w:topLinePunct w:val="0"/>
        <w:autoSpaceDE/>
        <w:autoSpaceDN/>
        <w:bidi w:val="0"/>
        <w:adjustRightInd/>
        <w:snapToGrid/>
        <w:spacing w:after="0" w:line="600" w:lineRule="exact"/>
        <w:ind w:firstLine="480" w:firstLineChars="200"/>
        <w:textAlignment w:val="auto"/>
        <w:rPr>
          <w:rFonts w:ascii="仿宋" w:hAnsi="仿宋" w:eastAsia="仿宋" w:cs="仿宋"/>
          <w:color w:val="000000" w:themeColor="text1"/>
          <w:highlight w:val="none"/>
          <w:lang w:eastAsia="zh-CN"/>
          <w14:textFill>
            <w14:solidFill>
              <w14:schemeClr w14:val="tx1"/>
            </w14:solidFill>
          </w14:textFill>
        </w:rPr>
      </w:pPr>
      <w:bookmarkStart w:id="42" w:name="bookmark78"/>
      <w:r>
        <w:rPr>
          <w:rFonts w:hint="eastAsia" w:ascii="仿宋" w:hAnsi="仿宋" w:eastAsia="仿宋" w:cs="仿宋"/>
          <w:color w:val="000000" w:themeColor="text1"/>
          <w:highlight w:val="none"/>
          <w:lang w:eastAsia="zh-CN"/>
          <w14:textFill>
            <w14:solidFill>
              <w14:schemeClr w14:val="tx1"/>
            </w14:solidFill>
          </w14:textFill>
        </w:rPr>
        <w:t>2</w:t>
      </w:r>
      <w:bookmarkEnd w:id="42"/>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合格的投标人必须符合公开招标文件第一部分《招标公告》中关于资质要求的规定，且具备独立完成本项目的能力，中标后不允许转包。</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43" w:name="bookmark79"/>
      <w:r>
        <w:rPr>
          <w:rFonts w:hint="eastAsia"/>
          <w:color w:val="000000" w:themeColor="text1"/>
          <w:highlight w:val="none"/>
          <w:lang w:eastAsia="zh-CN"/>
          <w14:textFill>
            <w14:solidFill>
              <w14:schemeClr w14:val="tx1"/>
            </w14:solidFill>
          </w14:textFill>
        </w:rPr>
        <w:t>3</w:t>
      </w:r>
      <w:bookmarkEnd w:id="43"/>
      <w:r>
        <w:rPr>
          <w:rFonts w:hint="eastAsia"/>
          <w:color w:val="000000" w:themeColor="text1"/>
          <w:highlight w:val="none"/>
          <w:lang w:eastAsia="zh-CN"/>
          <w14:textFill>
            <w14:solidFill>
              <w14:schemeClr w14:val="tx1"/>
            </w14:solidFill>
          </w14:textFill>
        </w:rPr>
        <w:t>、合格的投标人应遵守中华人民共和国《招标法》、《合同法》和《反不正当竞争法》等有关法律、法规。</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44" w:name="_Toc29716"/>
      <w:bookmarkStart w:id="45" w:name="bookmark80"/>
      <w:bookmarkStart w:id="46" w:name="_Toc7063"/>
      <w:bookmarkStart w:id="47" w:name="bookmark81"/>
      <w:bookmarkStart w:id="48" w:name="bookmark83"/>
      <w:bookmarkStart w:id="49" w:name="_Toc11858"/>
      <w:r>
        <w:rPr>
          <w:rFonts w:hint="eastAsia"/>
          <w:color w:val="000000" w:themeColor="text1"/>
          <w:highlight w:val="none"/>
          <w:lang w:eastAsia="zh-CN"/>
          <w14:textFill>
            <w14:solidFill>
              <w14:schemeClr w14:val="tx1"/>
            </w14:solidFill>
          </w14:textFill>
        </w:rPr>
        <w:t>（八）适用法律</w:t>
      </w:r>
      <w:bookmarkEnd w:id="44"/>
      <w:bookmarkEnd w:id="45"/>
      <w:bookmarkEnd w:id="46"/>
      <w:bookmarkEnd w:id="47"/>
      <w:bookmarkEnd w:id="48"/>
      <w:bookmarkEnd w:id="49"/>
    </w:p>
    <w:p>
      <w:pPr>
        <w:pStyle w:val="45"/>
        <w:pageBreakBefore w:val="0"/>
        <w:widowControl w:val="0"/>
        <w:tabs>
          <w:tab w:val="left" w:pos="660"/>
        </w:tabs>
        <w:kinsoku/>
        <w:wordWrap/>
        <w:overflowPunct w:val="0"/>
        <w:topLinePunct w:val="0"/>
        <w:autoSpaceDE/>
        <w:autoSpaceDN/>
        <w:bidi w:val="0"/>
        <w:adjustRightInd/>
        <w:snapToGrid/>
        <w:spacing w:after="0" w:line="600" w:lineRule="exact"/>
        <w:ind w:firstLine="480" w:firstLineChars="200"/>
        <w:textAlignment w:val="auto"/>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本次招标及由本次招标产生的合同受中华人民共和国的相关法律、法规制约和保护。</w:t>
      </w:r>
      <w:bookmarkStart w:id="50" w:name="bookmark84"/>
      <w:bookmarkStart w:id="51" w:name="bookmark85"/>
      <w:bookmarkStart w:id="52" w:name="_Toc12410"/>
      <w:bookmarkStart w:id="53" w:name="bookmark87"/>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54" w:name="_Toc18362"/>
      <w:bookmarkStart w:id="55" w:name="_Toc12048"/>
      <w:r>
        <w:rPr>
          <w:rFonts w:hint="eastAsia"/>
          <w:color w:val="000000" w:themeColor="text1"/>
          <w:highlight w:val="none"/>
          <w:lang w:eastAsia="zh-CN"/>
          <w14:textFill>
            <w14:solidFill>
              <w14:schemeClr w14:val="tx1"/>
            </w14:solidFill>
          </w14:textFill>
        </w:rPr>
        <w:t>（九）招标费用</w:t>
      </w:r>
      <w:bookmarkEnd w:id="50"/>
      <w:bookmarkEnd w:id="51"/>
      <w:bookmarkEnd w:id="52"/>
      <w:bookmarkEnd w:id="53"/>
      <w:bookmarkEnd w:id="54"/>
      <w:bookmarkEnd w:id="55"/>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投标人应自行承担所有参加招标相关的一切费用。</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56" w:name="bookmark91"/>
      <w:bookmarkStart w:id="57" w:name="bookmark89"/>
      <w:bookmarkStart w:id="58" w:name="bookmark88"/>
      <w:bookmarkStart w:id="59" w:name="_Toc31639"/>
      <w:bookmarkStart w:id="60" w:name="_Toc4766"/>
      <w:bookmarkStart w:id="61" w:name="_Toc5265"/>
      <w:r>
        <w:rPr>
          <w:rFonts w:hint="eastAsia"/>
          <w:color w:val="000000" w:themeColor="text1"/>
          <w:highlight w:val="none"/>
          <w:lang w:eastAsia="zh-CN"/>
          <w14:textFill>
            <w14:solidFill>
              <w14:schemeClr w14:val="tx1"/>
            </w14:solidFill>
          </w14:textFill>
        </w:rPr>
        <w:t>（十）招标文件的约束力</w:t>
      </w:r>
      <w:bookmarkEnd w:id="56"/>
      <w:bookmarkEnd w:id="57"/>
      <w:bookmarkEnd w:id="58"/>
      <w:bookmarkEnd w:id="59"/>
      <w:bookmarkEnd w:id="60"/>
      <w:bookmarkEnd w:id="61"/>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投标人一旦报名参加本项目投标，即被认为接受了本招标文件中的所有条件和规定。</w:t>
      </w:r>
    </w:p>
    <w:p>
      <w:pPr>
        <w:pStyle w:val="4"/>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000000" w:themeColor="text1"/>
          <w:highlight w:val="none"/>
          <w:lang w:eastAsia="zh-CN"/>
          <w14:textFill>
            <w14:solidFill>
              <w14:schemeClr w14:val="tx1"/>
            </w14:solidFill>
          </w14:textFill>
        </w:rPr>
      </w:pPr>
      <w:bookmarkStart w:id="62" w:name="_Toc29628"/>
      <w:bookmarkStart w:id="63" w:name="_Toc18912"/>
      <w:r>
        <w:rPr>
          <w:rFonts w:hint="eastAsia"/>
          <w:color w:val="000000" w:themeColor="text1"/>
          <w:highlight w:val="none"/>
          <w:lang w:eastAsia="zh-CN"/>
          <w14:textFill>
            <w14:solidFill>
              <w14:schemeClr w14:val="tx1"/>
            </w14:solidFill>
          </w14:textFill>
        </w:rPr>
        <w:t>二、招标文件</w:t>
      </w:r>
      <w:bookmarkEnd w:id="62"/>
      <w:bookmarkEnd w:id="63"/>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（十一）招标文件的构成</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招标公告;</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投标人须知；</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授予合同；</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用户需求书；</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投标文件格式。</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投标人获取公开招标文件后，应仔细检查公开招标文件页数和附件数量，如发现有缺漏，请及时与招标代理机构联系补全。如果投标人不按上述要求操作而造成不良后果，采购代理机构不承担责任。</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64" w:name="_Toc32394"/>
      <w:bookmarkStart w:id="65" w:name="bookmark103"/>
      <w:bookmarkStart w:id="66" w:name="bookmark100"/>
      <w:bookmarkStart w:id="67" w:name="_Toc24581"/>
      <w:bookmarkStart w:id="68" w:name="_Toc6360"/>
      <w:bookmarkStart w:id="69" w:name="bookmark101"/>
      <w:r>
        <w:rPr>
          <w:rFonts w:hint="eastAsia"/>
          <w:color w:val="000000" w:themeColor="text1"/>
          <w:highlight w:val="none"/>
          <w:lang w:eastAsia="zh-CN"/>
          <w14:textFill>
            <w14:solidFill>
              <w14:schemeClr w14:val="tx1"/>
            </w14:solidFill>
          </w14:textFill>
        </w:rPr>
        <w:t>（十二）招标文件的澄清</w:t>
      </w:r>
      <w:bookmarkEnd w:id="64"/>
      <w:bookmarkEnd w:id="65"/>
      <w:bookmarkEnd w:id="66"/>
      <w:bookmarkEnd w:id="67"/>
      <w:bookmarkEnd w:id="68"/>
      <w:bookmarkEnd w:id="69"/>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任何要求对公开招标文件澄清的投标人，可在投标截止期15日前按公告中的通讯地址，以书面形式（如信函、传真等）通知招标代理机构，招标代理机构对规定时间内收到的澄清要求以书面形式予以答复，答复不包括问题的来源。</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70" w:name="bookmark105"/>
      <w:bookmarkStart w:id="71" w:name="_Toc26269"/>
      <w:bookmarkStart w:id="72" w:name="_Toc25798"/>
      <w:bookmarkStart w:id="73" w:name="bookmark107"/>
      <w:bookmarkStart w:id="74" w:name="_Toc1224"/>
      <w:bookmarkStart w:id="75" w:name="bookmark104"/>
      <w:r>
        <w:rPr>
          <w:rFonts w:hint="eastAsia"/>
          <w:color w:val="000000" w:themeColor="text1"/>
          <w:highlight w:val="none"/>
          <w:lang w:eastAsia="zh-CN"/>
          <w14:textFill>
            <w14:solidFill>
              <w14:schemeClr w14:val="tx1"/>
            </w14:solidFill>
          </w14:textFill>
        </w:rPr>
        <w:t>（十三）招标文件的修改</w:t>
      </w:r>
      <w:bookmarkEnd w:id="70"/>
      <w:bookmarkEnd w:id="71"/>
      <w:bookmarkEnd w:id="72"/>
      <w:bookmarkEnd w:id="73"/>
      <w:bookmarkEnd w:id="74"/>
      <w:bookmarkEnd w:id="75"/>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76" w:name="bookmark108"/>
      <w:r>
        <w:rPr>
          <w:rFonts w:hint="eastAsia"/>
          <w:color w:val="000000" w:themeColor="text1"/>
          <w:highlight w:val="none"/>
          <w:lang w:eastAsia="zh-CN"/>
          <w14:textFill>
            <w14:solidFill>
              <w14:schemeClr w14:val="tx1"/>
            </w14:solidFill>
          </w14:textFill>
        </w:rPr>
        <w:t>1</w:t>
      </w:r>
      <w:bookmarkEnd w:id="76"/>
      <w:r>
        <w:rPr>
          <w:rFonts w:hint="eastAsia"/>
          <w:color w:val="000000" w:themeColor="text1"/>
          <w:highlight w:val="none"/>
          <w:lang w:eastAsia="zh-CN"/>
          <w14:textFill>
            <w14:solidFill>
              <w14:schemeClr w14:val="tx1"/>
            </w14:solidFill>
          </w14:textFill>
        </w:rPr>
        <w:t>、在投标文件接收截止日期前，招标人可以更正公告或补充文件的形式对公开招标文件进行修改。</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77" w:name="bookmark109"/>
      <w:r>
        <w:rPr>
          <w:rFonts w:hint="eastAsia"/>
          <w:color w:val="000000" w:themeColor="text1"/>
          <w:highlight w:val="none"/>
          <w:lang w:eastAsia="zh-CN"/>
          <w14:textFill>
            <w14:solidFill>
              <w14:schemeClr w14:val="tx1"/>
            </w14:solidFill>
          </w14:textFill>
        </w:rPr>
        <w:t>2</w:t>
      </w:r>
      <w:bookmarkEnd w:id="77"/>
      <w:r>
        <w:rPr>
          <w:rFonts w:hint="eastAsia"/>
          <w:color w:val="000000" w:themeColor="text1"/>
          <w:highlight w:val="none"/>
          <w:lang w:eastAsia="zh-CN"/>
          <w14:textFill>
            <w14:solidFill>
              <w14:schemeClr w14:val="tx1"/>
            </w14:solidFill>
          </w14:textFill>
        </w:rPr>
        <w:t>、公开招标文件的修改将以书面形式通知所有已报名投标人，并对投标人具有约束力。投标人收到修改文件后，应于1个工作日内回复招标人，逾期不回的，视同已收。</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78" w:name="bookmark110"/>
      <w:r>
        <w:rPr>
          <w:rFonts w:hint="eastAsia"/>
          <w:color w:val="000000" w:themeColor="text1"/>
          <w:highlight w:val="none"/>
          <w:lang w:eastAsia="zh-CN"/>
          <w14:textFill>
            <w14:solidFill>
              <w14:schemeClr w14:val="tx1"/>
            </w14:solidFill>
          </w14:textFill>
        </w:rPr>
        <w:t>3</w:t>
      </w:r>
      <w:bookmarkEnd w:id="78"/>
      <w:r>
        <w:rPr>
          <w:rFonts w:hint="eastAsia"/>
          <w:color w:val="000000" w:themeColor="text1"/>
          <w:highlight w:val="none"/>
          <w:lang w:eastAsia="zh-CN"/>
          <w14:textFill>
            <w14:solidFill>
              <w14:schemeClr w14:val="tx1"/>
            </w14:solidFill>
          </w14:textFill>
        </w:rPr>
        <w:t>、为使投标人有充分的时间对公开招标文件的修改部分进行分析、研究，招标人有权推迟投标文件接收截止日期和开标时间，并将此变更书面通知所有购买公开招标文件的投标人。</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ascii="仿宋" w:hAnsi="仿宋" w:cs="仿宋"/>
          <w:color w:val="000000" w:themeColor="text1"/>
          <w:highlight w:val="none"/>
          <w:lang w:eastAsia="zh-CN"/>
          <w14:textFill>
            <w14:solidFill>
              <w14:schemeClr w14:val="tx1"/>
            </w14:solidFill>
          </w14:textFill>
        </w:rPr>
      </w:pPr>
      <w:bookmarkStart w:id="79" w:name="bookmark111"/>
      <w:r>
        <w:rPr>
          <w:rFonts w:hint="eastAsia" w:ascii="仿宋" w:hAnsi="仿宋" w:cs="仿宋"/>
          <w:color w:val="000000" w:themeColor="text1"/>
          <w:highlight w:val="none"/>
          <w:lang w:eastAsia="zh-CN"/>
          <w14:textFill>
            <w14:solidFill>
              <w14:schemeClr w14:val="tx1"/>
            </w14:solidFill>
          </w14:textFill>
        </w:rPr>
        <w:t>4</w:t>
      </w:r>
      <w:bookmarkEnd w:id="79"/>
      <w:r>
        <w:rPr>
          <w:rFonts w:hint="eastAsia" w:ascii="仿宋" w:hAnsi="仿宋" w:cs="仿宋"/>
          <w:color w:val="000000" w:themeColor="text1"/>
          <w:highlight w:val="none"/>
          <w:lang w:eastAsia="zh-CN"/>
          <w14:textFill>
            <w14:solidFill>
              <w14:schemeClr w14:val="tx1"/>
            </w14:solidFill>
          </w14:textFill>
        </w:rPr>
        <w:t>、招标人发出的所有补充、修改和变更文件均作为公开招标文件的组成部分，与公开招标文件具有同等法律效力。</w:t>
      </w:r>
    </w:p>
    <w:p>
      <w:pPr>
        <w:pStyle w:val="4"/>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000000" w:themeColor="text1"/>
          <w:highlight w:val="none"/>
          <w:lang w:eastAsia="zh-CN"/>
          <w14:textFill>
            <w14:solidFill>
              <w14:schemeClr w14:val="tx1"/>
            </w14:solidFill>
          </w14:textFill>
        </w:rPr>
      </w:pPr>
      <w:bookmarkStart w:id="80" w:name="_Toc30511"/>
      <w:bookmarkStart w:id="81" w:name="bookmark112"/>
      <w:bookmarkStart w:id="82" w:name="bookmark115"/>
      <w:bookmarkStart w:id="83" w:name="_Toc20506"/>
      <w:bookmarkStart w:id="84" w:name="bookmark113"/>
      <w:r>
        <w:rPr>
          <w:rFonts w:hint="eastAsia"/>
          <w:color w:val="000000" w:themeColor="text1"/>
          <w:highlight w:val="none"/>
          <w:lang w:eastAsia="zh-CN"/>
          <w14:textFill>
            <w14:solidFill>
              <w14:schemeClr w14:val="tx1"/>
            </w14:solidFill>
          </w14:textFill>
        </w:rPr>
        <w:t>三、投标文件的编制</w:t>
      </w:r>
      <w:bookmarkEnd w:id="80"/>
      <w:bookmarkEnd w:id="81"/>
      <w:bookmarkEnd w:id="82"/>
      <w:bookmarkEnd w:id="83"/>
      <w:bookmarkEnd w:id="84"/>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85" w:name="_Toc13254"/>
      <w:bookmarkStart w:id="86" w:name="_Toc1764"/>
      <w:bookmarkStart w:id="87" w:name="bookmark117"/>
      <w:bookmarkStart w:id="88" w:name="bookmark118"/>
      <w:bookmarkStart w:id="89" w:name="bookmark116"/>
      <w:bookmarkStart w:id="90" w:name="_Toc1097"/>
      <w:r>
        <w:rPr>
          <w:rFonts w:hint="eastAsia"/>
          <w:color w:val="000000" w:themeColor="text1"/>
          <w:highlight w:val="none"/>
          <w:lang w:eastAsia="zh-CN"/>
          <w14:textFill>
            <w14:solidFill>
              <w14:schemeClr w14:val="tx1"/>
            </w14:solidFill>
          </w14:textFill>
        </w:rPr>
        <w:t>投标文件的编制要求</w:t>
      </w:r>
      <w:bookmarkEnd w:id="85"/>
      <w:bookmarkEnd w:id="86"/>
      <w:bookmarkEnd w:id="87"/>
      <w:bookmarkEnd w:id="88"/>
      <w:bookmarkEnd w:id="89"/>
      <w:bookmarkEnd w:id="90"/>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投标人应仔细阅读</w:t>
      </w:r>
      <w:r>
        <w:rPr>
          <w:rFonts w:hint="eastAsia"/>
          <w:color w:val="000000" w:themeColor="text1"/>
          <w:highlight w:val="none"/>
          <w:lang w:val="zh-CN" w:eastAsia="zh-CN" w:bidi="zh-CN"/>
          <w14:textFill>
            <w14:solidFill>
              <w14:schemeClr w14:val="tx1"/>
            </w14:solidFill>
          </w14:textFill>
        </w:rPr>
        <w:t>“招标</w:t>
      </w:r>
      <w:r>
        <w:rPr>
          <w:rFonts w:hint="eastAsia"/>
          <w:color w:val="000000" w:themeColor="text1"/>
          <w:highlight w:val="none"/>
          <w:lang w:eastAsia="zh-CN"/>
          <w14:textFill>
            <w14:solidFill>
              <w14:schemeClr w14:val="tx1"/>
            </w14:solidFill>
          </w14:textFill>
        </w:rPr>
        <w:t>文件”的所有内容，按“招标文件</w:t>
      </w:r>
      <w:r>
        <w:rPr>
          <w:rFonts w:hint="eastAsia"/>
          <w:color w:val="000000" w:themeColor="text1"/>
          <w:highlight w:val="none"/>
          <w:lang w:val="zh-CN" w:eastAsia="zh-CN" w:bidi="zh-CN"/>
          <w14:textFill>
            <w14:solidFill>
              <w14:schemeClr w14:val="tx1"/>
            </w14:solidFill>
          </w14:textFill>
        </w:rPr>
        <w:t>”的要</w:t>
      </w:r>
      <w:r>
        <w:rPr>
          <w:rFonts w:hint="eastAsia"/>
          <w:color w:val="000000" w:themeColor="text1"/>
          <w:highlight w:val="none"/>
          <w:lang w:eastAsia="zh-CN"/>
          <w14:textFill>
            <w14:solidFill>
              <w14:schemeClr w14:val="tx1"/>
            </w14:solidFill>
          </w14:textFill>
        </w:rPr>
        <w:t>求编制</w:t>
      </w:r>
      <w:r>
        <w:rPr>
          <w:rFonts w:hint="eastAsia"/>
          <w:color w:val="000000" w:themeColor="text1"/>
          <w:highlight w:val="none"/>
          <w:lang w:val="zh-CN" w:eastAsia="zh-CN" w:bidi="zh-CN"/>
          <w14:textFill>
            <w14:solidFill>
              <w14:schemeClr w14:val="tx1"/>
            </w14:solidFill>
          </w14:textFill>
        </w:rPr>
        <w:t>“投</w:t>
      </w:r>
      <w:r>
        <w:rPr>
          <w:rFonts w:hint="eastAsia"/>
          <w:color w:val="000000" w:themeColor="text1"/>
          <w:highlight w:val="none"/>
          <w:lang w:eastAsia="zh-CN"/>
          <w14:textFill>
            <w14:solidFill>
              <w14:schemeClr w14:val="tx1"/>
            </w14:solidFill>
          </w14:textFill>
        </w:rPr>
        <w:t>标文件”,并保证所提供的全部资料的真实性、完整性及有效性，以使其投标对</w:t>
      </w:r>
      <w:r>
        <w:rPr>
          <w:rFonts w:hint="eastAsia"/>
          <w:color w:val="000000" w:themeColor="text1"/>
          <w:highlight w:val="none"/>
          <w:lang w:val="zh-CN" w:eastAsia="zh-CN" w:bidi="zh-CN"/>
          <w14:textFill>
            <w14:solidFill>
              <w14:schemeClr w14:val="tx1"/>
            </w14:solidFill>
          </w14:textFill>
        </w:rPr>
        <w:t>“公开</w:t>
      </w:r>
      <w:r>
        <w:rPr>
          <w:rFonts w:hint="eastAsia"/>
          <w:color w:val="000000" w:themeColor="text1"/>
          <w:highlight w:val="none"/>
          <w:lang w:eastAsia="zh-CN"/>
          <w14:textFill>
            <w14:solidFill>
              <w14:schemeClr w14:val="tx1"/>
            </w14:solidFill>
          </w14:textFill>
        </w:rPr>
        <w:t>招标文件”做出实质性响应。否则，可能被拒绝。</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91" w:name="_Toc5469"/>
      <w:bookmarkStart w:id="92" w:name="bookmark120"/>
      <w:bookmarkStart w:id="93" w:name="_Toc23358"/>
      <w:bookmarkStart w:id="94" w:name="bookmark121"/>
      <w:bookmarkStart w:id="95" w:name="bookmark119"/>
      <w:bookmarkStart w:id="96" w:name="_Toc8332"/>
      <w:r>
        <w:rPr>
          <w:rFonts w:hint="eastAsia"/>
          <w:color w:val="000000" w:themeColor="text1"/>
          <w:highlight w:val="none"/>
          <w:lang w:eastAsia="zh-CN"/>
          <w14:textFill>
            <w14:solidFill>
              <w14:schemeClr w14:val="tx1"/>
            </w14:solidFill>
          </w14:textFill>
        </w:rPr>
        <w:t>（十四）投标文件构成</w:t>
      </w:r>
      <w:bookmarkEnd w:id="91"/>
      <w:bookmarkEnd w:id="92"/>
      <w:bookmarkEnd w:id="93"/>
      <w:bookmarkEnd w:id="94"/>
      <w:bookmarkEnd w:id="95"/>
      <w:bookmarkEnd w:id="96"/>
    </w:p>
    <w:p>
      <w:pPr>
        <w:pStyle w:val="39"/>
        <w:pageBreakBefore w:val="0"/>
        <w:widowControl w:val="0"/>
        <w:kinsoku/>
        <w:wordWrap/>
        <w:overflowPunct w:val="0"/>
        <w:topLinePunct w:val="0"/>
        <w:autoSpaceDE/>
        <w:autoSpaceDN/>
        <w:bidi w:val="0"/>
        <w:adjustRightInd/>
        <w:snapToGrid/>
        <w:spacing w:after="0" w:line="600" w:lineRule="exact"/>
        <w:ind w:left="0" w:firstLine="480" w:firstLineChars="200"/>
        <w:jc w:val="center"/>
        <w:textAlignment w:val="auto"/>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目录</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一、投标函（附件一）；</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二、开标一览表（附件二）；</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三、分项报价表（附件三）；</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四、法定代表人身份证明书（附件四）；</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五、法定代表人授权委托书（附件五）；</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六、企业基本情况（附件六）；</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七、公司简介（后附营业执照（事业单位法人证书）、税务登记证、组织机</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构代码证、相应的代理资质、保证金交纳情况等企业相关资料）（附件七）；</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八、资格审查及符合性审查要求材料、</w:t>
      </w:r>
      <w:r>
        <w:rPr>
          <w:rFonts w:hint="eastAsia"/>
          <w:color w:val="000000" w:themeColor="text1"/>
          <w:highlight w:val="none"/>
          <w:lang w:val="en-US" w:eastAsia="zh-CN"/>
          <w14:textFill>
            <w14:solidFill>
              <w14:schemeClr w14:val="tx1"/>
            </w14:solidFill>
          </w14:textFill>
        </w:rPr>
        <w:t>按照招标文件要求提供</w:t>
      </w:r>
      <w:r>
        <w:rPr>
          <w:rFonts w:hint="eastAsia"/>
          <w:color w:val="000000" w:themeColor="text1"/>
          <w:highlight w:val="none"/>
          <w:lang w:eastAsia="zh-CN"/>
          <w14:textFill>
            <w14:solidFill>
              <w14:schemeClr w14:val="tx1"/>
            </w14:solidFill>
          </w14:textFill>
        </w:rPr>
        <w:t>（自行提供）</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九、投标人参加招标采购活动3年内在经营活动中无重大违法记录的声明；（附件八）</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十、项目负责人及团队人员（人员配备）简历表（附件九）</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十一、项目承接能力投标人提供近3年业绩（附件十）；</w:t>
      </w:r>
      <w:r>
        <w:rPr>
          <w:rFonts w:hint="eastAsia" w:ascii="仿宋" w:hAnsi="仿宋"/>
          <w:color w:val="000000" w:themeColor="text1"/>
          <w:kern w:val="2"/>
          <w:highlight w:val="none"/>
          <w:lang w:val="en-US" w:eastAsia="zh-CN"/>
          <w14:textFill>
            <w14:solidFill>
              <w14:schemeClr w14:val="tx1"/>
            </w14:solidFill>
          </w14:textFill>
        </w:rPr>
        <w:t>招标文件要求业绩内容及证明材料</w:t>
      </w:r>
      <w:r>
        <w:rPr>
          <w:rFonts w:hint="eastAsia" w:ascii="仿宋" w:hAnsi="仿宋"/>
          <w:color w:val="000000" w:themeColor="text1"/>
          <w:kern w:val="2"/>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自行提供，针对于此次采购要求、及评审标准为主</w:t>
      </w:r>
      <w:r>
        <w:rPr>
          <w:rFonts w:hint="eastAsia" w:ascii="仿宋" w:hAnsi="仿宋"/>
          <w:color w:val="000000" w:themeColor="text1"/>
          <w:kern w:val="2"/>
          <w:highlight w:val="none"/>
          <w:lang w:eastAsia="zh-CN"/>
          <w14:textFill>
            <w14:solidFill>
              <w14:schemeClr w14:val="tx1"/>
            </w14:solidFill>
          </w14:textFill>
        </w:rPr>
        <w:t>）；</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十二、</w:t>
      </w:r>
      <w:r>
        <w:rPr>
          <w:rFonts w:hint="eastAsia" w:ascii="仿宋" w:hAnsi="仿宋" w:eastAsia="仿宋"/>
          <w:color w:val="000000" w:themeColor="text1"/>
          <w:kern w:val="2"/>
          <w:highlight w:val="none"/>
          <w14:textFill>
            <w14:solidFill>
              <w14:schemeClr w14:val="tx1"/>
            </w14:solidFill>
          </w14:textFill>
        </w:rPr>
        <w:t>企业实力</w:t>
      </w:r>
      <w:r>
        <w:rPr>
          <w:rFonts w:hint="eastAsia"/>
          <w:color w:val="000000" w:themeColor="text1"/>
          <w:highlight w:val="none"/>
          <w:lang w:eastAsia="zh-CN"/>
          <w14:textFill>
            <w14:solidFill>
              <w14:schemeClr w14:val="tx1"/>
            </w14:solidFill>
          </w14:textFill>
        </w:rPr>
        <w:t>（自行提供，针对于此次采购要求、及评审标准为主）；</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十三、</w:t>
      </w:r>
      <w:r>
        <w:rPr>
          <w:rFonts w:hint="eastAsia" w:ascii="仿宋" w:hAnsi="仿宋" w:eastAsia="仿宋"/>
          <w:color w:val="000000" w:themeColor="text1"/>
          <w:kern w:val="2"/>
          <w:highlight w:val="none"/>
          <w14:textFill>
            <w14:solidFill>
              <w14:schemeClr w14:val="tx1"/>
            </w14:solidFill>
          </w14:textFill>
        </w:rPr>
        <w:t>企业履约能力演示</w:t>
      </w:r>
      <w:r>
        <w:rPr>
          <w:rFonts w:hint="eastAsia"/>
          <w:color w:val="000000" w:themeColor="text1"/>
          <w:highlight w:val="none"/>
          <w:lang w:eastAsia="zh-CN"/>
          <w14:textFill>
            <w14:solidFill>
              <w14:schemeClr w14:val="tx1"/>
            </w14:solidFill>
          </w14:textFill>
        </w:rPr>
        <w:t>（自行提供，针对于此次采购要求、及评审标准为主）</w:t>
      </w:r>
      <w:r>
        <w:rPr>
          <w:rFonts w:hint="eastAsia"/>
          <w:color w:val="000000" w:themeColor="text1"/>
          <w:highlight w:val="none"/>
          <w:lang w:val="en-US" w:eastAsia="zh-CN"/>
          <w14:textFill>
            <w14:solidFill>
              <w14:schemeClr w14:val="tx1"/>
            </w14:solidFill>
          </w14:textFill>
        </w:rPr>
        <w:t>按照前附表发送至邮箱</w:t>
      </w:r>
      <w:r>
        <w:rPr>
          <w:rFonts w:hint="eastAsia"/>
          <w:color w:val="000000" w:themeColor="text1"/>
          <w:highlight w:val="none"/>
          <w:lang w:eastAsia="zh-CN"/>
          <w14:textFill>
            <w14:solidFill>
              <w14:schemeClr w14:val="tx1"/>
            </w14:solidFill>
          </w14:textFill>
        </w:rPr>
        <w:t>；</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十四、</w:t>
      </w:r>
      <w:r>
        <w:rPr>
          <w:rFonts w:hint="eastAsia" w:ascii="仿宋" w:hAnsi="仿宋" w:eastAsia="仿宋"/>
          <w:color w:val="000000" w:themeColor="text1"/>
          <w:kern w:val="2"/>
          <w:sz w:val="24"/>
          <w:szCs w:val="24"/>
          <w:highlight w:val="none"/>
          <w14:textFill>
            <w14:solidFill>
              <w14:schemeClr w14:val="tx1"/>
            </w14:solidFill>
          </w14:textFill>
        </w:rPr>
        <w:t>技术方案</w:t>
      </w:r>
      <w:r>
        <w:rPr>
          <w:rFonts w:hint="eastAsia" w:ascii="仿宋" w:hAnsi="仿宋"/>
          <w:color w:val="000000" w:themeColor="text1"/>
          <w:kern w:val="2"/>
          <w:sz w:val="24"/>
          <w:szCs w:val="24"/>
          <w:highlight w:val="none"/>
          <w:lang w:eastAsia="zh-CN"/>
          <w14:textFill>
            <w14:solidFill>
              <w14:schemeClr w14:val="tx1"/>
            </w14:solidFill>
          </w14:textFill>
        </w:rPr>
        <w:t>（</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服务</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实施计划</w:t>
      </w:r>
      <w:r>
        <w:rPr>
          <w:rFonts w:hint="eastAsia" w:ascii="仿宋" w:hAnsi="仿宋"/>
          <w:color w:val="000000" w:themeColor="text1"/>
          <w:kern w:val="2"/>
          <w:sz w:val="24"/>
          <w:szCs w:val="24"/>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（自行提供，针对于此次采购要求、及评审标准为主）；</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十五、</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服务</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进度计划、</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驻场服务</w:t>
      </w:r>
      <w:r>
        <w:rPr>
          <w:rFonts w:hint="eastAsia"/>
          <w:color w:val="000000" w:themeColor="text1"/>
          <w:highlight w:val="none"/>
          <w:lang w:eastAsia="zh-CN"/>
          <w14:textFill>
            <w14:solidFill>
              <w14:schemeClr w14:val="tx1"/>
            </w14:solidFill>
          </w14:textFill>
        </w:rPr>
        <w:t>（自行提供，针对于此次采购要求、及评审标准为主）；</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十六、服务需求偏离表（附件十一）；</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lang w:eastAsia="zh-CN"/>
          <w14:textFill>
            <w14:solidFill>
              <w14:schemeClr w14:val="tx1"/>
            </w14:solidFill>
          </w14:textFill>
        </w:rPr>
        <w:t>、其他资料（投标人认为有必要提供的有利于自身的其它材料）（附件十二）</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lang w:eastAsia="zh-CN"/>
          <w14:textFill>
            <w14:solidFill>
              <w14:schemeClr w14:val="tx1"/>
            </w14:solidFill>
          </w14:textFill>
        </w:rPr>
        <w:t>、（中小微企业证明文件等（如有）（附件十三）</w:t>
      </w:r>
    </w:p>
    <w:p>
      <w:pPr>
        <w:pStyle w:val="6"/>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十九</w:t>
      </w:r>
      <w:r>
        <w:rPr>
          <w:rFonts w:hint="eastAsia"/>
          <w:color w:val="000000" w:themeColor="text1"/>
          <w:highlight w:val="none"/>
          <w:lang w:eastAsia="zh-CN"/>
          <w14:textFill>
            <w14:solidFill>
              <w14:schemeClr w14:val="tx1"/>
            </w14:solidFill>
          </w14:textFill>
        </w:rPr>
        <w:t>、其他证明文件（附件十四）</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注：以上材料须加盖单位公章，投标人需将投标文件按上述顺序装订成册。</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97" w:name="bookmark133"/>
      <w:bookmarkStart w:id="98" w:name="_Toc14839"/>
      <w:bookmarkStart w:id="99" w:name="bookmark131"/>
      <w:bookmarkStart w:id="100" w:name="bookmark132"/>
      <w:bookmarkStart w:id="101" w:name="_Toc6351"/>
      <w:bookmarkStart w:id="102" w:name="_Toc27524"/>
      <w:r>
        <w:rPr>
          <w:rFonts w:hint="eastAsia"/>
          <w:color w:val="000000" w:themeColor="text1"/>
          <w:highlight w:val="none"/>
          <w:lang w:eastAsia="zh-CN"/>
          <w14:textFill>
            <w14:solidFill>
              <w14:schemeClr w14:val="tx1"/>
            </w14:solidFill>
          </w14:textFill>
        </w:rPr>
        <w:t>（十五）投标文件格式</w:t>
      </w:r>
      <w:bookmarkEnd w:id="97"/>
      <w:bookmarkEnd w:id="98"/>
      <w:bookmarkEnd w:id="99"/>
      <w:bookmarkEnd w:id="100"/>
      <w:bookmarkEnd w:id="101"/>
      <w:bookmarkEnd w:id="102"/>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投标人需按照上述投标文件构成顺序编制投标文件，并按招标文件中提供的格式填写投标函、授权委托书、报价一览表等材料。</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03" w:name="bookmark134"/>
      <w:bookmarkStart w:id="104" w:name="_Toc25031"/>
      <w:bookmarkStart w:id="105" w:name="_Toc2928"/>
      <w:bookmarkStart w:id="106" w:name="bookmark135"/>
      <w:bookmarkStart w:id="107" w:name="bookmark136"/>
      <w:bookmarkStart w:id="108" w:name="_Toc8820"/>
      <w:r>
        <w:rPr>
          <w:rFonts w:hint="eastAsia"/>
          <w:color w:val="000000" w:themeColor="text1"/>
          <w:highlight w:val="none"/>
          <w:lang w:eastAsia="zh-CN"/>
          <w14:textFill>
            <w14:solidFill>
              <w14:schemeClr w14:val="tx1"/>
            </w14:solidFill>
          </w14:textFill>
        </w:rPr>
        <w:t>（十六）投标报价</w:t>
      </w:r>
      <w:bookmarkEnd w:id="103"/>
      <w:bookmarkEnd w:id="104"/>
      <w:bookmarkEnd w:id="105"/>
      <w:bookmarkEnd w:id="106"/>
      <w:bookmarkEnd w:id="107"/>
      <w:bookmarkEnd w:id="108"/>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09" w:name="bookmark137"/>
      <w:r>
        <w:rPr>
          <w:rFonts w:hint="eastAsia"/>
          <w:color w:val="000000" w:themeColor="text1"/>
          <w:highlight w:val="none"/>
          <w:lang w:eastAsia="zh-CN"/>
          <w14:textFill>
            <w14:solidFill>
              <w14:schemeClr w14:val="tx1"/>
            </w14:solidFill>
          </w14:textFill>
        </w:rPr>
        <w:t>1</w:t>
      </w:r>
      <w:bookmarkEnd w:id="109"/>
      <w:r>
        <w:rPr>
          <w:rFonts w:hint="eastAsia"/>
          <w:color w:val="000000" w:themeColor="text1"/>
          <w:highlight w:val="none"/>
          <w:lang w:eastAsia="zh-CN"/>
          <w14:textFill>
            <w14:solidFill>
              <w14:schemeClr w14:val="tx1"/>
            </w14:solidFill>
          </w14:textFill>
        </w:rPr>
        <w:t>、投标人的报价应为所确定的招标范围内的全部工作内容的价格体现，应包括但不限于：工种构成、人员配比、差旅、必要材料购置、搭建安装、现场服务、利润、税金等费用。</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10" w:name="bookmark138"/>
      <w:r>
        <w:rPr>
          <w:rFonts w:hint="eastAsia"/>
          <w:color w:val="000000" w:themeColor="text1"/>
          <w:highlight w:val="none"/>
          <w:lang w:eastAsia="zh-CN"/>
          <w14:textFill>
            <w14:solidFill>
              <w14:schemeClr w14:val="tx1"/>
            </w14:solidFill>
          </w14:textFill>
        </w:rPr>
        <w:t>2</w:t>
      </w:r>
      <w:bookmarkEnd w:id="110"/>
      <w:r>
        <w:rPr>
          <w:rFonts w:hint="eastAsia"/>
          <w:color w:val="000000" w:themeColor="text1"/>
          <w:highlight w:val="none"/>
          <w:lang w:eastAsia="zh-CN"/>
          <w14:textFill>
            <w14:solidFill>
              <w14:schemeClr w14:val="tx1"/>
            </w14:solidFill>
          </w14:textFill>
        </w:rPr>
        <w:t>、中标人必须无条件且无偿的根据招标人的要求对方案进行优化，该项费用招标人不再另行支付。</w:t>
      </w:r>
      <w:bookmarkStart w:id="111" w:name="bookmark139"/>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w:t>
      </w:r>
      <w:bookmarkEnd w:id="111"/>
      <w:r>
        <w:rPr>
          <w:rFonts w:hint="eastAsia"/>
          <w:color w:val="000000" w:themeColor="text1"/>
          <w:highlight w:val="none"/>
          <w:lang w:eastAsia="zh-CN"/>
          <w14:textFill>
            <w14:solidFill>
              <w14:schemeClr w14:val="tx1"/>
            </w14:solidFill>
          </w14:textFill>
        </w:rPr>
        <w:t>、凡要求投标人考虑在报价中的内容投标人在投标文件中没有考虑、没有计入的或未单独列出，招标人认为投标人已将此项费用涵盖在其它费用、价格中。</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12" w:name="bookmark140"/>
      <w:r>
        <w:rPr>
          <w:rFonts w:hint="eastAsia"/>
          <w:color w:val="000000" w:themeColor="text1"/>
          <w:highlight w:val="none"/>
          <w:lang w:eastAsia="zh-CN"/>
          <w14:textFill>
            <w14:solidFill>
              <w14:schemeClr w14:val="tx1"/>
            </w14:solidFill>
          </w14:textFill>
        </w:rPr>
        <w:t>4</w:t>
      </w:r>
      <w:bookmarkEnd w:id="112"/>
      <w:r>
        <w:rPr>
          <w:rFonts w:hint="eastAsia"/>
          <w:color w:val="000000" w:themeColor="text1"/>
          <w:highlight w:val="none"/>
          <w:lang w:eastAsia="zh-CN"/>
          <w14:textFill>
            <w14:solidFill>
              <w14:schemeClr w14:val="tx1"/>
            </w14:solidFill>
          </w14:textFill>
        </w:rPr>
        <w:t>、招标人不接受备选的投标方案或有选择的报价，只允许有一个报价。</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投标报价应包含项目实施过程中涉及到的一切费用。</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13" w:name="bookmark141"/>
      <w:r>
        <w:rPr>
          <w:rFonts w:hint="eastAsia"/>
          <w:color w:val="000000" w:themeColor="text1"/>
          <w:highlight w:val="none"/>
          <w:lang w:eastAsia="zh-CN"/>
          <w14:textFill>
            <w14:solidFill>
              <w14:schemeClr w14:val="tx1"/>
            </w14:solidFill>
          </w14:textFill>
        </w:rPr>
        <w:t>5</w:t>
      </w:r>
      <w:bookmarkEnd w:id="113"/>
      <w:r>
        <w:rPr>
          <w:rFonts w:hint="eastAsia"/>
          <w:color w:val="000000" w:themeColor="text1"/>
          <w:highlight w:val="none"/>
          <w:lang w:eastAsia="zh-CN"/>
          <w14:textFill>
            <w14:solidFill>
              <w14:schemeClr w14:val="tx1"/>
            </w14:solidFill>
          </w14:textFill>
        </w:rPr>
        <w:t>、报价注意事项：</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14" w:name="bookmark142"/>
      <w:r>
        <w:rPr>
          <w:rFonts w:hint="eastAsia"/>
          <w:color w:val="000000" w:themeColor="text1"/>
          <w:highlight w:val="none"/>
          <w:lang w:eastAsia="zh-CN"/>
          <w14:textFill>
            <w14:solidFill>
              <w14:schemeClr w14:val="tx1"/>
            </w14:solidFill>
          </w14:textFill>
        </w:rPr>
        <w:t>（</w:t>
      </w:r>
      <w:bookmarkEnd w:id="114"/>
      <w:r>
        <w:rPr>
          <w:rFonts w:hint="eastAsia"/>
          <w:color w:val="000000" w:themeColor="text1"/>
          <w:highlight w:val="none"/>
          <w:lang w:eastAsia="zh-CN"/>
          <w14:textFill>
            <w14:solidFill>
              <w14:schemeClr w14:val="tx1"/>
            </w14:solidFill>
          </w14:textFill>
        </w:rPr>
        <w:t>1）价格一律以人民币计算，以元为单位标准；</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15" w:name="bookmark143"/>
      <w:r>
        <w:rPr>
          <w:rFonts w:hint="eastAsia"/>
          <w:color w:val="000000" w:themeColor="text1"/>
          <w:highlight w:val="none"/>
          <w:lang w:eastAsia="zh-CN"/>
          <w14:textFill>
            <w14:solidFill>
              <w14:schemeClr w14:val="tx1"/>
            </w14:solidFill>
          </w14:textFill>
        </w:rPr>
        <w:t>（</w:t>
      </w:r>
      <w:bookmarkEnd w:id="115"/>
      <w:r>
        <w:rPr>
          <w:rFonts w:hint="eastAsia"/>
          <w:color w:val="000000" w:themeColor="text1"/>
          <w:highlight w:val="none"/>
          <w:lang w:eastAsia="zh-CN"/>
          <w14:textFill>
            <w14:solidFill>
              <w14:schemeClr w14:val="tx1"/>
            </w14:solidFill>
          </w14:textFill>
        </w:rPr>
        <w:t>2）投标人报价时应充分考虑所有可能影响到报价的报价因素，总价为包干价，不予调整。如发生漏、缺、少项，都将被认为是中标人的报价让利行为，损失自负。</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16" w:name="bookmark144"/>
      <w:bookmarkStart w:id="117" w:name="bookmark146"/>
      <w:bookmarkStart w:id="118" w:name="_Toc18659"/>
      <w:bookmarkStart w:id="119" w:name="_Toc25513"/>
      <w:bookmarkStart w:id="120" w:name="bookmark145"/>
      <w:bookmarkStart w:id="121" w:name="_Toc22636"/>
      <w:r>
        <w:rPr>
          <w:rFonts w:hint="eastAsia"/>
          <w:color w:val="000000" w:themeColor="text1"/>
          <w:highlight w:val="none"/>
          <w:lang w:eastAsia="zh-CN"/>
          <w14:textFill>
            <w14:solidFill>
              <w14:schemeClr w14:val="tx1"/>
            </w14:solidFill>
          </w14:textFill>
        </w:rPr>
        <w:t>（十七）投标保证金</w:t>
      </w:r>
      <w:bookmarkEnd w:id="116"/>
      <w:bookmarkEnd w:id="117"/>
      <w:bookmarkEnd w:id="118"/>
      <w:bookmarkEnd w:id="119"/>
      <w:bookmarkEnd w:id="120"/>
      <w:bookmarkEnd w:id="121"/>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2" w:name="bookmark147"/>
      <w:r>
        <w:rPr>
          <w:rFonts w:hint="eastAsia"/>
          <w:color w:val="000000" w:themeColor="text1"/>
          <w:highlight w:val="none"/>
          <w:lang w:eastAsia="zh-CN"/>
          <w14:textFill>
            <w14:solidFill>
              <w14:schemeClr w14:val="tx1"/>
            </w14:solidFill>
          </w14:textFill>
        </w:rPr>
        <w:t>1</w:t>
      </w:r>
      <w:bookmarkEnd w:id="122"/>
      <w:r>
        <w:rPr>
          <w:rFonts w:hint="eastAsia"/>
          <w:color w:val="000000" w:themeColor="text1"/>
          <w:highlight w:val="none"/>
          <w:lang w:eastAsia="zh-CN"/>
          <w14:textFill>
            <w14:solidFill>
              <w14:schemeClr w14:val="tx1"/>
            </w14:solidFill>
          </w14:textFill>
        </w:rPr>
        <w:t>、投标人需提交投标保证金（须在投标文件接收截止时间前到帐，保证金金额、银行帐号见前附表），并作为参与公开招标的组成部分之一。</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3" w:name="bookmark148"/>
      <w:r>
        <w:rPr>
          <w:rFonts w:hint="eastAsia"/>
          <w:color w:val="000000" w:themeColor="text1"/>
          <w:highlight w:val="none"/>
          <w:lang w:eastAsia="zh-CN"/>
          <w14:textFill>
            <w14:solidFill>
              <w14:schemeClr w14:val="tx1"/>
            </w14:solidFill>
          </w14:textFill>
        </w:rPr>
        <w:t>2</w:t>
      </w:r>
      <w:bookmarkEnd w:id="123"/>
      <w:r>
        <w:rPr>
          <w:rFonts w:hint="eastAsia"/>
          <w:color w:val="000000" w:themeColor="text1"/>
          <w:highlight w:val="none"/>
          <w:lang w:eastAsia="zh-CN"/>
          <w14:textFill>
            <w14:solidFill>
              <w14:schemeClr w14:val="tx1"/>
            </w14:solidFill>
          </w14:textFill>
        </w:rPr>
        <w:t>、对于未按要求提交投标保证金的，将被视为非响应性投标而予以拒绝。</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4" w:name="bookmark149"/>
      <w:r>
        <w:rPr>
          <w:rFonts w:hint="eastAsia"/>
          <w:color w:val="000000" w:themeColor="text1"/>
          <w:highlight w:val="none"/>
          <w:lang w:eastAsia="zh-CN"/>
          <w14:textFill>
            <w14:solidFill>
              <w14:schemeClr w14:val="tx1"/>
            </w14:solidFill>
          </w14:textFill>
        </w:rPr>
        <w:t>3</w:t>
      </w:r>
      <w:bookmarkEnd w:id="124"/>
      <w:r>
        <w:rPr>
          <w:rFonts w:hint="eastAsia"/>
          <w:color w:val="000000" w:themeColor="text1"/>
          <w:highlight w:val="none"/>
          <w:lang w:eastAsia="zh-CN"/>
          <w14:textFill>
            <w14:solidFill>
              <w14:schemeClr w14:val="tx1"/>
            </w14:solidFill>
          </w14:textFill>
        </w:rPr>
        <w:t>、未中标人的保证金将在中标通知书签发后5个工作日内退还。投标人协助办理保证金退回手续。</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5" w:name="bookmark150"/>
      <w:r>
        <w:rPr>
          <w:rFonts w:hint="eastAsia"/>
          <w:color w:val="000000" w:themeColor="text1"/>
          <w:highlight w:val="none"/>
          <w:lang w:eastAsia="zh-CN"/>
          <w14:textFill>
            <w14:solidFill>
              <w14:schemeClr w14:val="tx1"/>
            </w14:solidFill>
          </w14:textFill>
        </w:rPr>
        <w:t>（</w:t>
      </w:r>
      <w:bookmarkEnd w:id="125"/>
      <w:r>
        <w:rPr>
          <w:rFonts w:hint="eastAsia"/>
          <w:color w:val="000000" w:themeColor="text1"/>
          <w:highlight w:val="none"/>
          <w:lang w:eastAsia="zh-CN"/>
          <w14:textFill>
            <w14:solidFill>
              <w14:schemeClr w14:val="tx1"/>
            </w14:solidFill>
          </w14:textFill>
        </w:rPr>
        <w:t>1）缴纳保证金的电汇凭证或投标人开具的收到退回保证金的收款收据；</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6" w:name="bookmark151"/>
      <w:r>
        <w:rPr>
          <w:rFonts w:hint="eastAsia"/>
          <w:color w:val="000000" w:themeColor="text1"/>
          <w:highlight w:val="none"/>
          <w:lang w:eastAsia="zh-CN"/>
          <w14:textFill>
            <w14:solidFill>
              <w14:schemeClr w14:val="tx1"/>
            </w14:solidFill>
          </w14:textFill>
        </w:rPr>
        <w:t>（</w:t>
      </w:r>
      <w:bookmarkEnd w:id="126"/>
      <w:r>
        <w:rPr>
          <w:rFonts w:hint="eastAsia"/>
          <w:color w:val="000000" w:themeColor="text1"/>
          <w:highlight w:val="none"/>
          <w:lang w:eastAsia="zh-CN"/>
          <w14:textFill>
            <w14:solidFill>
              <w14:schemeClr w14:val="tx1"/>
            </w14:solidFill>
          </w14:textFill>
        </w:rPr>
        <w:t>2）退保证金申请；</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7" w:name="bookmark152"/>
      <w:r>
        <w:rPr>
          <w:rFonts w:hint="eastAsia"/>
          <w:color w:val="000000" w:themeColor="text1"/>
          <w:highlight w:val="none"/>
          <w:lang w:eastAsia="zh-CN"/>
          <w14:textFill>
            <w14:solidFill>
              <w14:schemeClr w14:val="tx1"/>
            </w14:solidFill>
          </w14:textFill>
        </w:rPr>
        <w:t>（</w:t>
      </w:r>
      <w:bookmarkEnd w:id="127"/>
      <w:r>
        <w:rPr>
          <w:rFonts w:hint="eastAsia"/>
          <w:color w:val="000000" w:themeColor="text1"/>
          <w:highlight w:val="none"/>
          <w:lang w:eastAsia="zh-CN"/>
          <w14:textFill>
            <w14:solidFill>
              <w14:schemeClr w14:val="tx1"/>
            </w14:solidFill>
          </w14:textFill>
        </w:rPr>
        <w:t>3）因投标人提供的开户行和银行账号信息不准确或错误导致保证金不能及时退付或退付出现问题和纠纷的，由投标人承担责任。</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8" w:name="bookmark153"/>
      <w:r>
        <w:rPr>
          <w:rFonts w:hint="eastAsia"/>
          <w:color w:val="000000" w:themeColor="text1"/>
          <w:highlight w:val="none"/>
          <w:lang w:eastAsia="zh-CN"/>
          <w14:textFill>
            <w14:solidFill>
              <w14:schemeClr w14:val="tx1"/>
            </w14:solidFill>
          </w14:textFill>
        </w:rPr>
        <w:t>4</w:t>
      </w:r>
      <w:bookmarkEnd w:id="128"/>
      <w:r>
        <w:rPr>
          <w:rFonts w:hint="eastAsia"/>
          <w:color w:val="000000" w:themeColor="text1"/>
          <w:highlight w:val="none"/>
          <w:lang w:eastAsia="zh-CN"/>
          <w14:textFill>
            <w14:solidFill>
              <w14:schemeClr w14:val="tx1"/>
            </w14:solidFill>
          </w14:textFill>
        </w:rPr>
        <w:t>、中标人的投标保证金，在中标人按规定签订合同并交纳中标服务费后退还。</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29" w:name="bookmark154"/>
      <w:r>
        <w:rPr>
          <w:rFonts w:hint="eastAsia"/>
          <w:color w:val="000000" w:themeColor="text1"/>
          <w:highlight w:val="none"/>
          <w:lang w:eastAsia="zh-CN"/>
          <w14:textFill>
            <w14:solidFill>
              <w14:schemeClr w14:val="tx1"/>
            </w14:solidFill>
          </w14:textFill>
        </w:rPr>
        <w:t>5</w:t>
      </w:r>
      <w:bookmarkEnd w:id="129"/>
      <w:r>
        <w:rPr>
          <w:rFonts w:hint="eastAsia"/>
          <w:color w:val="000000" w:themeColor="text1"/>
          <w:highlight w:val="none"/>
          <w:lang w:eastAsia="zh-CN"/>
          <w14:textFill>
            <w14:solidFill>
              <w14:schemeClr w14:val="tx1"/>
            </w14:solidFill>
          </w14:textFill>
        </w:rPr>
        <w:t>、下列任何情况发生时，投标保证金将被没收：</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30" w:name="bookmark155"/>
      <w:r>
        <w:rPr>
          <w:rFonts w:hint="eastAsia"/>
          <w:color w:val="000000" w:themeColor="text1"/>
          <w:highlight w:val="none"/>
          <w:lang w:eastAsia="zh-CN"/>
          <w14:textFill>
            <w14:solidFill>
              <w14:schemeClr w14:val="tx1"/>
            </w14:solidFill>
          </w14:textFill>
        </w:rPr>
        <w:t>（</w:t>
      </w:r>
      <w:bookmarkEnd w:id="130"/>
      <w:r>
        <w:rPr>
          <w:rFonts w:hint="eastAsia"/>
          <w:color w:val="000000" w:themeColor="text1"/>
          <w:highlight w:val="none"/>
          <w:lang w:eastAsia="zh-CN"/>
          <w14:textFill>
            <w14:solidFill>
              <w14:schemeClr w14:val="tx1"/>
            </w14:solidFill>
          </w14:textFill>
        </w:rPr>
        <w:t>1）投标人在投标有效期内撤回其投标文件的；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31" w:name="bookmark156"/>
      <w:r>
        <w:rPr>
          <w:rFonts w:hint="eastAsia"/>
          <w:color w:val="000000" w:themeColor="text1"/>
          <w:highlight w:val="none"/>
          <w:lang w:eastAsia="zh-CN"/>
          <w14:textFill>
            <w14:solidFill>
              <w14:schemeClr w14:val="tx1"/>
            </w14:solidFill>
          </w14:textFill>
        </w:rPr>
        <w:t>（</w:t>
      </w:r>
      <w:bookmarkEnd w:id="131"/>
      <w:r>
        <w:rPr>
          <w:rFonts w:hint="eastAsia"/>
          <w:color w:val="000000" w:themeColor="text1"/>
          <w:highlight w:val="none"/>
          <w:lang w:eastAsia="zh-CN"/>
          <w14:textFill>
            <w14:solidFill>
              <w14:schemeClr w14:val="tx1"/>
            </w14:solidFill>
          </w14:textFill>
        </w:rPr>
        <w:t>2）中标人未在规定期限内及时签订项目合同的；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32" w:name="bookmark157"/>
      <w:r>
        <w:rPr>
          <w:rFonts w:hint="eastAsia"/>
          <w:color w:val="000000" w:themeColor="text1"/>
          <w:highlight w:val="none"/>
          <w:lang w:eastAsia="zh-CN"/>
          <w14:textFill>
            <w14:solidFill>
              <w14:schemeClr w14:val="tx1"/>
            </w14:solidFill>
          </w14:textFill>
        </w:rPr>
        <w:t>（</w:t>
      </w:r>
      <w:bookmarkEnd w:id="132"/>
      <w:r>
        <w:rPr>
          <w:rFonts w:hint="eastAsia"/>
          <w:color w:val="000000" w:themeColor="text1"/>
          <w:highlight w:val="none"/>
          <w:lang w:eastAsia="zh-CN"/>
          <w14:textFill>
            <w14:solidFill>
              <w14:schemeClr w14:val="tx1"/>
            </w14:solidFill>
          </w14:textFill>
        </w:rPr>
        <w:t>3）其它违反相关采购法律法规的有关情况。</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33" w:name="bookmark160"/>
      <w:bookmarkStart w:id="134" w:name="_Toc19090"/>
      <w:bookmarkStart w:id="135" w:name="_Toc23924"/>
      <w:bookmarkStart w:id="136" w:name="bookmark158"/>
      <w:bookmarkStart w:id="137" w:name="_Toc12678"/>
      <w:bookmarkStart w:id="138" w:name="bookmark159"/>
      <w:r>
        <w:rPr>
          <w:rFonts w:hint="eastAsia"/>
          <w:color w:val="000000" w:themeColor="text1"/>
          <w:highlight w:val="none"/>
          <w:lang w:eastAsia="zh-CN"/>
          <w14:textFill>
            <w14:solidFill>
              <w14:schemeClr w14:val="tx1"/>
            </w14:solidFill>
          </w14:textFill>
        </w:rPr>
        <w:t>（十八）投标有效期</w:t>
      </w:r>
      <w:bookmarkEnd w:id="133"/>
      <w:bookmarkEnd w:id="134"/>
      <w:bookmarkEnd w:id="135"/>
      <w:bookmarkEnd w:id="136"/>
      <w:bookmarkEnd w:id="137"/>
      <w:bookmarkEnd w:id="138"/>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39" w:name="bookmark161"/>
      <w:r>
        <w:rPr>
          <w:rFonts w:hint="eastAsia"/>
          <w:color w:val="000000" w:themeColor="text1"/>
          <w:highlight w:val="none"/>
          <w:lang w:eastAsia="zh-CN"/>
          <w14:textFill>
            <w14:solidFill>
              <w14:schemeClr w14:val="tx1"/>
            </w14:solidFill>
          </w14:textFill>
        </w:rPr>
        <w:t>1</w:t>
      </w:r>
      <w:bookmarkEnd w:id="139"/>
      <w:r>
        <w:rPr>
          <w:rFonts w:hint="eastAsia"/>
          <w:color w:val="000000" w:themeColor="text1"/>
          <w:highlight w:val="none"/>
          <w:lang w:eastAsia="zh-CN"/>
          <w14:textFill>
            <w14:solidFill>
              <w14:schemeClr w14:val="tx1"/>
            </w14:solidFill>
          </w14:textFill>
        </w:rPr>
        <w:t>、招标有效期为公开招标文件规定的投标人提交投标文件截止之日90天。有效期不满足公开招标文件要求的将视为非响应性文件而予以拒绝。</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40" w:name="bookmark162"/>
      <w:r>
        <w:rPr>
          <w:rFonts w:hint="eastAsia"/>
          <w:color w:val="000000" w:themeColor="text1"/>
          <w:highlight w:val="none"/>
          <w:lang w:eastAsia="zh-CN"/>
          <w14:textFill>
            <w14:solidFill>
              <w14:schemeClr w14:val="tx1"/>
            </w14:solidFill>
          </w14:textFill>
        </w:rPr>
        <w:t>2</w:t>
      </w:r>
      <w:bookmarkEnd w:id="140"/>
      <w:r>
        <w:rPr>
          <w:rFonts w:hint="eastAsia"/>
          <w:color w:val="000000" w:themeColor="text1"/>
          <w:highlight w:val="none"/>
          <w:lang w:eastAsia="zh-CN"/>
          <w14:textFill>
            <w14:solidFill>
              <w14:schemeClr w14:val="tx1"/>
            </w14:solidFill>
          </w14:textFill>
        </w:rPr>
        <w:t>、在特殊情况下，招标人于原投标有效期满之前，可向投标人提出延长有效期的要求，这种要求与答复均应采用书面形式（如信件、传真或电报等），投标人可以拒绝采购人的这一要求而放弃参与响应，保证金予以退回；同意延长的投标人既不能要求也不允许修改其投标文件。第十四条有关保证金的没收和退还的规定在延长期内继续有效。</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41" w:name="_Toc8804"/>
      <w:bookmarkStart w:id="142" w:name="bookmark163"/>
      <w:bookmarkStart w:id="143" w:name="_Toc13978"/>
      <w:bookmarkStart w:id="144" w:name="bookmark165"/>
      <w:bookmarkStart w:id="145" w:name="_Toc14822"/>
      <w:bookmarkStart w:id="146" w:name="bookmark164"/>
      <w:r>
        <w:rPr>
          <w:rFonts w:hint="eastAsia"/>
          <w:color w:val="000000" w:themeColor="text1"/>
          <w:highlight w:val="none"/>
          <w:lang w:eastAsia="zh-CN"/>
          <w14:textFill>
            <w14:solidFill>
              <w14:schemeClr w14:val="tx1"/>
            </w14:solidFill>
          </w14:textFill>
        </w:rPr>
        <w:t>（十九）投标文件份数和签署</w:t>
      </w:r>
      <w:bookmarkEnd w:id="141"/>
      <w:bookmarkEnd w:id="142"/>
      <w:bookmarkEnd w:id="143"/>
      <w:bookmarkEnd w:id="144"/>
      <w:bookmarkEnd w:id="145"/>
      <w:bookmarkEnd w:id="146"/>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47" w:name="bookmark166"/>
      <w:r>
        <w:rPr>
          <w:rFonts w:hint="eastAsia"/>
          <w:color w:val="000000" w:themeColor="text1"/>
          <w:highlight w:val="none"/>
          <w:lang w:eastAsia="zh-CN"/>
          <w14:textFill>
            <w14:solidFill>
              <w14:schemeClr w14:val="tx1"/>
            </w14:solidFill>
          </w14:textFill>
        </w:rPr>
        <w:t>1</w:t>
      </w:r>
      <w:bookmarkEnd w:id="147"/>
      <w:r>
        <w:rPr>
          <w:rFonts w:hint="eastAsia"/>
          <w:color w:val="000000" w:themeColor="text1"/>
          <w:highlight w:val="none"/>
          <w:lang w:eastAsia="zh-CN"/>
          <w14:textFill>
            <w14:solidFill>
              <w14:schemeClr w14:val="tx1"/>
            </w14:solidFill>
          </w14:textFill>
        </w:rPr>
        <w:t>、投标人应严格按照投标人须知的要求准备投标文件，</w:t>
      </w:r>
      <w:bookmarkStart w:id="148" w:name="bookmark167"/>
      <w:r>
        <w:rPr>
          <w:rFonts w:hint="eastAsia"/>
          <w:color w:val="000000" w:themeColor="text1"/>
          <w:highlight w:val="none"/>
          <w:lang w:eastAsia="zh-CN"/>
          <w14:textFill>
            <w14:solidFill>
              <w14:schemeClr w14:val="tx1"/>
            </w14:solidFill>
          </w14:textFill>
        </w:rPr>
        <w:t>加密的电子投标文件，在投标截止时间前上传新疆政府采购网（http://www.ccgp-xinjiang.gov.cn）政采云线上平台；</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注：加密的电子投标文件为使用政采云提供的电子投标文件制作工具制作生成的加密版投标文件。</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备注：因供应商自身原因导致解密失败的，将导致其投标被拒绝且投标文件被退回。</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中标单位在领取中标通知书前须向招标代理公司递交纸质版投标文件三份（一正二副）（包括电子版：光盘和U盘各1份）</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bookmarkEnd w:id="148"/>
      <w:r>
        <w:rPr>
          <w:rFonts w:hint="eastAsia"/>
          <w:color w:val="000000" w:themeColor="text1"/>
          <w:highlight w:val="none"/>
          <w:lang w:eastAsia="zh-CN"/>
          <w14:textFill>
            <w14:solidFill>
              <w14:schemeClr w14:val="tx1"/>
            </w14:solidFill>
          </w14:textFill>
        </w:rPr>
        <w:t>、除投标人对错处做必要修改外，投标文件不得行间插字、涂改或增删，必要的修改处必须有投标人法人代表或其授权代表人签字并加盖公章。</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49" w:name="_Toc4754"/>
      <w:bookmarkStart w:id="150" w:name="bookmark168"/>
      <w:bookmarkStart w:id="151" w:name="_Toc9091"/>
      <w:bookmarkStart w:id="152" w:name="bookmark170"/>
      <w:bookmarkStart w:id="153" w:name="bookmark169"/>
      <w:bookmarkStart w:id="154" w:name="_Toc11935"/>
      <w:r>
        <w:rPr>
          <w:rFonts w:hint="eastAsia"/>
          <w:color w:val="000000" w:themeColor="text1"/>
          <w:highlight w:val="none"/>
          <w:lang w:eastAsia="zh-CN"/>
          <w14:textFill>
            <w14:solidFill>
              <w14:schemeClr w14:val="tx1"/>
            </w14:solidFill>
          </w14:textFill>
        </w:rPr>
        <w:t>（二十）投标文件装订</w:t>
      </w:r>
      <w:bookmarkEnd w:id="149"/>
      <w:bookmarkEnd w:id="150"/>
      <w:bookmarkEnd w:id="151"/>
      <w:bookmarkEnd w:id="152"/>
      <w:bookmarkEnd w:id="153"/>
      <w:bookmarkEnd w:id="154"/>
    </w:p>
    <w:p>
      <w:pPr>
        <w:pStyle w:val="45"/>
        <w:pageBreakBefore w:val="0"/>
        <w:widowControl w:val="0"/>
        <w:tabs>
          <w:tab w:val="left" w:pos="1010"/>
        </w:tabs>
        <w:kinsoku/>
        <w:wordWrap/>
        <w:overflowPunct w:val="0"/>
        <w:topLinePunct w:val="0"/>
        <w:autoSpaceDE/>
        <w:autoSpaceDN/>
        <w:bidi w:val="0"/>
        <w:adjustRightInd/>
        <w:snapToGrid/>
        <w:spacing w:after="0" w:line="600" w:lineRule="exact"/>
        <w:ind w:firstLine="480" w:firstLineChars="200"/>
        <w:jc w:val="both"/>
        <w:textAlignment w:val="auto"/>
        <w:rPr>
          <w:rFonts w:ascii="仿宋" w:hAnsi="仿宋" w:eastAsia="仿宋" w:cs="仿宋"/>
          <w:color w:val="000000" w:themeColor="text1"/>
          <w:highlight w:val="none"/>
          <w:lang w:eastAsia="zh-CN"/>
          <w14:textFill>
            <w14:solidFill>
              <w14:schemeClr w14:val="tx1"/>
            </w14:solidFill>
          </w14:textFill>
        </w:rPr>
      </w:pPr>
      <w:bookmarkStart w:id="155" w:name="bookmark171"/>
      <w:r>
        <w:rPr>
          <w:rFonts w:hint="eastAsia" w:ascii="仿宋" w:hAnsi="仿宋" w:eastAsia="仿宋" w:cs="仿宋"/>
          <w:color w:val="000000" w:themeColor="text1"/>
          <w:highlight w:val="none"/>
          <w:lang w:eastAsia="zh-CN"/>
          <w14:textFill>
            <w14:solidFill>
              <w14:schemeClr w14:val="tx1"/>
            </w14:solidFill>
          </w14:textFill>
        </w:rPr>
        <w:t>1</w:t>
      </w:r>
      <w:bookmarkEnd w:id="155"/>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本项目为电子标，</w:t>
      </w:r>
      <w:r>
        <w:rPr>
          <w:rFonts w:hint="eastAsia" w:ascii="仿宋" w:hAnsi="仿宋" w:eastAsia="仿宋" w:cs="仿宋"/>
          <w:color w:val="000000" w:themeColor="text1"/>
          <w:highlight w:val="none"/>
          <w:lang w:eastAsia="zh-CN"/>
          <w14:textFill>
            <w14:solidFill>
              <w14:schemeClr w14:val="tx1"/>
            </w14:solidFill>
          </w14:textFill>
        </w:rPr>
        <w:t>电子响应文件的提交</w:t>
      </w:r>
      <w:r>
        <w:rPr>
          <w:rFonts w:hint="eastAsia" w:ascii="仿宋" w:hAnsi="仿宋" w:eastAsia="仿宋" w:cs="仿宋"/>
          <w:color w:val="000000" w:themeColor="text1"/>
          <w:highlight w:val="none"/>
          <w:lang w:val="en-US"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供应商应在规定的响应文件递交截止时间内，将电子响应文件上传到指定网站的指定栏目。未在响应文件递交截止时间内完成上传的电子响应文件视为逾期送达。逾期上传或未按规定方式上传的电子响应文件，</w:t>
      </w:r>
      <w:r>
        <w:rPr>
          <w:rFonts w:hint="eastAsia" w:ascii="仿宋" w:hAnsi="仿宋" w:eastAsia="仿宋" w:cs="仿宋"/>
          <w:color w:val="000000" w:themeColor="text1"/>
          <w:highlight w:val="none"/>
          <w:lang w:val="en-US" w:eastAsia="zh-CN"/>
          <w14:textFill>
            <w14:solidFill>
              <w14:schemeClr w14:val="tx1"/>
            </w14:solidFill>
          </w14:textFill>
        </w:rPr>
        <w:t>招标</w:t>
      </w:r>
      <w:r>
        <w:rPr>
          <w:rFonts w:hint="eastAsia" w:ascii="仿宋" w:hAnsi="仿宋" w:eastAsia="仿宋" w:cs="仿宋"/>
          <w:color w:val="000000" w:themeColor="text1"/>
          <w:highlight w:val="none"/>
          <w:lang w:eastAsia="zh-CN"/>
          <w14:textFill>
            <w14:solidFill>
              <w14:schemeClr w14:val="tx1"/>
            </w14:solidFill>
          </w14:textFill>
        </w:rPr>
        <w:t>代理机构不予受理。</w:t>
      </w:r>
    </w:p>
    <w:p>
      <w:pPr>
        <w:pStyle w:val="4"/>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000000" w:themeColor="text1"/>
          <w:highlight w:val="none"/>
          <w:lang w:eastAsia="zh-CN"/>
          <w14:textFill>
            <w14:solidFill>
              <w14:schemeClr w14:val="tx1"/>
            </w14:solidFill>
          </w14:textFill>
        </w:rPr>
      </w:pPr>
      <w:bookmarkStart w:id="156" w:name="bookmark175"/>
      <w:bookmarkStart w:id="157" w:name="_Toc17349"/>
      <w:bookmarkStart w:id="158" w:name="_Toc26835"/>
      <w:bookmarkStart w:id="159" w:name="bookmark177"/>
      <w:bookmarkStart w:id="160" w:name="bookmark174"/>
      <w:r>
        <w:rPr>
          <w:rFonts w:hint="eastAsia"/>
          <w:color w:val="000000" w:themeColor="text1"/>
          <w:highlight w:val="none"/>
          <w:lang w:eastAsia="zh-CN"/>
          <w14:textFill>
            <w14:solidFill>
              <w14:schemeClr w14:val="tx1"/>
            </w14:solidFill>
          </w14:textFill>
        </w:rPr>
        <w:t>四、投标文件的递交</w:t>
      </w:r>
      <w:bookmarkEnd w:id="156"/>
      <w:bookmarkEnd w:id="157"/>
      <w:bookmarkEnd w:id="158"/>
      <w:bookmarkEnd w:id="159"/>
      <w:bookmarkEnd w:id="160"/>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61" w:name="_Toc3276"/>
      <w:bookmarkStart w:id="162" w:name="bookmark179"/>
      <w:bookmarkStart w:id="163" w:name="_Toc22409"/>
      <w:bookmarkStart w:id="164" w:name="_Toc29256"/>
      <w:bookmarkStart w:id="165" w:name="bookmark178"/>
      <w:bookmarkStart w:id="166" w:name="bookmark180"/>
      <w:r>
        <w:rPr>
          <w:rFonts w:hint="eastAsia"/>
          <w:color w:val="000000" w:themeColor="text1"/>
          <w:highlight w:val="none"/>
          <w:lang w:eastAsia="zh-CN"/>
          <w14:textFill>
            <w14:solidFill>
              <w14:schemeClr w14:val="tx1"/>
            </w14:solidFill>
          </w14:textFill>
        </w:rPr>
        <w:t>（二十一）投标文件递交截止日期及方式</w:t>
      </w:r>
      <w:bookmarkEnd w:id="161"/>
      <w:bookmarkEnd w:id="162"/>
      <w:bookmarkEnd w:id="163"/>
      <w:bookmarkEnd w:id="164"/>
      <w:bookmarkEnd w:id="165"/>
      <w:bookmarkEnd w:id="166"/>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67" w:name="bookmark181"/>
      <w:r>
        <w:rPr>
          <w:rFonts w:hint="eastAsia"/>
          <w:color w:val="000000" w:themeColor="text1"/>
          <w:highlight w:val="none"/>
          <w:lang w:eastAsia="zh-CN"/>
          <w14:textFill>
            <w14:solidFill>
              <w14:schemeClr w14:val="tx1"/>
            </w14:solidFill>
          </w14:textFill>
        </w:rPr>
        <w:t>1</w:t>
      </w:r>
      <w:bookmarkEnd w:id="167"/>
      <w:r>
        <w:rPr>
          <w:rFonts w:hint="eastAsia"/>
          <w:color w:val="000000" w:themeColor="text1"/>
          <w:highlight w:val="none"/>
          <w:lang w:eastAsia="zh-CN"/>
          <w14:textFill>
            <w14:solidFill>
              <w14:schemeClr w14:val="tx1"/>
            </w14:solidFill>
          </w14:textFill>
        </w:rPr>
        <w:t>、招标代理机构将拒绝在其规定的递交响应文件截止时间之后送达的任何响应文件。由于对网上操作不熟悉或自身电脑、网络的原因导致不能在响应文件递交截止时间之前上传响应文件，招标代理机构不负任何责任。建议于响应文件递交截止时间前1个工作日完成响应文件的制作与上传。</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68" w:name="bookmark182"/>
      <w:r>
        <w:rPr>
          <w:rFonts w:hint="eastAsia"/>
          <w:color w:val="000000" w:themeColor="text1"/>
          <w:highlight w:val="none"/>
          <w:lang w:eastAsia="zh-CN"/>
          <w14:textFill>
            <w14:solidFill>
              <w14:schemeClr w14:val="tx1"/>
            </w14:solidFill>
          </w14:textFill>
        </w:rPr>
        <w:t>2</w:t>
      </w:r>
      <w:bookmarkEnd w:id="168"/>
      <w:r>
        <w:rPr>
          <w:rFonts w:hint="eastAsia"/>
          <w:color w:val="000000" w:themeColor="text1"/>
          <w:highlight w:val="none"/>
          <w:lang w:eastAsia="zh-CN"/>
          <w14:textFill>
            <w14:solidFill>
              <w14:schemeClr w14:val="tx1"/>
            </w14:solidFill>
          </w14:textFill>
        </w:rPr>
        <w:t>、招标单位在规定的投标截止时间（开标时间）和投标人须知前附表规定的地点开标。投标供应商的法定代表人或其委托代理人无需到达开标现场，仅需在任意地点通过新疆政府招标网政采云平台http://www.ccgp-xinjiang.gov.cn/登录开标界面，使用CA密钥完成远程解密、提疑澄清、开标唱标、结果公布等交互环节。</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Ansi="宋体" w:cs="宋体"/>
          <w:b/>
          <w:bCs/>
          <w:color w:val="000000" w:themeColor="text1"/>
          <w:highlight w:val="none"/>
          <w:lang w:eastAsia="zh-CN"/>
          <w14:textFill>
            <w14:solidFill>
              <w14:schemeClr w14:val="tx1"/>
            </w14:solidFill>
          </w14:textFill>
        </w:rPr>
      </w:pPr>
      <w:bookmarkStart w:id="169" w:name="bookmark183"/>
      <w:r>
        <w:rPr>
          <w:rFonts w:hint="eastAsia"/>
          <w:color w:val="000000" w:themeColor="text1"/>
          <w:highlight w:val="none"/>
          <w:lang w:eastAsia="zh-CN"/>
          <w14:textFill>
            <w14:solidFill>
              <w14:schemeClr w14:val="tx1"/>
            </w14:solidFill>
          </w14:textFill>
        </w:rPr>
        <w:t>3</w:t>
      </w:r>
      <w:bookmarkEnd w:id="169"/>
      <w:r>
        <w:rPr>
          <w:rFonts w:hint="eastAsia"/>
          <w:color w:val="000000" w:themeColor="text1"/>
          <w:highlight w:val="none"/>
          <w:lang w:eastAsia="zh-CN"/>
          <w14:textFill>
            <w14:solidFill>
              <w14:schemeClr w14:val="tx1"/>
            </w14:solidFill>
          </w14:textFill>
        </w:rPr>
        <w:t>、招标人可以通过修改公开招标文件酌情延长投标文件接收截止日期，在此情况下,投标人的所有权利和义务以及投标人受制约的截止日期均应以延长后新的截止日期为准。</w:t>
      </w:r>
      <w:bookmarkStart w:id="170" w:name="_Toc17768"/>
      <w:bookmarkStart w:id="171" w:name="_Toc22530"/>
      <w:bookmarkStart w:id="172" w:name="_Toc27895"/>
      <w:bookmarkStart w:id="173" w:name="bookmark186"/>
      <w:bookmarkStart w:id="174" w:name="bookmark184"/>
      <w:bookmarkStart w:id="175" w:name="bookmark185"/>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（二十二）迟交的投标文件</w:t>
      </w:r>
      <w:bookmarkEnd w:id="170"/>
      <w:bookmarkEnd w:id="171"/>
      <w:bookmarkEnd w:id="172"/>
      <w:bookmarkEnd w:id="173"/>
      <w:bookmarkEnd w:id="174"/>
      <w:bookmarkEnd w:id="175"/>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招标人将拒绝接收在规定的截止日期后递交的任何投标文件。</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76" w:name="bookmark189"/>
      <w:bookmarkStart w:id="177" w:name="_Toc14850"/>
      <w:bookmarkStart w:id="178" w:name="_Toc11253"/>
      <w:bookmarkStart w:id="179" w:name="bookmark188"/>
      <w:bookmarkStart w:id="180" w:name="bookmark187"/>
      <w:bookmarkStart w:id="181" w:name="_Toc3821"/>
      <w:r>
        <w:rPr>
          <w:rFonts w:hint="eastAsia"/>
          <w:color w:val="000000" w:themeColor="text1"/>
          <w:highlight w:val="none"/>
          <w:lang w:eastAsia="zh-CN"/>
          <w14:textFill>
            <w14:solidFill>
              <w14:schemeClr w14:val="tx1"/>
            </w14:solidFill>
          </w14:textFill>
        </w:rPr>
        <w:t>（二十三）投标文件的修改</w:t>
      </w:r>
      <w:bookmarkEnd w:id="176"/>
      <w:bookmarkEnd w:id="177"/>
      <w:bookmarkEnd w:id="178"/>
      <w:bookmarkEnd w:id="179"/>
      <w:bookmarkEnd w:id="180"/>
      <w:bookmarkEnd w:id="181"/>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投标人在递交投标文件截止时间之前，对所递交的投标文件可以补充、修改。补充、修改的内容为投标文件的组成部分，对投标人具有约束力。</w:t>
      </w:r>
    </w:p>
    <w:p>
      <w:pPr>
        <w:pStyle w:val="4"/>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000000" w:themeColor="text1"/>
          <w:highlight w:val="none"/>
          <w:lang w:eastAsia="zh-CN"/>
          <w14:textFill>
            <w14:solidFill>
              <w14:schemeClr w14:val="tx1"/>
            </w14:solidFill>
          </w14:textFill>
        </w:rPr>
      </w:pPr>
      <w:bookmarkStart w:id="182" w:name="_Toc3392"/>
      <w:bookmarkStart w:id="183" w:name="bookmark193"/>
      <w:bookmarkStart w:id="184" w:name="_Toc15928"/>
      <w:bookmarkStart w:id="185" w:name="bookmark191"/>
      <w:bookmarkStart w:id="186" w:name="bookmark190"/>
      <w:r>
        <w:rPr>
          <w:rFonts w:hint="eastAsia"/>
          <w:color w:val="000000" w:themeColor="text1"/>
          <w:highlight w:val="none"/>
          <w:lang w:eastAsia="zh-CN"/>
          <w14:textFill>
            <w14:solidFill>
              <w14:schemeClr w14:val="tx1"/>
            </w14:solidFill>
          </w14:textFill>
        </w:rPr>
        <w:t>五、无效标、废标条款</w:t>
      </w:r>
      <w:bookmarkEnd w:id="182"/>
      <w:bookmarkEnd w:id="183"/>
      <w:bookmarkEnd w:id="184"/>
      <w:bookmarkEnd w:id="185"/>
      <w:bookmarkEnd w:id="186"/>
      <w:bookmarkStart w:id="187" w:name="bookmark196"/>
      <w:bookmarkStart w:id="188" w:name="bookmark195"/>
      <w:bookmarkStart w:id="189" w:name="bookmark194"/>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190" w:name="_Toc13621"/>
      <w:bookmarkStart w:id="191" w:name="_Toc6944"/>
      <w:bookmarkStart w:id="192" w:name="_Toc31293"/>
      <w:r>
        <w:rPr>
          <w:rFonts w:hint="eastAsia"/>
          <w:color w:val="000000" w:themeColor="text1"/>
          <w:highlight w:val="none"/>
          <w:lang w:eastAsia="zh-CN"/>
          <w14:textFill>
            <w14:solidFill>
              <w14:schemeClr w14:val="tx1"/>
            </w14:solidFill>
          </w14:textFill>
        </w:rPr>
        <w:t>（二十四）无效投标条款</w:t>
      </w:r>
      <w:bookmarkEnd w:id="187"/>
      <w:bookmarkEnd w:id="188"/>
      <w:bookmarkEnd w:id="189"/>
      <w:bookmarkEnd w:id="190"/>
      <w:bookmarkEnd w:id="191"/>
      <w:bookmarkEnd w:id="192"/>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3" w:name="bookmark197"/>
      <w:r>
        <w:rPr>
          <w:rFonts w:hint="eastAsia"/>
          <w:color w:val="000000" w:themeColor="text1"/>
          <w:highlight w:val="none"/>
          <w:lang w:eastAsia="zh-CN"/>
          <w14:textFill>
            <w14:solidFill>
              <w14:schemeClr w14:val="tx1"/>
            </w14:solidFill>
          </w14:textFill>
        </w:rPr>
        <w:t>1</w:t>
      </w:r>
      <w:bookmarkEnd w:id="193"/>
      <w:r>
        <w:rPr>
          <w:rFonts w:hint="eastAsia"/>
          <w:color w:val="000000" w:themeColor="text1"/>
          <w:highlight w:val="none"/>
          <w:lang w:eastAsia="zh-CN"/>
          <w14:textFill>
            <w14:solidFill>
              <w14:schemeClr w14:val="tx1"/>
            </w14:solidFill>
          </w14:textFill>
        </w:rPr>
        <w:t>、投标人资格不符合招标文件规定或未按规定提交原件的；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4" w:name="bookmark198"/>
      <w:r>
        <w:rPr>
          <w:rFonts w:hint="eastAsia"/>
          <w:color w:val="000000" w:themeColor="text1"/>
          <w:highlight w:val="none"/>
          <w:lang w:eastAsia="zh-CN"/>
          <w14:textFill>
            <w14:solidFill>
              <w14:schemeClr w14:val="tx1"/>
            </w14:solidFill>
          </w14:textFill>
        </w:rPr>
        <w:t>2</w:t>
      </w:r>
      <w:bookmarkEnd w:id="194"/>
      <w:r>
        <w:rPr>
          <w:rFonts w:hint="eastAsia"/>
          <w:color w:val="000000" w:themeColor="text1"/>
          <w:highlight w:val="none"/>
          <w:lang w:eastAsia="zh-CN"/>
          <w14:textFill>
            <w14:solidFill>
              <w14:schemeClr w14:val="tx1"/>
            </w14:solidFill>
          </w14:textFill>
        </w:rPr>
        <w:t>、投标人未在规定的时间内提交投标保证金收据的；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5" w:name="bookmark199"/>
      <w:r>
        <w:rPr>
          <w:rFonts w:hint="eastAsia"/>
          <w:color w:val="000000" w:themeColor="text1"/>
          <w:highlight w:val="none"/>
          <w:lang w:eastAsia="zh-CN"/>
          <w14:textFill>
            <w14:solidFill>
              <w14:schemeClr w14:val="tx1"/>
            </w14:solidFill>
          </w14:textFill>
        </w:rPr>
        <w:t>3</w:t>
      </w:r>
      <w:bookmarkEnd w:id="195"/>
      <w:r>
        <w:rPr>
          <w:rFonts w:hint="eastAsia"/>
          <w:color w:val="000000" w:themeColor="text1"/>
          <w:highlight w:val="none"/>
          <w:lang w:eastAsia="zh-CN"/>
          <w14:textFill>
            <w14:solidFill>
              <w14:schemeClr w14:val="tx1"/>
            </w14:solidFill>
          </w14:textFill>
        </w:rPr>
        <w:t>、投标文件密封、签署、盖章不符合公开招标文件要求的；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6" w:name="bookmark200"/>
      <w:r>
        <w:rPr>
          <w:rFonts w:hint="eastAsia"/>
          <w:color w:val="000000" w:themeColor="text1"/>
          <w:highlight w:val="none"/>
          <w:lang w:eastAsia="zh-CN"/>
          <w14:textFill>
            <w14:solidFill>
              <w14:schemeClr w14:val="tx1"/>
            </w14:solidFill>
          </w14:textFill>
        </w:rPr>
        <w:t>4</w:t>
      </w:r>
      <w:bookmarkEnd w:id="196"/>
      <w:r>
        <w:rPr>
          <w:rFonts w:hint="eastAsia"/>
          <w:color w:val="000000" w:themeColor="text1"/>
          <w:highlight w:val="none"/>
          <w:lang w:eastAsia="zh-CN"/>
          <w14:textFill>
            <w14:solidFill>
              <w14:schemeClr w14:val="tx1"/>
            </w14:solidFill>
          </w14:textFill>
        </w:rPr>
        <w:t>、投标文件出现重大偏差，未对公开招标文件进行实质性响应；</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7" w:name="bookmark201"/>
      <w:r>
        <w:rPr>
          <w:rFonts w:hint="eastAsia"/>
          <w:color w:val="000000" w:themeColor="text1"/>
          <w:highlight w:val="none"/>
          <w:lang w:eastAsia="zh-CN"/>
          <w14:textFill>
            <w14:solidFill>
              <w14:schemeClr w14:val="tx1"/>
            </w14:solidFill>
          </w14:textFill>
        </w:rPr>
        <w:t>5</w:t>
      </w:r>
      <w:bookmarkEnd w:id="197"/>
      <w:r>
        <w:rPr>
          <w:rFonts w:hint="eastAsia"/>
          <w:color w:val="000000" w:themeColor="text1"/>
          <w:highlight w:val="none"/>
          <w:lang w:eastAsia="zh-CN"/>
          <w14:textFill>
            <w14:solidFill>
              <w14:schemeClr w14:val="tx1"/>
            </w14:solidFill>
          </w14:textFill>
        </w:rPr>
        <w:t>、被授权人不参加开标仪式及质询事宜的；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8" w:name="bookmark202"/>
      <w:r>
        <w:rPr>
          <w:rFonts w:hint="eastAsia"/>
          <w:color w:val="000000" w:themeColor="text1"/>
          <w:highlight w:val="none"/>
          <w:lang w:eastAsia="zh-CN"/>
          <w14:textFill>
            <w14:solidFill>
              <w14:schemeClr w14:val="tx1"/>
            </w14:solidFill>
          </w14:textFill>
        </w:rPr>
        <w:t>6</w:t>
      </w:r>
      <w:bookmarkEnd w:id="198"/>
      <w:r>
        <w:rPr>
          <w:rFonts w:hint="eastAsia"/>
          <w:color w:val="000000" w:themeColor="text1"/>
          <w:highlight w:val="none"/>
          <w:lang w:eastAsia="zh-CN"/>
          <w14:textFill>
            <w14:solidFill>
              <w14:schemeClr w14:val="tx1"/>
            </w14:solidFill>
          </w14:textFill>
        </w:rPr>
        <w:t>、其它评标委员会认为有必要取消的投标；</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199" w:name="bookmark203"/>
      <w:r>
        <w:rPr>
          <w:rFonts w:hint="eastAsia"/>
          <w:color w:val="000000" w:themeColor="text1"/>
          <w:highlight w:val="none"/>
          <w:lang w:eastAsia="zh-CN"/>
          <w14:textFill>
            <w14:solidFill>
              <w14:schemeClr w14:val="tx1"/>
            </w14:solidFill>
          </w14:textFill>
        </w:rPr>
        <w:t>7</w:t>
      </w:r>
      <w:bookmarkEnd w:id="199"/>
      <w:r>
        <w:rPr>
          <w:rFonts w:hint="eastAsia"/>
          <w:color w:val="000000" w:themeColor="text1"/>
          <w:highlight w:val="none"/>
          <w:lang w:eastAsia="zh-CN"/>
          <w14:textFill>
            <w14:solidFill>
              <w14:schemeClr w14:val="tx1"/>
            </w14:solidFill>
          </w14:textFill>
        </w:rPr>
        <w:t>、法律、法规规定的其他情况；</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00" w:name="_Toc20286"/>
      <w:bookmarkStart w:id="201" w:name="_Toc27366"/>
      <w:bookmarkStart w:id="202" w:name="bookmark206"/>
      <w:bookmarkStart w:id="203" w:name="_Toc20887"/>
      <w:bookmarkStart w:id="204" w:name="bookmark205"/>
      <w:bookmarkStart w:id="205" w:name="bookmark204"/>
      <w:r>
        <w:rPr>
          <w:rFonts w:hint="eastAsia"/>
          <w:color w:val="000000" w:themeColor="text1"/>
          <w:highlight w:val="none"/>
          <w:lang w:eastAsia="zh-CN"/>
          <w14:textFill>
            <w14:solidFill>
              <w14:schemeClr w14:val="tx1"/>
            </w14:solidFill>
          </w14:textFill>
        </w:rPr>
        <w:t>（二十五）废标条款</w:t>
      </w:r>
      <w:bookmarkEnd w:id="200"/>
      <w:bookmarkEnd w:id="201"/>
      <w:bookmarkEnd w:id="202"/>
      <w:bookmarkEnd w:id="203"/>
      <w:bookmarkEnd w:id="204"/>
      <w:bookmarkEnd w:id="205"/>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06" w:name="bookmark207"/>
      <w:r>
        <w:rPr>
          <w:rFonts w:hint="eastAsia"/>
          <w:color w:val="000000" w:themeColor="text1"/>
          <w:highlight w:val="none"/>
          <w:lang w:eastAsia="zh-CN"/>
          <w14:textFill>
            <w14:solidFill>
              <w14:schemeClr w14:val="tx1"/>
            </w14:solidFill>
          </w14:textFill>
        </w:rPr>
        <w:t>1</w:t>
      </w:r>
      <w:bookmarkEnd w:id="206"/>
      <w:r>
        <w:rPr>
          <w:rFonts w:hint="eastAsia"/>
          <w:color w:val="000000" w:themeColor="text1"/>
          <w:highlight w:val="none"/>
          <w:lang w:eastAsia="zh-CN"/>
          <w14:textFill>
            <w14:solidFill>
              <w14:schemeClr w14:val="tx1"/>
            </w14:solidFill>
          </w14:textFill>
        </w:rPr>
        <w:t>、符合专业条件的投标人或者对招标文件作实质响应的投标人不足三家的；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07" w:name="bookmark208"/>
      <w:r>
        <w:rPr>
          <w:rFonts w:hint="eastAsia"/>
          <w:color w:val="000000" w:themeColor="text1"/>
          <w:highlight w:val="none"/>
          <w:lang w:eastAsia="zh-CN"/>
          <w14:textFill>
            <w14:solidFill>
              <w14:schemeClr w14:val="tx1"/>
            </w14:solidFill>
          </w14:textFill>
        </w:rPr>
        <w:t>2</w:t>
      </w:r>
      <w:bookmarkEnd w:id="207"/>
      <w:r>
        <w:rPr>
          <w:rFonts w:hint="eastAsia"/>
          <w:color w:val="000000" w:themeColor="text1"/>
          <w:highlight w:val="none"/>
          <w:lang w:eastAsia="zh-CN"/>
          <w14:textFill>
            <w14:solidFill>
              <w14:schemeClr w14:val="tx1"/>
            </w14:solidFill>
          </w14:textFill>
        </w:rPr>
        <w:t>、出现影响采购公正的违法、违规行为的；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08" w:name="bookmark209"/>
      <w:r>
        <w:rPr>
          <w:rFonts w:hint="eastAsia"/>
          <w:color w:val="000000" w:themeColor="text1"/>
          <w:highlight w:val="none"/>
          <w:lang w:eastAsia="zh-CN"/>
          <w14:textFill>
            <w14:solidFill>
              <w14:schemeClr w14:val="tx1"/>
            </w14:solidFill>
          </w14:textFill>
        </w:rPr>
        <w:t>3</w:t>
      </w:r>
      <w:bookmarkEnd w:id="208"/>
      <w:r>
        <w:rPr>
          <w:rFonts w:hint="eastAsia"/>
          <w:color w:val="000000" w:themeColor="text1"/>
          <w:highlight w:val="none"/>
          <w:lang w:eastAsia="zh-CN"/>
          <w14:textFill>
            <w14:solidFill>
              <w14:schemeClr w14:val="tx1"/>
            </w14:solidFill>
          </w14:textFill>
        </w:rPr>
        <w:t>、投标人的报价均超过了采购预算，招标人不能支付的；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09" w:name="bookmark210"/>
      <w:r>
        <w:rPr>
          <w:rFonts w:hint="eastAsia"/>
          <w:color w:val="000000" w:themeColor="text1"/>
          <w:highlight w:val="none"/>
          <w:lang w:eastAsia="zh-CN"/>
          <w14:textFill>
            <w14:solidFill>
              <w14:schemeClr w14:val="tx1"/>
            </w14:solidFill>
          </w14:textFill>
        </w:rPr>
        <w:t>4</w:t>
      </w:r>
      <w:bookmarkEnd w:id="209"/>
      <w:r>
        <w:rPr>
          <w:rFonts w:hint="eastAsia"/>
          <w:color w:val="000000" w:themeColor="text1"/>
          <w:highlight w:val="none"/>
          <w:lang w:eastAsia="zh-CN"/>
          <w14:textFill>
            <w14:solidFill>
              <w14:schemeClr w14:val="tx1"/>
            </w14:solidFill>
          </w14:textFill>
        </w:rPr>
        <w:t>、因重大变故，采购任务取消的。</w:t>
      </w:r>
      <w:bookmarkStart w:id="210" w:name="bookmark211"/>
      <w:bookmarkStart w:id="211" w:name="_Toc18770"/>
      <w:bookmarkStart w:id="212" w:name="bookmark212"/>
      <w:bookmarkStart w:id="213" w:name="bookmark213"/>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（二十六）参与投标人不得少于三家</w:t>
      </w:r>
      <w:bookmarkEnd w:id="210"/>
      <w:bookmarkEnd w:id="211"/>
      <w:bookmarkEnd w:id="212"/>
      <w:bookmarkEnd w:id="213"/>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根据相关招标法律法规规定，参与项目的投标人不得少于三家。</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14" w:name="_Toc28885"/>
      <w:bookmarkStart w:id="215" w:name="bookmark215"/>
      <w:bookmarkStart w:id="216" w:name="_Toc15814"/>
      <w:bookmarkStart w:id="217" w:name="bookmark214"/>
      <w:bookmarkStart w:id="218" w:name="_Toc12160"/>
      <w:bookmarkStart w:id="219" w:name="bookmark216"/>
      <w:r>
        <w:rPr>
          <w:rFonts w:hint="eastAsia"/>
          <w:color w:val="000000" w:themeColor="text1"/>
          <w:highlight w:val="none"/>
          <w:lang w:eastAsia="zh-CN"/>
          <w14:textFill>
            <w14:solidFill>
              <w14:schemeClr w14:val="tx1"/>
            </w14:solidFill>
          </w14:textFill>
        </w:rPr>
        <w:t>（二十七）取消中标候选投标人资格条款</w:t>
      </w:r>
      <w:bookmarkEnd w:id="214"/>
      <w:bookmarkEnd w:id="215"/>
      <w:bookmarkEnd w:id="216"/>
      <w:bookmarkEnd w:id="217"/>
      <w:bookmarkEnd w:id="218"/>
      <w:bookmarkEnd w:id="219"/>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20" w:name="bookmark217"/>
      <w:r>
        <w:rPr>
          <w:rFonts w:hint="eastAsia"/>
          <w:color w:val="000000" w:themeColor="text1"/>
          <w:highlight w:val="none"/>
          <w:lang w:eastAsia="zh-CN"/>
          <w14:textFill>
            <w14:solidFill>
              <w14:schemeClr w14:val="tx1"/>
            </w14:solidFill>
          </w14:textFill>
        </w:rPr>
        <w:t>1</w:t>
      </w:r>
      <w:bookmarkEnd w:id="220"/>
      <w:r>
        <w:rPr>
          <w:rFonts w:hint="eastAsia"/>
          <w:color w:val="000000" w:themeColor="text1"/>
          <w:highlight w:val="none"/>
          <w:lang w:eastAsia="zh-CN"/>
          <w14:textFill>
            <w14:solidFill>
              <w14:schemeClr w14:val="tx1"/>
            </w14:solidFill>
          </w14:textFill>
        </w:rPr>
        <w:t>、提供虚假材料谋取中标的；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21" w:name="bookmark218"/>
      <w:r>
        <w:rPr>
          <w:rFonts w:hint="eastAsia"/>
          <w:color w:val="000000" w:themeColor="text1"/>
          <w:highlight w:val="none"/>
          <w:lang w:eastAsia="zh-CN"/>
          <w14:textFill>
            <w14:solidFill>
              <w14:schemeClr w14:val="tx1"/>
            </w14:solidFill>
          </w14:textFill>
        </w:rPr>
        <w:t>2</w:t>
      </w:r>
      <w:bookmarkEnd w:id="221"/>
      <w:r>
        <w:rPr>
          <w:rFonts w:hint="eastAsia"/>
          <w:color w:val="000000" w:themeColor="text1"/>
          <w:highlight w:val="none"/>
          <w:lang w:eastAsia="zh-CN"/>
          <w14:textFill>
            <w14:solidFill>
              <w14:schemeClr w14:val="tx1"/>
            </w14:solidFill>
          </w14:textFill>
        </w:rPr>
        <w:t>、采取不正当手段诋毁、排挤其他投标人的；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22" w:name="bookmark219"/>
      <w:r>
        <w:rPr>
          <w:rFonts w:hint="eastAsia"/>
          <w:color w:val="000000" w:themeColor="text1"/>
          <w:highlight w:val="none"/>
          <w:lang w:eastAsia="zh-CN"/>
          <w14:textFill>
            <w14:solidFill>
              <w14:schemeClr w14:val="tx1"/>
            </w14:solidFill>
          </w14:textFill>
        </w:rPr>
        <w:t>3</w:t>
      </w:r>
      <w:bookmarkEnd w:id="222"/>
      <w:r>
        <w:rPr>
          <w:rFonts w:hint="eastAsia"/>
          <w:color w:val="000000" w:themeColor="text1"/>
          <w:highlight w:val="none"/>
          <w:lang w:eastAsia="zh-CN"/>
          <w14:textFill>
            <w14:solidFill>
              <w14:schemeClr w14:val="tx1"/>
            </w14:solidFill>
          </w14:textFill>
        </w:rPr>
        <w:t>、与招标人、其他投标人或者招标代理机构恶意串通的；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23" w:name="bookmark220"/>
      <w:r>
        <w:rPr>
          <w:rFonts w:hint="eastAsia"/>
          <w:color w:val="000000" w:themeColor="text1"/>
          <w:highlight w:val="none"/>
          <w:lang w:eastAsia="zh-CN"/>
          <w14:textFill>
            <w14:solidFill>
              <w14:schemeClr w14:val="tx1"/>
            </w14:solidFill>
          </w14:textFill>
        </w:rPr>
        <w:t>4</w:t>
      </w:r>
      <w:bookmarkEnd w:id="223"/>
      <w:r>
        <w:rPr>
          <w:rFonts w:hint="eastAsia"/>
          <w:color w:val="000000" w:themeColor="text1"/>
          <w:highlight w:val="none"/>
          <w:lang w:eastAsia="zh-CN"/>
          <w14:textFill>
            <w14:solidFill>
              <w14:schemeClr w14:val="tx1"/>
            </w14:solidFill>
          </w14:textFill>
        </w:rPr>
        <w:t>、向招标人、招标代理机构行贿或者提供其他不正当利益的；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24" w:name="bookmark221"/>
      <w:r>
        <w:rPr>
          <w:rFonts w:hint="eastAsia"/>
          <w:color w:val="000000" w:themeColor="text1"/>
          <w:highlight w:val="none"/>
          <w:lang w:eastAsia="zh-CN"/>
          <w14:textFill>
            <w14:solidFill>
              <w14:schemeClr w14:val="tx1"/>
            </w14:solidFill>
          </w14:textFill>
        </w:rPr>
        <w:t>5</w:t>
      </w:r>
      <w:bookmarkEnd w:id="224"/>
      <w:r>
        <w:rPr>
          <w:rFonts w:hint="eastAsia"/>
          <w:color w:val="000000" w:themeColor="text1"/>
          <w:highlight w:val="none"/>
          <w:lang w:eastAsia="zh-CN"/>
          <w14:textFill>
            <w14:solidFill>
              <w14:schemeClr w14:val="tx1"/>
            </w14:solidFill>
          </w14:textFill>
        </w:rPr>
        <w:t>、在规定的时间内未与招标人签订采购合同的；</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25" w:name="bookmark222"/>
      <w:r>
        <w:rPr>
          <w:rFonts w:hint="eastAsia"/>
          <w:color w:val="000000" w:themeColor="text1"/>
          <w:highlight w:val="none"/>
          <w:lang w:eastAsia="zh-CN"/>
          <w14:textFill>
            <w14:solidFill>
              <w14:schemeClr w14:val="tx1"/>
            </w14:solidFill>
          </w14:textFill>
        </w:rPr>
        <w:t>6</w:t>
      </w:r>
      <w:bookmarkEnd w:id="225"/>
      <w:r>
        <w:rPr>
          <w:rFonts w:hint="eastAsia"/>
          <w:color w:val="000000" w:themeColor="text1"/>
          <w:highlight w:val="none"/>
          <w:lang w:eastAsia="zh-CN"/>
          <w14:textFill>
            <w14:solidFill>
              <w14:schemeClr w14:val="tx1"/>
            </w14:solidFill>
          </w14:textFill>
        </w:rPr>
        <w:t>、法律、法规规定的其他情况。</w:t>
      </w:r>
    </w:p>
    <w:p>
      <w:pPr>
        <w:pStyle w:val="4"/>
        <w:pageBreakBefore w:val="0"/>
        <w:widowControl w:val="0"/>
        <w:numPr>
          <w:ilvl w:val="0"/>
          <w:numId w:val="0"/>
        </w:numPr>
        <w:kinsoku/>
        <w:wordWrap/>
        <w:overflowPunct w:val="0"/>
        <w:topLinePunct w:val="0"/>
        <w:autoSpaceDE/>
        <w:autoSpaceDN/>
        <w:bidi w:val="0"/>
        <w:adjustRightInd/>
        <w:snapToGrid/>
        <w:spacing w:before="0" w:after="0" w:line="600" w:lineRule="exact"/>
        <w:ind w:firstLine="643" w:firstLineChars="200"/>
        <w:jc w:val="center"/>
        <w:textAlignment w:val="auto"/>
        <w:rPr>
          <w:color w:val="000000" w:themeColor="text1"/>
          <w:highlight w:val="none"/>
          <w:lang w:eastAsia="zh-CN"/>
          <w14:textFill>
            <w14:solidFill>
              <w14:schemeClr w14:val="tx1"/>
            </w14:solidFill>
          </w14:textFill>
        </w:rPr>
      </w:pPr>
      <w:bookmarkStart w:id="226" w:name="_Toc14059"/>
      <w:bookmarkStart w:id="227" w:name="bookmark224"/>
      <w:bookmarkStart w:id="228" w:name="bookmark223"/>
      <w:bookmarkStart w:id="229" w:name="bookmark225"/>
      <w:bookmarkStart w:id="230" w:name="_Toc31477"/>
      <w:r>
        <w:rPr>
          <w:rFonts w:hint="eastAsia"/>
          <w:color w:val="000000" w:themeColor="text1"/>
          <w:highlight w:val="none"/>
          <w:lang w:eastAsia="zh-CN"/>
          <w14:textFill>
            <w14:solidFill>
              <w14:schemeClr w14:val="tx1"/>
            </w14:solidFill>
          </w14:textFill>
        </w:rPr>
        <w:t>六、开标程序</w:t>
      </w:r>
      <w:bookmarkEnd w:id="226"/>
      <w:bookmarkEnd w:id="227"/>
      <w:bookmarkEnd w:id="228"/>
      <w:bookmarkEnd w:id="229"/>
      <w:bookmarkEnd w:id="230"/>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31" w:name="_Toc30213"/>
      <w:bookmarkStart w:id="232" w:name="bookmark226"/>
      <w:bookmarkStart w:id="233" w:name="bookmark228"/>
      <w:bookmarkStart w:id="234" w:name="bookmark227"/>
      <w:bookmarkStart w:id="235" w:name="_Toc26820"/>
      <w:bookmarkStart w:id="236" w:name="_Toc29918"/>
      <w:r>
        <w:rPr>
          <w:rFonts w:hint="eastAsia"/>
          <w:color w:val="000000" w:themeColor="text1"/>
          <w:highlight w:val="none"/>
          <w:lang w:eastAsia="zh-CN"/>
          <w14:textFill>
            <w14:solidFill>
              <w14:schemeClr w14:val="tx1"/>
            </w14:solidFill>
          </w14:textFill>
        </w:rPr>
        <w:t>（二十八）开标原则</w:t>
      </w:r>
      <w:bookmarkEnd w:id="231"/>
      <w:bookmarkEnd w:id="232"/>
      <w:bookmarkEnd w:id="233"/>
      <w:bookmarkEnd w:id="234"/>
      <w:bookmarkEnd w:id="235"/>
      <w:bookmarkEnd w:id="236"/>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37" w:name="bookmark229"/>
      <w:r>
        <w:rPr>
          <w:rFonts w:hint="eastAsia"/>
          <w:color w:val="000000" w:themeColor="text1"/>
          <w:highlight w:val="none"/>
          <w:lang w:eastAsia="zh-CN"/>
          <w14:textFill>
            <w14:solidFill>
              <w14:schemeClr w14:val="tx1"/>
            </w14:solidFill>
          </w14:textFill>
        </w:rPr>
        <w:t>1</w:t>
      </w:r>
      <w:bookmarkEnd w:id="237"/>
      <w:r>
        <w:rPr>
          <w:rFonts w:hint="eastAsia"/>
          <w:color w:val="000000" w:themeColor="text1"/>
          <w:highlight w:val="none"/>
          <w:lang w:eastAsia="zh-CN"/>
          <w14:textFill>
            <w14:solidFill>
              <w14:schemeClr w14:val="tx1"/>
            </w14:solidFill>
          </w14:textFill>
        </w:rPr>
        <w:t>、招标人按招标文件规定的时间、地点组织开标。采购单位代表及有关工作人员参加。</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38" w:name="bookmark230"/>
      <w:r>
        <w:rPr>
          <w:rFonts w:hint="eastAsia"/>
          <w:color w:val="000000" w:themeColor="text1"/>
          <w:highlight w:val="none"/>
          <w:lang w:eastAsia="zh-CN"/>
          <w14:textFill>
            <w14:solidFill>
              <w14:schemeClr w14:val="tx1"/>
            </w14:solidFill>
          </w14:textFill>
        </w:rPr>
        <w:t>2</w:t>
      </w:r>
      <w:bookmarkEnd w:id="238"/>
      <w:r>
        <w:rPr>
          <w:rFonts w:hint="eastAsia"/>
          <w:color w:val="000000" w:themeColor="text1"/>
          <w:highlight w:val="none"/>
          <w:lang w:eastAsia="zh-CN"/>
          <w14:textFill>
            <w14:solidFill>
              <w14:schemeClr w14:val="tx1"/>
            </w14:solidFill>
          </w14:textFill>
        </w:rPr>
        <w:t>、投标人应委派法人或授权代表参加开标活动。</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39" w:name="bookmark231"/>
      <w:r>
        <w:rPr>
          <w:rFonts w:hint="eastAsia"/>
          <w:color w:val="000000" w:themeColor="text1"/>
          <w:highlight w:val="none"/>
          <w:lang w:eastAsia="zh-CN"/>
          <w14:textFill>
            <w14:solidFill>
              <w14:schemeClr w14:val="tx1"/>
            </w14:solidFill>
          </w14:textFill>
        </w:rPr>
        <w:t>3</w:t>
      </w:r>
      <w:bookmarkEnd w:id="239"/>
      <w:r>
        <w:rPr>
          <w:rFonts w:hint="eastAsia"/>
          <w:color w:val="000000" w:themeColor="text1"/>
          <w:highlight w:val="none"/>
          <w:lang w:eastAsia="zh-CN"/>
          <w14:textFill>
            <w14:solidFill>
              <w14:schemeClr w14:val="tx1"/>
            </w14:solidFill>
          </w14:textFill>
        </w:rPr>
        <w:t>、开标由招标代理机构主持。</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4、开标时，由投标人相互检查或推选代表检查标书的密封情况经监委、投标人</w:t>
      </w:r>
      <w:bookmarkStart w:id="240" w:name="bookmark232"/>
      <w:bookmarkEnd w:id="240"/>
      <w:r>
        <w:rPr>
          <w:rFonts w:hint="eastAsia"/>
          <w:color w:val="000000" w:themeColor="text1"/>
          <w:highlight w:val="none"/>
          <w:lang w:eastAsia="zh-CN"/>
          <w14:textFill>
            <w14:solidFill>
              <w14:schemeClr w14:val="tx1"/>
            </w14:solidFill>
          </w14:textFill>
        </w:rPr>
        <w:t>确认无误后，公开拆标、唱标，完毕之后进入评标环节。</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拆标时，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41" w:name="bookmark233"/>
      <w:r>
        <w:rPr>
          <w:rFonts w:hint="eastAsia"/>
          <w:color w:val="000000" w:themeColor="text1"/>
          <w:highlight w:val="none"/>
          <w:lang w:eastAsia="zh-CN"/>
          <w14:textFill>
            <w14:solidFill>
              <w14:schemeClr w14:val="tx1"/>
            </w14:solidFill>
          </w14:textFill>
        </w:rPr>
        <w:t>5</w:t>
      </w:r>
      <w:bookmarkEnd w:id="241"/>
      <w:r>
        <w:rPr>
          <w:rFonts w:hint="eastAsia"/>
          <w:color w:val="000000" w:themeColor="text1"/>
          <w:highlight w:val="none"/>
          <w:lang w:eastAsia="zh-CN"/>
          <w14:textFill>
            <w14:solidFill>
              <w14:schemeClr w14:val="tx1"/>
            </w14:solidFill>
          </w14:textFill>
        </w:rPr>
        <w:t>、开标后，</w:t>
      </w:r>
      <w:r>
        <w:rPr>
          <w:rFonts w:hint="eastAsia"/>
          <w:b/>
          <w:bCs/>
          <w:color w:val="000000" w:themeColor="text1"/>
          <w:highlight w:val="none"/>
          <w:lang w:eastAsia="zh-CN"/>
          <w14:textFill>
            <w14:solidFill>
              <w14:schemeClr w14:val="tx1"/>
            </w14:solidFill>
          </w14:textFill>
        </w:rPr>
        <w:t>对投标人进行资格审查及符合性审查</w:t>
      </w:r>
      <w:r>
        <w:rPr>
          <w:rFonts w:hint="eastAsia"/>
          <w:color w:val="000000" w:themeColor="text1"/>
          <w:highlight w:val="none"/>
          <w:lang w:eastAsia="zh-CN"/>
          <w14:textFill>
            <w14:solidFill>
              <w14:schemeClr w14:val="tx1"/>
            </w14:solidFill>
          </w14:textFill>
        </w:rPr>
        <w:t>，</w:t>
      </w:r>
      <w:r>
        <w:rPr>
          <w:rFonts w:hint="eastAsia"/>
          <w:b/>
          <w:bCs/>
          <w:color w:val="000000" w:themeColor="text1"/>
          <w:highlight w:val="none"/>
          <w:lang w:eastAsia="zh-CN"/>
          <w14:textFill>
            <w14:solidFill>
              <w14:schemeClr w14:val="tx1"/>
            </w14:solidFill>
          </w14:textFill>
        </w:rPr>
        <w:t>资格审查、符合性审查、</w:t>
      </w:r>
      <w:r>
        <w:rPr>
          <w:rFonts w:hint="eastAsia"/>
          <w:color w:val="000000" w:themeColor="text1"/>
          <w:highlight w:val="none"/>
          <w:lang w:eastAsia="zh-CN"/>
          <w14:textFill>
            <w14:solidFill>
              <w14:schemeClr w14:val="tx1"/>
            </w14:solidFill>
          </w14:textFill>
        </w:rPr>
        <w:t>未通过的，招标人将拒绝其投标文件。</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42" w:name="bookmark236"/>
      <w:bookmarkStart w:id="243" w:name="_Toc3761"/>
      <w:bookmarkStart w:id="244" w:name="_Toc14060"/>
      <w:bookmarkStart w:id="245" w:name="_Toc3793"/>
      <w:bookmarkStart w:id="246" w:name="bookmark235"/>
      <w:bookmarkStart w:id="247" w:name="bookmark234"/>
      <w:r>
        <w:rPr>
          <w:rFonts w:hint="eastAsia"/>
          <w:color w:val="000000" w:themeColor="text1"/>
          <w:highlight w:val="none"/>
          <w:lang w:eastAsia="zh-CN"/>
          <w14:textFill>
            <w14:solidFill>
              <w14:schemeClr w14:val="tx1"/>
            </w14:solidFill>
          </w14:textFill>
        </w:rPr>
        <w:t>（二十九）评标委员会</w:t>
      </w:r>
      <w:bookmarkEnd w:id="242"/>
      <w:bookmarkEnd w:id="243"/>
      <w:bookmarkEnd w:id="244"/>
      <w:bookmarkEnd w:id="245"/>
      <w:bookmarkEnd w:id="246"/>
      <w:bookmarkEnd w:id="247"/>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招标人根据本项目的特点，于开标前24小时内，从评审专家库中随机抽取组建评标委员会评标委员会在监督部门的监督下独立完成评审工作，负责对投标文件进行审查、质询、评审、推选中标候选投标人。</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（三十一）投标报价、评分评标原则及方法</w:t>
      </w:r>
      <w:bookmarkStart w:id="248" w:name="bookmark249"/>
      <w:bookmarkStart w:id="249" w:name="bookmark250"/>
      <w:bookmarkStart w:id="250" w:name="bookmark251"/>
      <w:bookmarkStart w:id="251" w:name="_Toc31077"/>
      <w:bookmarkStart w:id="252" w:name="_Toc25492"/>
      <w:bookmarkStart w:id="253" w:name="_Toc30331"/>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本次招标仅接受投标人的一次性唯一报价。</w:t>
      </w:r>
      <w:bookmarkEnd w:id="248"/>
      <w:bookmarkEnd w:id="249"/>
      <w:bookmarkEnd w:id="250"/>
      <w:bookmarkEnd w:id="251"/>
      <w:bookmarkEnd w:id="252"/>
      <w:bookmarkEnd w:id="253"/>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54" w:name="bookmark237"/>
      <w:bookmarkStart w:id="255" w:name="_Toc11613"/>
      <w:bookmarkStart w:id="256" w:name="bookmark239"/>
      <w:bookmarkStart w:id="257" w:name="_Toc5826"/>
      <w:bookmarkStart w:id="258" w:name="bookmark238"/>
      <w:bookmarkStart w:id="259" w:name="_Toc25490"/>
      <w:bookmarkStart w:id="260" w:name="_Toc5547"/>
      <w:bookmarkStart w:id="261" w:name="_Toc11941"/>
      <w:r>
        <w:rPr>
          <w:rFonts w:hint="eastAsia"/>
          <w:color w:val="000000" w:themeColor="text1"/>
          <w:highlight w:val="none"/>
          <w:lang w:eastAsia="zh-CN"/>
          <w14:textFill>
            <w14:solidFill>
              <w14:schemeClr w14:val="tx1"/>
            </w14:solidFill>
          </w14:textFill>
        </w:rPr>
        <w:t>（三十）评审程序</w:t>
      </w:r>
      <w:bookmarkEnd w:id="254"/>
      <w:bookmarkEnd w:id="255"/>
      <w:bookmarkEnd w:id="256"/>
      <w:bookmarkEnd w:id="257"/>
      <w:bookmarkEnd w:id="258"/>
      <w:bookmarkEnd w:id="259"/>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62" w:name="bookmark240"/>
      <w:r>
        <w:rPr>
          <w:rFonts w:hint="eastAsia"/>
          <w:color w:val="000000" w:themeColor="text1"/>
          <w:highlight w:val="none"/>
          <w:lang w:eastAsia="zh-CN"/>
          <w14:textFill>
            <w14:solidFill>
              <w14:schemeClr w14:val="tx1"/>
            </w14:solidFill>
          </w14:textFill>
        </w:rPr>
        <w:t>1</w:t>
      </w:r>
      <w:bookmarkEnd w:id="262"/>
      <w:r>
        <w:rPr>
          <w:rFonts w:hint="eastAsia"/>
          <w:color w:val="000000" w:themeColor="text1"/>
          <w:highlight w:val="none"/>
          <w:lang w:eastAsia="zh-CN"/>
          <w14:textFill>
            <w14:solidFill>
              <w14:schemeClr w14:val="tx1"/>
            </w14:solidFill>
          </w14:textFill>
        </w:rPr>
        <w:t>、评标委员会首先对各投标文件进行资格审查及符合性审查，未通过审查的为无效标。依据招标文件的规定，从投标文件的有效性、完整性和对招标文件的响应程度进行审查，以确定是否对招标文件的要求做出了实质性的响应，存在重大偏离的投标文件为无效标。所谓重大偏离是指投标人投标文件中所述货物质量、技术、规格、数量、项目服务期等和服务明显不能满足招标文件要求。重大偏离的认定须经评标委员会三分之二以上组员同意。</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63" w:name="bookmark241"/>
      <w:r>
        <w:rPr>
          <w:rFonts w:hint="eastAsia"/>
          <w:color w:val="000000" w:themeColor="text1"/>
          <w:highlight w:val="none"/>
          <w:lang w:eastAsia="zh-CN"/>
          <w14:textFill>
            <w14:solidFill>
              <w14:schemeClr w14:val="tx1"/>
            </w14:solidFill>
          </w14:textFill>
        </w:rPr>
        <w:t>2</w:t>
      </w:r>
      <w:bookmarkEnd w:id="263"/>
      <w:r>
        <w:rPr>
          <w:rFonts w:hint="eastAsia"/>
          <w:color w:val="000000" w:themeColor="text1"/>
          <w:highlight w:val="none"/>
          <w:lang w:eastAsia="zh-CN"/>
          <w14:textFill>
            <w14:solidFill>
              <w14:schemeClr w14:val="tx1"/>
            </w14:solidFill>
          </w14:textFill>
        </w:rPr>
        <w:t>、评标委员会判断</w:t>
      </w:r>
      <w:r>
        <w:rPr>
          <w:rFonts w:hint="eastAsia"/>
          <w:color w:val="000000" w:themeColor="text1"/>
          <w:highlight w:val="none"/>
          <w:lang w:val="zh-CN" w:eastAsia="zh-CN" w:bidi="zh-CN"/>
          <w14:textFill>
            <w14:solidFill>
              <w14:schemeClr w14:val="tx1"/>
            </w14:solidFill>
          </w14:textFill>
        </w:rPr>
        <w:t>“投标</w:t>
      </w:r>
      <w:r>
        <w:rPr>
          <w:rFonts w:hint="eastAsia"/>
          <w:color w:val="000000" w:themeColor="text1"/>
          <w:highlight w:val="none"/>
          <w:lang w:eastAsia="zh-CN"/>
          <w14:textFill>
            <w14:solidFill>
              <w14:schemeClr w14:val="tx1"/>
            </w14:solidFill>
          </w14:textFill>
        </w:rPr>
        <w:t>文件”的响应性，仅基于</w:t>
      </w:r>
      <w:r>
        <w:rPr>
          <w:rFonts w:hint="eastAsia"/>
          <w:color w:val="000000" w:themeColor="text1"/>
          <w:highlight w:val="none"/>
          <w:lang w:val="zh-CN" w:eastAsia="zh-CN" w:bidi="zh-CN"/>
          <w14:textFill>
            <w14:solidFill>
              <w14:schemeClr w14:val="tx1"/>
            </w14:solidFill>
          </w14:textFill>
        </w:rPr>
        <w:t>“投标</w:t>
      </w:r>
      <w:r>
        <w:rPr>
          <w:rFonts w:hint="eastAsia"/>
          <w:color w:val="000000" w:themeColor="text1"/>
          <w:highlight w:val="none"/>
          <w:lang w:eastAsia="zh-CN"/>
          <w14:textFill>
            <w14:solidFill>
              <w14:schemeClr w14:val="tx1"/>
            </w14:solidFill>
          </w14:textFill>
        </w:rPr>
        <w:t>文件”本身而不靠外部证据。对非实质性响应的投标文件，投标人不能通过修正或撤销不符之处，而使其成为实质性响应。</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64" w:name="bookmark242"/>
      <w:r>
        <w:rPr>
          <w:rFonts w:hint="eastAsia"/>
          <w:color w:val="000000" w:themeColor="text1"/>
          <w:highlight w:val="none"/>
          <w:lang w:eastAsia="zh-CN"/>
          <w14:textFill>
            <w14:solidFill>
              <w14:schemeClr w14:val="tx1"/>
            </w14:solidFill>
          </w14:textFill>
        </w:rPr>
        <w:t>3</w:t>
      </w:r>
      <w:bookmarkEnd w:id="264"/>
      <w:r>
        <w:rPr>
          <w:rFonts w:hint="eastAsia"/>
          <w:color w:val="000000" w:themeColor="text1"/>
          <w:highlight w:val="none"/>
          <w:lang w:eastAsia="zh-CN"/>
          <w14:textFill>
            <w14:solidFill>
              <w14:schemeClr w14:val="tx1"/>
            </w14:solidFill>
          </w14:textFill>
        </w:rPr>
        <w:t>、评标委员会根据招标文件要求，讨论、通过评标工作流程和评标要点。</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4、围绕评标要点，评标委员会全体成员对有效投标人递交的投标文件分别进行评标。</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5、评标过程出现异议的，由评标委员会共同商讨决定，需要投标人澄清的，评标委员会将以书面形式通知投标人。</w:t>
      </w:r>
    </w:p>
    <w:p>
      <w:pPr>
        <w:pStyle w:val="5"/>
        <w:pageBreakBefore w:val="0"/>
        <w:widowControl w:val="0"/>
        <w:numPr>
          <w:ilvl w:val="0"/>
          <w:numId w:val="0"/>
        </w:numPr>
        <w:kinsoku/>
        <w:wordWrap/>
        <w:overflowPunct w:val="0"/>
        <w:topLinePunct w:val="0"/>
        <w:autoSpaceDE/>
        <w:autoSpaceDN/>
        <w:bidi w:val="0"/>
        <w:adjustRightInd/>
        <w:snapToGrid/>
        <w:spacing w:line="600" w:lineRule="exact"/>
        <w:ind w:left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评标原则</w:t>
      </w:r>
      <w:bookmarkEnd w:id="260"/>
      <w:bookmarkEnd w:id="261"/>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65" w:name="_Toc20057"/>
      <w:bookmarkStart w:id="266" w:name="_Toc8769"/>
      <w:r>
        <w:rPr>
          <w:rFonts w:hint="eastAsia"/>
          <w:color w:val="000000" w:themeColor="text1"/>
          <w:highlight w:val="none"/>
          <w:lang w:eastAsia="zh-CN"/>
          <w14:textFill>
            <w14:solidFill>
              <w14:schemeClr w14:val="tx1"/>
            </w14:solidFill>
          </w14:textFill>
        </w:rPr>
        <w:t>评标活动遵循公开、公平、公正、择优的原则进行。评委会将综合分析投标人的各项指标，而不以单项指标的优劣评选出预中标人。</w:t>
      </w:r>
      <w:bookmarkEnd w:id="265"/>
      <w:bookmarkEnd w:id="266"/>
    </w:p>
    <w:p>
      <w:pPr>
        <w:pStyle w:val="5"/>
        <w:pageBreakBefore w:val="0"/>
        <w:widowControl w:val="0"/>
        <w:numPr>
          <w:ilvl w:val="0"/>
          <w:numId w:val="0"/>
        </w:numPr>
        <w:kinsoku/>
        <w:wordWrap/>
        <w:overflowPunct w:val="0"/>
        <w:topLinePunct w:val="0"/>
        <w:autoSpaceDE/>
        <w:autoSpaceDN/>
        <w:bidi w:val="0"/>
        <w:adjustRightInd/>
        <w:snapToGrid/>
        <w:spacing w:line="600" w:lineRule="exact"/>
        <w:ind w:leftChars="200"/>
        <w:textAlignment w:val="auto"/>
        <w:rPr>
          <w:color w:val="000000" w:themeColor="text1"/>
          <w:highlight w:val="none"/>
          <w14:textFill>
            <w14:solidFill>
              <w14:schemeClr w14:val="tx1"/>
            </w14:solidFill>
          </w14:textFill>
        </w:rPr>
      </w:pPr>
      <w:bookmarkStart w:id="267" w:name="_Toc27662"/>
      <w:bookmarkStart w:id="268" w:name="_Toc10336"/>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评标办法</w:t>
      </w:r>
      <w:bookmarkEnd w:id="267"/>
      <w:bookmarkEnd w:id="268"/>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69" w:name="_Toc5391"/>
      <w:bookmarkStart w:id="270" w:name="_Toc10988"/>
      <w:r>
        <w:rPr>
          <w:rFonts w:hint="eastAsia"/>
          <w:color w:val="000000" w:themeColor="text1"/>
          <w:highlight w:val="none"/>
          <w:lang w:eastAsia="zh-CN"/>
          <w14:textFill>
            <w14:solidFill>
              <w14:schemeClr w14:val="tx1"/>
            </w14:solidFill>
          </w14:textFill>
        </w:rPr>
        <w:t>（1）本次评标采用综合评分法。综合评分法是指投标文件满足招标文件全部实质性要求，且按照评审因素的量化指标评审得分最高的投标人为中标候选人的评标方法。</w:t>
      </w:r>
      <w:bookmarkEnd w:id="269"/>
      <w:bookmarkEnd w:id="270"/>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71" w:name="bookmark254"/>
      <w:bookmarkStart w:id="272" w:name="bookmark252"/>
      <w:bookmarkStart w:id="273" w:name="_Toc26684"/>
      <w:bookmarkStart w:id="274" w:name="_Toc15114"/>
      <w:bookmarkStart w:id="275" w:name="bookmark253"/>
      <w:bookmarkStart w:id="276" w:name="_Toc2507"/>
      <w:r>
        <w:rPr>
          <w:rFonts w:hint="eastAsia"/>
          <w:color w:val="000000" w:themeColor="text1"/>
          <w:highlight w:val="none"/>
          <w:lang w:eastAsia="zh-CN"/>
          <w14:textFill>
            <w14:solidFill>
              <w14:schemeClr w14:val="tx1"/>
            </w14:solidFill>
          </w14:textFill>
        </w:rPr>
        <w:t>（三十二）确定中标候选投标人</w:t>
      </w:r>
      <w:bookmarkEnd w:id="271"/>
      <w:bookmarkEnd w:id="272"/>
      <w:bookmarkEnd w:id="273"/>
      <w:bookmarkEnd w:id="274"/>
      <w:bookmarkEnd w:id="275"/>
      <w:bookmarkEnd w:id="276"/>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经评审由评标委员会采用综合评分法对提交符合要求的投标人的投标文件进行综合评分。</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综合评分法，是指投标文件满足招标文件全部实质性要求且按评审因素的量化指标评审得分最高的投标人为中标候选人的评审方法。</w:t>
      </w:r>
    </w:p>
    <w:p>
      <w:pPr>
        <w:pStyle w:val="2"/>
        <w:pageBreakBefore w:val="0"/>
        <w:widowControl w:val="0"/>
        <w:numPr>
          <w:ilvl w:val="0"/>
          <w:numId w:val="0"/>
        </w:numPr>
        <w:kinsoku/>
        <w:wordWrap/>
        <w:overflowPunct w:val="0"/>
        <w:topLinePunct w:val="0"/>
        <w:autoSpaceDE/>
        <w:autoSpaceDN/>
        <w:bidi w:val="0"/>
        <w:adjustRightInd/>
        <w:snapToGrid/>
        <w:spacing w:line="600" w:lineRule="exact"/>
        <w:ind w:firstLine="482" w:firstLineChars="200"/>
        <w:jc w:val="center"/>
        <w:textAlignment w:val="auto"/>
        <w:rPr>
          <w:color w:val="000000" w:themeColor="text1"/>
          <w:highlight w:val="none"/>
          <w:lang w:eastAsia="zh-CN"/>
          <w14:textFill>
            <w14:solidFill>
              <w14:schemeClr w14:val="tx1"/>
            </w14:solidFill>
          </w14:textFill>
        </w:rPr>
      </w:pPr>
      <w:bookmarkStart w:id="277" w:name="_Toc4973"/>
      <w:bookmarkStart w:id="278" w:name="bookmark256"/>
      <w:bookmarkStart w:id="279" w:name="_Toc9849"/>
      <w:bookmarkStart w:id="280" w:name="bookmark257"/>
      <w:bookmarkStart w:id="281" w:name="_Toc29786"/>
      <w:bookmarkStart w:id="282" w:name="bookmark255"/>
      <w:r>
        <w:rPr>
          <w:rFonts w:hint="eastAsia"/>
          <w:color w:val="000000" w:themeColor="text1"/>
          <w:highlight w:val="none"/>
          <w:lang w:eastAsia="zh-CN"/>
          <w14:textFill>
            <w14:solidFill>
              <w14:schemeClr w14:val="tx1"/>
            </w14:solidFill>
          </w14:textFill>
        </w:rPr>
        <w:t>（三十三）评标过程保密</w:t>
      </w:r>
      <w:bookmarkEnd w:id="277"/>
      <w:bookmarkEnd w:id="278"/>
      <w:bookmarkEnd w:id="279"/>
      <w:bookmarkEnd w:id="280"/>
      <w:bookmarkEnd w:id="281"/>
      <w:bookmarkEnd w:id="282"/>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83" w:name="bookmark258"/>
      <w:r>
        <w:rPr>
          <w:rFonts w:hint="eastAsia"/>
          <w:color w:val="000000" w:themeColor="text1"/>
          <w:highlight w:val="none"/>
          <w:lang w:eastAsia="zh-CN"/>
          <w14:textFill>
            <w14:solidFill>
              <w14:schemeClr w14:val="tx1"/>
            </w14:solidFill>
          </w14:textFill>
        </w:rPr>
        <w:t>1</w:t>
      </w:r>
      <w:bookmarkEnd w:id="283"/>
      <w:r>
        <w:rPr>
          <w:rFonts w:hint="eastAsia"/>
          <w:color w:val="000000" w:themeColor="text1"/>
          <w:highlight w:val="none"/>
          <w:lang w:eastAsia="zh-CN"/>
          <w14:textFill>
            <w14:solidFill>
              <w14:schemeClr w14:val="tx1"/>
            </w14:solidFill>
          </w14:textFill>
        </w:rPr>
        <w:t>、在评标过程中和评标结束后，凡属于审查、澄清、评价、比较招标文件等有关信息，评标委员会的研究情况和所有投标人的商业秘密都属于保密内容相关当事人均不得泄露给任何投标人或与评标工作无关的人员。</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84" w:name="bookmark259"/>
      <w:r>
        <w:rPr>
          <w:rFonts w:hint="eastAsia"/>
          <w:color w:val="000000" w:themeColor="text1"/>
          <w:highlight w:val="none"/>
          <w:lang w:eastAsia="zh-CN"/>
          <w14:textFill>
            <w14:solidFill>
              <w14:schemeClr w14:val="tx1"/>
            </w14:solidFill>
          </w14:textFill>
        </w:rPr>
        <w:t>2</w:t>
      </w:r>
      <w:bookmarkEnd w:id="284"/>
      <w:r>
        <w:rPr>
          <w:rFonts w:hint="eastAsia"/>
          <w:color w:val="000000" w:themeColor="text1"/>
          <w:highlight w:val="none"/>
          <w:lang w:eastAsia="zh-CN"/>
          <w14:textFill>
            <w14:solidFill>
              <w14:schemeClr w14:val="tx1"/>
            </w14:solidFill>
          </w14:textFill>
        </w:rPr>
        <w:t>、投标人不得探听上述信息，不得以任何行为影响评标过程，否则其投标文件将被作为无效投标文件。</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85" w:name="bookmark260"/>
      <w:r>
        <w:rPr>
          <w:rFonts w:hint="eastAsia"/>
          <w:color w:val="000000" w:themeColor="text1"/>
          <w:highlight w:val="none"/>
          <w:lang w:eastAsia="zh-CN"/>
          <w14:textFill>
            <w14:solidFill>
              <w14:schemeClr w14:val="tx1"/>
            </w14:solidFill>
          </w14:textFill>
        </w:rPr>
        <w:t>3</w:t>
      </w:r>
      <w:bookmarkEnd w:id="285"/>
      <w:r>
        <w:rPr>
          <w:rFonts w:hint="eastAsia"/>
          <w:color w:val="000000" w:themeColor="text1"/>
          <w:highlight w:val="none"/>
          <w:lang w:eastAsia="zh-CN"/>
          <w14:textFill>
            <w14:solidFill>
              <w14:schemeClr w14:val="tx1"/>
            </w14:solidFill>
          </w14:textFill>
        </w:rPr>
        <w:t>、在评标期间，招标人有专门工作人员与投标人进行联络。</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bookmarkStart w:id="286" w:name="bookmark261"/>
      <w:r>
        <w:rPr>
          <w:rFonts w:hint="eastAsia"/>
          <w:color w:val="000000" w:themeColor="text1"/>
          <w:highlight w:val="none"/>
          <w:lang w:eastAsia="zh-CN"/>
          <w14:textFill>
            <w14:solidFill>
              <w14:schemeClr w14:val="tx1"/>
            </w14:solidFill>
          </w14:textFill>
        </w:rPr>
        <w:t>4</w:t>
      </w:r>
      <w:bookmarkEnd w:id="286"/>
      <w:r>
        <w:rPr>
          <w:rFonts w:hint="eastAsia"/>
          <w:color w:val="000000" w:themeColor="text1"/>
          <w:highlight w:val="none"/>
          <w:lang w:eastAsia="zh-CN"/>
          <w14:textFill>
            <w14:solidFill>
              <w14:schemeClr w14:val="tx1"/>
            </w14:solidFill>
          </w14:textFill>
        </w:rPr>
        <w:t>、招标人和评标委员会不向未中标的投标人解释未中标原因，也不对评标过程中的细节问题进行公布。</w:t>
      </w:r>
    </w:p>
    <w:p>
      <w:pPr>
        <w:pStyle w:val="8"/>
        <w:spacing w:after="0"/>
        <w:ind w:firstLine="480"/>
        <w:rPr>
          <w:rFonts w:ascii="仿宋" w:hAnsi="仿宋" w:cs="仿宋"/>
          <w:color w:val="000000" w:themeColor="text1"/>
          <w:sz w:val="24"/>
          <w:highlight w:val="none"/>
          <w:lang w:val="zh-TW" w:eastAsia="zh-CN" w:bidi="zh-TW"/>
          <w14:textFill>
            <w14:solidFill>
              <w14:schemeClr w14:val="tx1"/>
            </w14:solidFill>
          </w14:textFill>
        </w:rPr>
      </w:pPr>
      <w:r>
        <w:rPr>
          <w:rFonts w:hint="eastAsia" w:ascii="仿宋" w:hAnsi="仿宋" w:cs="仿宋"/>
          <w:color w:val="000000" w:themeColor="text1"/>
          <w:sz w:val="24"/>
          <w:highlight w:val="none"/>
          <w:lang w:eastAsia="zh-CN"/>
          <w14:textFill>
            <w14:solidFill>
              <w14:schemeClr w14:val="tx1"/>
            </w14:solidFill>
          </w14:textFill>
        </w:rPr>
        <w:br w:type="page"/>
      </w:r>
    </w:p>
    <w:p>
      <w:pPr>
        <w:pStyle w:val="4"/>
        <w:numPr>
          <w:ilvl w:val="0"/>
          <w:numId w:val="0"/>
        </w:numPr>
        <w:jc w:val="center"/>
        <w:rPr>
          <w:color w:val="000000" w:themeColor="text1"/>
          <w:highlight w:val="none"/>
          <w:lang w:eastAsia="zh-CN"/>
          <w14:textFill>
            <w14:solidFill>
              <w14:schemeClr w14:val="tx1"/>
            </w14:solidFill>
          </w14:textFill>
        </w:rPr>
      </w:pPr>
      <w:bookmarkStart w:id="287" w:name="_Toc13938"/>
      <w:bookmarkStart w:id="288" w:name="bookmark265"/>
      <w:bookmarkStart w:id="289" w:name="_Toc19202"/>
      <w:bookmarkStart w:id="290" w:name="bookmark262"/>
      <w:bookmarkStart w:id="291" w:name="bookmark263"/>
      <w:r>
        <w:rPr>
          <w:rFonts w:hint="eastAsia"/>
          <w:color w:val="000000" w:themeColor="text1"/>
          <w:highlight w:val="none"/>
          <w:lang w:eastAsia="zh-CN"/>
          <w14:textFill>
            <w14:solidFill>
              <w14:schemeClr w14:val="tx1"/>
            </w14:solidFill>
          </w14:textFill>
        </w:rPr>
        <w:t>七、评标办法</w:t>
      </w:r>
      <w:bookmarkEnd w:id="287"/>
      <w:bookmarkEnd w:id="288"/>
      <w:bookmarkEnd w:id="289"/>
      <w:bookmarkEnd w:id="290"/>
      <w:bookmarkEnd w:id="291"/>
    </w:p>
    <w:p>
      <w:pPr>
        <w:snapToGrid w:val="0"/>
        <w:ind w:left="0" w:leftChars="0" w:firstLine="0" w:firstLineChars="0"/>
        <w:jc w:val="center"/>
        <w:rPr>
          <w:rFonts w:ascii="仿宋" w:hAnsi="仿宋" w:cs="仿宋"/>
          <w:b/>
          <w:bCs/>
          <w:color w:val="000000" w:themeColor="text1"/>
          <w:highlight w:val="none"/>
          <w14:textFill>
            <w14:solidFill>
              <w14:schemeClr w14:val="tx1"/>
            </w14:solidFill>
          </w14:textFill>
        </w:rPr>
      </w:pPr>
      <w:r>
        <w:rPr>
          <w:rFonts w:hint="eastAsia" w:ascii="仿宋" w:hAnsi="仿宋" w:cs="仿宋"/>
          <w:b/>
          <w:color w:val="000000" w:themeColor="text1"/>
          <w:highlight w:val="none"/>
          <w14:textFill>
            <w14:solidFill>
              <w14:schemeClr w14:val="tx1"/>
            </w14:solidFill>
          </w14:textFill>
        </w:rPr>
        <w:t>（一）</w:t>
      </w:r>
      <w:r>
        <w:rPr>
          <w:rFonts w:hint="eastAsia" w:ascii="仿宋" w:hAnsi="仿宋" w:cs="仿宋"/>
          <w:b/>
          <w:bCs/>
          <w:color w:val="000000" w:themeColor="text1"/>
          <w:highlight w:val="none"/>
          <w:lang w:eastAsia="zh-CN"/>
          <w14:textFill>
            <w14:solidFill>
              <w14:schemeClr w14:val="tx1"/>
            </w14:solidFill>
          </w14:textFill>
        </w:rPr>
        <w:t>资格</w:t>
      </w:r>
      <w:r>
        <w:rPr>
          <w:rFonts w:hint="eastAsia" w:ascii="仿宋" w:hAnsi="仿宋" w:cs="仿宋"/>
          <w:b/>
          <w:bCs/>
          <w:color w:val="000000" w:themeColor="text1"/>
          <w:highlight w:val="none"/>
          <w14:textFill>
            <w14:solidFill>
              <w14:schemeClr w14:val="tx1"/>
            </w14:solidFill>
          </w14:textFill>
        </w:rPr>
        <w:t>审查表</w:t>
      </w:r>
    </w:p>
    <w:tbl>
      <w:tblPr>
        <w:tblStyle w:val="23"/>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7508"/>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515" w:type="dxa"/>
            <w:vAlign w:val="center"/>
          </w:tcPr>
          <w:p>
            <w:pPr>
              <w:pStyle w:val="11"/>
              <w:ind w:firstLine="0"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评审内容</w:t>
            </w:r>
          </w:p>
        </w:tc>
        <w:tc>
          <w:tcPr>
            <w:tcW w:w="7508" w:type="dxa"/>
            <w:vAlign w:val="center"/>
          </w:tcPr>
          <w:p>
            <w:pPr>
              <w:pStyle w:val="11"/>
              <w:ind w:firstLine="48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评审标准</w:t>
            </w:r>
          </w:p>
        </w:tc>
        <w:tc>
          <w:tcPr>
            <w:tcW w:w="899" w:type="dxa"/>
            <w:vAlign w:val="center"/>
          </w:tcPr>
          <w:p>
            <w:pPr>
              <w:pStyle w:val="11"/>
              <w:ind w:firstLine="0"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14:textFill>
                  <w14:solidFill>
                    <w14:schemeClr w14:val="tx1"/>
                  </w14:solidFill>
                </w14:textFill>
              </w:rPr>
              <w:t>评审意见是否合格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pPr>
              <w:pStyle w:val="11"/>
              <w:ind w:left="0" w:leftChars="0" w:firstLine="0" w:firstLineChars="0"/>
              <w:rPr>
                <w:rFonts w:hint="eastAsia"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val="en-US" w:eastAsia="zh-CN"/>
                <w14:textFill>
                  <w14:solidFill>
                    <w14:schemeClr w14:val="tx1"/>
                  </w14:solidFill>
                </w14:textFill>
              </w:rPr>
              <w:t>采购政策</w:t>
            </w:r>
          </w:p>
        </w:tc>
        <w:tc>
          <w:tcPr>
            <w:tcW w:w="7508" w:type="dxa"/>
            <w:vAlign w:val="center"/>
          </w:tcPr>
          <w:p>
            <w:pPr>
              <w:pStyle w:val="11"/>
              <w:ind w:firstLine="480"/>
              <w:rPr>
                <w:rFonts w:hint="eastAsia"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供应商为中小</w:t>
            </w:r>
            <w:r>
              <w:rPr>
                <w:rFonts w:hint="eastAsia" w:ascii="仿宋" w:hAnsi="仿宋" w:cs="仿宋"/>
                <w:color w:val="000000" w:themeColor="text1"/>
                <w:szCs w:val="24"/>
                <w:highlight w:val="none"/>
                <w:lang w:val="en-US" w:eastAsia="zh-CN"/>
                <w14:textFill>
                  <w14:solidFill>
                    <w14:schemeClr w14:val="tx1"/>
                  </w14:solidFill>
                </w14:textFill>
              </w:rPr>
              <w:t>微</w:t>
            </w:r>
            <w:r>
              <w:rPr>
                <w:rFonts w:hint="eastAsia" w:ascii="仿宋" w:hAnsi="仿宋" w:cs="仿宋"/>
                <w:color w:val="000000" w:themeColor="text1"/>
                <w:szCs w:val="24"/>
                <w:highlight w:val="none"/>
                <w:lang w:eastAsia="zh-CN"/>
                <w14:textFill>
                  <w14:solidFill>
                    <w14:schemeClr w14:val="tx1"/>
                  </w14:solidFill>
                </w14:textFill>
              </w:rPr>
              <w:t>企业</w:t>
            </w:r>
            <w:r>
              <w:rPr>
                <w:rFonts w:hint="eastAsia" w:ascii="仿宋" w:hAnsi="仿宋" w:cs="仿宋"/>
                <w:color w:val="000000" w:themeColor="text1"/>
                <w:szCs w:val="24"/>
                <w:highlight w:val="none"/>
                <w:lang w:val="en-US" w:eastAsia="zh-CN"/>
                <w14:textFill>
                  <w14:solidFill>
                    <w14:schemeClr w14:val="tx1"/>
                  </w14:solidFill>
                </w14:textFill>
              </w:rPr>
              <w:t xml:space="preserve"> </w:t>
            </w:r>
            <w:r>
              <w:rPr>
                <w:rFonts w:hint="eastAsia" w:ascii="仿宋" w:hAnsi="仿宋" w:cs="仿宋"/>
                <w:color w:val="000000" w:themeColor="text1"/>
                <w:szCs w:val="24"/>
                <w:highlight w:val="none"/>
                <w:lang w:eastAsia="zh-CN"/>
                <w14:textFill>
                  <w14:solidFill>
                    <w14:schemeClr w14:val="tx1"/>
                  </w14:solidFill>
                </w14:textFill>
              </w:rPr>
              <w:t>落实政府采购政策需满足的资格要求，上传对应的资格文件；</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pPr>
              <w:pStyle w:val="11"/>
              <w:ind w:firstLine="0" w:firstLineChars="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1、具有独立承担民事责任的能力</w:t>
            </w:r>
          </w:p>
        </w:tc>
        <w:tc>
          <w:tcPr>
            <w:tcW w:w="7508"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kern w:val="2"/>
                <w:highlight w:val="none"/>
                <w:lang w:eastAsia="zh-CN"/>
                <w14:textFill>
                  <w14:solidFill>
                    <w14:schemeClr w14:val="tx1"/>
                  </w14:solidFill>
                </w14:textFill>
              </w:rPr>
              <w:t>供应商</w:t>
            </w:r>
            <w:r>
              <w:rPr>
                <w:rFonts w:hint="eastAsia" w:ascii="仿宋" w:hAnsi="仿宋" w:cs="仿宋"/>
                <w:color w:val="000000" w:themeColor="text1"/>
                <w:szCs w:val="24"/>
                <w:highlight w:val="none"/>
                <w:lang w:eastAsia="zh-CN"/>
                <w14:textFill>
                  <w14:solidFill>
                    <w14:schemeClr w14:val="tx1"/>
                  </w14:solidFill>
                </w14:textFill>
              </w:rPr>
              <w:t>为企业法人应提供合法有效的标识有统一社会信用代码的营业执照；事业法人应提供事业单位法人证书；其他组织应提供合法登记证明文件；自然人提供身份证明文件；</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pPr>
              <w:pStyle w:val="11"/>
              <w:ind w:firstLine="0" w:firstLineChars="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2、社会保障资金缴纳证明</w:t>
            </w:r>
          </w:p>
        </w:tc>
        <w:tc>
          <w:tcPr>
            <w:tcW w:w="7508"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kern w:val="2"/>
                <w:highlight w:val="none"/>
                <w:lang w:eastAsia="zh-CN"/>
                <w14:textFill>
                  <w14:solidFill>
                    <w14:schemeClr w14:val="tx1"/>
                  </w14:solidFill>
                </w14:textFill>
              </w:rPr>
              <w:t>供应商</w:t>
            </w:r>
            <w:r>
              <w:rPr>
                <w:rFonts w:hint="eastAsia" w:ascii="仿宋" w:hAnsi="仿宋" w:cs="仿宋"/>
                <w:color w:val="000000" w:themeColor="text1"/>
                <w:szCs w:val="24"/>
                <w:highlight w:val="none"/>
                <w:lang w:eastAsia="zh-CN"/>
                <w14:textFill>
                  <w14:solidFill>
                    <w14:schemeClr w14:val="tx1"/>
                  </w14:solidFill>
                </w14:textFill>
              </w:rPr>
              <w:t>提供近半年内已缴存的至少一个月的社会保障资金缴存单据或社保机构开具的社会保险参保缴费情况证明，依法不需要缴纳社会保障资金的投标人应提供相关文件证明；</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pPr>
              <w:pStyle w:val="11"/>
              <w:ind w:firstLine="0"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3、</w:t>
            </w:r>
            <w:r>
              <w:rPr>
                <w:rFonts w:hint="eastAsia" w:ascii="仿宋" w:hAnsi="仿宋" w:cs="仿宋"/>
                <w:color w:val="000000" w:themeColor="text1"/>
                <w:szCs w:val="24"/>
                <w:highlight w:val="none"/>
                <w14:textFill>
                  <w14:solidFill>
                    <w14:schemeClr w14:val="tx1"/>
                  </w14:solidFill>
                </w14:textFill>
              </w:rPr>
              <w:t>财务状况报告</w:t>
            </w:r>
          </w:p>
        </w:tc>
        <w:tc>
          <w:tcPr>
            <w:tcW w:w="7508"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kern w:val="2"/>
                <w:highlight w:val="none"/>
                <w:lang w:eastAsia="zh-CN"/>
                <w14:textFill>
                  <w14:solidFill>
                    <w14:schemeClr w14:val="tx1"/>
                  </w14:solidFill>
                </w14:textFill>
              </w:rPr>
              <w:t>供应商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pPr>
              <w:pStyle w:val="11"/>
              <w:ind w:firstLine="0"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4、</w:t>
            </w:r>
            <w:r>
              <w:rPr>
                <w:rFonts w:hint="eastAsia" w:ascii="仿宋" w:hAnsi="仿宋" w:cs="仿宋"/>
                <w:color w:val="000000" w:themeColor="text1"/>
                <w:szCs w:val="24"/>
                <w:highlight w:val="none"/>
                <w14:textFill>
                  <w14:solidFill>
                    <w14:schemeClr w14:val="tx1"/>
                  </w14:solidFill>
                </w14:textFill>
              </w:rPr>
              <w:t>税收缴纳证明</w:t>
            </w:r>
          </w:p>
        </w:tc>
        <w:tc>
          <w:tcPr>
            <w:tcW w:w="7508" w:type="dxa"/>
            <w:vAlign w:val="center"/>
          </w:tcPr>
          <w:p>
            <w:pPr>
              <w:pStyle w:val="20"/>
              <w:ind w:firstLine="48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供应商提供近半年内已缴纳的至少一个月的纳税证明或完税证明，纳税证明或完税证明上应有代收机构或税务机关的公章，依法免税的供应商应提供相关文件证明；</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pPr>
              <w:pStyle w:val="11"/>
              <w:ind w:firstLine="0" w:firstLineChars="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5、提供无重大违法记录声明书</w:t>
            </w:r>
          </w:p>
        </w:tc>
        <w:tc>
          <w:tcPr>
            <w:tcW w:w="7508"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kern w:val="2"/>
                <w:highlight w:val="none"/>
                <w:lang w:eastAsia="zh-CN"/>
                <w14:textFill>
                  <w14:solidFill>
                    <w14:schemeClr w14:val="tx1"/>
                  </w14:solidFill>
                </w14:textFill>
              </w:rPr>
              <w:t>供应商应具备良好的商业信誉，提供参加政府采购活动前3年内在经营活动中没有重大违法记录的书面声明；</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515" w:type="dxa"/>
            <w:vAlign w:val="center"/>
          </w:tcPr>
          <w:p>
            <w:pPr>
              <w:pStyle w:val="11"/>
              <w:ind w:firstLine="0" w:firstLineChars="0"/>
              <w:rPr>
                <w:rFonts w:ascii="仿宋" w:hAnsi="仿宋" w:cs="仿宋"/>
                <w:color w:val="000000" w:themeColor="text1"/>
                <w:szCs w:val="24"/>
                <w:highlight w:val="none"/>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6、</w:t>
            </w:r>
            <w:r>
              <w:rPr>
                <w:rFonts w:hint="eastAsia" w:ascii="仿宋" w:hAnsi="仿宋" w:cs="仿宋"/>
                <w:color w:val="000000" w:themeColor="text1"/>
                <w:szCs w:val="24"/>
                <w:highlight w:val="none"/>
                <w14:textFill>
                  <w14:solidFill>
                    <w14:schemeClr w14:val="tx1"/>
                  </w14:solidFill>
                </w14:textFill>
              </w:rPr>
              <w:t>投标保证金</w:t>
            </w:r>
          </w:p>
        </w:tc>
        <w:tc>
          <w:tcPr>
            <w:tcW w:w="7508"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是否按照投标须知要求金额递交了投标保证金，并提供了投标</w:t>
            </w:r>
            <w:r>
              <w:rPr>
                <w:rFonts w:hint="eastAsia" w:ascii="仿宋" w:hAnsi="仿宋" w:cs="仿宋"/>
                <w:color w:val="000000" w:themeColor="text1"/>
                <w:kern w:val="2"/>
                <w:highlight w:val="none"/>
                <w:lang w:eastAsia="zh-CN"/>
                <w14:textFill>
                  <w14:solidFill>
                    <w14:schemeClr w14:val="tx1"/>
                  </w14:solidFill>
                </w14:textFill>
              </w:rPr>
              <w:t>保证金缴纳凭证；</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dxa"/>
            <w:vAlign w:val="center"/>
          </w:tcPr>
          <w:p>
            <w:pPr>
              <w:pStyle w:val="11"/>
              <w:ind w:firstLine="0" w:firstLineChars="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7、信用中国”网站和“中国政府采购网”查询结果</w:t>
            </w:r>
          </w:p>
        </w:tc>
        <w:tc>
          <w:tcPr>
            <w:tcW w:w="7508"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查询1、被列入失信被执行人；2、重大税收违法案件当事人名单；3、</w:t>
            </w:r>
            <w:r>
              <w:rPr>
                <w:rFonts w:hint="eastAsia" w:ascii="仿宋" w:hAnsi="仿宋" w:cs="仿宋"/>
                <w:color w:val="000000" w:themeColor="text1"/>
                <w:szCs w:val="24"/>
                <w:highlight w:val="none"/>
                <w14:textFill>
                  <w14:solidFill>
                    <w14:schemeClr w14:val="tx1"/>
                  </w14:solidFill>
                </w14:textFill>
              </w:rPr>
              <w:fldChar w:fldCharType="begin"/>
            </w:r>
            <w:r>
              <w:rPr>
                <w:rFonts w:hint="eastAsia" w:ascii="仿宋" w:hAnsi="仿宋" w:cs="仿宋"/>
                <w:color w:val="000000" w:themeColor="text1"/>
                <w:szCs w:val="24"/>
                <w:highlight w:val="none"/>
                <w:lang w:eastAsia="zh-CN"/>
                <w14:textFill>
                  <w14:solidFill>
                    <w14:schemeClr w14:val="tx1"/>
                  </w14:solidFill>
                </w14:textFill>
              </w:rPr>
              <w:instrText xml:space="preserve"> HYPERLINK "http://www.ccgp.gov.cn/search/cr/" \o "政府采购严重违法失信行为记录名单" </w:instrText>
            </w:r>
            <w:r>
              <w:rPr>
                <w:rFonts w:hint="eastAsia" w:ascii="仿宋" w:hAnsi="仿宋" w:cs="仿宋"/>
                <w:color w:val="000000" w:themeColor="text1"/>
                <w:szCs w:val="24"/>
                <w:highlight w:val="none"/>
                <w14:textFill>
                  <w14:solidFill>
                    <w14:schemeClr w14:val="tx1"/>
                  </w14:solidFill>
                </w14:textFill>
              </w:rPr>
              <w:fldChar w:fldCharType="separate"/>
            </w:r>
            <w:r>
              <w:rPr>
                <w:rFonts w:hint="eastAsia" w:ascii="仿宋" w:hAnsi="仿宋" w:cs="仿宋"/>
                <w:color w:val="000000" w:themeColor="text1"/>
                <w:szCs w:val="24"/>
                <w:highlight w:val="none"/>
                <w:lang w:eastAsia="zh-CN"/>
                <w14:textFill>
                  <w14:solidFill>
                    <w14:schemeClr w14:val="tx1"/>
                  </w14:solidFill>
                </w14:textFill>
              </w:rPr>
              <w:t>政府采购严重违法失信行为记录名单</w:t>
            </w:r>
            <w:r>
              <w:rPr>
                <w:rFonts w:hint="eastAsia" w:ascii="仿宋" w:hAnsi="仿宋" w:cs="仿宋"/>
                <w:color w:val="000000" w:themeColor="text1"/>
                <w:szCs w:val="24"/>
                <w:highlight w:val="none"/>
                <w14:textFill>
                  <w14:solidFill>
                    <w14:schemeClr w14:val="tx1"/>
                  </w14:solidFill>
                </w14:textFill>
              </w:rPr>
              <w:fldChar w:fldCharType="end"/>
            </w:r>
            <w:r>
              <w:rPr>
                <w:rFonts w:hint="eastAsia" w:ascii="仿宋" w:hAnsi="仿宋" w:cs="仿宋"/>
                <w:color w:val="000000" w:themeColor="text1"/>
                <w:szCs w:val="24"/>
                <w:highlight w:val="none"/>
                <w:lang w:eastAsia="zh-CN"/>
                <w14:textFill>
                  <w14:solidFill>
                    <w14:schemeClr w14:val="tx1"/>
                  </w14:solidFill>
                </w14:textFill>
              </w:rPr>
              <w:t>（网页打印件须自招标文件发布之日起至首次提交响应性文件截止时间止从上述网站中打印）。</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15" w:type="dxa"/>
            <w:vAlign w:val="center"/>
          </w:tcPr>
          <w:p>
            <w:pPr>
              <w:pStyle w:val="11"/>
              <w:ind w:firstLine="0" w:firstLineChars="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8、不参与围标串标承诺书</w:t>
            </w:r>
          </w:p>
        </w:tc>
        <w:tc>
          <w:tcPr>
            <w:tcW w:w="7508"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r>
              <w:rPr>
                <w:rFonts w:hint="eastAsia" w:ascii="仿宋" w:hAnsi="仿宋" w:cs="仿宋"/>
                <w:color w:val="000000" w:themeColor="text1"/>
                <w:szCs w:val="24"/>
                <w:highlight w:val="none"/>
                <w:lang w:eastAsia="zh-CN"/>
                <w14:textFill>
                  <w14:solidFill>
                    <w14:schemeClr w14:val="tx1"/>
                  </w14:solidFill>
                </w14:textFill>
              </w:rPr>
              <w:t>提供不参与围标串标承诺书</w:t>
            </w:r>
          </w:p>
        </w:tc>
        <w:tc>
          <w:tcPr>
            <w:tcW w:w="899" w:type="dxa"/>
            <w:vAlign w:val="center"/>
          </w:tcPr>
          <w:p>
            <w:pPr>
              <w:pStyle w:val="11"/>
              <w:ind w:firstLine="480"/>
              <w:rPr>
                <w:rFonts w:ascii="仿宋" w:hAnsi="仿宋" w:cs="仿宋"/>
                <w:color w:val="000000" w:themeColor="text1"/>
                <w:szCs w:val="24"/>
                <w:highlight w:val="none"/>
                <w:lang w:eastAsia="zh-CN"/>
                <w14:textFill>
                  <w14:solidFill>
                    <w14:schemeClr w14:val="tx1"/>
                  </w14:solidFill>
                </w14:textFill>
              </w:rPr>
            </w:pPr>
          </w:p>
        </w:tc>
      </w:tr>
    </w:tbl>
    <w:p>
      <w:pPr>
        <w:pStyle w:val="11"/>
        <w:ind w:firstLine="560"/>
        <w:rPr>
          <w:rFonts w:ascii="仿宋" w:hAnsi="仿宋" w:cs="仿宋"/>
          <w:color w:val="000000" w:themeColor="text1"/>
          <w:sz w:val="24"/>
          <w:szCs w:val="24"/>
          <w:highlight w:val="none"/>
          <w:lang w:eastAsia="zh-CN"/>
          <w14:textFill>
            <w14:solidFill>
              <w14:schemeClr w14:val="tx1"/>
            </w14:solidFill>
          </w14:textFill>
        </w:rPr>
      </w:pPr>
      <w:r>
        <w:rPr>
          <w:rFonts w:hint="eastAsia" w:ascii="仿宋" w:hAnsi="仿宋" w:cs="仿宋"/>
          <w:color w:val="000000" w:themeColor="text1"/>
          <w:sz w:val="24"/>
          <w:szCs w:val="24"/>
          <w:highlight w:val="none"/>
          <w:lang w:eastAsia="zh-CN"/>
          <w14:textFill>
            <w14:solidFill>
              <w14:schemeClr w14:val="tx1"/>
            </w14:solidFill>
          </w14:textFill>
        </w:rPr>
        <w:t>注：如果供应商提供的响应文件中资格审查有一项未通过上述审查标准，评标委员会将认定整个响应文件不响应招标文件而予以废标，并且不允许供应商通过修改或撤销其不符合要求的差异或保留，使之成为具有响应性的竞标。</w:t>
      </w:r>
    </w:p>
    <w:p>
      <w:pPr>
        <w:jc w:val="center"/>
        <w:rPr>
          <w:rFonts w:hint="eastAsia" w:ascii="仿宋" w:hAnsi="仿宋" w:cs="仿宋"/>
          <w:b/>
          <w:bCs/>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r>
        <w:rPr>
          <w:rFonts w:hint="eastAsia" w:ascii="仿宋" w:hAnsi="仿宋" w:cs="仿宋"/>
          <w:b/>
          <w:bCs/>
          <w:color w:val="000000" w:themeColor="text1"/>
          <w:highlight w:val="none"/>
          <w:lang w:eastAsia="zh-CN"/>
          <w14:textFill>
            <w14:solidFill>
              <w14:schemeClr w14:val="tx1"/>
            </w14:solidFill>
          </w14:textFill>
        </w:rPr>
        <w:t>（二）符合性审查表</w:t>
      </w:r>
    </w:p>
    <w:p>
      <w:pPr>
        <w:ind w:firstLine="480"/>
        <w:rPr>
          <w:rFonts w:ascii="仿宋" w:hAnsi="仿宋" w:cs="仿宋"/>
          <w:color w:val="000000" w:themeColor="text1"/>
          <w:highlight w:val="none"/>
          <w:lang w:eastAsia="zh-CN"/>
          <w14:textFill>
            <w14:solidFill>
              <w14:schemeClr w14:val="tx1"/>
            </w14:solidFill>
          </w14:textFill>
        </w:rPr>
      </w:pPr>
    </w:p>
    <w:tbl>
      <w:tblPr>
        <w:tblStyle w:val="23"/>
        <w:tblW w:w="9854" w:type="dxa"/>
        <w:jc w:val="center"/>
        <w:tblLayout w:type="fixed"/>
        <w:tblCellMar>
          <w:top w:w="0" w:type="dxa"/>
          <w:left w:w="10" w:type="dxa"/>
          <w:bottom w:w="0" w:type="dxa"/>
          <w:right w:w="10" w:type="dxa"/>
        </w:tblCellMar>
      </w:tblPr>
      <w:tblGrid>
        <w:gridCol w:w="1225"/>
        <w:gridCol w:w="700"/>
        <w:gridCol w:w="7929"/>
      </w:tblGrid>
      <w:tr>
        <w:trPr>
          <w:trHeight w:val="1074" w:hRule="exact"/>
          <w:jc w:val="center"/>
        </w:trPr>
        <w:tc>
          <w:tcPr>
            <w:tcW w:w="1225" w:type="dxa"/>
            <w:vMerge w:val="restart"/>
            <w:tcBorders>
              <w:top w:val="single" w:color="auto" w:sz="4" w:space="0"/>
              <w:left w:val="single" w:color="auto" w:sz="4" w:space="0"/>
              <w:bottom w:val="nil"/>
              <w:right w:val="single" w:color="auto" w:sz="4" w:space="0"/>
            </w:tcBorders>
            <w:shd w:val="clear" w:color="auto" w:fill="FFFFFF"/>
            <w:vAlign w:val="bottom"/>
          </w:tcPr>
          <w:p>
            <w:pPr>
              <w:pStyle w:val="47"/>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符合性</w:t>
            </w:r>
            <w:r>
              <w:rPr>
                <w:rFonts w:hint="eastAsia" w:ascii="仿宋" w:hAnsi="仿宋" w:eastAsia="仿宋" w:cs="仿宋"/>
                <w:color w:val="000000" w:themeColor="text1"/>
                <w:highlight w:val="none"/>
                <w14:textFill>
                  <w14:solidFill>
                    <w14:schemeClr w14:val="tx1"/>
                  </w14:solidFill>
                </w14:textFill>
              </w:rPr>
              <w:t>审查</w:t>
            </w:r>
          </w:p>
          <w:p>
            <w:pPr>
              <w:pStyle w:val="47"/>
              <w:ind w:firstLine="480"/>
              <w:jc w:val="center"/>
              <w:rPr>
                <w:rFonts w:ascii="仿宋" w:hAnsi="仿宋" w:eastAsia="仿宋" w:cs="仿宋"/>
                <w:color w:val="000000" w:themeColor="text1"/>
                <w:highlight w:val="none"/>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7929" w:type="dxa"/>
            <w:tcBorders>
              <w:top w:val="single" w:color="auto" w:sz="4" w:space="0"/>
              <w:left w:val="single" w:color="auto" w:sz="4" w:space="0"/>
              <w:right w:val="single" w:color="auto" w:sz="4" w:space="0"/>
            </w:tcBorders>
            <w:shd w:val="clear" w:color="auto" w:fill="FFFFFF"/>
            <w:vAlign w:val="center"/>
          </w:tcPr>
          <w:p>
            <w:pPr>
              <w:pStyle w:val="61"/>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一份投标文件应只有一个投标报价，在招标文件没有规定的情况下，未提交选择性的报价；</w:t>
            </w:r>
          </w:p>
        </w:tc>
      </w:tr>
      <w:tr>
        <w:trPr>
          <w:trHeight w:val="648"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7929" w:type="dxa"/>
            <w:tcBorders>
              <w:top w:val="single" w:color="auto" w:sz="4" w:space="0"/>
              <w:left w:val="single" w:color="auto" w:sz="4" w:space="0"/>
              <w:right w:val="single" w:color="auto" w:sz="4" w:space="0"/>
            </w:tcBorders>
            <w:shd w:val="clear" w:color="auto" w:fill="FFFFFF"/>
            <w:vAlign w:val="center"/>
          </w:tcPr>
          <w:p>
            <w:pPr>
              <w:pStyle w:val="61"/>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投标人的投标报价未超出最高投标限价；</w:t>
            </w:r>
          </w:p>
        </w:tc>
      </w:tr>
      <w:tr>
        <w:tblPrEx>
          <w:tblCellMar>
            <w:top w:w="0" w:type="dxa"/>
            <w:left w:w="10" w:type="dxa"/>
            <w:bottom w:w="0" w:type="dxa"/>
            <w:right w:w="10" w:type="dxa"/>
          </w:tblCellMar>
        </w:tblPrEx>
        <w:trPr>
          <w:trHeight w:val="914" w:hRule="exact"/>
          <w:jc w:val="center"/>
        </w:trPr>
        <w:tc>
          <w:tcPr>
            <w:tcW w:w="1225" w:type="dxa"/>
            <w:vMerge w:val="continue"/>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投标文件在要求加盖投标人章、法定代表人章或授权代理人章处签字或盖章</w:t>
            </w:r>
            <w:r>
              <w:rPr>
                <w:rFonts w:hint="eastAsia" w:ascii="仿宋" w:hAnsi="仿宋" w:cs="仿宋"/>
                <w:bCs/>
                <w:color w:val="000000" w:themeColor="text1"/>
                <w:highlight w:val="none"/>
                <w:lang w:eastAsia="zh-CN"/>
                <w14:textFill>
                  <w14:solidFill>
                    <w14:schemeClr w14:val="tx1"/>
                  </w14:solidFill>
                </w14:textFill>
              </w:rPr>
              <w:t>；</w:t>
            </w:r>
          </w:p>
        </w:tc>
      </w:tr>
      <w:tr>
        <w:tblPrEx>
          <w:tblCellMar>
            <w:top w:w="0" w:type="dxa"/>
            <w:left w:w="10" w:type="dxa"/>
            <w:bottom w:w="0" w:type="dxa"/>
            <w:right w:w="10" w:type="dxa"/>
          </w:tblCellMar>
        </w:tblPrEx>
        <w:trPr>
          <w:trHeight w:val="914" w:hRule="exact"/>
          <w:jc w:val="center"/>
        </w:trPr>
        <w:tc>
          <w:tcPr>
            <w:tcW w:w="1225" w:type="dxa"/>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4</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响应文件未附有招标人不能接受的条款；</w:t>
            </w:r>
          </w:p>
        </w:tc>
      </w:tr>
      <w:tr>
        <w:tblPrEx>
          <w:tblCellMar>
            <w:top w:w="0" w:type="dxa"/>
            <w:left w:w="10" w:type="dxa"/>
            <w:bottom w:w="0" w:type="dxa"/>
            <w:right w:w="10" w:type="dxa"/>
          </w:tblCellMar>
        </w:tblPrEx>
        <w:trPr>
          <w:trHeight w:val="730" w:hRule="exact"/>
          <w:jc w:val="center"/>
        </w:trPr>
        <w:tc>
          <w:tcPr>
            <w:tcW w:w="1225" w:type="dxa"/>
            <w:tcBorders>
              <w:top w:val="nil"/>
              <w:left w:val="single" w:color="auto" w:sz="4" w:space="0"/>
              <w:bottom w:val="nil"/>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5</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投标文件未按招标文件要求编制，内容不全或字迹模糊、辨认不清的；</w:t>
            </w:r>
          </w:p>
        </w:tc>
      </w:tr>
      <w:tr>
        <w:tblPrEx>
          <w:tblCellMar>
            <w:top w:w="0" w:type="dxa"/>
            <w:left w:w="10" w:type="dxa"/>
            <w:bottom w:w="0" w:type="dxa"/>
            <w:right w:w="10" w:type="dxa"/>
          </w:tblCellMar>
        </w:tblPrEx>
        <w:trPr>
          <w:trHeight w:val="730" w:hRule="exact"/>
          <w:jc w:val="center"/>
        </w:trPr>
        <w:tc>
          <w:tcPr>
            <w:tcW w:w="1225" w:type="dxa"/>
            <w:vMerge w:val="restart"/>
            <w:tcBorders>
              <w:top w:val="nil"/>
              <w:left w:val="single" w:color="auto" w:sz="4" w:space="0"/>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6</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本项目服务期须满足招标文件要求；</w:t>
            </w:r>
          </w:p>
        </w:tc>
      </w:tr>
      <w:tr>
        <w:tblPrEx>
          <w:tblCellMar>
            <w:top w:w="0" w:type="dxa"/>
            <w:left w:w="10" w:type="dxa"/>
            <w:bottom w:w="0" w:type="dxa"/>
            <w:right w:w="10" w:type="dxa"/>
          </w:tblCellMar>
        </w:tblPrEx>
        <w:trPr>
          <w:trHeight w:val="780" w:hRule="exact"/>
          <w:jc w:val="center"/>
        </w:trPr>
        <w:tc>
          <w:tcPr>
            <w:tcW w:w="1225" w:type="dxa"/>
            <w:vMerge w:val="continue"/>
            <w:tcBorders>
              <w:left w:val="single" w:color="auto" w:sz="4" w:space="0"/>
              <w:right w:val="single" w:color="auto" w:sz="4" w:space="0"/>
            </w:tcBorders>
            <w:shd w:val="clear" w:color="auto" w:fill="FFFFFF"/>
            <w:vAlign w:val="bottom"/>
          </w:tcPr>
          <w:p>
            <w:pPr>
              <w:ind w:firstLine="480"/>
              <w:jc w:val="center"/>
              <w:rPr>
                <w:rFonts w:ascii="仿宋" w:hAnsi="仿宋" w:cs="仿宋"/>
                <w:color w:val="000000" w:themeColor="text1"/>
                <w:highlight w:val="none"/>
                <w:lang w:eastAsia="zh-CN"/>
                <w14:textFill>
                  <w14:solidFill>
                    <w14:schemeClr w14:val="tx1"/>
                  </w14:solidFill>
                </w14:textFill>
              </w:rPr>
            </w:pPr>
          </w:p>
        </w:tc>
        <w:tc>
          <w:tcPr>
            <w:tcW w:w="700" w:type="dxa"/>
            <w:tcBorders>
              <w:top w:val="single" w:color="auto" w:sz="4" w:space="0"/>
              <w:left w:val="single" w:color="auto" w:sz="4" w:space="0"/>
              <w:bottom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7</w:t>
            </w:r>
          </w:p>
        </w:tc>
        <w:tc>
          <w:tcPr>
            <w:tcW w:w="792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1"/>
              <w:ind w:firstLine="0" w:firstLineChars="0"/>
              <w:jc w:val="both"/>
              <w:rPr>
                <w:rFonts w:ascii="仿宋" w:hAnsi="仿宋" w:cs="仿宋"/>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投标文件出现重大偏差，未对公开招标文件进行实质性响应。</w:t>
            </w:r>
          </w:p>
        </w:tc>
      </w:tr>
      <w:tr>
        <w:tblPrEx>
          <w:tblCellMar>
            <w:top w:w="0" w:type="dxa"/>
            <w:left w:w="10" w:type="dxa"/>
            <w:bottom w:w="0" w:type="dxa"/>
            <w:right w:w="10" w:type="dxa"/>
          </w:tblCellMar>
        </w:tblPrEx>
        <w:trPr>
          <w:trHeight w:val="1870"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45"/>
              <w:spacing w:after="0" w:line="360" w:lineRule="auto"/>
              <w:ind w:firstLine="480"/>
              <w:jc w:val="both"/>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评标委员会签名：</w:t>
            </w:r>
          </w:p>
          <w:p>
            <w:pPr>
              <w:pStyle w:val="45"/>
              <w:spacing w:after="0" w:line="360" w:lineRule="auto"/>
              <w:ind w:firstLine="480"/>
              <w:jc w:val="both"/>
              <w:rPr>
                <w:rFonts w:ascii="仿宋" w:hAnsi="仿宋" w:eastAsia="仿宋" w:cs="仿宋"/>
                <w:color w:val="000000" w:themeColor="text1"/>
                <w:highlight w:val="none"/>
                <w:lang w:val="en-US" w:eastAsia="zh-CN"/>
                <w14:textFill>
                  <w14:solidFill>
                    <w14:schemeClr w14:val="tx1"/>
                  </w14:solidFill>
                </w14:textFill>
              </w:rPr>
            </w:pPr>
          </w:p>
          <w:p>
            <w:pPr>
              <w:pStyle w:val="61"/>
              <w:ind w:firstLine="480"/>
              <w:jc w:val="both"/>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年月日</w:t>
            </w:r>
          </w:p>
        </w:tc>
      </w:tr>
      <w:tr>
        <w:tblPrEx>
          <w:tblCellMar>
            <w:top w:w="0" w:type="dxa"/>
            <w:left w:w="10" w:type="dxa"/>
            <w:bottom w:w="0" w:type="dxa"/>
            <w:right w:w="10" w:type="dxa"/>
          </w:tblCellMar>
        </w:tblPrEx>
        <w:trPr>
          <w:trHeight w:val="2791" w:hRule="exact"/>
          <w:jc w:val="center"/>
        </w:trPr>
        <w:tc>
          <w:tcPr>
            <w:tcW w:w="9854"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numPr>
                <w:ilvl w:val="255"/>
                <w:numId w:val="0"/>
              </w:numP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说明：上述各项中用“√”表示通过，“×”表示不通过；</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（2）投标人请认真阅读和理解上述内容，避免投标文件中有违背上述审查标准之一的情况发生而造成投标被否决。</w:t>
            </w:r>
          </w:p>
        </w:tc>
      </w:tr>
    </w:tbl>
    <w:p>
      <w:pPr>
        <w:pStyle w:val="71"/>
        <w:ind w:left="2" w:right="1" w:firstLine="482"/>
        <w:jc w:val="center"/>
        <w:rPr>
          <w:rFonts w:hint="eastAsia" w:ascii="仿宋" w:hAnsi="仿宋" w:cs="仿宋"/>
          <w:color w:val="000000" w:themeColor="text1"/>
          <w:highlight w:val="none"/>
          <w:lang w:eastAsia="zh-CN"/>
          <w14:textFill>
            <w14:solidFill>
              <w14:schemeClr w14:val="tx1"/>
            </w14:solidFill>
          </w14:textFill>
        </w:rPr>
        <w:sectPr>
          <w:headerReference r:id="rId14" w:type="default"/>
          <w:footerReference r:id="rId16" w:type="default"/>
          <w:headerReference r:id="rId15" w:type="even"/>
          <w:footerReference r:id="rId17" w:type="even"/>
          <w:pgSz w:w="11900" w:h="16840"/>
          <w:pgMar w:top="1500" w:right="1403" w:bottom="1500" w:left="1344" w:header="0" w:footer="3" w:gutter="0"/>
          <w:cols w:space="720" w:num="1"/>
          <w:docGrid w:linePitch="360" w:charSpace="0"/>
        </w:sectPr>
      </w:pPr>
    </w:p>
    <w:p>
      <w:pPr>
        <w:pStyle w:val="71"/>
        <w:ind w:left="0" w:leftChars="0" w:right="1" w:firstLine="0" w:firstLineChars="0"/>
        <w:jc w:val="center"/>
        <w:rPr>
          <w:rFonts w:ascii="仿宋" w:hAnsi="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（三）</w:t>
      </w:r>
      <w:r>
        <w:rPr>
          <w:rFonts w:hint="eastAsia" w:ascii="仿宋" w:hAnsi="仿宋" w:cs="仿宋"/>
          <w:color w:val="000000" w:themeColor="text1"/>
          <w:highlight w:val="none"/>
          <w14:textFill>
            <w14:solidFill>
              <w14:schemeClr w14:val="tx1"/>
            </w14:solidFill>
          </w14:textFill>
        </w:rPr>
        <w:t>评审标准</w:t>
      </w:r>
    </w:p>
    <w:p>
      <w:pPr>
        <w:ind w:firstLine="562"/>
        <w:outlineLvl w:val="1"/>
        <w:rPr>
          <w:rFonts w:ascii="仿宋" w:hAnsi="仿宋" w:cs="宋体"/>
          <w:b/>
          <w:bCs/>
          <w:color w:val="000000" w:themeColor="text1"/>
          <w:sz w:val="28"/>
          <w:szCs w:val="28"/>
          <w:highlight w:val="none"/>
          <w14:textFill>
            <w14:solidFill>
              <w14:schemeClr w14:val="tx1"/>
            </w14:solidFill>
          </w14:textFill>
        </w:rPr>
      </w:pPr>
      <w:r>
        <w:rPr>
          <w:rFonts w:hint="eastAsia" w:ascii="仿宋" w:hAnsi="仿宋" w:cs="宋体"/>
          <w:b/>
          <w:bCs/>
          <w:color w:val="000000" w:themeColor="text1"/>
          <w:sz w:val="28"/>
          <w:szCs w:val="28"/>
          <w:highlight w:val="none"/>
          <w14:textFill>
            <w14:solidFill>
              <w14:schemeClr w14:val="tx1"/>
            </w14:solidFill>
          </w14:textFill>
        </w:rPr>
        <w:t>评分标准</w:t>
      </w:r>
    </w:p>
    <w:tbl>
      <w:tblPr>
        <w:tblStyle w:val="23"/>
        <w:tblW w:w="9854" w:type="dxa"/>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82"/>
        <w:gridCol w:w="6546"/>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4"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分值构成</w:t>
            </w:r>
          </w:p>
        </w:tc>
        <w:tc>
          <w:tcPr>
            <w:tcW w:w="8750" w:type="dxa"/>
            <w:gridSpan w:val="3"/>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1、报价得分10分；</w:t>
            </w:r>
          </w:p>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2、商务部分</w:t>
            </w:r>
            <w:r>
              <w:rPr>
                <w:rFonts w:hint="eastAsia" w:ascii="仿宋" w:hAnsi="仿宋" w:eastAsia="仿宋"/>
                <w:color w:val="000000" w:themeColor="text1"/>
                <w:kern w:val="2"/>
                <w:highlight w:val="none"/>
                <w:lang w:val="en-US" w:eastAsia="zh-CN"/>
                <w14:textFill>
                  <w14:solidFill>
                    <w14:schemeClr w14:val="tx1"/>
                  </w14:solidFill>
                </w14:textFill>
              </w:rPr>
              <w:t>32</w:t>
            </w:r>
            <w:r>
              <w:rPr>
                <w:rFonts w:hint="eastAsia" w:ascii="仿宋" w:hAnsi="仿宋" w:eastAsia="仿宋"/>
                <w:color w:val="000000" w:themeColor="text1"/>
                <w:kern w:val="2"/>
                <w:highlight w:val="none"/>
                <w14:textFill>
                  <w14:solidFill>
                    <w14:schemeClr w14:val="tx1"/>
                  </w14:solidFill>
                </w14:textFill>
              </w:rPr>
              <w:t>分；</w:t>
            </w:r>
          </w:p>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3、技术部分</w:t>
            </w:r>
            <w:r>
              <w:rPr>
                <w:rFonts w:hint="eastAsia" w:ascii="仿宋" w:hAnsi="仿宋" w:eastAsia="仿宋"/>
                <w:color w:val="000000" w:themeColor="text1"/>
                <w:kern w:val="2"/>
                <w:highlight w:val="none"/>
                <w:lang w:val="en-US" w:eastAsia="zh-CN"/>
                <w14:textFill>
                  <w14:solidFill>
                    <w14:schemeClr w14:val="tx1"/>
                  </w14:solidFill>
                </w14:textFill>
              </w:rPr>
              <w:t>58</w:t>
            </w:r>
            <w:r>
              <w:rPr>
                <w:rFonts w:hint="eastAsia" w:ascii="仿宋" w:hAnsi="仿宋" w:eastAsia="仿宋"/>
                <w:color w:val="000000" w:themeColor="text1"/>
                <w:kern w:val="2"/>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04"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项目</w:t>
            </w:r>
          </w:p>
        </w:tc>
        <w:tc>
          <w:tcPr>
            <w:tcW w:w="98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both"/>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分项名称</w:t>
            </w:r>
          </w:p>
        </w:tc>
        <w:tc>
          <w:tcPr>
            <w:tcW w:w="6546"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480"/>
              <w:jc w:val="center"/>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评分标准</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04"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价格部分（10分）</w:t>
            </w:r>
          </w:p>
        </w:tc>
        <w:tc>
          <w:tcPr>
            <w:tcW w:w="98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both"/>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投标报价</w:t>
            </w:r>
          </w:p>
        </w:tc>
        <w:tc>
          <w:tcPr>
            <w:tcW w:w="6546" w:type="dxa"/>
            <w:tcBorders>
              <w:top w:val="single" w:color="auto" w:sz="4" w:space="0"/>
              <w:left w:val="single" w:color="auto" w:sz="4" w:space="0"/>
              <w:bottom w:val="single" w:color="auto" w:sz="4" w:space="0"/>
              <w:right w:val="single" w:color="auto" w:sz="4" w:space="0"/>
            </w:tcBorders>
          </w:tcPr>
          <w:p>
            <w:pPr>
              <w:ind w:firstLine="480"/>
              <w:rPr>
                <w:rFonts w:ascii="仿宋_GB2312" w:hAnsi="Songti SC Regular" w:eastAsia="仿宋_GB2312" w:cs="Songti SC Regular"/>
                <w:color w:val="000000" w:themeColor="text1"/>
                <w:highlight w:val="none"/>
                <w:lang w:eastAsia="zh-CN"/>
                <w14:textFill>
                  <w14:solidFill>
                    <w14:schemeClr w14:val="tx1"/>
                  </w14:solidFill>
                </w14:textFill>
              </w:rPr>
            </w:pPr>
            <w:r>
              <w:rPr>
                <w:rFonts w:hint="eastAsia" w:ascii="仿宋_GB2312" w:hAnsi="Songti SC Regular" w:eastAsia="仿宋_GB2312" w:cs="Songti SC Regular"/>
                <w:color w:val="000000" w:themeColor="text1"/>
                <w:highlight w:val="none"/>
                <w:lang w:eastAsia="zh-CN"/>
                <w14:textFill>
                  <w14:solidFill>
                    <w14:schemeClr w14:val="tx1"/>
                  </w14:solidFill>
                </w14:textFill>
              </w:rPr>
              <w:t>1.</w:t>
            </w:r>
            <w:r>
              <w:rPr>
                <w:rFonts w:hint="eastAsia" w:ascii="仿宋_GB2312" w:hAnsi="微软雅黑" w:eastAsia="仿宋_GB2312" w:cs="微软雅黑"/>
                <w:color w:val="000000" w:themeColor="text1"/>
                <w:highlight w:val="none"/>
                <w:lang w:eastAsia="zh-CN"/>
                <w14:textFill>
                  <w14:solidFill>
                    <w14:schemeClr w14:val="tx1"/>
                  </w14:solidFill>
                </w14:textFill>
              </w:rPr>
              <w:t>评标基准价</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eastAsia="zh-CN"/>
                <w14:textFill>
                  <w14:solidFill>
                    <w14:schemeClr w14:val="tx1"/>
                  </w14:solidFill>
                </w14:textFill>
              </w:rPr>
              <w:t>满足招标文件全部实质性要求且投标报价最低的投标报价为评标基准价</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eastAsia="zh-CN"/>
                <w14:textFill>
                  <w14:solidFill>
                    <w14:schemeClr w14:val="tx1"/>
                  </w14:solidFill>
                </w14:textFill>
              </w:rPr>
              <w:t>评标基准价为满分</w:t>
            </w:r>
            <w:r>
              <w:rPr>
                <w:rFonts w:hint="eastAsia" w:ascii="仿宋_GB2312" w:hAnsi="Songti SC Regular" w:eastAsia="仿宋_GB2312" w:cs="Songti SC Regular"/>
                <w:color w:val="000000" w:themeColor="text1"/>
                <w:highlight w:val="none"/>
                <w:lang w:eastAsia="zh-CN"/>
                <w14:textFill>
                  <w14:solidFill>
                    <w14:schemeClr w14:val="tx1"/>
                  </w14:solidFill>
                </w14:textFill>
              </w:rPr>
              <w:t>10。</w:t>
            </w:r>
          </w:p>
          <w:p>
            <w:pPr>
              <w:ind w:firstLine="480"/>
              <w:rPr>
                <w:rFonts w:ascii="仿宋" w:hAnsi="仿宋" w:cs="宋体"/>
                <w:color w:val="000000" w:themeColor="text1"/>
                <w:highlight w:val="none"/>
                <w:lang w:eastAsia="zh-CN"/>
                <w14:textFill>
                  <w14:solidFill>
                    <w14:schemeClr w14:val="tx1"/>
                  </w14:solidFill>
                </w14:textFill>
              </w:rPr>
            </w:pPr>
            <w:r>
              <w:rPr>
                <w:rFonts w:hint="eastAsia" w:ascii="仿宋_GB2312" w:hAnsi="Songti SC Regular" w:eastAsia="仿宋_GB2312" w:cs="Songti SC Regular"/>
                <w:color w:val="000000" w:themeColor="text1"/>
                <w:highlight w:val="none"/>
                <w:lang w:eastAsia="zh-CN"/>
                <w14:textFill>
                  <w14:solidFill>
                    <w14:schemeClr w14:val="tx1"/>
                  </w14:solidFill>
                </w14:textFill>
              </w:rPr>
              <w:t>2.</w:t>
            </w:r>
            <w:r>
              <w:rPr>
                <w:rFonts w:hint="eastAsia" w:ascii="仿宋_GB2312" w:hAnsi="微软雅黑" w:eastAsia="仿宋_GB2312" w:cs="微软雅黑"/>
                <w:color w:val="000000" w:themeColor="text1"/>
                <w:highlight w:val="none"/>
                <w:lang w:eastAsia="zh-CN"/>
                <w14:textFill>
                  <w14:solidFill>
                    <w14:schemeClr w14:val="tx1"/>
                  </w14:solidFill>
                </w14:textFill>
              </w:rPr>
              <w:t>其他合格投标人的投标报价得分按照下列公式计算</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eastAsia="zh-CN"/>
                <w14:textFill>
                  <w14:solidFill>
                    <w14:schemeClr w14:val="tx1"/>
                  </w14:solidFill>
                </w14:textFill>
              </w:rPr>
              <w:t>投标报价得分</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eastAsia="zh-CN"/>
                <w14:textFill>
                  <w14:solidFill>
                    <w14:schemeClr w14:val="tx1"/>
                  </w14:solidFill>
                </w14:textFill>
              </w:rPr>
              <w:t>评标基准价</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eastAsia="zh-CN"/>
                <w14:textFill>
                  <w14:solidFill>
                    <w14:schemeClr w14:val="tx1"/>
                  </w14:solidFill>
                </w14:textFill>
              </w:rPr>
              <w:t>投标报价</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r>
              <w:rPr>
                <w:rFonts w:hint="eastAsia" w:ascii="仿宋_GB2312" w:hAnsi="Songti SC Regular" w:eastAsia="仿宋_GB2312" w:cs="Songti SC Regular"/>
                <w:color w:val="000000" w:themeColor="text1"/>
                <w:highlight w:val="none"/>
                <w:lang w:eastAsia="zh-CN"/>
                <w14:textFill>
                  <w14:solidFill>
                    <w14:schemeClr w14:val="tx1"/>
                  </w14:solidFill>
                </w14:textFill>
              </w:rPr>
              <w:t>10。</w:t>
            </w:r>
            <w:r>
              <w:rPr>
                <w:rFonts w:hint="eastAsia" w:ascii="仿宋_GB2312" w:hAnsi="微软雅黑" w:eastAsia="仿宋_GB2312" w:cs="微软雅黑"/>
                <w:color w:val="000000" w:themeColor="text1"/>
                <w:highlight w:val="none"/>
                <w:lang w:eastAsia="zh-CN"/>
                <w14:textFill>
                  <w14:solidFill>
                    <w14:schemeClr w14:val="tx1"/>
                  </w14:solidFill>
                </w14:textFill>
              </w:rPr>
              <w:t>得分保留至小数点后两位</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eastAsia="zh-CN"/>
                <w14:textFill>
                  <w14:solidFill>
                    <w14:schemeClr w14:val="tx1"/>
                  </w14:solidFill>
                </w14:textFill>
              </w:rPr>
              <w:t>第三位四舍五入</w:t>
            </w:r>
            <w:r>
              <w:rPr>
                <w:rFonts w:hint="eastAsia" w:ascii="仿宋_GB2312" w:hAnsi="Malgun Gothic Semilight" w:eastAsia="仿宋_GB2312" w:cs="Malgun Gothic Semilight"/>
                <w:color w:val="000000" w:themeColor="text1"/>
                <w:highlight w:val="none"/>
                <w:lang w:eastAsia="zh-CN"/>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854" w:type="dxa"/>
            <w:gridSpan w:val="4"/>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本项目对小型和微型企业产品的价格、监狱企业、残疾人福利性单位投标的价格给予10%的扣除，用扣除后的价格参与评审。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Borders>
              <w:top w:val="single" w:color="auto" w:sz="4" w:space="0"/>
              <w:left w:val="single" w:color="auto" w:sz="4" w:space="0"/>
              <w:right w:val="single" w:color="auto" w:sz="4" w:space="0"/>
            </w:tcBorders>
            <w:vAlign w:val="center"/>
          </w:tcPr>
          <w:p>
            <w:pPr>
              <w:pStyle w:val="20"/>
              <w:adjustRightInd w:val="0"/>
              <w:snapToGrid w:val="0"/>
              <w:ind w:firstLine="0" w:firstLineChars="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商务部分（</w:t>
            </w:r>
            <w:r>
              <w:rPr>
                <w:rFonts w:hint="eastAsia" w:ascii="仿宋" w:hAnsi="仿宋" w:eastAsia="仿宋"/>
                <w:color w:val="000000" w:themeColor="text1"/>
                <w:kern w:val="2"/>
                <w:highlight w:val="none"/>
                <w:lang w:val="en-US" w:eastAsia="zh-CN"/>
                <w14:textFill>
                  <w14:solidFill>
                    <w14:schemeClr w14:val="tx1"/>
                  </w14:solidFill>
                </w14:textFill>
              </w:rPr>
              <w:t>32</w:t>
            </w:r>
            <w:r>
              <w:rPr>
                <w:rFonts w:hint="eastAsia" w:ascii="仿宋" w:hAnsi="仿宋" w:eastAsia="仿宋"/>
                <w:color w:val="000000" w:themeColor="text1"/>
                <w:kern w:val="2"/>
                <w:highlight w:val="none"/>
                <w14:textFill>
                  <w14:solidFill>
                    <w14:schemeClr w14:val="tx1"/>
                  </w14:solidFill>
                </w14:textFill>
              </w:rPr>
              <w:t>分）</w:t>
            </w:r>
          </w:p>
        </w:tc>
        <w:tc>
          <w:tcPr>
            <w:tcW w:w="982" w:type="dxa"/>
            <w:vMerge w:val="restart"/>
            <w:tcBorders>
              <w:top w:val="single" w:color="auto" w:sz="4" w:space="0"/>
              <w:left w:val="single" w:color="auto" w:sz="4" w:space="0"/>
              <w:right w:val="single" w:color="auto" w:sz="4" w:space="0"/>
            </w:tcBorders>
            <w:vAlign w:val="center"/>
          </w:tcPr>
          <w:p>
            <w:pPr>
              <w:ind w:left="0" w:leftChars="0" w:firstLine="0" w:firstLineChars="0"/>
              <w:jc w:val="both"/>
              <w:rPr>
                <w:rFonts w:ascii="仿宋" w:hAnsi="仿宋"/>
                <w:color w:val="000000" w:themeColor="text1"/>
                <w:kern w:val="2"/>
                <w:highlight w:val="none"/>
                <w14:textFill>
                  <w14:solidFill>
                    <w14:schemeClr w14:val="tx1"/>
                  </w14:solidFill>
                </w14:textFill>
              </w:rPr>
            </w:pPr>
            <w:r>
              <w:rPr>
                <w:rFonts w:hint="eastAsia" w:ascii="仿宋" w:hAnsi="仿宋"/>
                <w:color w:val="000000" w:themeColor="text1"/>
                <w:kern w:val="2"/>
                <w:highlight w:val="none"/>
                <w14:textFill>
                  <w14:solidFill>
                    <w14:schemeClr w14:val="tx1"/>
                  </w14:solidFill>
                </w14:textFill>
              </w:rPr>
              <w:t>企业业绩</w:t>
            </w:r>
          </w:p>
        </w:tc>
        <w:tc>
          <w:tcPr>
            <w:tcW w:w="6546"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0" w:leftChars="0" w:firstLine="0" w:firstLineChars="0"/>
              <w:rPr>
                <w:rFonts w:hint="eastAsia" w:ascii="仿宋_GB2312" w:hAnsi="微软雅黑" w:eastAsia="仿宋_GB2312" w:cs="微软雅黑"/>
                <w:color w:val="000000" w:themeColor="text1"/>
                <w:highlight w:val="none"/>
                <w:lang w:eastAsia="zh-CN"/>
                <w14:textFill>
                  <w14:solidFill>
                    <w14:schemeClr w14:val="tx1"/>
                  </w14:solidFill>
                </w14:textFill>
              </w:rPr>
            </w:pPr>
            <w:r>
              <w:rPr>
                <w:rFonts w:hint="eastAsia" w:ascii="仿宋_GB2312" w:hAnsi="微软雅黑" w:eastAsia="仿宋_GB2312" w:cs="微软雅黑"/>
                <w:color w:val="000000" w:themeColor="text1"/>
                <w:highlight w:val="none"/>
                <w:lang w:eastAsia="zh-CN"/>
                <w14:textFill>
                  <w14:solidFill>
                    <w14:schemeClr w14:val="tx1"/>
                  </w14:solidFill>
                </w14:textFill>
              </w:rPr>
              <w:t>1、近三年（</w:t>
            </w:r>
            <w:r>
              <w:rPr>
                <w:rFonts w:hint="eastAsia" w:ascii="仿宋_GB2312" w:hAnsi="微软雅黑" w:eastAsia="仿宋_GB2312" w:cs="微软雅黑"/>
                <w:color w:val="000000" w:themeColor="text1"/>
                <w:highlight w:val="none"/>
                <w:lang w:val="en-US" w:eastAsia="zh-CN"/>
                <w14:textFill>
                  <w14:solidFill>
                    <w14:schemeClr w14:val="tx1"/>
                  </w14:solidFill>
                </w14:textFill>
              </w:rPr>
              <w:t>2020年1月1日至今</w:t>
            </w:r>
            <w:r>
              <w:rPr>
                <w:rFonts w:hint="eastAsia" w:ascii="仿宋_GB2312" w:hAnsi="微软雅黑" w:eastAsia="仿宋_GB2312" w:cs="微软雅黑"/>
                <w:color w:val="000000" w:themeColor="text1"/>
                <w:highlight w:val="none"/>
                <w:lang w:eastAsia="zh-CN"/>
                <w14:textFill>
                  <w14:solidFill>
                    <w14:schemeClr w14:val="tx1"/>
                  </w14:solidFill>
                </w14:textFill>
              </w:rPr>
              <w:t>）已签合同中明确有提升城市信用监测排名工作任务的，1个合同得5分，</w:t>
            </w:r>
            <w:r>
              <w:rPr>
                <w:rFonts w:hint="eastAsia" w:ascii="仿宋_GB2312" w:hAnsi="微软雅黑" w:eastAsia="仿宋_GB2312" w:cs="微软雅黑"/>
                <w:color w:val="000000" w:themeColor="text1"/>
                <w:highlight w:val="none"/>
                <w:lang w:val="en-US" w:eastAsia="zh-CN"/>
                <w14:textFill>
                  <w14:solidFill>
                    <w14:schemeClr w14:val="tx1"/>
                  </w14:solidFill>
                </w14:textFill>
              </w:rPr>
              <w:t>满分20分</w:t>
            </w:r>
            <w:r>
              <w:rPr>
                <w:rFonts w:hint="eastAsia" w:ascii="仿宋_GB2312" w:hAnsi="微软雅黑" w:eastAsia="仿宋_GB2312" w:cs="微软雅黑"/>
                <w:color w:val="000000" w:themeColor="text1"/>
                <w:highlight w:val="none"/>
                <w:lang w:eastAsia="zh-CN"/>
                <w14:textFill>
                  <w14:solidFill>
                    <w14:schemeClr w14:val="tx1"/>
                  </w14:solidFill>
                </w14:textFill>
              </w:rPr>
              <w:t>（提供合同扫描件）</w:t>
            </w:r>
            <w:r>
              <w:rPr>
                <w:rFonts w:hint="eastAsia" w:ascii="仿宋_GB2312" w:hAnsi="微软雅黑" w:eastAsia="仿宋_GB2312" w:cs="微软雅黑"/>
                <w:color w:val="000000" w:themeColor="text1"/>
                <w:highlight w:val="none"/>
                <w:lang w:val="en-US" w:eastAsia="zh-CN"/>
                <w14:textFill>
                  <w14:solidFill>
                    <w14:schemeClr w14:val="tx1"/>
                  </w14:solidFill>
                </w14:textFill>
              </w:rPr>
              <w:t>原件及合同真实性事后备查，如有弄虚作假者，将追究法律责任；</w:t>
            </w:r>
          </w:p>
          <w:p>
            <w:pPr>
              <w:adjustRightInd w:val="0"/>
              <w:snapToGrid w:val="0"/>
              <w:ind w:left="0" w:leftChars="0" w:firstLine="0" w:firstLineChars="0"/>
              <w:rPr>
                <w:rFonts w:ascii="仿宋_GB2312" w:hAnsi="微软雅黑" w:eastAsia="仿宋_GB2312" w:cs="微软雅黑"/>
                <w:color w:val="000000" w:themeColor="text1"/>
                <w:highlight w:val="none"/>
                <w:lang w:eastAsia="zh-CN"/>
                <w14:textFill>
                  <w14:solidFill>
                    <w14:schemeClr w14:val="tx1"/>
                  </w14:solidFill>
                </w14:textFill>
              </w:rPr>
            </w:pPr>
            <w:r>
              <w:rPr>
                <w:rFonts w:hint="eastAsia" w:ascii="仿宋_GB2312" w:hAnsi="微软雅黑" w:eastAsia="仿宋_GB2312" w:cs="微软雅黑"/>
                <w:color w:val="000000" w:themeColor="text1"/>
                <w:highlight w:val="none"/>
                <w:lang w:eastAsia="zh-CN"/>
                <w14:textFill>
                  <w14:solidFill>
                    <w14:schemeClr w14:val="tx1"/>
                  </w14:solidFill>
                </w14:textFill>
              </w:rPr>
              <w:t>2、</w:t>
            </w:r>
            <w:r>
              <w:rPr>
                <w:rFonts w:hint="eastAsia" w:ascii="仿宋_GB2312" w:hAnsi="微软雅黑" w:eastAsia="仿宋_GB2312" w:cs="微软雅黑"/>
                <w:color w:val="000000" w:themeColor="text1"/>
                <w:highlight w:val="none"/>
                <w:lang w:val="en-US" w:eastAsia="zh-CN"/>
                <w14:textFill>
                  <w14:solidFill>
                    <w14:schemeClr w14:val="tx1"/>
                  </w14:solidFill>
                </w14:textFill>
              </w:rPr>
              <w:t>以上</w:t>
            </w:r>
            <w:r>
              <w:rPr>
                <w:rFonts w:hint="eastAsia" w:ascii="仿宋_GB2312" w:hAnsi="微软雅黑" w:eastAsia="仿宋_GB2312" w:cs="微软雅黑"/>
                <w:color w:val="000000" w:themeColor="text1"/>
                <w:highlight w:val="none"/>
                <w:lang w:eastAsia="zh-CN"/>
                <w14:textFill>
                  <w14:solidFill>
                    <w14:schemeClr w14:val="tx1"/>
                  </w14:solidFill>
                </w14:textFill>
              </w:rPr>
              <w:t>没有不</w:t>
            </w:r>
            <w:r>
              <w:rPr>
                <w:rFonts w:hint="eastAsia" w:ascii="仿宋_GB2312" w:hAnsi="微软雅黑" w:eastAsia="仿宋_GB2312" w:cs="微软雅黑"/>
                <w:color w:val="000000" w:themeColor="text1"/>
                <w:highlight w:val="none"/>
                <w:lang w:val="en-US" w:eastAsia="zh-CN"/>
                <w14:textFill>
                  <w14:solidFill>
                    <w14:schemeClr w14:val="tx1"/>
                  </w14:solidFill>
                </w14:textFill>
              </w:rPr>
              <w:t>得</w:t>
            </w:r>
            <w:r>
              <w:rPr>
                <w:rFonts w:hint="eastAsia" w:ascii="仿宋_GB2312" w:hAnsi="微软雅黑" w:eastAsia="仿宋_GB2312" w:cs="微软雅黑"/>
                <w:color w:val="000000" w:themeColor="text1"/>
                <w:highlight w:val="none"/>
                <w:lang w:eastAsia="zh-CN"/>
                <w14:textFill>
                  <w14:solidFill>
                    <w14:schemeClr w14:val="tx1"/>
                  </w14:solidFill>
                </w14:textFill>
              </w:rPr>
              <w:t>分。</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default" w:ascii="仿宋" w:hAnsi="仿宋" w:eastAsia="仿宋"/>
                <w:color w:val="000000" w:themeColor="text1"/>
                <w:kern w:val="2"/>
                <w:highlight w:val="none"/>
                <w:lang w:val="en-US" w:eastAsia="zh-CN"/>
                <w14:textFill>
                  <w14:solidFill>
                    <w14:schemeClr w14:val="tx1"/>
                  </w14:solidFill>
                </w14:textFill>
              </w:rPr>
            </w:pPr>
            <w:r>
              <w:rPr>
                <w:rFonts w:hint="eastAsia" w:ascii="仿宋" w:hAnsi="仿宋" w:eastAsia="仿宋"/>
                <w:color w:val="000000" w:themeColor="text1"/>
                <w:kern w:val="2"/>
                <w:highlight w:val="none"/>
                <w:lang w:val="en-US" w:eastAsia="zh-CN"/>
                <w14:textFill>
                  <w14:solidFill>
                    <w14:schemeClr w14:val="tx1"/>
                  </w14:solidFill>
                </w14:textFill>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vMerge w:val="continue"/>
            <w:tcBorders>
              <w:left w:val="single" w:color="auto" w:sz="4" w:space="0"/>
              <w:right w:val="single" w:color="auto" w:sz="4" w:space="0"/>
            </w:tcBorders>
            <w:vAlign w:val="center"/>
          </w:tcPr>
          <w:p>
            <w:pPr>
              <w:ind w:firstLine="0" w:firstLineChars="0"/>
              <w:rPr>
                <w:rFonts w:ascii="仿宋" w:hAnsi="仿宋"/>
                <w:color w:val="000000" w:themeColor="text1"/>
                <w:kern w:val="2"/>
                <w:highlight w:val="none"/>
                <w:lang w:eastAsia="zh-CN"/>
                <w14:textFill>
                  <w14:solidFill>
                    <w14:schemeClr w14:val="tx1"/>
                  </w14:solidFill>
                </w14:textFill>
              </w:rPr>
            </w:pPr>
          </w:p>
        </w:tc>
        <w:tc>
          <w:tcPr>
            <w:tcW w:w="654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_GB2312" w:hAnsi="微软雅黑" w:eastAsia="仿宋_GB2312" w:cs="微软雅黑"/>
                <w:color w:val="000000" w:themeColor="text1"/>
                <w:highlight w:val="none"/>
                <w:lang w:eastAsia="zh-CN"/>
                <w14:textFill>
                  <w14:solidFill>
                    <w14:schemeClr w14:val="tx1"/>
                  </w14:solidFill>
                </w14:textFill>
              </w:rPr>
            </w:pPr>
            <w:r>
              <w:rPr>
                <w:rFonts w:hint="eastAsia" w:ascii="仿宋_GB2312" w:hAnsi="微软雅黑" w:eastAsia="仿宋_GB2312" w:cs="微软雅黑"/>
                <w:color w:val="000000" w:themeColor="text1"/>
                <w:highlight w:val="none"/>
                <w:lang w:eastAsia="zh-CN"/>
                <w14:textFill>
                  <w14:solidFill>
                    <w14:schemeClr w14:val="tx1"/>
                  </w14:solidFill>
                </w14:textFill>
              </w:rPr>
              <w:t>1、</w:t>
            </w:r>
            <w:r>
              <w:rPr>
                <w:rFonts w:hint="eastAsia" w:ascii="仿宋_GB2312" w:hAnsi="微软雅黑" w:eastAsia="仿宋_GB2312" w:cs="微软雅黑"/>
                <w:color w:val="000000" w:themeColor="text1"/>
                <w:highlight w:val="none"/>
                <w:lang w:val="en-US" w:eastAsia="zh-CN"/>
                <w14:textFill>
                  <w14:solidFill>
                    <w14:schemeClr w14:val="tx1"/>
                  </w14:solidFill>
                </w14:textFill>
              </w:rPr>
              <w:t>合同案例中将</w:t>
            </w:r>
            <w:r>
              <w:rPr>
                <w:rFonts w:hint="eastAsia" w:ascii="仿宋_GB2312" w:hAnsi="微软雅黑" w:eastAsia="仿宋_GB2312" w:cs="微软雅黑"/>
                <w:color w:val="000000" w:themeColor="text1"/>
                <w:highlight w:val="none"/>
                <w:lang w:eastAsia="zh-CN"/>
                <w14:textFill>
                  <w14:solidFill>
                    <w14:schemeClr w14:val="tx1"/>
                  </w14:solidFill>
                </w14:textFill>
              </w:rPr>
              <w:t>地级市或县级市</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监测排名提升至100名以上的，有1个案例</w:t>
            </w:r>
            <w:r>
              <w:rPr>
                <w:rFonts w:hint="eastAsia" w:ascii="仿宋_GB2312" w:hAnsi="微软雅黑" w:eastAsia="仿宋_GB2312" w:cs="微软雅黑"/>
                <w:color w:val="000000" w:themeColor="text1"/>
                <w:highlight w:val="none"/>
                <w:lang w:val="en-US" w:eastAsia="zh-CN"/>
                <w14:textFill>
                  <w14:solidFill>
                    <w14:schemeClr w14:val="tx1"/>
                  </w14:solidFill>
                </w14:textFill>
              </w:rPr>
              <w:t>得</w:t>
            </w:r>
            <w:r>
              <w:rPr>
                <w:rFonts w:hint="eastAsia" w:ascii="仿宋_GB2312" w:hAnsi="微软雅黑" w:eastAsia="仿宋_GB2312" w:cs="微软雅黑"/>
                <w:color w:val="000000" w:themeColor="text1"/>
                <w:highlight w:val="none"/>
                <w:lang w:eastAsia="zh-CN"/>
                <w14:textFill>
                  <w14:solidFill>
                    <w14:schemeClr w14:val="tx1"/>
                  </w14:solidFill>
                </w14:textFill>
              </w:rPr>
              <w:t>3分；</w:t>
            </w:r>
            <w:r>
              <w:rPr>
                <w:rFonts w:hint="eastAsia" w:ascii="仿宋_GB2312" w:hAnsi="微软雅黑" w:eastAsia="仿宋_GB2312" w:cs="微软雅黑"/>
                <w:color w:val="000000" w:themeColor="text1"/>
                <w:highlight w:val="none"/>
                <w:lang w:val="en-US" w:eastAsia="zh-CN"/>
                <w14:textFill>
                  <w14:solidFill>
                    <w14:schemeClr w14:val="tx1"/>
                  </w14:solidFill>
                </w14:textFill>
              </w:rPr>
              <w:t>将</w:t>
            </w:r>
            <w:r>
              <w:rPr>
                <w:rFonts w:hint="eastAsia" w:ascii="仿宋_GB2312" w:hAnsi="微软雅黑" w:eastAsia="仿宋_GB2312" w:cs="微软雅黑"/>
                <w:color w:val="000000" w:themeColor="text1"/>
                <w:highlight w:val="none"/>
                <w:lang w:eastAsia="zh-CN"/>
                <w14:textFill>
                  <w14:solidFill>
                    <w14:schemeClr w14:val="tx1"/>
                  </w14:solidFill>
                </w14:textFill>
              </w:rPr>
              <w:t>地州盟</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监测排名提升至30名以上的，有1个案例</w:t>
            </w:r>
            <w:r>
              <w:rPr>
                <w:rFonts w:hint="eastAsia" w:ascii="仿宋_GB2312" w:hAnsi="微软雅黑" w:eastAsia="仿宋_GB2312" w:cs="微软雅黑"/>
                <w:color w:val="000000" w:themeColor="text1"/>
                <w:highlight w:val="none"/>
                <w:lang w:val="en-US" w:eastAsia="zh-CN"/>
                <w14:textFill>
                  <w14:solidFill>
                    <w14:schemeClr w14:val="tx1"/>
                  </w14:solidFill>
                </w14:textFill>
              </w:rPr>
              <w:t>得</w:t>
            </w:r>
            <w:r>
              <w:rPr>
                <w:rFonts w:hint="eastAsia" w:ascii="仿宋_GB2312" w:hAnsi="微软雅黑" w:eastAsia="仿宋_GB2312" w:cs="微软雅黑"/>
                <w:color w:val="000000" w:themeColor="text1"/>
                <w:highlight w:val="none"/>
                <w:lang w:eastAsia="zh-CN"/>
                <w14:textFill>
                  <w14:solidFill>
                    <w14:schemeClr w14:val="tx1"/>
                  </w14:solidFill>
                </w14:textFill>
              </w:rPr>
              <w:t>3分，最高得6分。</w:t>
            </w:r>
          </w:p>
          <w:p>
            <w:pPr>
              <w:ind w:left="0" w:leftChars="0" w:firstLine="0" w:firstLineChars="0"/>
              <w:rPr>
                <w:rFonts w:hint="eastAsia" w:ascii="仿宋_GB2312" w:hAnsi="微软雅黑" w:eastAsia="仿宋_GB2312" w:cs="微软雅黑"/>
                <w:color w:val="000000" w:themeColor="text1"/>
                <w:highlight w:val="none"/>
                <w:lang w:val="en-US" w:eastAsia="zh-CN"/>
                <w14:textFill>
                  <w14:solidFill>
                    <w14:schemeClr w14:val="tx1"/>
                  </w14:solidFill>
                </w14:textFill>
              </w:rPr>
            </w:pPr>
            <w:r>
              <w:rPr>
                <w:rFonts w:hint="eastAsia" w:ascii="仿宋_GB2312" w:hAnsi="微软雅黑" w:eastAsia="仿宋_GB2312" w:cs="微软雅黑"/>
                <w:color w:val="000000" w:themeColor="text1"/>
                <w:highlight w:val="none"/>
                <w:lang w:eastAsia="zh-CN"/>
                <w14:textFill>
                  <w14:solidFill>
                    <w14:schemeClr w14:val="tx1"/>
                  </w14:solidFill>
                </w14:textFill>
              </w:rPr>
              <w:t>2、</w:t>
            </w:r>
            <w:r>
              <w:rPr>
                <w:rFonts w:hint="eastAsia" w:ascii="仿宋_GB2312" w:hAnsi="微软雅黑" w:eastAsia="仿宋_GB2312" w:cs="微软雅黑"/>
                <w:color w:val="000000" w:themeColor="text1"/>
                <w:highlight w:val="none"/>
                <w:lang w:val="en-US" w:eastAsia="zh-CN"/>
                <w14:textFill>
                  <w14:solidFill>
                    <w14:schemeClr w14:val="tx1"/>
                  </w14:solidFill>
                </w14:textFill>
              </w:rPr>
              <w:t>合同案例中将</w:t>
            </w:r>
            <w:r>
              <w:rPr>
                <w:rFonts w:hint="eastAsia" w:ascii="仿宋_GB2312" w:hAnsi="微软雅黑" w:eastAsia="仿宋_GB2312" w:cs="微软雅黑"/>
                <w:color w:val="000000" w:themeColor="text1"/>
                <w:highlight w:val="none"/>
                <w:lang w:eastAsia="zh-CN"/>
                <w14:textFill>
                  <w14:solidFill>
                    <w14:schemeClr w14:val="tx1"/>
                  </w14:solidFill>
                </w14:textFill>
              </w:rPr>
              <w:t>地级市或县级市</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w:t>
            </w:r>
            <w:r>
              <w:rPr>
                <w:rFonts w:hint="eastAsia" w:ascii="仿宋_GB2312" w:hAnsi="微软雅黑" w:eastAsia="仿宋_GB2312" w:cs="微软雅黑"/>
                <w:color w:val="000000" w:themeColor="text1"/>
                <w:highlight w:val="none"/>
                <w:lang w:val="en-US" w:eastAsia="zh-CN"/>
                <w14:textFill>
                  <w14:solidFill>
                    <w14:schemeClr w14:val="tx1"/>
                  </w14:solidFill>
                </w14:textFill>
              </w:rPr>
              <w:t>50-</w:t>
            </w:r>
            <w:r>
              <w:rPr>
                <w:rFonts w:hint="eastAsia" w:ascii="仿宋_GB2312" w:hAnsi="微软雅黑" w:eastAsia="仿宋_GB2312" w:cs="微软雅黑"/>
                <w:color w:val="000000" w:themeColor="text1"/>
                <w:highlight w:val="none"/>
                <w:lang w:eastAsia="zh-CN"/>
                <w14:textFill>
                  <w14:solidFill>
                    <w14:schemeClr w14:val="tx1"/>
                  </w14:solidFill>
                </w14:textFill>
              </w:rPr>
              <w:t>100名</w:t>
            </w:r>
            <w:r>
              <w:rPr>
                <w:rFonts w:hint="eastAsia" w:ascii="仿宋_GB2312" w:hAnsi="微软雅黑" w:eastAsia="仿宋_GB2312" w:cs="微软雅黑"/>
                <w:color w:val="000000" w:themeColor="text1"/>
                <w:highlight w:val="none"/>
                <w:lang w:val="en-US" w:eastAsia="zh-CN"/>
                <w14:textFill>
                  <w14:solidFill>
                    <w14:schemeClr w14:val="tx1"/>
                  </w14:solidFill>
                </w14:textFill>
              </w:rPr>
              <w:t>的</w:t>
            </w:r>
            <w:r>
              <w:rPr>
                <w:rFonts w:hint="eastAsia" w:ascii="仿宋_GB2312" w:hAnsi="微软雅黑" w:eastAsia="仿宋_GB2312" w:cs="微软雅黑"/>
                <w:color w:val="000000" w:themeColor="text1"/>
                <w:highlight w:val="none"/>
                <w:lang w:eastAsia="zh-CN"/>
                <w14:textFill>
                  <w14:solidFill>
                    <w14:schemeClr w14:val="tx1"/>
                  </w14:solidFill>
                </w14:textFill>
              </w:rPr>
              <w:t>，有1个案例</w:t>
            </w:r>
            <w:r>
              <w:rPr>
                <w:rFonts w:hint="eastAsia" w:ascii="仿宋_GB2312" w:hAnsi="微软雅黑" w:eastAsia="仿宋_GB2312" w:cs="微软雅黑"/>
                <w:color w:val="000000" w:themeColor="text1"/>
                <w:highlight w:val="none"/>
                <w:lang w:val="en-US" w:eastAsia="zh-CN"/>
                <w14:textFill>
                  <w14:solidFill>
                    <w14:schemeClr w14:val="tx1"/>
                  </w14:solidFill>
                </w14:textFill>
              </w:rPr>
              <w:t>得2</w:t>
            </w:r>
            <w:r>
              <w:rPr>
                <w:rFonts w:hint="eastAsia" w:ascii="仿宋_GB2312" w:hAnsi="微软雅黑" w:eastAsia="仿宋_GB2312" w:cs="微软雅黑"/>
                <w:color w:val="000000" w:themeColor="text1"/>
                <w:highlight w:val="none"/>
                <w:lang w:eastAsia="zh-CN"/>
                <w14:textFill>
                  <w14:solidFill>
                    <w14:schemeClr w14:val="tx1"/>
                  </w14:solidFill>
                </w14:textFill>
              </w:rPr>
              <w:t>分；</w:t>
            </w:r>
            <w:r>
              <w:rPr>
                <w:rFonts w:hint="eastAsia" w:ascii="仿宋_GB2312" w:hAnsi="微软雅黑" w:eastAsia="仿宋_GB2312" w:cs="微软雅黑"/>
                <w:color w:val="000000" w:themeColor="text1"/>
                <w:highlight w:val="none"/>
                <w:lang w:val="en-US" w:eastAsia="zh-CN"/>
                <w14:textFill>
                  <w14:solidFill>
                    <w14:schemeClr w14:val="tx1"/>
                  </w14:solidFill>
                </w14:textFill>
              </w:rPr>
              <w:t>将</w:t>
            </w:r>
            <w:r>
              <w:rPr>
                <w:rFonts w:hint="eastAsia" w:ascii="仿宋_GB2312" w:hAnsi="微软雅黑" w:eastAsia="仿宋_GB2312" w:cs="微软雅黑"/>
                <w:color w:val="000000" w:themeColor="text1"/>
                <w:highlight w:val="none"/>
                <w:lang w:eastAsia="zh-CN"/>
                <w14:textFill>
                  <w14:solidFill>
                    <w14:schemeClr w14:val="tx1"/>
                  </w14:solidFill>
                </w14:textFill>
              </w:rPr>
              <w:t>地州盟</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w:t>
            </w:r>
            <w:r>
              <w:rPr>
                <w:rFonts w:hint="eastAsia" w:ascii="仿宋_GB2312" w:hAnsi="微软雅黑" w:eastAsia="仿宋_GB2312" w:cs="微软雅黑"/>
                <w:color w:val="000000" w:themeColor="text1"/>
                <w:highlight w:val="none"/>
                <w:lang w:val="en-US" w:eastAsia="zh-CN"/>
                <w14:textFill>
                  <w14:solidFill>
                    <w14:schemeClr w14:val="tx1"/>
                  </w14:solidFill>
                </w14:textFill>
              </w:rPr>
              <w:t>20-</w:t>
            </w:r>
            <w:r>
              <w:rPr>
                <w:rFonts w:hint="eastAsia" w:ascii="仿宋_GB2312" w:hAnsi="微软雅黑" w:eastAsia="仿宋_GB2312" w:cs="微软雅黑"/>
                <w:color w:val="000000" w:themeColor="text1"/>
                <w:highlight w:val="none"/>
                <w:lang w:eastAsia="zh-CN"/>
                <w14:textFill>
                  <w14:solidFill>
                    <w14:schemeClr w14:val="tx1"/>
                  </w14:solidFill>
                </w14:textFill>
              </w:rPr>
              <w:t>30名的，有1个案例</w:t>
            </w:r>
            <w:r>
              <w:rPr>
                <w:rFonts w:hint="eastAsia" w:ascii="仿宋_GB2312" w:hAnsi="微软雅黑" w:eastAsia="仿宋_GB2312" w:cs="微软雅黑"/>
                <w:color w:val="000000" w:themeColor="text1"/>
                <w:highlight w:val="none"/>
                <w:lang w:val="en-US" w:eastAsia="zh-CN"/>
                <w14:textFill>
                  <w14:solidFill>
                    <w14:schemeClr w14:val="tx1"/>
                  </w14:solidFill>
                </w14:textFill>
              </w:rPr>
              <w:t>得2</w:t>
            </w:r>
            <w:r>
              <w:rPr>
                <w:rFonts w:hint="eastAsia" w:ascii="仿宋_GB2312" w:hAnsi="微软雅黑" w:eastAsia="仿宋_GB2312" w:cs="微软雅黑"/>
                <w:color w:val="000000" w:themeColor="text1"/>
                <w:highlight w:val="none"/>
                <w:lang w:eastAsia="zh-CN"/>
                <w14:textFill>
                  <w14:solidFill>
                    <w14:schemeClr w14:val="tx1"/>
                  </w14:solidFill>
                </w14:textFill>
              </w:rPr>
              <w:t>分，</w:t>
            </w:r>
            <w:r>
              <w:rPr>
                <w:rFonts w:hint="eastAsia" w:ascii="仿宋_GB2312" w:hAnsi="微软雅黑" w:eastAsia="仿宋_GB2312" w:cs="微软雅黑"/>
                <w:color w:val="000000" w:themeColor="text1"/>
                <w:highlight w:val="none"/>
                <w:lang w:val="en-US" w:eastAsia="zh-CN"/>
                <w14:textFill>
                  <w14:solidFill>
                    <w14:schemeClr w14:val="tx1"/>
                  </w14:solidFill>
                </w14:textFill>
              </w:rPr>
              <w:t>最高得4分。</w:t>
            </w:r>
          </w:p>
          <w:p>
            <w:pPr>
              <w:ind w:left="0" w:leftChars="0" w:firstLine="0" w:firstLineChars="0"/>
              <w:rPr>
                <w:rFonts w:hint="eastAsia" w:ascii="仿宋_GB2312" w:hAnsi="微软雅黑" w:eastAsia="仿宋_GB2312" w:cs="微软雅黑"/>
                <w:color w:val="000000" w:themeColor="text1"/>
                <w:highlight w:val="none"/>
                <w:lang w:val="en-US" w:eastAsia="zh-CN"/>
                <w14:textFill>
                  <w14:solidFill>
                    <w14:schemeClr w14:val="tx1"/>
                  </w14:solidFill>
                </w14:textFill>
              </w:rPr>
            </w:pPr>
            <w:r>
              <w:rPr>
                <w:rFonts w:hint="eastAsia" w:ascii="仿宋_GB2312" w:hAnsi="微软雅黑" w:eastAsia="仿宋_GB2312" w:cs="微软雅黑"/>
                <w:color w:val="000000" w:themeColor="text1"/>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val="en-US" w:eastAsia="zh-CN"/>
                <w14:textFill>
                  <w14:solidFill>
                    <w14:schemeClr w14:val="tx1"/>
                  </w14:solidFill>
                </w14:textFill>
              </w:rPr>
              <w:t>合同案例中将</w:t>
            </w:r>
            <w:r>
              <w:rPr>
                <w:rFonts w:hint="eastAsia" w:ascii="仿宋_GB2312" w:hAnsi="微软雅黑" w:eastAsia="仿宋_GB2312" w:cs="微软雅黑"/>
                <w:color w:val="000000" w:themeColor="text1"/>
                <w:highlight w:val="none"/>
                <w:lang w:eastAsia="zh-CN"/>
                <w14:textFill>
                  <w14:solidFill>
                    <w14:schemeClr w14:val="tx1"/>
                  </w14:solidFill>
                </w14:textFill>
              </w:rPr>
              <w:t>地级市或县级市</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w:t>
            </w:r>
            <w:r>
              <w:rPr>
                <w:rFonts w:hint="eastAsia" w:ascii="仿宋_GB2312" w:hAnsi="微软雅黑" w:eastAsia="仿宋_GB2312" w:cs="微软雅黑"/>
                <w:color w:val="000000" w:themeColor="text1"/>
                <w:highlight w:val="none"/>
                <w:lang w:val="en-US" w:eastAsia="zh-CN"/>
                <w14:textFill>
                  <w14:solidFill>
                    <w14:schemeClr w14:val="tx1"/>
                  </w14:solidFill>
                </w14:textFill>
              </w:rPr>
              <w:t>30-50的</w:t>
            </w:r>
            <w:r>
              <w:rPr>
                <w:rFonts w:hint="eastAsia" w:ascii="仿宋_GB2312" w:hAnsi="微软雅黑" w:eastAsia="仿宋_GB2312" w:cs="微软雅黑"/>
                <w:color w:val="000000" w:themeColor="text1"/>
                <w:highlight w:val="none"/>
                <w:lang w:eastAsia="zh-CN"/>
                <w14:textFill>
                  <w14:solidFill>
                    <w14:schemeClr w14:val="tx1"/>
                  </w14:solidFill>
                </w14:textFill>
              </w:rPr>
              <w:t>，有1个案例</w:t>
            </w:r>
            <w:r>
              <w:rPr>
                <w:rFonts w:hint="eastAsia" w:ascii="仿宋_GB2312" w:hAnsi="微软雅黑" w:eastAsia="仿宋_GB2312" w:cs="微软雅黑"/>
                <w:color w:val="000000" w:themeColor="text1"/>
                <w:highlight w:val="none"/>
                <w:lang w:val="en-US" w:eastAsia="zh-CN"/>
                <w14:textFill>
                  <w14:solidFill>
                    <w14:schemeClr w14:val="tx1"/>
                  </w14:solidFill>
                </w14:textFill>
              </w:rPr>
              <w:t>得1</w:t>
            </w:r>
            <w:r>
              <w:rPr>
                <w:rFonts w:hint="eastAsia" w:ascii="仿宋_GB2312" w:hAnsi="微软雅黑" w:eastAsia="仿宋_GB2312" w:cs="微软雅黑"/>
                <w:color w:val="000000" w:themeColor="text1"/>
                <w:highlight w:val="none"/>
                <w:lang w:eastAsia="zh-CN"/>
                <w14:textFill>
                  <w14:solidFill>
                    <w14:schemeClr w14:val="tx1"/>
                  </w14:solidFill>
                </w14:textFill>
              </w:rPr>
              <w:t>分；</w:t>
            </w:r>
            <w:r>
              <w:rPr>
                <w:rFonts w:hint="eastAsia" w:ascii="仿宋_GB2312" w:hAnsi="微软雅黑" w:eastAsia="仿宋_GB2312" w:cs="微软雅黑"/>
                <w:color w:val="000000" w:themeColor="text1"/>
                <w:highlight w:val="none"/>
                <w:lang w:val="en-US" w:eastAsia="zh-CN"/>
                <w14:textFill>
                  <w14:solidFill>
                    <w14:schemeClr w14:val="tx1"/>
                  </w14:solidFill>
                </w14:textFill>
              </w:rPr>
              <w:t>将</w:t>
            </w:r>
            <w:r>
              <w:rPr>
                <w:rFonts w:hint="eastAsia" w:ascii="仿宋_GB2312" w:hAnsi="微软雅黑" w:eastAsia="仿宋_GB2312" w:cs="微软雅黑"/>
                <w:color w:val="000000" w:themeColor="text1"/>
                <w:highlight w:val="none"/>
                <w:lang w:eastAsia="zh-CN"/>
                <w14:textFill>
                  <w14:solidFill>
                    <w14:schemeClr w14:val="tx1"/>
                  </w14:solidFill>
                </w14:textFill>
              </w:rPr>
              <w:t>地州盟</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w:t>
            </w:r>
            <w:r>
              <w:rPr>
                <w:rFonts w:hint="eastAsia" w:ascii="仿宋_GB2312" w:hAnsi="微软雅黑" w:eastAsia="仿宋_GB2312" w:cs="微软雅黑"/>
                <w:color w:val="000000" w:themeColor="text1"/>
                <w:highlight w:val="none"/>
                <w:lang w:val="en-US" w:eastAsia="zh-CN"/>
                <w14:textFill>
                  <w14:solidFill>
                    <w14:schemeClr w14:val="tx1"/>
                  </w14:solidFill>
                </w14:textFill>
              </w:rPr>
              <w:t>10-2</w:t>
            </w:r>
            <w:r>
              <w:rPr>
                <w:rFonts w:hint="eastAsia" w:ascii="仿宋_GB2312" w:hAnsi="微软雅黑" w:eastAsia="仿宋_GB2312" w:cs="微软雅黑"/>
                <w:color w:val="000000" w:themeColor="text1"/>
                <w:highlight w:val="none"/>
                <w:lang w:eastAsia="zh-CN"/>
                <w14:textFill>
                  <w14:solidFill>
                    <w14:schemeClr w14:val="tx1"/>
                  </w14:solidFill>
                </w14:textFill>
              </w:rPr>
              <w:t>0名的，有1个案例</w:t>
            </w:r>
            <w:r>
              <w:rPr>
                <w:rFonts w:hint="eastAsia" w:ascii="仿宋_GB2312" w:hAnsi="微软雅黑" w:eastAsia="仿宋_GB2312" w:cs="微软雅黑"/>
                <w:color w:val="000000" w:themeColor="text1"/>
                <w:highlight w:val="none"/>
                <w:lang w:val="en-US" w:eastAsia="zh-CN"/>
                <w14:textFill>
                  <w14:solidFill>
                    <w14:schemeClr w14:val="tx1"/>
                  </w14:solidFill>
                </w14:textFill>
              </w:rPr>
              <w:t>得1</w:t>
            </w:r>
            <w:r>
              <w:rPr>
                <w:rFonts w:hint="eastAsia" w:ascii="仿宋_GB2312" w:hAnsi="微软雅黑" w:eastAsia="仿宋_GB2312" w:cs="微软雅黑"/>
                <w:color w:val="000000" w:themeColor="text1"/>
                <w:highlight w:val="none"/>
                <w:lang w:eastAsia="zh-CN"/>
                <w14:textFill>
                  <w14:solidFill>
                    <w14:schemeClr w14:val="tx1"/>
                  </w14:solidFill>
                </w14:textFill>
              </w:rPr>
              <w:t>分，</w:t>
            </w:r>
            <w:r>
              <w:rPr>
                <w:rFonts w:hint="eastAsia" w:ascii="仿宋_GB2312" w:hAnsi="微软雅黑" w:eastAsia="仿宋_GB2312" w:cs="微软雅黑"/>
                <w:color w:val="000000" w:themeColor="text1"/>
                <w:highlight w:val="none"/>
                <w:lang w:val="en-US" w:eastAsia="zh-CN"/>
                <w14:textFill>
                  <w14:solidFill>
                    <w14:schemeClr w14:val="tx1"/>
                  </w14:solidFill>
                </w14:textFill>
              </w:rPr>
              <w:t>最高得2分。</w:t>
            </w:r>
          </w:p>
          <w:p>
            <w:pPr>
              <w:ind w:left="0" w:leftChars="0" w:firstLine="0" w:firstLineChars="0"/>
              <w:rPr>
                <w:rFonts w:hint="eastAsia" w:ascii="仿宋_GB2312" w:hAnsi="微软雅黑" w:eastAsia="仿宋_GB2312" w:cs="微软雅黑"/>
                <w:color w:val="000000" w:themeColor="text1"/>
                <w:highlight w:val="none"/>
                <w:lang w:val="en-US" w:eastAsia="zh-CN"/>
                <w14:textFill>
                  <w14:solidFill>
                    <w14:schemeClr w14:val="tx1"/>
                  </w14:solidFill>
                </w14:textFill>
              </w:rPr>
            </w:pPr>
            <w:r>
              <w:rPr>
                <w:rFonts w:hint="eastAsia" w:ascii="仿宋_GB2312" w:hAnsi="微软雅黑" w:eastAsia="仿宋_GB2312" w:cs="微软雅黑"/>
                <w:color w:val="000000" w:themeColor="text1"/>
                <w:highlight w:val="none"/>
                <w:lang w:eastAsia="zh-CN"/>
                <w14:textFill>
                  <w14:solidFill>
                    <w14:schemeClr w14:val="tx1"/>
                  </w14:solidFill>
                </w14:textFill>
              </w:rPr>
              <w:t>4、</w:t>
            </w:r>
            <w:r>
              <w:rPr>
                <w:rFonts w:hint="eastAsia" w:ascii="仿宋_GB2312" w:hAnsi="微软雅黑" w:eastAsia="仿宋_GB2312" w:cs="微软雅黑"/>
                <w:color w:val="000000" w:themeColor="text1"/>
                <w:highlight w:val="none"/>
                <w:lang w:val="en-US" w:eastAsia="zh-CN"/>
                <w14:textFill>
                  <w14:solidFill>
                    <w14:schemeClr w14:val="tx1"/>
                  </w14:solidFill>
                </w14:textFill>
              </w:rPr>
              <w:t>合同案例中将</w:t>
            </w:r>
            <w:r>
              <w:rPr>
                <w:rFonts w:hint="eastAsia" w:ascii="仿宋_GB2312" w:hAnsi="微软雅黑" w:eastAsia="仿宋_GB2312" w:cs="微软雅黑"/>
                <w:color w:val="000000" w:themeColor="text1"/>
                <w:highlight w:val="none"/>
                <w:lang w:eastAsia="zh-CN"/>
                <w14:textFill>
                  <w14:solidFill>
                    <w14:schemeClr w14:val="tx1"/>
                  </w14:solidFill>
                </w14:textFill>
              </w:rPr>
              <w:t>地级市或县级市</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w:t>
            </w:r>
            <w:r>
              <w:rPr>
                <w:rFonts w:hint="eastAsia" w:ascii="仿宋_GB2312" w:hAnsi="微软雅黑" w:eastAsia="仿宋_GB2312" w:cs="微软雅黑"/>
                <w:color w:val="000000" w:themeColor="text1"/>
                <w:highlight w:val="none"/>
                <w:lang w:val="en-US" w:eastAsia="zh-CN"/>
                <w14:textFill>
                  <w14:solidFill>
                    <w14:schemeClr w14:val="tx1"/>
                  </w14:solidFill>
                </w14:textFill>
              </w:rPr>
              <w:t>30名以下的不得分</w:t>
            </w:r>
            <w:r>
              <w:rPr>
                <w:rFonts w:hint="eastAsia" w:ascii="仿宋_GB2312" w:hAnsi="微软雅黑" w:eastAsia="仿宋_GB2312" w:cs="微软雅黑"/>
                <w:color w:val="000000" w:themeColor="text1"/>
                <w:highlight w:val="none"/>
                <w:lang w:eastAsia="zh-CN"/>
                <w14:textFill>
                  <w14:solidFill>
                    <w14:schemeClr w14:val="tx1"/>
                  </w14:solidFill>
                </w14:textFill>
              </w:rPr>
              <w:t>；</w:t>
            </w:r>
            <w:r>
              <w:rPr>
                <w:rFonts w:hint="eastAsia" w:ascii="仿宋_GB2312" w:hAnsi="微软雅黑" w:eastAsia="仿宋_GB2312" w:cs="微软雅黑"/>
                <w:color w:val="000000" w:themeColor="text1"/>
                <w:highlight w:val="none"/>
                <w:lang w:val="en-US" w:eastAsia="zh-CN"/>
                <w14:textFill>
                  <w14:solidFill>
                    <w14:schemeClr w14:val="tx1"/>
                  </w14:solidFill>
                </w14:textFill>
              </w:rPr>
              <w:t>将</w:t>
            </w:r>
            <w:r>
              <w:rPr>
                <w:rFonts w:hint="eastAsia" w:ascii="仿宋_GB2312" w:hAnsi="微软雅黑" w:eastAsia="仿宋_GB2312" w:cs="微软雅黑"/>
                <w:color w:val="000000" w:themeColor="text1"/>
                <w:highlight w:val="none"/>
                <w:lang w:eastAsia="zh-CN"/>
                <w14:textFill>
                  <w14:solidFill>
                    <w14:schemeClr w14:val="tx1"/>
                  </w14:solidFill>
                </w14:textFill>
              </w:rPr>
              <w:t>地州盟</w:t>
            </w:r>
            <w:r>
              <w:rPr>
                <w:rFonts w:hint="eastAsia" w:ascii="仿宋_GB2312" w:hAnsi="微软雅黑" w:eastAsia="仿宋_GB2312" w:cs="微软雅黑"/>
                <w:color w:val="000000" w:themeColor="text1"/>
                <w:highlight w:val="none"/>
                <w:lang w:val="en-US" w:eastAsia="zh-CN"/>
                <w14:textFill>
                  <w14:solidFill>
                    <w14:schemeClr w14:val="tx1"/>
                  </w14:solidFill>
                </w14:textFill>
              </w:rPr>
              <w:t>信用</w:t>
            </w:r>
            <w:r>
              <w:rPr>
                <w:rFonts w:hint="eastAsia" w:ascii="仿宋_GB2312" w:hAnsi="微软雅黑" w:eastAsia="仿宋_GB2312" w:cs="微软雅黑"/>
                <w:color w:val="000000" w:themeColor="text1"/>
                <w:highlight w:val="none"/>
                <w:lang w:eastAsia="zh-CN"/>
                <w14:textFill>
                  <w14:solidFill>
                    <w14:schemeClr w14:val="tx1"/>
                  </w14:solidFill>
                </w14:textFill>
              </w:rPr>
              <w:t>监测排名提升至</w:t>
            </w:r>
            <w:r>
              <w:rPr>
                <w:rFonts w:hint="eastAsia" w:ascii="仿宋_GB2312" w:hAnsi="微软雅黑" w:eastAsia="仿宋_GB2312" w:cs="微软雅黑"/>
                <w:color w:val="000000" w:themeColor="text1"/>
                <w:highlight w:val="none"/>
                <w:lang w:val="en-US" w:eastAsia="zh-CN"/>
                <w14:textFill>
                  <w14:solidFill>
                    <w14:schemeClr w14:val="tx1"/>
                  </w14:solidFill>
                </w14:textFill>
              </w:rPr>
              <w:t>10</w:t>
            </w:r>
            <w:r>
              <w:rPr>
                <w:rFonts w:hint="eastAsia" w:ascii="仿宋_GB2312" w:hAnsi="微软雅黑" w:eastAsia="仿宋_GB2312" w:cs="微软雅黑"/>
                <w:color w:val="000000" w:themeColor="text1"/>
                <w:highlight w:val="none"/>
                <w:lang w:eastAsia="zh-CN"/>
                <w14:textFill>
                  <w14:solidFill>
                    <w14:schemeClr w14:val="tx1"/>
                  </w14:solidFill>
                </w14:textFill>
              </w:rPr>
              <w:t>名</w:t>
            </w:r>
            <w:r>
              <w:rPr>
                <w:rFonts w:hint="eastAsia" w:ascii="仿宋_GB2312" w:hAnsi="微软雅黑" w:eastAsia="仿宋_GB2312" w:cs="微软雅黑"/>
                <w:color w:val="000000" w:themeColor="text1"/>
                <w:highlight w:val="none"/>
                <w:lang w:val="en-US" w:eastAsia="zh-CN"/>
                <w14:textFill>
                  <w14:solidFill>
                    <w14:schemeClr w14:val="tx1"/>
                  </w14:solidFill>
                </w14:textFill>
              </w:rPr>
              <w:t>以下的不得分。</w:t>
            </w:r>
          </w:p>
          <w:p>
            <w:pPr>
              <w:pStyle w:val="2"/>
              <w:numPr>
                <w:ilvl w:val="0"/>
                <w:numId w:val="0"/>
              </w:numPr>
              <w:jc w:val="both"/>
              <w:rPr>
                <w:rFonts w:hint="eastAsia" w:ascii="仿宋_GB2312" w:hAnsi="微软雅黑" w:eastAsia="仿宋_GB2312" w:cs="微软雅黑"/>
                <w:b w:val="0"/>
                <w:bCs w:val="0"/>
                <w:color w:val="000000" w:themeColor="text1"/>
                <w:sz w:val="24"/>
                <w:szCs w:val="24"/>
                <w:highlight w:val="none"/>
                <w:lang w:val="en-US" w:eastAsia="zh-CN" w:bidi="en-US"/>
                <w14:textFill>
                  <w14:solidFill>
                    <w14:schemeClr w14:val="tx1"/>
                  </w14:solidFill>
                </w14:textFill>
              </w:rPr>
            </w:pPr>
            <w:r>
              <w:rPr>
                <w:rFonts w:hint="eastAsia" w:ascii="仿宋_GB2312" w:hAnsi="微软雅黑" w:eastAsia="仿宋_GB2312" w:cs="微软雅黑"/>
                <w:b w:val="0"/>
                <w:bCs w:val="0"/>
                <w:color w:val="000000" w:themeColor="text1"/>
                <w:sz w:val="24"/>
                <w:szCs w:val="24"/>
                <w:highlight w:val="none"/>
                <w:lang w:val="en-US" w:eastAsia="zh-CN" w:bidi="en-US"/>
                <w14:textFill>
                  <w14:solidFill>
                    <w14:schemeClr w14:val="tx1"/>
                  </w14:solidFill>
                </w14:textFill>
              </w:rPr>
              <w:t>（提供近3年任意某月国家公共信用信息中心发布的监测月报排名成绩和对应的服务合同为证）</w:t>
            </w:r>
          </w:p>
          <w:p>
            <w:pPr>
              <w:pStyle w:val="2"/>
              <w:numPr>
                <w:ilvl w:val="0"/>
                <w:numId w:val="0"/>
              </w:numPr>
              <w:jc w:val="both"/>
              <w:rPr>
                <w:rFonts w:ascii="仿宋_GB2312" w:hAnsi="微软雅黑" w:eastAsia="仿宋_GB2312" w:cs="微软雅黑"/>
                <w:color w:val="000000" w:themeColor="text1"/>
                <w:highlight w:val="none"/>
                <w:lang w:eastAsia="zh-CN"/>
                <w14:textFill>
                  <w14:solidFill>
                    <w14:schemeClr w14:val="tx1"/>
                  </w14:solidFill>
                </w14:textFill>
              </w:rPr>
            </w:pPr>
            <w:r>
              <w:rPr>
                <w:rFonts w:hint="eastAsia" w:ascii="仿宋_GB2312" w:hAnsi="微软雅黑" w:eastAsia="仿宋_GB2312" w:cs="微软雅黑"/>
                <w:b w:val="0"/>
                <w:bCs w:val="0"/>
                <w:color w:val="000000" w:themeColor="text1"/>
                <w:sz w:val="24"/>
                <w:szCs w:val="24"/>
                <w:highlight w:val="none"/>
                <w:lang w:val="en-US" w:eastAsia="zh-CN" w:bidi="en-US"/>
                <w14:textFill>
                  <w14:solidFill>
                    <w14:schemeClr w14:val="tx1"/>
                  </w14:solidFill>
                </w14:textFill>
              </w:rPr>
              <w:t>本项最高得6分</w:t>
            </w:r>
            <w:r>
              <w:rPr>
                <w:rFonts w:hint="eastAsia" w:ascii="仿宋_GB2312" w:hAnsi="微软雅黑" w:eastAsia="仿宋_GB2312" w:cs="微软雅黑"/>
                <w:color w:val="000000" w:themeColor="text1"/>
                <w:highlight w:val="none"/>
                <w:lang w:eastAsia="zh-CN"/>
                <w14:textFill>
                  <w14:solidFill>
                    <w14:schemeClr w14:val="tx1"/>
                  </w14:solidFill>
                </w14:textFill>
              </w:rPr>
              <w:t>（近三年是指2020年1月1日至今）</w:t>
            </w:r>
          </w:p>
        </w:tc>
        <w:tc>
          <w:tcPr>
            <w:tcW w:w="122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仿宋" w:hAnsi="仿宋"/>
                <w:color w:val="000000" w:themeColor="text1"/>
                <w:kern w:val="2"/>
                <w:highlight w:val="none"/>
                <w:lang w:val="en-US" w:eastAsia="zh-CN"/>
                <w14:textFill>
                  <w14:solidFill>
                    <w14:schemeClr w14:val="tx1"/>
                  </w14:solidFill>
                </w14:textFill>
              </w:rPr>
            </w:pPr>
            <w:r>
              <w:rPr>
                <w:rFonts w:hint="eastAsia" w:ascii="仿宋" w:hAnsi="仿宋"/>
                <w:color w:val="000000" w:themeColor="text1"/>
                <w:kern w:val="2"/>
                <w:highlight w:val="none"/>
                <w:lang w:val="en-US" w:eastAsia="zh-CN"/>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vMerge w:val="continue"/>
            <w:tcBorders>
              <w:left w:val="single" w:color="auto" w:sz="4" w:space="0"/>
              <w:right w:val="single" w:color="auto" w:sz="4" w:space="0"/>
            </w:tcBorders>
            <w:vAlign w:val="center"/>
          </w:tcPr>
          <w:p>
            <w:pPr>
              <w:ind w:firstLine="0" w:firstLineChars="0"/>
              <w:rPr>
                <w:rFonts w:ascii="仿宋" w:hAnsi="仿宋"/>
                <w:color w:val="000000" w:themeColor="text1"/>
                <w:kern w:val="2"/>
                <w:highlight w:val="none"/>
                <w:lang w:eastAsia="zh-CN"/>
                <w14:textFill>
                  <w14:solidFill>
                    <w14:schemeClr w14:val="tx1"/>
                  </w14:solidFill>
                </w14:textFill>
              </w:rPr>
            </w:pPr>
          </w:p>
        </w:tc>
        <w:tc>
          <w:tcPr>
            <w:tcW w:w="6546"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pP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本项目有提升</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七类行政管理信息归集情况、使用信用档案、信用评价等要求，因此</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供应商</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应</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具有</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国家级、省级或地方级信用相关</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平台的开发</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或推广</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经验。</w:t>
            </w:r>
          </w:p>
          <w:p>
            <w:pPr>
              <w:numPr>
                <w:ilvl w:val="0"/>
                <w:numId w:val="8"/>
              </w:numPr>
              <w:ind w:left="0" w:leftChars="0" w:firstLine="0" w:firstLineChars="0"/>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pP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供应商负责开发过国家信用相关平台的，</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得</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6分；</w:t>
            </w:r>
          </w:p>
          <w:p>
            <w:pPr>
              <w:numPr>
                <w:ilvl w:val="0"/>
                <w:numId w:val="8"/>
              </w:numPr>
              <w:ind w:left="0" w:leftChars="0" w:firstLine="0" w:firstLineChars="0"/>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pP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供应商负责开发过省级信用相关平台的，</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得5</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分；</w:t>
            </w:r>
          </w:p>
          <w:p>
            <w:pPr>
              <w:numPr>
                <w:ilvl w:val="0"/>
                <w:numId w:val="8"/>
              </w:numPr>
              <w:ind w:left="0" w:leftChars="0" w:firstLine="0" w:firstLineChars="0"/>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pP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供应商负责开发过</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市县级</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信用相关平台的，</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得3</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分；</w:t>
            </w:r>
          </w:p>
          <w:p>
            <w:pPr>
              <w:numPr>
                <w:ilvl w:val="0"/>
                <w:numId w:val="8"/>
              </w:numPr>
              <w:ind w:left="0" w:leftChars="0" w:firstLine="0" w:firstLineChars="0"/>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pP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以上</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没有不得分。</w:t>
            </w:r>
          </w:p>
          <w:p>
            <w:pPr>
              <w:numPr>
                <w:ilvl w:val="0"/>
                <w:numId w:val="0"/>
              </w:numPr>
              <w:ind w:leftChars="0"/>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pP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提供与</w:t>
            </w:r>
            <w:r>
              <w:rPr>
                <w:rFonts w:hint="eastAsia" w:ascii="仿宋_GB2312" w:hAnsi="微软雅黑" w:eastAsia="仿宋_GB2312" w:cs="微软雅黑"/>
                <w:b w:val="0"/>
                <w:bCs w:val="0"/>
                <w:color w:val="000000" w:themeColor="text1"/>
                <w:highlight w:val="none"/>
                <w:lang w:val="en-US" w:eastAsia="zh-CN"/>
                <w14:textFill>
                  <w14:solidFill>
                    <w14:schemeClr w14:val="tx1"/>
                  </w14:solidFill>
                </w14:textFill>
              </w:rPr>
              <w:t>国家、省级及市县级</w:t>
            </w:r>
            <w:r>
              <w:rPr>
                <w:rFonts w:hint="eastAsia" w:ascii="仿宋_GB2312" w:hAnsi="微软雅黑" w:eastAsia="仿宋_GB2312" w:cs="微软雅黑"/>
                <w:b w:val="0"/>
                <w:bCs w:val="0"/>
                <w:color w:val="000000" w:themeColor="text1"/>
                <w:highlight w:val="none"/>
                <w:lang w:eastAsia="zh-CN"/>
                <w14:textFill>
                  <w14:solidFill>
                    <w14:schemeClr w14:val="tx1"/>
                  </w14:solidFill>
                </w14:textFill>
              </w:rPr>
              <w:t>相关部门签订的信用平台合同扫描件，</w:t>
            </w:r>
            <w:r>
              <w:rPr>
                <w:rFonts w:hint="eastAsia" w:ascii="仿宋_GB2312" w:hAnsi="微软雅黑" w:eastAsia="仿宋_GB2312" w:cs="微软雅黑"/>
                <w:b/>
                <w:bCs/>
                <w:color w:val="000000" w:themeColor="text1"/>
                <w:highlight w:val="none"/>
                <w:lang w:val="en-US" w:eastAsia="zh-CN"/>
                <w14:textFill>
                  <w14:solidFill>
                    <w14:schemeClr w14:val="tx1"/>
                  </w14:solidFill>
                </w14:textFill>
              </w:rPr>
              <w:t>原件合同真实性事后备查，如有弄虚作假者，将追究法律责任</w:t>
            </w: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p>
          <w:p>
            <w:pPr>
              <w:ind w:left="0" w:leftChars="0" w:firstLine="0" w:firstLineChars="0"/>
              <w:rPr>
                <w:rFonts w:hint="default" w:ascii="仿宋_GB2312" w:hAnsi="微软雅黑" w:eastAsia="仿宋_GB2312" w:cs="微软雅黑"/>
                <w:b/>
                <w:bCs/>
                <w:color w:val="000000" w:themeColor="text1"/>
                <w:highlight w:val="none"/>
                <w:lang w:val="en-US" w:eastAsia="zh-CN"/>
                <w14:textFill>
                  <w14:solidFill>
                    <w14:schemeClr w14:val="tx1"/>
                  </w14:solidFill>
                </w14:textFill>
              </w:rPr>
            </w:pPr>
            <w:r>
              <w:rPr>
                <w:rFonts w:hint="eastAsia" w:ascii="仿宋_GB2312" w:hAnsi="微软雅黑" w:eastAsia="仿宋_GB2312" w:cs="微软雅黑"/>
                <w:b/>
                <w:bCs/>
                <w:color w:val="000000" w:themeColor="text1"/>
                <w:highlight w:val="none"/>
                <w:lang w:val="en-US" w:eastAsia="zh-CN"/>
                <w14:textFill>
                  <w14:solidFill>
                    <w14:schemeClr w14:val="tx1"/>
                  </w14:solidFill>
                </w14:textFill>
              </w:rPr>
              <w:t>本项最高得6分。</w:t>
            </w:r>
          </w:p>
        </w:tc>
        <w:tc>
          <w:tcPr>
            <w:tcW w:w="122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仿宋" w:hAnsi="仿宋"/>
                <w:color w:val="000000" w:themeColor="text1"/>
                <w:kern w:val="2"/>
                <w:highlight w:val="none"/>
                <w:lang w:val="en-US" w:eastAsia="zh-CN"/>
                <w14:textFill>
                  <w14:solidFill>
                    <w14:schemeClr w14:val="tx1"/>
                  </w14:solidFill>
                </w14:textFill>
              </w:rPr>
            </w:pPr>
            <w:r>
              <w:rPr>
                <w:rFonts w:hint="eastAsia" w:ascii="仿宋" w:hAnsi="仿宋"/>
                <w:color w:val="000000" w:themeColor="text1"/>
                <w:kern w:val="2"/>
                <w:highlight w:val="none"/>
                <w:lang w:val="en-US" w:eastAsia="zh-CN"/>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restart"/>
            <w:tcBorders>
              <w:top w:val="single" w:color="auto" w:sz="4" w:space="0"/>
              <w:left w:val="single" w:color="auto" w:sz="4" w:space="0"/>
              <w:right w:val="single" w:color="auto" w:sz="4" w:space="0"/>
            </w:tcBorders>
            <w:vAlign w:val="center"/>
          </w:tcPr>
          <w:p>
            <w:pPr>
              <w:pStyle w:val="20"/>
              <w:adjustRightInd w:val="0"/>
              <w:snapToGrid w:val="0"/>
              <w:ind w:firstLine="0" w:firstLineChars="0"/>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技术部分（</w:t>
            </w:r>
            <w:r>
              <w:rPr>
                <w:rFonts w:hint="eastAsia" w:ascii="仿宋" w:hAnsi="仿宋" w:eastAsia="仿宋"/>
                <w:color w:val="000000" w:themeColor="text1"/>
                <w:kern w:val="2"/>
                <w:highlight w:val="none"/>
                <w:lang w:val="en-US" w:eastAsia="zh-CN"/>
                <w14:textFill>
                  <w14:solidFill>
                    <w14:schemeClr w14:val="tx1"/>
                  </w14:solidFill>
                </w14:textFill>
              </w:rPr>
              <w:t>58</w:t>
            </w:r>
            <w:r>
              <w:rPr>
                <w:rFonts w:hint="eastAsia" w:ascii="仿宋" w:hAnsi="仿宋" w:eastAsia="仿宋"/>
                <w:color w:val="000000" w:themeColor="text1"/>
                <w:kern w:val="2"/>
                <w:highlight w:val="none"/>
                <w14:textFill>
                  <w14:solidFill>
                    <w14:schemeClr w14:val="tx1"/>
                  </w14:solidFill>
                </w14:textFill>
              </w:rPr>
              <w:t>分）</w:t>
            </w:r>
          </w:p>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vMerge w:val="restart"/>
            <w:tcBorders>
              <w:top w:val="single" w:color="auto" w:sz="4" w:space="0"/>
              <w:left w:val="single" w:color="auto" w:sz="4" w:space="0"/>
              <w:right w:val="single" w:color="auto" w:sz="4" w:space="0"/>
            </w:tcBorders>
            <w:vAlign w:val="center"/>
          </w:tcPr>
          <w:p>
            <w:pPr>
              <w:pStyle w:val="20"/>
              <w:adjustRightInd w:val="0"/>
              <w:snapToGrid w:val="0"/>
              <w:ind w:left="0" w:leftChars="0" w:firstLine="0" w:firstLineChars="0"/>
              <w:jc w:val="both"/>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企业实力</w:t>
            </w:r>
          </w:p>
        </w:tc>
        <w:tc>
          <w:tcPr>
            <w:tcW w:w="6546"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资质备案：</w:t>
            </w:r>
          </w:p>
          <w:p>
            <w:pPr>
              <w:numPr>
                <w:ilvl w:val="0"/>
                <w:numId w:val="9"/>
              </w:num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有国家</w:t>
            </w:r>
            <w:r>
              <w:rPr>
                <w:rFonts w:hint="eastAsia" w:ascii="仿宋" w:hAnsi="仿宋" w:cs="仿宋"/>
                <w:color w:val="000000" w:themeColor="text1"/>
                <w:highlight w:val="none"/>
                <w:lang w:val="en-US" w:eastAsia="zh-CN"/>
                <w14:textFill>
                  <w14:solidFill>
                    <w14:schemeClr w14:val="tx1"/>
                  </w14:solidFill>
                </w14:textFill>
              </w:rPr>
              <w:t>或省级</w:t>
            </w:r>
            <w:r>
              <w:rPr>
                <w:rFonts w:hint="eastAsia" w:ascii="仿宋" w:hAnsi="仿宋" w:eastAsia="仿宋" w:cs="仿宋"/>
                <w:color w:val="000000" w:themeColor="text1"/>
                <w:highlight w:val="none"/>
                <w14:textFill>
                  <w14:solidFill>
                    <w14:schemeClr w14:val="tx1"/>
                  </w14:solidFill>
                </w14:textFill>
              </w:rPr>
              <w:t>信用服务机构或征信机构备案认证的，</w:t>
            </w:r>
            <w:r>
              <w:rPr>
                <w:rFonts w:hint="eastAsia" w:ascii="仿宋" w:hAnsi="仿宋" w:cs="仿宋"/>
                <w:color w:val="000000" w:themeColor="text1"/>
                <w:highlight w:val="none"/>
                <w:lang w:val="en-US" w:eastAsia="zh-CN"/>
                <w14:textFill>
                  <w14:solidFill>
                    <w14:schemeClr w14:val="tx1"/>
                  </w14:solidFill>
                </w14:textFill>
              </w:rPr>
              <w:t>得6</w:t>
            </w:r>
            <w:r>
              <w:rPr>
                <w:rFonts w:hint="eastAsia" w:ascii="仿宋" w:hAnsi="仿宋" w:eastAsia="仿宋" w:cs="仿宋"/>
                <w:color w:val="000000" w:themeColor="text1"/>
                <w:highlight w:val="none"/>
                <w14:textFill>
                  <w14:solidFill>
                    <w14:schemeClr w14:val="tx1"/>
                  </w14:solidFill>
                </w14:textFill>
              </w:rPr>
              <w:t>分；（提供</w:t>
            </w:r>
            <w:r>
              <w:rPr>
                <w:rFonts w:hint="eastAsia" w:ascii="仿宋" w:hAnsi="仿宋" w:cs="仿宋"/>
                <w:color w:val="000000" w:themeColor="text1"/>
                <w:highlight w:val="none"/>
                <w:lang w:val="en-US" w:eastAsia="zh-CN"/>
                <w14:textFill>
                  <w14:solidFill>
                    <w14:schemeClr w14:val="tx1"/>
                  </w14:solidFill>
                </w14:textFill>
              </w:rPr>
              <w:t>国家</w:t>
            </w:r>
            <w:r>
              <w:rPr>
                <w:rFonts w:hint="eastAsia" w:ascii="仿宋" w:hAnsi="仿宋" w:eastAsia="仿宋" w:cs="仿宋"/>
                <w:color w:val="000000" w:themeColor="text1"/>
                <w:highlight w:val="none"/>
                <w14:textFill>
                  <w14:solidFill>
                    <w14:schemeClr w14:val="tx1"/>
                  </w14:solidFill>
                </w14:textFill>
              </w:rPr>
              <w:t>或省级公示或备案证明文件）</w:t>
            </w:r>
          </w:p>
          <w:p>
            <w:pPr>
              <w:numPr>
                <w:ilvl w:val="0"/>
                <w:numId w:val="9"/>
              </w:num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有高新技术企业认证的，</w:t>
            </w:r>
            <w:r>
              <w:rPr>
                <w:rFonts w:hint="eastAsia" w:ascii="仿宋" w:hAnsi="仿宋" w:eastAsia="仿宋" w:cs="仿宋"/>
                <w:color w:val="000000" w:themeColor="text1"/>
                <w:highlight w:val="none"/>
                <w:lang w:val="en-US" w:eastAsia="zh-CN"/>
                <w14:textFill>
                  <w14:solidFill>
                    <w14:schemeClr w14:val="tx1"/>
                  </w14:solidFill>
                </w14:textFill>
              </w:rPr>
              <w:t>得</w:t>
            </w:r>
            <w:r>
              <w:rPr>
                <w:rFonts w:hint="eastAsia" w:ascii="仿宋" w:hAnsi="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分。（提供</w:t>
            </w:r>
            <w:r>
              <w:rPr>
                <w:rFonts w:hint="eastAsia" w:ascii="仿宋" w:hAnsi="仿宋" w:cs="仿宋"/>
                <w:color w:val="000000" w:themeColor="text1"/>
                <w:highlight w:val="none"/>
                <w:lang w:val="en-US" w:eastAsia="zh-CN"/>
                <w14:textFill>
                  <w14:solidFill>
                    <w14:schemeClr w14:val="tx1"/>
                  </w14:solidFill>
                </w14:textFill>
              </w:rPr>
              <w:t>证书扫描件</w:t>
            </w:r>
            <w:r>
              <w:rPr>
                <w:rFonts w:hint="eastAsia" w:ascii="仿宋" w:hAnsi="仿宋" w:eastAsia="仿宋" w:cs="仿宋"/>
                <w:color w:val="000000" w:themeColor="text1"/>
                <w:highlight w:val="none"/>
                <w14:textFill>
                  <w14:solidFill>
                    <w14:schemeClr w14:val="tx1"/>
                  </w14:solidFill>
                </w14:textFill>
              </w:rPr>
              <w:t>）</w:t>
            </w:r>
          </w:p>
          <w:p>
            <w:p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cs="仿宋"/>
                <w:color w:val="000000" w:themeColor="text1"/>
                <w:highlight w:val="none"/>
                <w:lang w:val="en-US" w:eastAsia="zh-CN"/>
                <w14:textFill>
                  <w14:solidFill>
                    <w14:schemeClr w14:val="tx1"/>
                  </w14:solidFill>
                </w14:textFill>
              </w:rPr>
              <w:t>以上</w:t>
            </w:r>
            <w:r>
              <w:rPr>
                <w:rFonts w:hint="eastAsia" w:ascii="仿宋" w:hAnsi="仿宋" w:eastAsia="仿宋" w:cs="仿宋"/>
                <w:color w:val="000000" w:themeColor="text1"/>
                <w:highlight w:val="none"/>
                <w14:textFill>
                  <w14:solidFill>
                    <w14:schemeClr w14:val="tx1"/>
                  </w14:solidFill>
                </w14:textFill>
              </w:rPr>
              <w:t>没有不</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14:textFill>
                  <w14:solidFill>
                    <w14:schemeClr w14:val="tx1"/>
                  </w14:solidFill>
                </w14:textFill>
              </w:rPr>
              <w:t>分。</w:t>
            </w:r>
          </w:p>
          <w:p>
            <w:pPr>
              <w:ind w:left="0" w:leftChars="0" w:firstLine="0" w:firstLineChars="0"/>
              <w:rPr>
                <w:rFonts w:hint="eastAsia" w:ascii="仿宋" w:hAnsi="仿宋" w:cs="仿宋"/>
                <w:color w:val="000000" w:themeColor="text1"/>
                <w:highlight w:val="none"/>
                <w:lang w:val="en-US" w:eastAsia="zh-CN"/>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本项可累加，最高不超过9分。</w:t>
            </w:r>
          </w:p>
          <w:p>
            <w:p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r>
              <w:rPr>
                <w:rFonts w:hint="eastAsia" w:ascii="仿宋_GB2312" w:hAnsi="微软雅黑" w:eastAsia="仿宋_GB2312" w:cs="微软雅黑"/>
                <w:b/>
                <w:bCs/>
                <w:color w:val="000000" w:themeColor="text1"/>
                <w:highlight w:val="none"/>
                <w:lang w:val="en-US" w:eastAsia="zh-CN"/>
                <w14:textFill>
                  <w14:solidFill>
                    <w14:schemeClr w14:val="tx1"/>
                  </w14:solidFill>
                </w14:textFill>
              </w:rPr>
              <w:t>证明资料事后备查，如有弄虚作假者，将追究法律责任</w:t>
            </w: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default"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vMerge w:val="continue"/>
            <w:tcBorders>
              <w:left w:val="single" w:color="auto" w:sz="4" w:space="0"/>
              <w:right w:val="single" w:color="auto" w:sz="4" w:space="0"/>
            </w:tcBorders>
            <w:vAlign w:val="center"/>
          </w:tcPr>
          <w:p>
            <w:pPr>
              <w:pStyle w:val="20"/>
              <w:adjustRightInd w:val="0"/>
              <w:snapToGrid w:val="0"/>
              <w:ind w:firstLine="0" w:firstLineChars="0"/>
              <w:jc w:val="both"/>
              <w:rPr>
                <w:rFonts w:ascii="仿宋" w:hAnsi="仿宋" w:eastAsia="仿宋"/>
                <w:color w:val="000000" w:themeColor="text1"/>
                <w:kern w:val="2"/>
                <w:highlight w:val="none"/>
                <w14:textFill>
                  <w14:solidFill>
                    <w14:schemeClr w14:val="tx1"/>
                  </w14:solidFill>
                </w14:textFill>
              </w:rPr>
            </w:pPr>
          </w:p>
        </w:tc>
        <w:tc>
          <w:tcPr>
            <w:tcW w:w="6546"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专业人员：</w:t>
            </w:r>
          </w:p>
          <w:p>
            <w:pPr>
              <w:numPr>
                <w:ilvl w:val="0"/>
                <w:numId w:val="10"/>
              </w:num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有</w:t>
            </w:r>
            <w:r>
              <w:rPr>
                <w:rFonts w:hint="eastAsia" w:ascii="仿宋" w:hAnsi="仿宋" w:eastAsia="仿宋" w:cs="仿宋"/>
                <w:color w:val="000000" w:themeColor="text1"/>
                <w:highlight w:val="none"/>
                <w14:textFill>
                  <w14:solidFill>
                    <w14:schemeClr w14:val="tx1"/>
                  </w14:solidFill>
                </w14:textFill>
              </w:rPr>
              <w:t>信用管理师</w:t>
            </w:r>
            <w:r>
              <w:rPr>
                <w:rFonts w:hint="eastAsia" w:ascii="仿宋" w:hAnsi="仿宋" w:cs="仿宋"/>
                <w:color w:val="000000" w:themeColor="text1"/>
                <w:highlight w:val="none"/>
                <w:lang w:val="en-US" w:eastAsia="zh-CN"/>
                <w14:textFill>
                  <w14:solidFill>
                    <w14:schemeClr w14:val="tx1"/>
                  </w14:solidFill>
                </w14:textFill>
              </w:rPr>
              <w:t>或信用评估师认证的，有</w:t>
            </w:r>
            <w:r>
              <w:rPr>
                <w:rFonts w:hint="eastAsia" w:ascii="仿宋" w:hAnsi="仿宋" w:eastAsia="仿宋" w:cs="仿宋"/>
                <w:color w:val="000000" w:themeColor="text1"/>
                <w:highlight w:val="none"/>
                <w14:textFill>
                  <w14:solidFill>
                    <w14:schemeClr w14:val="tx1"/>
                  </w14:solidFill>
                </w14:textFill>
              </w:rPr>
              <w:t>1名</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14:textFill>
                  <w14:solidFill>
                    <w14:schemeClr w14:val="tx1"/>
                  </w14:solidFill>
                </w14:textFill>
              </w:rPr>
              <w:t>1分，最高</w:t>
            </w:r>
            <w:r>
              <w:rPr>
                <w:rFonts w:hint="eastAsia" w:ascii="仿宋" w:hAnsi="仿宋" w:cs="仿宋"/>
                <w:color w:val="000000" w:themeColor="text1"/>
                <w:highlight w:val="none"/>
                <w:lang w:val="en-US" w:eastAsia="zh-CN"/>
                <w14:textFill>
                  <w14:solidFill>
                    <w14:schemeClr w14:val="tx1"/>
                  </w14:solidFill>
                </w14:textFill>
              </w:rPr>
              <w:t>得2</w:t>
            </w:r>
            <w:r>
              <w:rPr>
                <w:rFonts w:hint="eastAsia" w:ascii="仿宋" w:hAnsi="仿宋" w:eastAsia="仿宋" w:cs="仿宋"/>
                <w:color w:val="000000" w:themeColor="text1"/>
                <w:highlight w:val="none"/>
                <w14:textFill>
                  <w14:solidFill>
                    <w14:schemeClr w14:val="tx1"/>
                  </w14:solidFill>
                </w14:textFill>
              </w:rPr>
              <w:t>分。（提供证书</w:t>
            </w:r>
            <w:r>
              <w:rPr>
                <w:rFonts w:hint="eastAsia" w:ascii="仿宋" w:hAnsi="仿宋" w:cs="仿宋"/>
                <w:color w:val="000000" w:themeColor="text1"/>
                <w:highlight w:val="none"/>
                <w:lang w:val="en-US" w:eastAsia="zh-CN"/>
                <w14:textFill>
                  <w14:solidFill>
                    <w14:schemeClr w14:val="tx1"/>
                  </w14:solidFill>
                </w14:textFill>
              </w:rPr>
              <w:t>扫描件</w:t>
            </w:r>
            <w:r>
              <w:rPr>
                <w:rFonts w:hint="eastAsia" w:ascii="仿宋" w:hAnsi="仿宋" w:eastAsia="仿宋" w:cs="仿宋"/>
                <w:color w:val="000000" w:themeColor="text1"/>
                <w:highlight w:val="none"/>
                <w14:textFill>
                  <w14:solidFill>
                    <w14:schemeClr w14:val="tx1"/>
                  </w14:solidFill>
                </w14:textFill>
              </w:rPr>
              <w:t>）</w:t>
            </w:r>
          </w:p>
          <w:p>
            <w:pPr>
              <w:numPr>
                <w:ilvl w:val="0"/>
                <w:numId w:val="10"/>
              </w:num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有高级项目</w:t>
            </w:r>
            <w:r>
              <w:rPr>
                <w:rFonts w:hint="eastAsia" w:ascii="仿宋" w:hAnsi="仿宋" w:eastAsia="仿宋" w:cs="仿宋"/>
                <w:color w:val="000000" w:themeColor="text1"/>
                <w:highlight w:val="none"/>
                <w:lang w:val="en-US" w:eastAsia="zh-CN"/>
                <w14:textFill>
                  <w14:solidFill>
                    <w14:schemeClr w14:val="tx1"/>
                  </w14:solidFill>
                </w14:textFill>
              </w:rPr>
              <w:t>管理师</w:t>
            </w:r>
            <w:r>
              <w:rPr>
                <w:rFonts w:hint="eastAsia" w:ascii="仿宋" w:hAnsi="仿宋" w:cs="仿宋"/>
                <w:color w:val="000000" w:themeColor="text1"/>
                <w:highlight w:val="none"/>
                <w:lang w:val="en-US" w:eastAsia="zh-CN"/>
                <w14:textFill>
                  <w14:solidFill>
                    <w14:schemeClr w14:val="tx1"/>
                  </w14:solidFill>
                </w14:textFill>
              </w:rPr>
              <w:t>认证的，有</w:t>
            </w:r>
            <w:r>
              <w:rPr>
                <w:rFonts w:hint="eastAsia" w:ascii="仿宋" w:hAnsi="仿宋" w:eastAsia="仿宋" w:cs="仿宋"/>
                <w:color w:val="000000" w:themeColor="text1"/>
                <w:highlight w:val="none"/>
                <w:lang w:val="en-US" w:eastAsia="zh-CN"/>
                <w14:textFill>
                  <w14:solidFill>
                    <w14:schemeClr w14:val="tx1"/>
                  </w14:solidFill>
                </w14:textFill>
              </w:rPr>
              <w:t>1名</w:t>
            </w:r>
            <w:r>
              <w:rPr>
                <w:rFonts w:hint="eastAsia" w:ascii="仿宋" w:hAnsi="仿宋" w:cs="仿宋"/>
                <w:color w:val="000000" w:themeColor="text1"/>
                <w:highlight w:val="none"/>
                <w:lang w:val="en-US" w:eastAsia="zh-CN"/>
                <w14:textFill>
                  <w14:solidFill>
                    <w14:schemeClr w14:val="tx1"/>
                  </w14:solidFill>
                </w14:textFill>
              </w:rPr>
              <w:t>得</w:t>
            </w:r>
            <w:r>
              <w:rPr>
                <w:rFonts w:hint="eastAsia" w:ascii="仿宋" w:hAnsi="仿宋" w:eastAsia="仿宋" w:cs="仿宋"/>
                <w:color w:val="000000" w:themeColor="text1"/>
                <w:highlight w:val="none"/>
                <w:lang w:val="en-US" w:eastAsia="zh-CN"/>
                <w14:textFill>
                  <w14:solidFill>
                    <w14:schemeClr w14:val="tx1"/>
                  </w14:solidFill>
                </w14:textFill>
              </w:rPr>
              <w:t>1分。</w:t>
            </w:r>
            <w:r>
              <w:rPr>
                <w:rFonts w:hint="eastAsia" w:ascii="仿宋" w:hAnsi="仿宋" w:eastAsia="仿宋" w:cs="仿宋"/>
                <w:color w:val="000000" w:themeColor="text1"/>
                <w:highlight w:val="none"/>
                <w14:textFill>
                  <w14:solidFill>
                    <w14:schemeClr w14:val="tx1"/>
                  </w14:solidFill>
                </w14:textFill>
              </w:rPr>
              <w:t>（提供证书</w:t>
            </w:r>
            <w:r>
              <w:rPr>
                <w:rFonts w:hint="eastAsia" w:ascii="仿宋" w:hAnsi="仿宋" w:cs="仿宋"/>
                <w:color w:val="000000" w:themeColor="text1"/>
                <w:highlight w:val="none"/>
                <w:lang w:val="en-US" w:eastAsia="zh-CN"/>
                <w14:textFill>
                  <w14:solidFill>
                    <w14:schemeClr w14:val="tx1"/>
                  </w14:solidFill>
                </w14:textFill>
              </w:rPr>
              <w:t>扫描件</w:t>
            </w:r>
            <w:r>
              <w:rPr>
                <w:rFonts w:hint="eastAsia" w:ascii="仿宋" w:hAnsi="仿宋" w:eastAsia="仿宋" w:cs="仿宋"/>
                <w:color w:val="000000" w:themeColor="text1"/>
                <w:highlight w:val="none"/>
                <w14:textFill>
                  <w14:solidFill>
                    <w14:schemeClr w14:val="tx1"/>
                  </w14:solidFill>
                </w14:textFill>
              </w:rPr>
              <w:t>）</w:t>
            </w:r>
          </w:p>
          <w:p>
            <w:p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r>
              <w:rPr>
                <w:rFonts w:hint="eastAsia" w:ascii="仿宋" w:hAnsi="仿宋" w:cs="仿宋"/>
                <w:color w:val="000000" w:themeColor="text1"/>
                <w:highlight w:val="none"/>
                <w:lang w:val="en-US" w:eastAsia="zh-CN"/>
                <w14:textFill>
                  <w14:solidFill>
                    <w14:schemeClr w14:val="tx1"/>
                  </w14:solidFill>
                </w14:textFill>
              </w:rPr>
              <w:t>以上</w:t>
            </w:r>
            <w:r>
              <w:rPr>
                <w:rFonts w:hint="eastAsia" w:ascii="仿宋" w:hAnsi="仿宋" w:eastAsia="仿宋" w:cs="仿宋"/>
                <w:color w:val="000000" w:themeColor="text1"/>
                <w:highlight w:val="none"/>
                <w14:textFill>
                  <w14:solidFill>
                    <w14:schemeClr w14:val="tx1"/>
                  </w14:solidFill>
                </w14:textFill>
              </w:rPr>
              <w:t>没有不</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14:textFill>
                  <w14:solidFill>
                    <w14:schemeClr w14:val="tx1"/>
                  </w14:solidFill>
                </w14:textFill>
              </w:rPr>
              <w:t>分。</w:t>
            </w:r>
          </w:p>
          <w:p>
            <w:pPr>
              <w:ind w:left="0" w:leftChars="0" w:firstLine="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cs="仿宋"/>
                <w:color w:val="000000" w:themeColor="text1"/>
                <w:highlight w:val="none"/>
                <w:lang w:val="en-US" w:eastAsia="zh-CN"/>
                <w14:textFill>
                  <w14:solidFill>
                    <w14:schemeClr w14:val="tx1"/>
                  </w14:solidFill>
                </w14:textFill>
              </w:rPr>
              <w:t>本项最高得3分。</w:t>
            </w: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r>
              <w:rPr>
                <w:rFonts w:hint="eastAsia" w:ascii="仿宋_GB2312" w:hAnsi="微软雅黑" w:eastAsia="仿宋_GB2312" w:cs="微软雅黑"/>
                <w:b/>
                <w:bCs/>
                <w:color w:val="000000" w:themeColor="text1"/>
                <w:highlight w:val="none"/>
                <w:lang w:val="en-US" w:eastAsia="zh-CN"/>
                <w14:textFill>
                  <w14:solidFill>
                    <w14:schemeClr w14:val="tx1"/>
                  </w14:solidFill>
                </w14:textFill>
              </w:rPr>
              <w:t>证明资料事后备查，如有弄虚作假者，将追究法律责任</w:t>
            </w: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default"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vMerge w:val="continue"/>
            <w:tcBorders>
              <w:left w:val="single" w:color="auto" w:sz="4" w:space="0"/>
              <w:right w:val="single" w:color="auto" w:sz="4" w:space="0"/>
            </w:tcBorders>
            <w:vAlign w:val="center"/>
          </w:tcPr>
          <w:p>
            <w:pPr>
              <w:pStyle w:val="20"/>
              <w:adjustRightInd w:val="0"/>
              <w:snapToGrid w:val="0"/>
              <w:ind w:firstLine="0" w:firstLineChars="0"/>
              <w:jc w:val="both"/>
              <w:rPr>
                <w:rFonts w:ascii="仿宋" w:hAnsi="仿宋" w:eastAsia="仿宋"/>
                <w:color w:val="000000" w:themeColor="text1"/>
                <w:kern w:val="2"/>
                <w:highlight w:val="none"/>
                <w14:textFill>
                  <w14:solidFill>
                    <w14:schemeClr w14:val="tx1"/>
                  </w14:solidFill>
                </w14:textFill>
              </w:rPr>
            </w:pPr>
          </w:p>
        </w:tc>
        <w:tc>
          <w:tcPr>
            <w:tcW w:w="6546" w:type="dxa"/>
            <w:tcBorders>
              <w:top w:val="single" w:color="auto" w:sz="4" w:space="0"/>
              <w:left w:val="single" w:color="auto" w:sz="4" w:space="0"/>
              <w:right w:val="single" w:color="auto" w:sz="4" w:space="0"/>
            </w:tcBorders>
          </w:tcPr>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知识产权：</w:t>
            </w:r>
          </w:p>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1、近三年获得信用相关知识产权的，有1项</w:t>
            </w:r>
            <w:r>
              <w:rPr>
                <w:rFonts w:hint="eastAsia" w:ascii="仿宋" w:hAnsi="仿宋" w:cs="仿宋"/>
                <w:color w:val="000000" w:themeColor="text1"/>
                <w:highlight w:val="none"/>
                <w:lang w:val="en-US" w:eastAsia="zh-CN"/>
                <w14:textFill>
                  <w14:solidFill>
                    <w14:schemeClr w14:val="tx1"/>
                  </w14:solidFill>
                </w14:textFill>
              </w:rPr>
              <w:t>得</w:t>
            </w:r>
            <w:r>
              <w:rPr>
                <w:rFonts w:hint="eastAsia" w:ascii="仿宋" w:hAnsi="仿宋" w:eastAsia="仿宋" w:cs="仿宋"/>
                <w:color w:val="000000" w:themeColor="text1"/>
                <w:highlight w:val="none"/>
                <w:lang w:eastAsia="zh-CN"/>
                <w14:textFill>
                  <w14:solidFill>
                    <w14:schemeClr w14:val="tx1"/>
                  </w14:solidFill>
                </w14:textFill>
              </w:rPr>
              <w:t>2分，最高</w:t>
            </w:r>
            <w:r>
              <w:rPr>
                <w:rFonts w:hint="eastAsia" w:ascii="仿宋" w:hAnsi="仿宋" w:cs="仿宋"/>
                <w:color w:val="000000" w:themeColor="text1"/>
                <w:highlight w:val="none"/>
                <w:lang w:val="en-US" w:eastAsia="zh-CN"/>
                <w14:textFill>
                  <w14:solidFill>
                    <w14:schemeClr w14:val="tx1"/>
                  </w14:solidFill>
                </w14:textFill>
              </w:rPr>
              <w:t>得</w:t>
            </w:r>
            <w:r>
              <w:rPr>
                <w:rFonts w:hint="eastAsia" w:ascii="仿宋" w:hAnsi="仿宋" w:eastAsia="仿宋" w:cs="仿宋"/>
                <w:color w:val="000000" w:themeColor="text1"/>
                <w:highlight w:val="none"/>
                <w:lang w:eastAsia="zh-CN"/>
                <w14:textFill>
                  <w14:solidFill>
                    <w14:schemeClr w14:val="tx1"/>
                  </w14:solidFill>
                </w14:textFill>
              </w:rPr>
              <w:t>10分。（提供国家版权局颁发的知识产权证书</w:t>
            </w:r>
            <w:r>
              <w:rPr>
                <w:rFonts w:hint="eastAsia" w:ascii="仿宋" w:hAnsi="仿宋" w:cs="仿宋"/>
                <w:color w:val="000000" w:themeColor="text1"/>
                <w:highlight w:val="none"/>
                <w:lang w:val="en-US" w:eastAsia="zh-CN"/>
                <w14:textFill>
                  <w14:solidFill>
                    <w14:schemeClr w14:val="tx1"/>
                  </w14:solidFill>
                </w14:textFill>
              </w:rPr>
              <w:t>扫描件</w:t>
            </w:r>
            <w:r>
              <w:rPr>
                <w:rFonts w:hint="eastAsia" w:ascii="仿宋" w:hAnsi="仿宋" w:eastAsia="仿宋" w:cs="仿宋"/>
                <w:color w:val="000000" w:themeColor="text1"/>
                <w:highlight w:val="none"/>
                <w:lang w:eastAsia="zh-CN"/>
                <w14:textFill>
                  <w14:solidFill>
                    <w14:schemeClr w14:val="tx1"/>
                  </w14:solidFill>
                </w14:textFill>
              </w:rPr>
              <w:t>）</w:t>
            </w:r>
          </w:p>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w:t>
            </w:r>
            <w:r>
              <w:rPr>
                <w:rFonts w:hint="eastAsia" w:ascii="仿宋" w:hAnsi="仿宋" w:cs="仿宋"/>
                <w:color w:val="000000" w:themeColor="text1"/>
                <w:highlight w:val="none"/>
                <w:lang w:val="en-US" w:eastAsia="zh-CN"/>
                <w14:textFill>
                  <w14:solidFill>
                    <w14:schemeClr w14:val="tx1"/>
                  </w14:solidFill>
                </w14:textFill>
              </w:rPr>
              <w:t>以上</w:t>
            </w:r>
            <w:r>
              <w:rPr>
                <w:rFonts w:hint="eastAsia" w:ascii="仿宋" w:hAnsi="仿宋" w:eastAsia="仿宋" w:cs="仿宋"/>
                <w:color w:val="000000" w:themeColor="text1"/>
                <w:highlight w:val="none"/>
                <w:lang w:eastAsia="zh-CN"/>
                <w14:textFill>
                  <w14:solidFill>
                    <w14:schemeClr w14:val="tx1"/>
                  </w14:solidFill>
                </w14:textFill>
              </w:rPr>
              <w:t>没有不得分。</w:t>
            </w:r>
            <w:r>
              <w:rPr>
                <w:rFonts w:hint="eastAsia" w:ascii="仿宋_GB2312" w:hAnsi="微软雅黑" w:eastAsia="仿宋_GB2312" w:cs="微软雅黑"/>
                <w:color w:val="000000" w:themeColor="text1"/>
                <w:highlight w:val="none"/>
                <w:lang w:eastAsia="zh-CN"/>
                <w14:textFill>
                  <w14:solidFill>
                    <w14:schemeClr w14:val="tx1"/>
                  </w14:solidFill>
                </w14:textFill>
              </w:rPr>
              <w:t>（近三年是指2020年1月1日至今）</w:t>
            </w: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r>
              <w:rPr>
                <w:rFonts w:hint="eastAsia" w:ascii="仿宋_GB2312" w:hAnsi="微软雅黑" w:eastAsia="仿宋_GB2312" w:cs="微软雅黑"/>
                <w:b/>
                <w:bCs/>
                <w:color w:val="000000" w:themeColor="text1"/>
                <w:highlight w:val="none"/>
                <w:lang w:val="en-US" w:eastAsia="zh-CN"/>
                <w14:textFill>
                  <w14:solidFill>
                    <w14:schemeClr w14:val="tx1"/>
                  </w14:solidFill>
                </w14:textFill>
              </w:rPr>
              <w:t>证明资料事后备查，如有弄虚作假者，将追究法律责任</w:t>
            </w:r>
            <w:r>
              <w:rPr>
                <w:rFonts w:hint="eastAsia" w:ascii="仿宋_GB2312" w:hAnsi="微软雅黑" w:eastAsia="仿宋_GB2312" w:cs="微软雅黑"/>
                <w:b/>
                <w:bCs/>
                <w:color w:val="000000" w:themeColor="text1"/>
                <w:highlight w:val="none"/>
                <w:lang w:eastAsia="zh-CN"/>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default"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both"/>
              <w:rPr>
                <w:rFonts w:ascii="仿宋" w:hAnsi="仿宋" w:eastAsia="仿宋"/>
                <w:color w:val="000000" w:themeColor="text1"/>
                <w:kern w:val="2"/>
                <w:highlight w:val="none"/>
                <w14:textFill>
                  <w14:solidFill>
                    <w14:schemeClr w14:val="tx1"/>
                  </w14:solidFill>
                </w14:textFill>
              </w:rPr>
            </w:pPr>
            <w:r>
              <w:rPr>
                <w:rFonts w:hint="eastAsia" w:ascii="仿宋" w:hAnsi="仿宋" w:eastAsia="仿宋"/>
                <w:color w:val="000000" w:themeColor="text1"/>
                <w:kern w:val="2"/>
                <w:highlight w:val="none"/>
                <w14:textFill>
                  <w14:solidFill>
                    <w14:schemeClr w14:val="tx1"/>
                  </w14:solidFill>
                </w14:textFill>
              </w:rPr>
              <w:t>企业履约能力演示</w:t>
            </w:r>
          </w:p>
        </w:tc>
        <w:tc>
          <w:tcPr>
            <w:tcW w:w="6546" w:type="dxa"/>
            <w:tcBorders>
              <w:top w:val="single" w:color="auto" w:sz="4" w:space="0"/>
              <w:left w:val="single" w:color="auto" w:sz="4" w:space="0"/>
              <w:bottom w:val="single" w:color="auto" w:sz="4" w:space="0"/>
              <w:right w:val="single" w:color="auto" w:sz="4" w:space="0"/>
            </w:tcBorders>
          </w:tcPr>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1、演示</w:t>
            </w:r>
            <w:r>
              <w:rPr>
                <w:rFonts w:hint="eastAsia" w:ascii="仿宋" w:hAnsi="仿宋" w:cs="仿宋"/>
                <w:color w:val="000000" w:themeColor="text1"/>
                <w:highlight w:val="none"/>
                <w:lang w:val="en-US" w:eastAsia="zh-CN"/>
                <w14:textFill>
                  <w14:solidFill>
                    <w14:schemeClr w14:val="tx1"/>
                  </w14:solidFill>
                </w14:textFill>
              </w:rPr>
              <w:t>与</w:t>
            </w:r>
            <w:r>
              <w:rPr>
                <w:rFonts w:hint="eastAsia" w:ascii="仿宋" w:hAnsi="仿宋" w:eastAsia="仿宋" w:cs="仿宋"/>
                <w:color w:val="000000" w:themeColor="text1"/>
                <w:highlight w:val="none"/>
                <w:lang w:eastAsia="zh-CN"/>
                <w14:textFill>
                  <w14:solidFill>
                    <w14:schemeClr w14:val="tx1"/>
                  </w14:solidFill>
                </w14:textFill>
              </w:rPr>
              <w:t>城市</w:t>
            </w:r>
            <w:r>
              <w:rPr>
                <w:rFonts w:hint="eastAsia" w:ascii="仿宋" w:hAnsi="仿宋" w:cs="仿宋"/>
                <w:color w:val="000000" w:themeColor="text1"/>
                <w:highlight w:val="none"/>
                <w:lang w:val="en-US" w:eastAsia="zh-CN"/>
                <w14:textFill>
                  <w14:solidFill>
                    <w14:schemeClr w14:val="tx1"/>
                  </w14:solidFill>
                </w14:textFill>
              </w:rPr>
              <w:t>信用监测排名工作相关的工作流程、数据或方法，以证明供应商对城市信用监测排名工作具有成熟经验。</w:t>
            </w:r>
            <w:r>
              <w:rPr>
                <w:rFonts w:hint="eastAsia" w:ascii="仿宋" w:hAnsi="仿宋" w:eastAsia="仿宋" w:cs="仿宋"/>
                <w:color w:val="000000" w:themeColor="text1"/>
                <w:highlight w:val="none"/>
                <w:lang w:eastAsia="zh-CN"/>
                <w14:textFill>
                  <w14:solidFill>
                    <w14:schemeClr w14:val="tx1"/>
                  </w14:solidFill>
                </w14:textFill>
              </w:rPr>
              <w:t>包括但不限于以下几点：</w:t>
            </w:r>
          </w:p>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（1）演示依托国家信用监测平台报送</w:t>
            </w:r>
            <w:r>
              <w:rPr>
                <w:rFonts w:hint="eastAsia" w:ascii="仿宋" w:hAnsi="仿宋" w:cs="仿宋"/>
                <w:color w:val="000000" w:themeColor="text1"/>
                <w:highlight w:val="none"/>
                <w:lang w:val="en-US" w:eastAsia="zh-CN"/>
                <w14:textFill>
                  <w14:solidFill>
                    <w14:schemeClr w14:val="tx1"/>
                  </w14:solidFill>
                </w14:textFill>
              </w:rPr>
              <w:t>信息的</w:t>
            </w:r>
            <w:r>
              <w:rPr>
                <w:rFonts w:hint="eastAsia" w:ascii="仿宋" w:hAnsi="仿宋" w:eastAsia="仿宋" w:cs="仿宋"/>
                <w:color w:val="000000" w:themeColor="text1"/>
                <w:highlight w:val="none"/>
                <w:lang w:eastAsia="zh-CN"/>
                <w14:textFill>
                  <w14:solidFill>
                    <w14:schemeClr w14:val="tx1"/>
                  </w14:solidFill>
                </w14:textFill>
              </w:rPr>
              <w:t>流程</w:t>
            </w:r>
            <w:r>
              <w:rPr>
                <w:rFonts w:hint="eastAsia" w:ascii="仿宋" w:hAnsi="仿宋" w:cs="仿宋"/>
                <w:color w:val="000000" w:themeColor="text1"/>
                <w:highlight w:val="none"/>
                <w:lang w:val="en-US" w:eastAsia="zh-CN"/>
                <w14:textFill>
                  <w14:solidFill>
                    <w14:schemeClr w14:val="tx1"/>
                  </w14:solidFill>
                </w14:textFill>
              </w:rPr>
              <w:t>及方法</w:t>
            </w:r>
            <w:r>
              <w:rPr>
                <w:rFonts w:hint="eastAsia" w:ascii="仿宋" w:hAnsi="仿宋" w:eastAsia="仿宋" w:cs="仿宋"/>
                <w:color w:val="000000" w:themeColor="text1"/>
                <w:highlight w:val="none"/>
                <w:lang w:eastAsia="zh-CN"/>
                <w14:textFill>
                  <w14:solidFill>
                    <w14:schemeClr w14:val="tx1"/>
                  </w14:solidFill>
                </w14:textFill>
              </w:rPr>
              <w:t>。（演示完整、流程清晰</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lang w:eastAsia="zh-CN"/>
                <w14:textFill>
                  <w14:solidFill>
                    <w14:schemeClr w14:val="tx1"/>
                  </w14:solidFill>
                </w14:textFill>
              </w:rPr>
              <w:t>3分，演示流程不清晰1-2分）</w:t>
            </w:r>
          </w:p>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（2）演示重错码信息获取及整改方法。（演示完整、流程清晰</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lang w:eastAsia="zh-CN"/>
                <w14:textFill>
                  <w14:solidFill>
                    <w14:schemeClr w14:val="tx1"/>
                  </w14:solidFill>
                </w14:textFill>
              </w:rPr>
              <w:t>3分，演示流程不清晰1-2分）</w:t>
            </w:r>
          </w:p>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（3）演示信用服务实体经济</w:t>
            </w:r>
            <w:r>
              <w:rPr>
                <w:rFonts w:hint="eastAsia" w:ascii="仿宋" w:hAnsi="仿宋" w:cs="仿宋"/>
                <w:color w:val="000000" w:themeColor="text1"/>
                <w:highlight w:val="none"/>
                <w:lang w:val="en-US" w:eastAsia="zh-CN"/>
                <w14:textFill>
                  <w14:solidFill>
                    <w14:schemeClr w14:val="tx1"/>
                  </w14:solidFill>
                </w14:textFill>
              </w:rPr>
              <w:t>的工作要点及方法</w:t>
            </w:r>
            <w:r>
              <w:rPr>
                <w:rFonts w:hint="eastAsia" w:ascii="仿宋" w:hAnsi="仿宋" w:eastAsia="仿宋" w:cs="仿宋"/>
                <w:color w:val="000000" w:themeColor="text1"/>
                <w:highlight w:val="none"/>
                <w:lang w:eastAsia="zh-CN"/>
                <w14:textFill>
                  <w14:solidFill>
                    <w14:schemeClr w14:val="tx1"/>
                  </w14:solidFill>
                </w14:textFill>
              </w:rPr>
              <w:t>。（演示完整、流程清晰</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lang w:eastAsia="zh-CN"/>
                <w14:textFill>
                  <w14:solidFill>
                    <w14:schemeClr w14:val="tx1"/>
                  </w14:solidFill>
                </w14:textFill>
              </w:rPr>
              <w:t>3分，演示流程不清晰1-2分）</w:t>
            </w:r>
          </w:p>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（4）演示公共信用评价</w:t>
            </w:r>
            <w:r>
              <w:rPr>
                <w:rFonts w:hint="eastAsia" w:ascii="仿宋" w:hAnsi="仿宋" w:cs="仿宋"/>
                <w:color w:val="000000" w:themeColor="text1"/>
                <w:highlight w:val="none"/>
                <w:lang w:val="en-US" w:eastAsia="zh-CN"/>
                <w14:textFill>
                  <w14:solidFill>
                    <w14:schemeClr w14:val="tx1"/>
                  </w14:solidFill>
                </w14:textFill>
              </w:rPr>
              <w:t>信息的获取及应用方式</w:t>
            </w:r>
            <w:r>
              <w:rPr>
                <w:rFonts w:hint="eastAsia" w:ascii="仿宋" w:hAnsi="仿宋" w:eastAsia="仿宋" w:cs="仿宋"/>
                <w:color w:val="000000" w:themeColor="text1"/>
                <w:highlight w:val="none"/>
                <w:lang w:eastAsia="zh-CN"/>
                <w14:textFill>
                  <w14:solidFill>
                    <w14:schemeClr w14:val="tx1"/>
                  </w14:solidFill>
                </w14:textFill>
              </w:rPr>
              <w:t>。（演示完整、流程清晰</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lang w:eastAsia="zh-CN"/>
                <w14:textFill>
                  <w14:solidFill>
                    <w14:schemeClr w14:val="tx1"/>
                  </w14:solidFill>
                </w14:textFill>
              </w:rPr>
              <w:t>3分，演示流程不清晰1-2分）</w:t>
            </w:r>
          </w:p>
          <w:p>
            <w:pPr>
              <w:ind w:left="0" w:leftChars="0" w:firstLine="0" w:firstLineChars="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（5）演示特定信用信息报送方式。（演示完整、流程清晰</w:t>
            </w:r>
            <w:r>
              <w:rPr>
                <w:rFonts w:hint="eastAsia" w:ascii="仿宋" w:hAnsi="仿宋" w:cs="仿宋"/>
                <w:color w:val="000000" w:themeColor="text1"/>
                <w:highlight w:val="none"/>
                <w:lang w:eastAsia="zh-CN"/>
                <w14:textFill>
                  <w14:solidFill>
                    <w14:schemeClr w14:val="tx1"/>
                  </w14:solidFill>
                </w14:textFill>
              </w:rPr>
              <w:t>得</w:t>
            </w:r>
            <w:r>
              <w:rPr>
                <w:rFonts w:hint="eastAsia" w:ascii="仿宋" w:hAnsi="仿宋" w:eastAsia="仿宋" w:cs="仿宋"/>
                <w:color w:val="000000" w:themeColor="text1"/>
                <w:highlight w:val="none"/>
                <w:lang w:eastAsia="zh-CN"/>
                <w14:textFill>
                  <w14:solidFill>
                    <w14:schemeClr w14:val="tx1"/>
                  </w14:solidFill>
                </w14:textFill>
              </w:rPr>
              <w:t>3分，演示流程不清晰1-2分）</w:t>
            </w:r>
          </w:p>
          <w:p>
            <w:pPr>
              <w:ind w:left="0" w:leftChars="0" w:firstLine="0" w:firstLineChars="0"/>
              <w:rPr>
                <w:rFonts w:hint="eastAsia"/>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2、无对应演示的不得分。</w:t>
            </w:r>
            <w:r>
              <w:rPr>
                <w:rFonts w:hint="eastAsia" w:ascii="仿宋" w:hAnsi="仿宋" w:cs="仿宋"/>
                <w:color w:val="000000" w:themeColor="text1"/>
                <w:highlight w:val="none"/>
                <w:lang w:eastAsia="zh-CN"/>
                <w14:textFill>
                  <w14:solidFill>
                    <w14:schemeClr w14:val="tx1"/>
                  </w14:solidFill>
                </w14:textFill>
              </w:rPr>
              <w:t>（</w:t>
            </w:r>
            <w:r>
              <w:rPr>
                <w:rFonts w:hint="eastAsia" w:ascii="仿宋" w:hAnsi="仿宋" w:cs="仿宋"/>
                <w:b/>
                <w:bCs/>
                <w:color w:val="000000" w:themeColor="text1"/>
                <w:highlight w:val="none"/>
                <w:lang w:val="en-US" w:eastAsia="zh-CN"/>
                <w14:textFill>
                  <w14:solidFill>
                    <w14:schemeClr w14:val="tx1"/>
                  </w14:solidFill>
                </w14:textFill>
              </w:rPr>
              <w:t>演示要求在开标前附表</w:t>
            </w:r>
            <w:r>
              <w:rPr>
                <w:rFonts w:hint="eastAsia" w:ascii="仿宋" w:hAnsi="仿宋" w:cs="仿宋"/>
                <w:color w:val="000000" w:themeColor="text1"/>
                <w:highlight w:val="none"/>
                <w:lang w:eastAsia="zh-CN"/>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eastAsia"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14:textFill>
                  <w14:solidFill>
                    <w14:schemeClr w14:val="tx1"/>
                  </w14:solidFill>
                </w14:textFill>
              </w:rPr>
              <w:t>15</w:t>
            </w:r>
            <w:r>
              <w:rPr>
                <w:rFonts w:hint="eastAsia" w:ascii="仿宋" w:hAnsi="仿宋" w:eastAsia="仿宋" w:cs="仿宋"/>
                <w:color w:val="000000" w:themeColor="text1"/>
                <w:kern w:val="2"/>
                <w:highlight w:val="none"/>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vMerge w:val="restart"/>
            <w:tcBorders>
              <w:top w:val="single" w:color="auto" w:sz="4" w:space="0"/>
              <w:left w:val="single" w:color="auto" w:sz="4" w:space="0"/>
              <w:right w:val="single" w:color="auto" w:sz="4" w:space="0"/>
            </w:tcBorders>
            <w:vAlign w:val="center"/>
          </w:tcPr>
          <w:p>
            <w:pPr>
              <w:pStyle w:val="20"/>
              <w:adjustRightInd w:val="0"/>
              <w:snapToGrid w:val="0"/>
              <w:ind w:left="0" w:leftChars="0" w:firstLine="0" w:firstLineChars="0"/>
              <w:jc w:val="both"/>
              <w:rPr>
                <w:rFonts w:ascii="仿宋" w:hAnsi="仿宋" w:eastAsia="仿宋"/>
                <w:color w:val="000000" w:themeColor="text1"/>
                <w:kern w:val="2"/>
                <w:sz w:val="24"/>
                <w:szCs w:val="24"/>
                <w:highlight w:val="none"/>
                <w14:textFill>
                  <w14:solidFill>
                    <w14:schemeClr w14:val="tx1"/>
                  </w14:solidFill>
                </w14:textFill>
              </w:rPr>
            </w:pPr>
            <w:r>
              <w:rPr>
                <w:rFonts w:hint="eastAsia" w:ascii="仿宋" w:hAnsi="仿宋" w:eastAsia="仿宋"/>
                <w:color w:val="000000" w:themeColor="text1"/>
                <w:kern w:val="2"/>
                <w:sz w:val="24"/>
                <w:szCs w:val="24"/>
                <w:highlight w:val="none"/>
                <w14:textFill>
                  <w14:solidFill>
                    <w14:schemeClr w14:val="tx1"/>
                  </w14:solidFill>
                </w14:textFill>
              </w:rPr>
              <w:t>技术方案</w:t>
            </w:r>
          </w:p>
        </w:tc>
        <w:tc>
          <w:tcPr>
            <w:tcW w:w="6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0" w:firstLineChars="0"/>
              <w:jc w:val="left"/>
              <w:textAlignment w:val="center"/>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服务</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需包含如下7项，分别是：</w:t>
            </w:r>
          </w:p>
          <w:p>
            <w:pPr>
              <w:keepNext w:val="0"/>
              <w:keepLines w:val="0"/>
              <w:widowControl/>
              <w:numPr>
                <w:ilvl w:val="0"/>
                <w:numId w:val="11"/>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现状描述、问题总结与总结分析全面到位得2分；</w:t>
            </w:r>
          </w:p>
          <w:p>
            <w:pPr>
              <w:keepNext w:val="0"/>
              <w:keepLines w:val="0"/>
              <w:widowControl/>
              <w:numPr>
                <w:ilvl w:val="0"/>
                <w:numId w:val="11"/>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项目</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服务内容</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描述全面、详实得2分；</w:t>
            </w:r>
          </w:p>
          <w:p>
            <w:pPr>
              <w:keepNext w:val="0"/>
              <w:keepLines w:val="0"/>
              <w:widowControl/>
              <w:numPr>
                <w:ilvl w:val="0"/>
                <w:numId w:val="11"/>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每项任务描述了落实部门及推进措施得2分；</w:t>
            </w:r>
          </w:p>
          <w:p>
            <w:pPr>
              <w:keepNext w:val="0"/>
              <w:keepLines w:val="0"/>
              <w:widowControl/>
              <w:numPr>
                <w:ilvl w:val="0"/>
                <w:numId w:val="11"/>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提交成果完整得2分；</w:t>
            </w:r>
          </w:p>
          <w:p>
            <w:pPr>
              <w:keepNext w:val="0"/>
              <w:keepLines w:val="0"/>
              <w:widowControl/>
              <w:numPr>
                <w:ilvl w:val="0"/>
                <w:numId w:val="11"/>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项目人力资源配置到位得2分；</w:t>
            </w:r>
          </w:p>
          <w:p>
            <w:pPr>
              <w:keepNext w:val="0"/>
              <w:keepLines w:val="0"/>
              <w:widowControl/>
              <w:numPr>
                <w:ilvl w:val="0"/>
                <w:numId w:val="11"/>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培训方案全面且符合工作需求得2；</w:t>
            </w:r>
          </w:p>
          <w:p>
            <w:pPr>
              <w:keepNext w:val="0"/>
              <w:keepLines w:val="0"/>
              <w:widowControl/>
              <w:numPr>
                <w:ilvl w:val="0"/>
                <w:numId w:val="11"/>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服务成效满足或超出甲方预期目标得2分；</w:t>
            </w:r>
          </w:p>
          <w:p>
            <w:pPr>
              <w:keepNext w:val="0"/>
              <w:keepLines w:val="0"/>
              <w:widowControl/>
              <w:numPr>
                <w:ilvl w:val="0"/>
                <w:numId w:val="0"/>
              </w:numPr>
              <w:suppressLineNumbers w:val="0"/>
              <w:ind w:left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上述每项已描述但不全面得1分；</w:t>
            </w:r>
          </w:p>
          <w:p>
            <w:pPr>
              <w:keepNext w:val="0"/>
              <w:keepLines w:val="0"/>
              <w:widowControl/>
              <w:numPr>
                <w:ilvl w:val="0"/>
                <w:numId w:val="0"/>
              </w:numPr>
              <w:suppressLineNumbers w:val="0"/>
              <w:ind w:left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未描述的不得分。</w:t>
            </w:r>
          </w:p>
          <w:p>
            <w:pPr>
              <w:keepNext w:val="0"/>
              <w:keepLines w:val="0"/>
              <w:widowControl/>
              <w:numPr>
                <w:ilvl w:val="0"/>
                <w:numId w:val="0"/>
              </w:numPr>
              <w:suppressLineNumbers w:val="0"/>
              <w:ind w:leftChars="0"/>
              <w:jc w:val="left"/>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本项最高得14分</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default"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vMerge w:val="continue"/>
            <w:tcBorders>
              <w:left w:val="single" w:color="auto" w:sz="4" w:space="0"/>
              <w:right w:val="single" w:color="auto" w:sz="4" w:space="0"/>
            </w:tcBorders>
            <w:vAlign w:val="center"/>
          </w:tcPr>
          <w:p>
            <w:pPr>
              <w:pStyle w:val="20"/>
              <w:adjustRightInd w:val="0"/>
              <w:snapToGrid w:val="0"/>
              <w:ind w:firstLine="0" w:firstLineChars="0"/>
              <w:jc w:val="both"/>
              <w:rPr>
                <w:rFonts w:ascii="仿宋" w:hAnsi="仿宋" w:eastAsia="仿宋"/>
                <w:color w:val="000000" w:themeColor="text1"/>
                <w:kern w:val="2"/>
                <w:sz w:val="24"/>
                <w:szCs w:val="24"/>
                <w:highlight w:val="none"/>
                <w14:textFill>
                  <w14:solidFill>
                    <w14:schemeClr w14:val="tx1"/>
                  </w14:solidFill>
                </w14:textFill>
              </w:rPr>
            </w:pPr>
          </w:p>
        </w:tc>
        <w:tc>
          <w:tcPr>
            <w:tcW w:w="6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实施计划：</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1、实施项目计划职责分工明确、计划科学合理，得</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分；</w:t>
            </w:r>
          </w:p>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2、实施项目计划职责分工基本明确，计划基本合理，得2分；</w:t>
            </w:r>
          </w:p>
          <w:p>
            <w:pPr>
              <w:keepNext w:val="0"/>
              <w:keepLines w:val="0"/>
              <w:widowControl/>
              <w:suppressLineNumbers w:val="0"/>
              <w:ind w:left="0" w:leftChars="0" w:firstLine="0" w:firstLineChars="0"/>
              <w:jc w:val="left"/>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3、实施项目实施计划不够清晰，计划不合理，得0分</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eastAsia"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tcBorders>
              <w:left w:val="single" w:color="auto" w:sz="4" w:space="0"/>
              <w:right w:val="single" w:color="auto" w:sz="4" w:space="0"/>
            </w:tcBorders>
            <w:vAlign w:val="center"/>
          </w:tcPr>
          <w:p>
            <w:pPr>
              <w:keepNext w:val="0"/>
              <w:keepLines w:val="0"/>
              <w:widowControl/>
              <w:suppressLineNumbers w:val="0"/>
              <w:ind w:left="0" w:leftChars="0" w:firstLine="0" w:firstLineChars="0"/>
              <w:jc w:val="both"/>
              <w:textAlignment w:val="center"/>
              <w:rPr>
                <w:rFonts w:ascii="仿宋" w:hAnsi="仿宋" w:eastAsia="仿宋"/>
                <w:color w:val="000000" w:themeColor="text1"/>
                <w:kern w:val="2"/>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服务质量保证</w:t>
            </w:r>
          </w:p>
        </w:tc>
        <w:tc>
          <w:tcPr>
            <w:tcW w:w="6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为保证服务质量，</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服务</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方须提出通过本项目提供的技术服务及咨询服务，最终的预期目标</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所能</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达到</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的</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程度</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，并以供应商的成功经验作为案例进行分析</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w:t>
            </w:r>
          </w:p>
          <w:p>
            <w:pPr>
              <w:keepNext w:val="0"/>
              <w:keepLines w:val="0"/>
              <w:widowControl/>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1、描述</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乌市信用平台</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能达到的效果得1分；</w:t>
            </w:r>
          </w:p>
          <w:p>
            <w:pPr>
              <w:keepNext w:val="0"/>
              <w:keepLines w:val="0"/>
              <w:widowControl/>
              <w:numPr>
                <w:ilvl w:val="0"/>
                <w:numId w:val="12"/>
              </w:numPr>
              <w:suppressLineNumbers w:val="0"/>
              <w:ind w:left="0" w:leftChars="0" w:firstLine="0" w:firstLineChars="0"/>
              <w:jc w:val="left"/>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描述了乌市信用</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监测排名</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所能达到的预期成效得1分；</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描述</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数据归集</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所能达到的</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成效</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得</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1分。</w:t>
            </w:r>
          </w:p>
          <w:p>
            <w:pPr>
              <w:keepNext w:val="0"/>
              <w:keepLines w:val="0"/>
              <w:widowControl/>
              <w:numPr>
                <w:ilvl w:val="0"/>
                <w:numId w:val="0"/>
              </w:numPr>
              <w:suppressLineNumbers w:val="0"/>
              <w:ind w:leftChars="0"/>
              <w:jc w:val="left"/>
              <w:textAlignment w:val="center"/>
              <w:rPr>
                <w:rFonts w:hint="default"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每缺少一项或表述不清楚的</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不得分。</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default"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 xml:space="preserve">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04" w:type="dxa"/>
            <w:vMerge w:val="continue"/>
            <w:tcBorders>
              <w:left w:val="single" w:color="auto" w:sz="4" w:space="0"/>
              <w:right w:val="single" w:color="auto" w:sz="4" w:space="0"/>
            </w:tcBorders>
            <w:vAlign w:val="center"/>
          </w:tcPr>
          <w:p>
            <w:pPr>
              <w:pStyle w:val="20"/>
              <w:adjustRightInd w:val="0"/>
              <w:snapToGrid w:val="0"/>
              <w:ind w:firstLine="480"/>
              <w:rPr>
                <w:rFonts w:ascii="仿宋" w:hAnsi="仿宋" w:eastAsia="仿宋"/>
                <w:color w:val="000000" w:themeColor="text1"/>
                <w:kern w:val="2"/>
                <w:highlight w:val="none"/>
                <w14:textFill>
                  <w14:solidFill>
                    <w14:schemeClr w14:val="tx1"/>
                  </w14:solidFill>
                </w14:textFill>
              </w:rPr>
            </w:pPr>
          </w:p>
        </w:tc>
        <w:tc>
          <w:tcPr>
            <w:tcW w:w="982" w:type="dxa"/>
            <w:tcBorders>
              <w:left w:val="single" w:color="auto" w:sz="4" w:space="0"/>
              <w:right w:val="single" w:color="auto" w:sz="4" w:space="0"/>
            </w:tcBorders>
            <w:vAlign w:val="center"/>
          </w:tcPr>
          <w:p>
            <w:pPr>
              <w:keepNext w:val="0"/>
              <w:keepLines w:val="0"/>
              <w:widowControl/>
              <w:suppressLineNumbers w:val="0"/>
              <w:ind w:left="0" w:leftChars="0" w:firstLine="0" w:firstLineChars="0"/>
              <w:jc w:val="both"/>
              <w:textAlignment w:val="center"/>
              <w:rPr>
                <w:rFonts w:ascii="仿宋" w:hAnsi="仿宋" w:eastAsia="仿宋"/>
                <w:color w:val="000000" w:themeColor="text1"/>
                <w:kern w:val="2"/>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驻场服务</w:t>
            </w:r>
          </w:p>
        </w:tc>
        <w:tc>
          <w:tcPr>
            <w:tcW w:w="6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left="0" w:leftChars="0" w:firstLine="0" w:firstLineChars="0"/>
              <w:jc w:val="both"/>
              <w:textAlignment w:val="cente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1、能提供一年期现场驻场人员</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（请提供驻场人员简历证明材料）</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，得1分</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2、不能提供，得0分。</w:t>
            </w:r>
          </w:p>
        </w:tc>
        <w:tc>
          <w:tcPr>
            <w:tcW w:w="1222" w:type="dxa"/>
            <w:tcBorders>
              <w:top w:val="single" w:color="auto" w:sz="4" w:space="0"/>
              <w:left w:val="single" w:color="auto" w:sz="4" w:space="0"/>
              <w:bottom w:val="single" w:color="auto" w:sz="4" w:space="0"/>
              <w:right w:val="single" w:color="auto" w:sz="4" w:space="0"/>
            </w:tcBorders>
            <w:vAlign w:val="center"/>
          </w:tcPr>
          <w:p>
            <w:pPr>
              <w:pStyle w:val="20"/>
              <w:adjustRightInd w:val="0"/>
              <w:snapToGrid w:val="0"/>
              <w:ind w:firstLine="0" w:firstLineChars="0"/>
              <w:jc w:val="center"/>
              <w:rPr>
                <w:rFonts w:hint="eastAsia" w:ascii="仿宋" w:hAnsi="仿宋" w:eastAsia="仿宋" w:cs="仿宋"/>
                <w:color w:val="000000" w:themeColor="text1"/>
                <w:kern w:val="2"/>
                <w:highlight w:val="none"/>
                <w:lang w:val="en-US" w:eastAsia="zh-CN"/>
                <w14:textFill>
                  <w14:solidFill>
                    <w14:schemeClr w14:val="tx1"/>
                  </w14:solidFill>
                </w14:textFill>
              </w:rPr>
            </w:pPr>
            <w:r>
              <w:rPr>
                <w:rFonts w:hint="eastAsia" w:ascii="仿宋" w:hAnsi="仿宋" w:eastAsia="仿宋" w:cs="仿宋"/>
                <w:color w:val="000000" w:themeColor="text1"/>
                <w:kern w:val="2"/>
                <w:highlight w:val="none"/>
                <w:lang w:val="en-US" w:eastAsia="zh-CN"/>
                <w14:textFill>
                  <w14:solidFill>
                    <w14:schemeClr w14:val="tx1"/>
                  </w14:solidFill>
                </w14:textFill>
              </w:rPr>
              <w:t>1分</w:t>
            </w:r>
          </w:p>
        </w:tc>
      </w:tr>
    </w:tbl>
    <w:p>
      <w:pPr>
        <w:pStyle w:val="51"/>
        <w:pageBreakBefore w:val="0"/>
        <w:kinsoku/>
        <w:wordWrap/>
        <w:overflowPunct w:val="0"/>
        <w:topLinePunct w:val="0"/>
        <w:bidi w:val="0"/>
        <w:snapToGrid/>
        <w:spacing w:line="600" w:lineRule="exact"/>
        <w:ind w:left="0" w:firstLine="482" w:firstLineChars="200"/>
        <w:jc w:val="center"/>
        <w:rPr>
          <w:rFonts w:ascii="仿宋" w:hAnsi="仿宋" w:eastAsia="仿宋" w:cs="仿宋"/>
          <w:color w:val="000000" w:themeColor="text1"/>
          <w:highlight w:val="none"/>
          <w14:textFill>
            <w14:solidFill>
              <w14:schemeClr w14:val="tx1"/>
            </w14:solidFill>
          </w14:textFill>
        </w:rPr>
      </w:pPr>
    </w:p>
    <w:p>
      <w:pPr>
        <w:pStyle w:val="4"/>
        <w:pageBreakBefore w:val="0"/>
        <w:numPr>
          <w:ilvl w:val="0"/>
          <w:numId w:val="0"/>
        </w:numPr>
        <w:kinsoku/>
        <w:wordWrap/>
        <w:overflowPunct w:val="0"/>
        <w:topLinePunct w:val="0"/>
        <w:bidi w:val="0"/>
        <w:snapToGrid/>
        <w:spacing w:before="0" w:after="0" w:line="600" w:lineRule="exact"/>
        <w:ind w:left="0" w:leftChars="0" w:firstLine="643" w:firstLineChars="200"/>
        <w:jc w:val="center"/>
        <w:rPr>
          <w:color w:val="000000" w:themeColor="text1"/>
          <w:highlight w:val="none"/>
          <w:lang w:eastAsia="zh-CN"/>
          <w14:textFill>
            <w14:solidFill>
              <w14:schemeClr w14:val="tx1"/>
            </w14:solidFill>
          </w14:textFill>
        </w:rPr>
      </w:pPr>
      <w:bookmarkStart w:id="292" w:name="bookmark299"/>
      <w:bookmarkStart w:id="293" w:name="_Toc26450"/>
      <w:bookmarkStart w:id="294" w:name="bookmark297"/>
      <w:bookmarkStart w:id="295" w:name="_Toc14936"/>
      <w:bookmarkStart w:id="296" w:name="bookmark296"/>
      <w:r>
        <w:rPr>
          <w:rFonts w:hint="eastAsia"/>
          <w:color w:val="000000" w:themeColor="text1"/>
          <w:highlight w:val="none"/>
          <w:lang w:eastAsia="zh-CN"/>
          <w14:textFill>
            <w14:solidFill>
              <w14:schemeClr w14:val="tx1"/>
            </w14:solidFill>
          </w14:textFill>
        </w:rPr>
        <w:t>八、中标及合同签订</w:t>
      </w:r>
      <w:bookmarkEnd w:id="292"/>
      <w:bookmarkEnd w:id="293"/>
      <w:bookmarkEnd w:id="294"/>
      <w:bookmarkEnd w:id="295"/>
      <w:bookmarkEnd w:id="296"/>
    </w:p>
    <w:p>
      <w:pPr>
        <w:pStyle w:val="2"/>
        <w:pageBreakBefore w:val="0"/>
        <w:numPr>
          <w:ilvl w:val="0"/>
          <w:numId w:val="0"/>
        </w:numPr>
        <w:kinsoku/>
        <w:wordWrap/>
        <w:overflowPunct w:val="0"/>
        <w:topLinePunct w:val="0"/>
        <w:bidi w:val="0"/>
        <w:snapToGrid/>
        <w:spacing w:line="600" w:lineRule="exact"/>
        <w:ind w:left="0" w:firstLine="482" w:firstLineChars="200"/>
        <w:jc w:val="center"/>
        <w:rPr>
          <w:color w:val="000000" w:themeColor="text1"/>
          <w:highlight w:val="none"/>
          <w:lang w:eastAsia="zh-CN"/>
          <w14:textFill>
            <w14:solidFill>
              <w14:schemeClr w14:val="tx1"/>
            </w14:solidFill>
          </w14:textFill>
        </w:rPr>
      </w:pPr>
      <w:bookmarkStart w:id="297" w:name="_Toc14803"/>
      <w:bookmarkStart w:id="298" w:name="_Toc27675"/>
      <w:bookmarkStart w:id="299" w:name="_Toc24887"/>
      <w:bookmarkStart w:id="300" w:name="bookmark301"/>
      <w:bookmarkStart w:id="301" w:name="bookmark302"/>
      <w:bookmarkStart w:id="302" w:name="bookmark300"/>
      <w:r>
        <w:rPr>
          <w:rFonts w:hint="eastAsia"/>
          <w:color w:val="000000" w:themeColor="text1"/>
          <w:highlight w:val="none"/>
          <w:lang w:eastAsia="zh-CN"/>
          <w14:textFill>
            <w14:solidFill>
              <w14:schemeClr w14:val="tx1"/>
            </w14:solidFill>
          </w14:textFill>
        </w:rPr>
        <w:t>（三十四）中标人</w:t>
      </w:r>
      <w:bookmarkEnd w:id="297"/>
      <w:bookmarkEnd w:id="298"/>
      <w:bookmarkEnd w:id="299"/>
      <w:bookmarkEnd w:id="300"/>
      <w:bookmarkEnd w:id="301"/>
      <w:bookmarkEnd w:id="302"/>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根据评标委员会对各投标人满足公开招标文件实质性响应（所谓实质性响应，是指文件应与公开招标文件的所有实质性条款、条件和要求相符，无显著差异或保留（由评标委员会确定）、质量和服务相等且综合得分最高的原则确定中标候选投标人。</w:t>
      </w:r>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招标人从评标委员会提出的中标候选投标人中根据符合采购需求、质量和服务相等且报价最低的原则确定中标人。</w:t>
      </w:r>
    </w:p>
    <w:p>
      <w:pPr>
        <w:pStyle w:val="53"/>
        <w:keepNext/>
        <w:keepLines/>
        <w:pageBreakBefore w:val="0"/>
        <w:kinsoku/>
        <w:wordWrap/>
        <w:overflowPunct w:val="0"/>
        <w:topLinePunct w:val="0"/>
        <w:bidi w:val="0"/>
        <w:snapToGrid/>
        <w:spacing w:after="0" w:line="600" w:lineRule="exact"/>
        <w:ind w:left="0" w:firstLine="480" w:firstLineChars="200"/>
        <w:jc w:val="left"/>
        <w:rPr>
          <w:rFonts w:ascii="仿宋" w:hAnsi="仿宋" w:eastAsia="仿宋" w:cs="仿宋"/>
          <w:color w:val="000000" w:themeColor="text1"/>
          <w:sz w:val="24"/>
          <w:szCs w:val="24"/>
          <w:highlight w:val="none"/>
          <w:lang w:eastAsia="zh-CN"/>
          <w14:textFill>
            <w14:solidFill>
              <w14:schemeClr w14:val="tx1"/>
            </w14:solidFill>
          </w14:textFill>
        </w:rPr>
      </w:pPr>
      <w:bookmarkStart w:id="303" w:name="_Toc69314674"/>
      <w:bookmarkStart w:id="304" w:name="bookmark303"/>
      <w:bookmarkStart w:id="305" w:name="bookmark304"/>
      <w:bookmarkStart w:id="306" w:name="bookmark305"/>
      <w:bookmarkStart w:id="307" w:name="_Toc8788"/>
      <w:bookmarkStart w:id="308" w:name="_Toc31945"/>
      <w:bookmarkStart w:id="309" w:name="_Toc9906"/>
      <w:bookmarkStart w:id="310" w:name="_Toc69314686"/>
      <w:bookmarkStart w:id="311" w:name="_Toc14881"/>
      <w:bookmarkStart w:id="312" w:name="_Toc10979"/>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（三十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）资格条件</w:t>
      </w:r>
      <w:bookmarkEnd w:id="303"/>
      <w:bookmarkEnd w:id="304"/>
      <w:bookmarkEnd w:id="305"/>
      <w:bookmarkEnd w:id="306"/>
      <w:bookmarkEnd w:id="307"/>
      <w:bookmarkEnd w:id="308"/>
      <w:bookmarkEnd w:id="309"/>
      <w:bookmarkEnd w:id="310"/>
      <w:bookmarkEnd w:id="311"/>
      <w:bookmarkEnd w:id="312"/>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bookmarkStart w:id="313" w:name="bookmark306"/>
      <w:r>
        <w:rPr>
          <w:rFonts w:hint="eastAsia"/>
          <w:color w:val="000000" w:themeColor="text1"/>
          <w:highlight w:val="none"/>
          <w:lang w:eastAsia="zh-CN"/>
          <w14:textFill>
            <w14:solidFill>
              <w14:schemeClr w14:val="tx1"/>
            </w14:solidFill>
          </w14:textFill>
        </w:rPr>
        <w:t>1</w:t>
      </w:r>
      <w:bookmarkEnd w:id="313"/>
      <w:r>
        <w:rPr>
          <w:rFonts w:hint="eastAsia"/>
          <w:color w:val="000000" w:themeColor="text1"/>
          <w:highlight w:val="none"/>
          <w:lang w:eastAsia="zh-CN"/>
          <w14:textFill>
            <w14:solidFill>
              <w14:schemeClr w14:val="tx1"/>
            </w14:solidFill>
          </w14:textFill>
        </w:rPr>
        <w:t>、招标人将在签订合同前对中标候选投标人是否能圆满地履行合同进行审查。审查包括中标候选投标人投标文件中提供的所有资格证明材料原件，中标候选投标人投标文件及补充承诺中涉及的其他相关资料原件，以及对本项目实施可能存在风险的其他因素。</w:t>
      </w:r>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bookmarkStart w:id="314" w:name="bookmark307"/>
      <w:r>
        <w:rPr>
          <w:rFonts w:hint="eastAsia"/>
          <w:color w:val="000000" w:themeColor="text1"/>
          <w:highlight w:val="none"/>
          <w:lang w:eastAsia="zh-CN"/>
          <w14:textFill>
            <w14:solidFill>
              <w14:schemeClr w14:val="tx1"/>
            </w14:solidFill>
          </w14:textFill>
        </w:rPr>
        <w:t>2</w:t>
      </w:r>
      <w:bookmarkEnd w:id="314"/>
      <w:r>
        <w:rPr>
          <w:rFonts w:hint="eastAsia"/>
          <w:color w:val="000000" w:themeColor="text1"/>
          <w:highlight w:val="none"/>
          <w:lang w:eastAsia="zh-CN"/>
          <w14:textFill>
            <w14:solidFill>
              <w14:schemeClr w14:val="tx1"/>
            </w14:solidFill>
          </w14:textFill>
        </w:rPr>
        <w:t>、招标人若发现中标候选投标人在竞标过程中提供虚假证明文件，故意隐瞒公司不良信誉和财务状况，以及存在可能对合同圆满履行造成风险的其他因素等，则按规定取消其中标资格，监管部门依法进行处理。</w:t>
      </w:r>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bookmarkStart w:id="315" w:name="bookmark308"/>
      <w:r>
        <w:rPr>
          <w:rFonts w:hint="eastAsia"/>
          <w:color w:val="000000" w:themeColor="text1"/>
          <w:highlight w:val="none"/>
          <w:lang w:eastAsia="zh-CN"/>
          <w14:textFill>
            <w14:solidFill>
              <w14:schemeClr w14:val="tx1"/>
            </w14:solidFill>
          </w14:textFill>
        </w:rPr>
        <w:t>3</w:t>
      </w:r>
      <w:bookmarkEnd w:id="315"/>
      <w:r>
        <w:rPr>
          <w:rFonts w:hint="eastAsia"/>
          <w:color w:val="000000" w:themeColor="text1"/>
          <w:highlight w:val="none"/>
          <w:lang w:eastAsia="zh-CN"/>
          <w14:textFill>
            <w14:solidFill>
              <w14:schemeClr w14:val="tx1"/>
            </w14:solidFill>
          </w14:textFill>
        </w:rPr>
        <w:t>、如果中标候选投标人被确认为不具备执行合同的能力，招标人将考虑按同样的程序审查下一个中标候选投标人。</w:t>
      </w:r>
    </w:p>
    <w:p>
      <w:pPr>
        <w:pStyle w:val="2"/>
        <w:pageBreakBefore w:val="0"/>
        <w:numPr>
          <w:ilvl w:val="0"/>
          <w:numId w:val="0"/>
        </w:numPr>
        <w:kinsoku/>
        <w:wordWrap/>
        <w:overflowPunct w:val="0"/>
        <w:topLinePunct w:val="0"/>
        <w:bidi w:val="0"/>
        <w:snapToGrid/>
        <w:spacing w:line="600" w:lineRule="exact"/>
        <w:ind w:left="0" w:firstLine="482" w:firstLineChars="200"/>
        <w:jc w:val="center"/>
        <w:rPr>
          <w:color w:val="000000" w:themeColor="text1"/>
          <w:highlight w:val="none"/>
          <w:lang w:eastAsia="zh-CN"/>
          <w14:textFill>
            <w14:solidFill>
              <w14:schemeClr w14:val="tx1"/>
            </w14:solidFill>
          </w14:textFill>
        </w:rPr>
      </w:pPr>
      <w:bookmarkStart w:id="316" w:name="bookmark310"/>
      <w:bookmarkStart w:id="317" w:name="bookmark311"/>
      <w:bookmarkStart w:id="318" w:name="_Toc8349"/>
      <w:bookmarkStart w:id="319" w:name="bookmark309"/>
      <w:bookmarkStart w:id="320" w:name="_Toc7223"/>
      <w:bookmarkStart w:id="321" w:name="_Toc31798"/>
      <w:r>
        <w:rPr>
          <w:rFonts w:hint="eastAsia"/>
          <w:color w:val="000000" w:themeColor="text1"/>
          <w:highlight w:val="none"/>
          <w:lang w:eastAsia="zh-CN"/>
          <w14:textFill>
            <w14:solidFill>
              <w14:schemeClr w14:val="tx1"/>
            </w14:solidFill>
          </w14:textFill>
        </w:rPr>
        <w:t>（三十五）签订合同</w:t>
      </w:r>
      <w:bookmarkEnd w:id="316"/>
      <w:bookmarkEnd w:id="317"/>
      <w:bookmarkEnd w:id="318"/>
      <w:bookmarkEnd w:id="319"/>
      <w:bookmarkEnd w:id="320"/>
      <w:bookmarkEnd w:id="321"/>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1、中标人应在规定的时间、地点与招标人签订合同，公开招标文件、中标人的投标文件、分次报价及服务承诺文件以及评标过程中有关澄清文件均作为合同附件，合同经招标人审核盖章后实施。</w:t>
      </w:r>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中标人无正当理由未在规定时间内与招标人签订合同的，招标人有权建议取消其中标资格,监管部门将对其招标人将在签订合同前对中标候选投标人是否能圆满地履行合同进行审查。审查包括中标候选投标人投标文件中提供的所有资格证明材料原件，中标候选投标人投标文件及补充承诺中涉及的其他相关资料原件，以及对本项目实施可能存在风险的其他因素。</w:t>
      </w:r>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3、招标人若发现中标候选投标人在投标过程中提供虚假证明文件，故意隐瞒公司不良信誉和财务状况，以及存在可能对合同圆满履行造成风险的其他因素等，则按规定取消其中标资格，监管部门依法进行处理。</w:t>
      </w:r>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4、如果中标候选投标人被确认为不具备执行合同的能力，招标人将考虑按同样的程序审查下一个中标候选投标人。</w:t>
      </w:r>
    </w:p>
    <w:p>
      <w:pPr>
        <w:pStyle w:val="2"/>
        <w:pageBreakBefore w:val="0"/>
        <w:numPr>
          <w:ilvl w:val="0"/>
          <w:numId w:val="0"/>
        </w:numPr>
        <w:kinsoku/>
        <w:wordWrap/>
        <w:overflowPunct w:val="0"/>
        <w:topLinePunct w:val="0"/>
        <w:bidi w:val="0"/>
        <w:snapToGrid/>
        <w:spacing w:line="600" w:lineRule="exact"/>
        <w:ind w:left="0" w:firstLine="482" w:firstLineChars="200"/>
        <w:jc w:val="center"/>
        <w:rPr>
          <w:color w:val="000000" w:themeColor="text1"/>
          <w:highlight w:val="none"/>
          <w:lang w:eastAsia="zh-CN"/>
          <w14:textFill>
            <w14:solidFill>
              <w14:schemeClr w14:val="tx1"/>
            </w14:solidFill>
          </w14:textFill>
        </w:rPr>
      </w:pPr>
      <w:bookmarkStart w:id="322" w:name="bookmark315"/>
      <w:bookmarkStart w:id="323" w:name="_Toc12473"/>
      <w:bookmarkStart w:id="324" w:name="_Toc424"/>
      <w:bookmarkStart w:id="325" w:name="_Toc11683"/>
      <w:bookmarkStart w:id="326" w:name="bookmark316"/>
      <w:bookmarkStart w:id="327" w:name="bookmark314"/>
      <w:r>
        <w:rPr>
          <w:rFonts w:hint="eastAsia"/>
          <w:color w:val="000000" w:themeColor="text1"/>
          <w:highlight w:val="none"/>
          <w:lang w:eastAsia="zh-CN"/>
          <w14:textFill>
            <w14:solidFill>
              <w14:schemeClr w14:val="tx1"/>
            </w14:solidFill>
          </w14:textFill>
        </w:rPr>
        <w:t>（三十六）中标通知书</w:t>
      </w:r>
      <w:bookmarkEnd w:id="322"/>
      <w:bookmarkEnd w:id="323"/>
      <w:bookmarkEnd w:id="324"/>
      <w:bookmarkEnd w:id="325"/>
      <w:bookmarkEnd w:id="326"/>
      <w:bookmarkEnd w:id="327"/>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bookmarkStart w:id="328" w:name="bookmark317"/>
      <w:r>
        <w:rPr>
          <w:rFonts w:hint="eastAsia"/>
          <w:color w:val="000000" w:themeColor="text1"/>
          <w:highlight w:val="none"/>
          <w:lang w:eastAsia="zh-CN"/>
          <w14:textFill>
            <w14:solidFill>
              <w14:schemeClr w14:val="tx1"/>
            </w14:solidFill>
          </w14:textFill>
        </w:rPr>
        <w:t>1</w:t>
      </w:r>
      <w:bookmarkEnd w:id="328"/>
      <w:r>
        <w:rPr>
          <w:rFonts w:hint="eastAsia"/>
          <w:color w:val="000000" w:themeColor="text1"/>
          <w:highlight w:val="none"/>
          <w:lang w:eastAsia="zh-CN"/>
          <w14:textFill>
            <w14:solidFill>
              <w14:schemeClr w14:val="tx1"/>
            </w14:solidFill>
          </w14:textFill>
        </w:rPr>
        <w:t>、中标结果在新疆政府采购网发布公告后，招标代理机构将向中标人发出中标通知书。</w:t>
      </w:r>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bookmarkStart w:id="329" w:name="bookmark318"/>
      <w:r>
        <w:rPr>
          <w:rFonts w:hint="eastAsia"/>
          <w:color w:val="000000" w:themeColor="text1"/>
          <w:highlight w:val="none"/>
          <w:lang w:eastAsia="zh-CN"/>
          <w14:textFill>
            <w14:solidFill>
              <w14:schemeClr w14:val="tx1"/>
            </w14:solidFill>
          </w14:textFill>
        </w:rPr>
        <w:t>2</w:t>
      </w:r>
      <w:bookmarkEnd w:id="329"/>
      <w:r>
        <w:rPr>
          <w:rFonts w:hint="eastAsia"/>
          <w:color w:val="000000" w:themeColor="text1"/>
          <w:highlight w:val="none"/>
          <w:lang w:eastAsia="zh-CN"/>
          <w14:textFill>
            <w14:solidFill>
              <w14:schemeClr w14:val="tx1"/>
            </w14:solidFill>
          </w14:textFill>
        </w:rPr>
        <w:t>、中标人应及时到招标代理机构处领取中标通知书，中标通知书是签订合同的依据和组成部分。</w:t>
      </w:r>
    </w:p>
    <w:p>
      <w:pPr>
        <w:pStyle w:val="2"/>
        <w:pageBreakBefore w:val="0"/>
        <w:numPr>
          <w:ilvl w:val="0"/>
          <w:numId w:val="0"/>
        </w:numPr>
        <w:kinsoku/>
        <w:wordWrap/>
        <w:overflowPunct w:val="0"/>
        <w:topLinePunct w:val="0"/>
        <w:bidi w:val="0"/>
        <w:snapToGrid/>
        <w:spacing w:line="600" w:lineRule="exact"/>
        <w:ind w:left="0" w:firstLine="482" w:firstLineChars="200"/>
        <w:jc w:val="center"/>
        <w:rPr>
          <w:color w:val="000000" w:themeColor="text1"/>
          <w:highlight w:val="none"/>
          <w:lang w:eastAsia="zh-CN"/>
          <w14:textFill>
            <w14:solidFill>
              <w14:schemeClr w14:val="tx1"/>
            </w14:solidFill>
          </w14:textFill>
        </w:rPr>
      </w:pPr>
      <w:bookmarkStart w:id="330" w:name="_Toc28739"/>
      <w:bookmarkStart w:id="331" w:name="bookmark321"/>
      <w:bookmarkStart w:id="332" w:name="_Toc22032"/>
      <w:bookmarkStart w:id="333" w:name="bookmark320"/>
      <w:bookmarkStart w:id="334" w:name="bookmark319"/>
      <w:bookmarkStart w:id="335" w:name="_Toc14268"/>
      <w:r>
        <w:rPr>
          <w:rFonts w:hint="eastAsia"/>
          <w:color w:val="000000" w:themeColor="text1"/>
          <w:highlight w:val="none"/>
          <w:lang w:eastAsia="zh-CN"/>
          <w14:textFill>
            <w14:solidFill>
              <w14:schemeClr w14:val="tx1"/>
            </w14:solidFill>
          </w14:textFill>
        </w:rPr>
        <w:t>（三十七）中标服务费</w:t>
      </w:r>
      <w:bookmarkEnd w:id="330"/>
      <w:bookmarkEnd w:id="331"/>
      <w:bookmarkEnd w:id="332"/>
      <w:bookmarkEnd w:id="333"/>
      <w:bookmarkEnd w:id="334"/>
      <w:bookmarkEnd w:id="335"/>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1、中标人在签订合同时，向招标代理机构缴纳项目中标服务费。</w:t>
      </w:r>
    </w:p>
    <w:p>
      <w:pPr>
        <w:pStyle w:val="4"/>
        <w:pageBreakBefore w:val="0"/>
        <w:numPr>
          <w:ilvl w:val="0"/>
          <w:numId w:val="0"/>
        </w:numPr>
        <w:kinsoku/>
        <w:wordWrap/>
        <w:overflowPunct w:val="0"/>
        <w:topLinePunct w:val="0"/>
        <w:bidi w:val="0"/>
        <w:snapToGrid/>
        <w:spacing w:before="0" w:after="0" w:line="600" w:lineRule="exact"/>
        <w:ind w:left="0" w:firstLine="643" w:firstLineChars="200"/>
        <w:jc w:val="center"/>
        <w:rPr>
          <w:color w:val="000000" w:themeColor="text1"/>
          <w:highlight w:val="none"/>
          <w14:textFill>
            <w14:solidFill>
              <w14:schemeClr w14:val="tx1"/>
            </w14:solidFill>
          </w14:textFill>
        </w:rPr>
      </w:pPr>
      <w:bookmarkStart w:id="336" w:name="_Toc10728"/>
      <w:bookmarkStart w:id="337" w:name="_Toc27188"/>
      <w:bookmarkStart w:id="338" w:name="bookmark322"/>
      <w:bookmarkStart w:id="339" w:name="bookmark325"/>
      <w:bookmarkStart w:id="340" w:name="bookmark323"/>
      <w:r>
        <w:rPr>
          <w:rFonts w:hint="eastAsia"/>
          <w:color w:val="000000" w:themeColor="text1"/>
          <w:highlight w:val="none"/>
          <w:lang w:eastAsia="zh-CN"/>
          <w14:textFill>
            <w14:solidFill>
              <w14:schemeClr w14:val="tx1"/>
            </w14:solidFill>
          </w14:textFill>
        </w:rPr>
        <w:t>九、</w:t>
      </w:r>
      <w:r>
        <w:rPr>
          <w:rFonts w:hint="eastAsia"/>
          <w:color w:val="000000" w:themeColor="text1"/>
          <w:highlight w:val="none"/>
          <w14:textFill>
            <w14:solidFill>
              <w14:schemeClr w14:val="tx1"/>
            </w14:solidFill>
          </w14:textFill>
        </w:rPr>
        <w:t>验收及付款</w:t>
      </w:r>
      <w:bookmarkEnd w:id="336"/>
      <w:bookmarkEnd w:id="337"/>
      <w:bookmarkEnd w:id="338"/>
      <w:bookmarkEnd w:id="339"/>
      <w:bookmarkEnd w:id="340"/>
    </w:p>
    <w:p>
      <w:pPr>
        <w:pStyle w:val="2"/>
        <w:pageBreakBefore w:val="0"/>
        <w:numPr>
          <w:ilvl w:val="0"/>
          <w:numId w:val="0"/>
        </w:numPr>
        <w:kinsoku/>
        <w:wordWrap/>
        <w:overflowPunct w:val="0"/>
        <w:topLinePunct w:val="0"/>
        <w:bidi w:val="0"/>
        <w:snapToGrid/>
        <w:spacing w:line="600" w:lineRule="exact"/>
        <w:ind w:left="0" w:firstLine="482" w:firstLineChars="200"/>
        <w:jc w:val="center"/>
        <w:rPr>
          <w:color w:val="000000" w:themeColor="text1"/>
          <w:highlight w:val="none"/>
          <w:lang w:eastAsia="zh-CN"/>
          <w14:textFill>
            <w14:solidFill>
              <w14:schemeClr w14:val="tx1"/>
            </w14:solidFill>
          </w14:textFill>
        </w:rPr>
      </w:pPr>
      <w:bookmarkStart w:id="341" w:name="_Toc1500"/>
      <w:bookmarkStart w:id="342" w:name="bookmark327"/>
      <w:bookmarkStart w:id="343" w:name="_Toc7392"/>
      <w:bookmarkStart w:id="344" w:name="_Toc17806"/>
      <w:bookmarkStart w:id="345" w:name="bookmark328"/>
      <w:bookmarkStart w:id="346" w:name="bookmark326"/>
      <w:r>
        <w:rPr>
          <w:rFonts w:hint="eastAsia"/>
          <w:color w:val="000000" w:themeColor="text1"/>
          <w:highlight w:val="none"/>
          <w:lang w:eastAsia="zh-CN"/>
          <w14:textFill>
            <w14:solidFill>
              <w14:schemeClr w14:val="tx1"/>
            </w14:solidFill>
          </w14:textFill>
        </w:rPr>
        <w:t>（三十八）验收</w:t>
      </w:r>
      <w:bookmarkEnd w:id="341"/>
      <w:bookmarkEnd w:id="342"/>
      <w:bookmarkEnd w:id="343"/>
      <w:bookmarkEnd w:id="344"/>
      <w:bookmarkEnd w:id="345"/>
      <w:bookmarkEnd w:id="346"/>
    </w:p>
    <w:p>
      <w:pPr>
        <w:pageBreakBefore w:val="0"/>
        <w:kinsoku/>
        <w:wordWrap/>
        <w:overflowPunct w:val="0"/>
        <w:topLinePunct w:val="0"/>
        <w:bidi w:val="0"/>
        <w:snapToGrid/>
        <w:spacing w:line="600" w:lineRule="exact"/>
        <w:ind w:left="0"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中标单位根据初步验收的结果进行整改并满足合同技术要求后，由中标单位提交报告，或其它相关证明材料，经招标人审核通过后，由招标人组织并检验成果，检验无误后，签署相应结算文件。如若发现中标人在合作期间，有弄虚作假，欺骗中标资格的行为，招标单位有权终止合作并要求赔偿该行为带来的损失。</w:t>
      </w:r>
    </w:p>
    <w:p>
      <w:pPr>
        <w:pStyle w:val="2"/>
        <w:pageBreakBefore w:val="0"/>
        <w:numPr>
          <w:ilvl w:val="0"/>
          <w:numId w:val="0"/>
        </w:numPr>
        <w:kinsoku/>
        <w:wordWrap/>
        <w:overflowPunct w:val="0"/>
        <w:topLinePunct w:val="0"/>
        <w:bidi w:val="0"/>
        <w:snapToGrid/>
        <w:spacing w:line="600" w:lineRule="exact"/>
        <w:ind w:left="0" w:firstLine="482" w:firstLineChars="200"/>
        <w:jc w:val="center"/>
        <w:rPr>
          <w:color w:val="000000" w:themeColor="text1"/>
          <w:highlight w:val="none"/>
          <w:lang w:eastAsia="zh-CN"/>
          <w14:textFill>
            <w14:solidFill>
              <w14:schemeClr w14:val="tx1"/>
            </w14:solidFill>
          </w14:textFill>
        </w:rPr>
      </w:pPr>
      <w:bookmarkStart w:id="347" w:name="_Toc28425"/>
      <w:bookmarkStart w:id="348" w:name="bookmark330"/>
      <w:bookmarkStart w:id="349" w:name="bookmark329"/>
      <w:bookmarkStart w:id="350" w:name="_Toc3604"/>
      <w:bookmarkStart w:id="351" w:name="_Toc25535"/>
      <w:bookmarkStart w:id="352" w:name="bookmark331"/>
      <w:r>
        <w:rPr>
          <w:rFonts w:hint="eastAsia"/>
          <w:color w:val="000000" w:themeColor="text1"/>
          <w:highlight w:val="none"/>
          <w:lang w:eastAsia="zh-CN"/>
          <w14:textFill>
            <w14:solidFill>
              <w14:schemeClr w14:val="tx1"/>
            </w14:solidFill>
          </w14:textFill>
        </w:rPr>
        <w:t>（三十九）项目办结及付款</w:t>
      </w:r>
      <w:bookmarkEnd w:id="347"/>
      <w:bookmarkEnd w:id="348"/>
      <w:bookmarkEnd w:id="349"/>
      <w:bookmarkEnd w:id="350"/>
      <w:bookmarkEnd w:id="351"/>
      <w:bookmarkEnd w:id="352"/>
    </w:p>
    <w:p>
      <w:pPr>
        <w:pageBreakBefore w:val="0"/>
        <w:kinsoku/>
        <w:wordWrap/>
        <w:overflowPunct w:val="0"/>
        <w:topLinePunct w:val="0"/>
        <w:bidi w:val="0"/>
        <w:snapToGrid/>
        <w:spacing w:line="600" w:lineRule="exact"/>
        <w:ind w:left="0" w:firstLine="480" w:firstLineChars="200"/>
        <w:rPr>
          <w:rFonts w:ascii="仿宋" w:hAnsi="仿宋" w:cs="仿宋"/>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招标人凭项目合同、验收报告和原件在合同约定的时间内办理采购款支付手续</w:t>
      </w:r>
      <w:r>
        <w:rPr>
          <w:rFonts w:hint="eastAsia" w:ascii="仿宋" w:hAnsi="仿宋" w:cs="仿宋"/>
          <w:color w:val="000000" w:themeColor="text1"/>
          <w:highlight w:val="none"/>
          <w:lang w:eastAsia="zh-CN"/>
          <w14:textFill>
            <w14:solidFill>
              <w14:schemeClr w14:val="tx1"/>
            </w14:solidFill>
          </w14:textFill>
        </w:rPr>
        <w:t>。</w:t>
      </w:r>
    </w:p>
    <w:p>
      <w:pPr>
        <w:pageBreakBefore w:val="0"/>
        <w:widowControl/>
        <w:kinsoku/>
        <w:wordWrap/>
        <w:overflowPunct w:val="0"/>
        <w:topLinePunct w:val="0"/>
        <w:bidi w:val="0"/>
        <w:snapToGrid/>
        <w:spacing w:line="600" w:lineRule="exact"/>
        <w:ind w:left="0" w:firstLine="480" w:firstLineChars="200"/>
        <w:rPr>
          <w:rFonts w:ascii="仿宋" w:hAnsi="仿宋" w:cs="仿宋"/>
          <w:b/>
          <w:bCs/>
          <w:color w:val="000000" w:themeColor="text1"/>
          <w:highlight w:val="none"/>
          <w:lang w:val="zh-CN" w:eastAsia="zh-CN"/>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3"/>
        <w:pageBreakBefore w:val="0"/>
        <w:kinsoku/>
        <w:wordWrap/>
        <w:overflowPunct w:val="0"/>
        <w:topLinePunct w:val="0"/>
        <w:bidi w:val="0"/>
        <w:snapToGrid/>
        <w:spacing w:before="0" w:line="600" w:lineRule="exact"/>
        <w:ind w:left="0" w:leftChars="0" w:firstLine="643" w:firstLineChars="200"/>
        <w:jc w:val="center"/>
        <w:rPr>
          <w:color w:val="000000" w:themeColor="text1"/>
          <w:highlight w:val="none"/>
          <w:lang w:eastAsia="zh-CN"/>
          <w14:textFill>
            <w14:solidFill>
              <w14:schemeClr w14:val="tx1"/>
            </w14:solidFill>
          </w14:textFill>
        </w:rPr>
      </w:pPr>
      <w:bookmarkStart w:id="353" w:name="bookmark335"/>
      <w:bookmarkStart w:id="354" w:name="_Toc26833"/>
      <w:bookmarkStart w:id="355" w:name="bookmark333"/>
      <w:bookmarkStart w:id="356" w:name="bookmark334"/>
      <w:r>
        <w:rPr>
          <w:rFonts w:hint="eastAsia"/>
          <w:color w:val="000000" w:themeColor="text1"/>
          <w:highlight w:val="none"/>
          <w:lang w:eastAsia="zh-CN"/>
          <w14:textFill>
            <w14:solidFill>
              <w14:schemeClr w14:val="tx1"/>
            </w14:solidFill>
          </w14:textFill>
        </w:rPr>
        <w:t>第三部分授予合同（参考）</w:t>
      </w:r>
      <w:bookmarkEnd w:id="353"/>
      <w:bookmarkEnd w:id="354"/>
    </w:p>
    <w:p>
      <w:pPr>
        <w:pageBreakBefore w:val="0"/>
        <w:kinsoku/>
        <w:wordWrap/>
        <w:overflowPunct w:val="0"/>
        <w:topLinePunct w:val="0"/>
        <w:bidi w:val="0"/>
        <w:snapToGrid/>
        <w:spacing w:line="600" w:lineRule="exact"/>
        <w:ind w:left="0" w:leftChars="0" w:firstLine="480" w:firstLineChars="200"/>
        <w:jc w:val="center"/>
        <w:rPr>
          <w:color w:val="000000" w:themeColor="text1"/>
          <w:highlight w:val="none"/>
          <w:lang w:eastAsia="zh-CN"/>
          <w14:textFill>
            <w14:solidFill>
              <w14:schemeClr w14:val="tx1"/>
            </w14:solidFill>
          </w14:textFill>
        </w:rPr>
      </w:pPr>
      <w:bookmarkStart w:id="357" w:name="_Toc12833"/>
      <w:bookmarkStart w:id="358" w:name="_Toc12798"/>
      <w:bookmarkStart w:id="359" w:name="_Toc11267"/>
      <w:r>
        <w:rPr>
          <w:rFonts w:hint="eastAsia"/>
          <w:color w:val="000000" w:themeColor="text1"/>
          <w:highlight w:val="none"/>
          <w:lang w:eastAsia="zh-CN"/>
          <w14:textFill>
            <w14:solidFill>
              <w14:schemeClr w14:val="tx1"/>
            </w14:solidFill>
          </w14:textFill>
        </w:rPr>
        <w:t>具体以签订合同为准</w:t>
      </w:r>
    </w:p>
    <w:bookmarkEnd w:id="355"/>
    <w:bookmarkEnd w:id="356"/>
    <w:bookmarkEnd w:id="357"/>
    <w:bookmarkEnd w:id="358"/>
    <w:bookmarkEnd w:id="359"/>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bookmarkStart w:id="360" w:name="bookmark411"/>
      <w:bookmarkStart w:id="361" w:name="bookmark410"/>
      <w:bookmarkStart w:id="362" w:name="bookmark409"/>
      <w:bookmarkStart w:id="363" w:name="_Toc24685"/>
      <w:r>
        <w:rPr>
          <w:rStyle w:val="88"/>
          <w:rFonts w:hint="eastAsia" w:ascii="仿宋" w:hAnsi="仿宋" w:eastAsia="仿宋" w:cs="仿宋"/>
          <w:color w:val="000000" w:themeColor="text1"/>
          <w:highlight w:val="none"/>
          <w:lang w:eastAsia="zh-CN"/>
          <w14:textFill>
            <w14:solidFill>
              <w14:schemeClr w14:val="tx1"/>
            </w14:solidFill>
          </w14:textFill>
        </w:rPr>
        <w:t>甲方：</w:t>
      </w:r>
    </w:p>
    <w:p>
      <w:pPr>
        <w:pageBreakBefore w:val="0"/>
        <w:kinsoku/>
        <w:wordWrap/>
        <w:overflowPunct w:val="0"/>
        <w:topLinePunct w:val="0"/>
        <w:bidi w:val="0"/>
        <w:snapToGrid/>
        <w:spacing w:line="600" w:lineRule="exact"/>
        <w:ind w:left="0" w:firstLine="480" w:firstLineChars="200"/>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住所：</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乙方：</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住所：</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p>
    <w:p>
      <w:pPr>
        <w:pageBreakBefore w:val="0"/>
        <w:kinsoku/>
        <w:wordWrap/>
        <w:overflowPunct w:val="0"/>
        <w:topLinePunct w:val="0"/>
        <w:bidi w:val="0"/>
        <w:snapToGrid/>
        <w:spacing w:line="600" w:lineRule="exact"/>
        <w:ind w:left="0" w:firstLine="480" w:firstLineChars="200"/>
        <w:textAlignment w:val="baseline"/>
        <w:rPr>
          <w:rStyle w:val="88"/>
          <w:rFonts w:hint="eastAsia"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甲乙双方经友好协商，就甲方委托乙方针对“乌鲁木齐市信用信息共享平台和信</w:t>
      </w:r>
      <w:r>
        <w:rPr>
          <w:rStyle w:val="88"/>
          <w:rFonts w:hint="eastAsia" w:ascii="仿宋" w:hAnsi="仿宋" w:eastAsia="仿宋" w:cs="仿宋"/>
          <w:color w:val="000000" w:themeColor="text1"/>
          <w:highlight w:val="none"/>
          <w:lang w:val="en-US" w:eastAsia="zh-CN"/>
          <w14:textFill>
            <w14:solidFill>
              <w14:schemeClr w14:val="tx1"/>
            </w14:solidFill>
          </w14:textFill>
        </w:rPr>
        <w:t>用信息网站运营服务项目”（以下简称“信用服务项目”）提供咨询服务及技术支持，并按时交付服务成果事宜达成一致，并签订本协议如下：</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default" w:ascii="仿宋" w:hAnsi="仿宋" w:eastAsia="仿宋" w:cs="仿宋"/>
          <w:b/>
          <w:bCs/>
          <w:color w:val="000000" w:themeColor="text1"/>
          <w:highlight w:val="none"/>
          <w:lang w:val="en-US"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服务</w:t>
      </w:r>
      <w:r>
        <w:rPr>
          <w:rStyle w:val="88"/>
          <w:rFonts w:hint="eastAsia" w:ascii="仿宋" w:hAnsi="仿宋" w:cs="仿宋"/>
          <w:b/>
          <w:bCs/>
          <w:color w:val="000000" w:themeColor="text1"/>
          <w:highlight w:val="none"/>
          <w:lang w:val="en-US" w:eastAsia="zh-CN"/>
          <w14:textFill>
            <w14:solidFill>
              <w14:schemeClr w14:val="tx1"/>
            </w14:solidFill>
          </w14:textFill>
        </w:rPr>
        <w:t>内容</w:t>
      </w:r>
    </w:p>
    <w:p>
      <w:pPr>
        <w:pageBreakBefore w:val="0"/>
        <w:numPr>
          <w:ilvl w:val="0"/>
          <w:numId w:val="14"/>
        </w:numPr>
        <w:kinsoku/>
        <w:wordWrap/>
        <w:overflowPunct w:val="0"/>
        <w:topLinePunct w:val="0"/>
        <w:bidi w:val="0"/>
        <w:snapToGrid/>
        <w:spacing w:line="600" w:lineRule="exact"/>
        <w:ind w:left="425" w:leftChars="0" w:firstLine="55" w:firstLineChars="0"/>
        <w:textAlignment w:val="baseline"/>
        <w:rPr>
          <w:rStyle w:val="88"/>
          <w:rFonts w:hint="eastAsia" w:ascii="仿宋" w:hAnsi="仿宋" w:eastAsia="仿宋" w:cs="仿宋"/>
          <w:b w:val="0"/>
          <w:bCs w:val="0"/>
          <w:color w:val="000000" w:themeColor="text1"/>
          <w:highlight w:val="none"/>
          <w:lang w:val="en-US" w:eastAsia="zh-CN"/>
          <w14:textFill>
            <w14:solidFill>
              <w14:schemeClr w14:val="tx1"/>
            </w14:solidFill>
          </w14:textFill>
        </w:rPr>
      </w:pPr>
      <w:r>
        <w:rPr>
          <w:rStyle w:val="88"/>
          <w:rFonts w:hint="eastAsia" w:ascii="仿宋" w:hAnsi="仿宋" w:eastAsia="仿宋" w:cs="仿宋"/>
          <w:b w:val="0"/>
          <w:bCs w:val="0"/>
          <w:color w:val="000000" w:themeColor="text1"/>
          <w:highlight w:val="none"/>
          <w:lang w:val="en-US" w:eastAsia="zh-CN"/>
          <w14:textFill>
            <w14:solidFill>
              <w14:schemeClr w14:val="tx1"/>
            </w14:solidFill>
          </w14:textFill>
        </w:rPr>
        <w:t>提升乌市信用监测排名。</w:t>
      </w:r>
    </w:p>
    <w:p>
      <w:pPr>
        <w:pageBreakBefore w:val="0"/>
        <w:numPr>
          <w:ilvl w:val="0"/>
          <w:numId w:val="14"/>
        </w:numPr>
        <w:kinsoku/>
        <w:wordWrap/>
        <w:overflowPunct w:val="0"/>
        <w:topLinePunct w:val="0"/>
        <w:bidi w:val="0"/>
        <w:snapToGrid/>
        <w:spacing w:line="600" w:lineRule="exact"/>
        <w:ind w:left="425" w:leftChars="0" w:firstLine="55" w:firstLineChars="0"/>
        <w:textAlignment w:val="baseline"/>
        <w:rPr>
          <w:rStyle w:val="88"/>
          <w:rFonts w:hint="eastAsia" w:ascii="仿宋" w:hAnsi="仿宋" w:eastAsia="仿宋" w:cs="仿宋"/>
          <w:b w:val="0"/>
          <w:bCs w:val="0"/>
          <w:color w:val="000000" w:themeColor="text1"/>
          <w:highlight w:val="none"/>
          <w:lang w:val="en-US" w:eastAsia="zh-CN"/>
          <w14:textFill>
            <w14:solidFill>
              <w14:schemeClr w14:val="tx1"/>
            </w14:solidFill>
          </w14:textFill>
        </w:rPr>
      </w:pPr>
      <w:r>
        <w:rPr>
          <w:rStyle w:val="88"/>
          <w:rFonts w:hint="eastAsia" w:ascii="仿宋" w:hAnsi="仿宋" w:eastAsia="仿宋" w:cs="仿宋"/>
          <w:b w:val="0"/>
          <w:bCs w:val="0"/>
          <w:color w:val="000000" w:themeColor="text1"/>
          <w:highlight w:val="none"/>
          <w:lang w:val="en-US" w:eastAsia="zh-CN"/>
          <w14:textFill>
            <w14:solidFill>
              <w14:schemeClr w14:val="tx1"/>
            </w14:solidFill>
          </w14:textFill>
        </w:rPr>
        <w:t>提升乌市信用信息平台应用水平，确保平台归集数据质量进入全疆前列。</w:t>
      </w:r>
    </w:p>
    <w:p>
      <w:pPr>
        <w:pageBreakBefore w:val="0"/>
        <w:numPr>
          <w:ilvl w:val="0"/>
          <w:numId w:val="14"/>
        </w:numPr>
        <w:kinsoku/>
        <w:wordWrap/>
        <w:overflowPunct w:val="0"/>
        <w:topLinePunct w:val="0"/>
        <w:bidi w:val="0"/>
        <w:snapToGrid/>
        <w:spacing w:line="600" w:lineRule="exact"/>
        <w:ind w:left="425" w:leftChars="0" w:firstLine="55" w:firstLineChars="0"/>
        <w:textAlignment w:val="baseline"/>
        <w:rPr>
          <w:rStyle w:val="88"/>
          <w:rFonts w:hint="default" w:ascii="仿宋" w:hAnsi="仿宋" w:eastAsia="仿宋" w:cs="仿宋"/>
          <w:b w:val="0"/>
          <w:bCs w:val="0"/>
          <w:color w:val="000000" w:themeColor="text1"/>
          <w:highlight w:val="none"/>
          <w:lang w:val="en-US" w:eastAsia="zh-CN"/>
          <w14:textFill>
            <w14:solidFill>
              <w14:schemeClr w14:val="tx1"/>
            </w14:solidFill>
          </w14:textFill>
        </w:rPr>
      </w:pPr>
      <w:r>
        <w:rPr>
          <w:rStyle w:val="88"/>
          <w:rFonts w:hint="eastAsia" w:ascii="仿宋" w:hAnsi="仿宋" w:eastAsia="仿宋" w:cs="仿宋"/>
          <w:b w:val="0"/>
          <w:bCs w:val="0"/>
          <w:color w:val="000000" w:themeColor="text1"/>
          <w:highlight w:val="none"/>
          <w:lang w:val="en-US" w:eastAsia="zh-CN"/>
          <w14:textFill>
            <w14:solidFill>
              <w14:schemeClr w14:val="tx1"/>
            </w14:solidFill>
          </w14:textFill>
        </w:rPr>
        <w:t>开展平台等保三级测评</w:t>
      </w:r>
      <w:r>
        <w:rPr>
          <w:rStyle w:val="88"/>
          <w:rFonts w:hint="eastAsia" w:ascii="仿宋" w:hAnsi="仿宋" w:cs="仿宋"/>
          <w:b w:val="0"/>
          <w:bCs w:val="0"/>
          <w:color w:val="000000" w:themeColor="text1"/>
          <w:highlight w:val="none"/>
          <w:lang w:val="en-US" w:eastAsia="zh-CN"/>
          <w14:textFill>
            <w14:solidFill>
              <w14:schemeClr w14:val="tx1"/>
            </w14:solidFill>
          </w14:textFill>
        </w:rPr>
        <w:t>。</w:t>
      </w:r>
    </w:p>
    <w:p>
      <w:pPr>
        <w:pageBreakBefore w:val="0"/>
        <w:numPr>
          <w:ilvl w:val="0"/>
          <w:numId w:val="14"/>
        </w:numPr>
        <w:kinsoku/>
        <w:wordWrap/>
        <w:overflowPunct w:val="0"/>
        <w:topLinePunct w:val="0"/>
        <w:bidi w:val="0"/>
        <w:snapToGrid/>
        <w:spacing w:line="600" w:lineRule="exact"/>
        <w:ind w:left="425" w:leftChars="0" w:firstLine="55" w:firstLineChars="0"/>
        <w:textAlignment w:val="baseline"/>
        <w:rPr>
          <w:rStyle w:val="88"/>
          <w:rFonts w:hint="default" w:ascii="仿宋" w:hAnsi="仿宋" w:eastAsia="仿宋" w:cs="仿宋"/>
          <w:b w:val="0"/>
          <w:bCs w:val="0"/>
          <w:color w:val="000000" w:themeColor="text1"/>
          <w:highlight w:val="none"/>
          <w:lang w:val="en-US" w:eastAsia="zh-CN"/>
          <w14:textFill>
            <w14:solidFill>
              <w14:schemeClr w14:val="tx1"/>
            </w14:solidFill>
          </w14:textFill>
        </w:rPr>
      </w:pPr>
      <w:r>
        <w:rPr>
          <w:rStyle w:val="88"/>
          <w:rFonts w:hint="eastAsia" w:ascii="仿宋" w:hAnsi="仿宋" w:eastAsia="仿宋" w:cs="仿宋"/>
          <w:b w:val="0"/>
          <w:bCs w:val="0"/>
          <w:color w:val="000000" w:themeColor="text1"/>
          <w:highlight w:val="none"/>
          <w:lang w:val="en-US" w:eastAsia="zh-CN"/>
          <w14:textFill>
            <w14:solidFill>
              <w14:schemeClr w14:val="tx1"/>
            </w14:solidFill>
          </w14:textFill>
        </w:rPr>
        <w:t>开展乌市信用信息归集服务</w:t>
      </w:r>
      <w:r>
        <w:rPr>
          <w:rStyle w:val="88"/>
          <w:rFonts w:hint="eastAsia" w:ascii="仿宋" w:hAnsi="仿宋" w:cs="仿宋"/>
          <w:b w:val="0"/>
          <w:bCs w:val="0"/>
          <w:color w:val="000000" w:themeColor="text1"/>
          <w:highlight w:val="none"/>
          <w:lang w:val="en-US" w:eastAsia="zh-CN"/>
          <w14:textFill>
            <w14:solidFill>
              <w14:schemeClr w14:val="tx1"/>
            </w14:solidFill>
          </w14:textFill>
        </w:rPr>
        <w:t>。</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default" w:ascii="仿宋" w:hAnsi="仿宋" w:eastAsia="仿宋" w:cs="仿宋"/>
          <w:b/>
          <w:bCs/>
          <w:color w:val="000000" w:themeColor="text1"/>
          <w:highlight w:val="none"/>
          <w:lang w:val="en-US" w:eastAsia="zh-CN"/>
          <w14:textFill>
            <w14:solidFill>
              <w14:schemeClr w14:val="tx1"/>
            </w14:solidFill>
          </w14:textFill>
        </w:rPr>
      </w:pPr>
      <w:r>
        <w:rPr>
          <w:rStyle w:val="88"/>
          <w:rFonts w:hint="eastAsia" w:ascii="仿宋" w:hAnsi="仿宋" w:eastAsia="仿宋" w:cs="仿宋"/>
          <w:b/>
          <w:bCs/>
          <w:color w:val="000000" w:themeColor="text1"/>
          <w:highlight w:val="none"/>
          <w:lang w:val="en-US" w:eastAsia="zh-CN"/>
          <w14:textFill>
            <w14:solidFill>
              <w14:schemeClr w14:val="tx1"/>
            </w14:solidFill>
          </w14:textFill>
        </w:rPr>
        <w:t>提交成果</w:t>
      </w:r>
    </w:p>
    <w:p>
      <w:pPr>
        <w:pageBreakBefore w:val="0"/>
        <w:numPr>
          <w:ilvl w:val="0"/>
          <w:numId w:val="15"/>
        </w:numPr>
        <w:kinsoku/>
        <w:wordWrap/>
        <w:overflowPunct w:val="0"/>
        <w:topLinePunct w:val="0"/>
        <w:bidi w:val="0"/>
        <w:snapToGrid/>
        <w:spacing w:line="600" w:lineRule="exact"/>
        <w:ind w:left="425" w:leftChars="0" w:firstLine="55" w:firstLineChars="0"/>
        <w:textAlignment w:val="baseline"/>
        <w:rPr>
          <w:rStyle w:val="88"/>
          <w:rFonts w:hint="default"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val="en-US" w:eastAsia="zh-CN"/>
          <w14:textFill>
            <w14:solidFill>
              <w14:schemeClr w14:val="tx1"/>
            </w14:solidFill>
          </w14:textFill>
        </w:rPr>
        <w:t>乌鲁木齐市信用状况监测预警排名提升总体方案。</w:t>
      </w:r>
    </w:p>
    <w:p>
      <w:pPr>
        <w:pageBreakBefore w:val="0"/>
        <w:numPr>
          <w:ilvl w:val="0"/>
          <w:numId w:val="15"/>
        </w:numPr>
        <w:kinsoku/>
        <w:wordWrap/>
        <w:overflowPunct w:val="0"/>
        <w:topLinePunct w:val="0"/>
        <w:bidi w:val="0"/>
        <w:snapToGrid/>
        <w:spacing w:line="600" w:lineRule="exact"/>
        <w:ind w:left="425" w:leftChars="0" w:firstLine="55" w:firstLineChars="0"/>
        <w:textAlignment w:val="baseline"/>
        <w:rPr>
          <w:rStyle w:val="88"/>
          <w:rFonts w:hint="eastAsia"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val="en-US" w:eastAsia="zh-CN"/>
          <w14:textFill>
            <w14:solidFill>
              <w14:schemeClr w14:val="tx1"/>
            </w14:solidFill>
          </w14:textFill>
        </w:rPr>
        <w:t>乌鲁木市信用监测预警状况月度推进措施及计划安排</w:t>
      </w:r>
      <w:r>
        <w:rPr>
          <w:rStyle w:val="88"/>
          <w:rFonts w:hint="eastAsia" w:ascii="仿宋" w:hAnsi="仿宋" w:cs="仿宋"/>
          <w:color w:val="000000" w:themeColor="text1"/>
          <w:highlight w:val="none"/>
          <w:lang w:val="en-US" w:eastAsia="zh-CN"/>
          <w14:textFill>
            <w14:solidFill>
              <w14:schemeClr w14:val="tx1"/>
            </w14:solidFill>
          </w14:textFill>
        </w:rPr>
        <w:t>9</w:t>
      </w:r>
      <w:r>
        <w:rPr>
          <w:rStyle w:val="88"/>
          <w:rFonts w:hint="eastAsia" w:ascii="仿宋" w:hAnsi="仿宋" w:eastAsia="仿宋" w:cs="仿宋"/>
          <w:color w:val="000000" w:themeColor="text1"/>
          <w:highlight w:val="none"/>
          <w:lang w:val="en-US" w:eastAsia="zh-CN"/>
          <w14:textFill>
            <w14:solidFill>
              <w14:schemeClr w14:val="tx1"/>
            </w14:solidFill>
          </w14:textFill>
        </w:rPr>
        <w:t>份。</w:t>
      </w:r>
    </w:p>
    <w:p>
      <w:pPr>
        <w:pageBreakBefore w:val="0"/>
        <w:numPr>
          <w:ilvl w:val="0"/>
          <w:numId w:val="15"/>
        </w:numPr>
        <w:kinsoku/>
        <w:wordWrap/>
        <w:overflowPunct w:val="0"/>
        <w:topLinePunct w:val="0"/>
        <w:bidi w:val="0"/>
        <w:snapToGrid/>
        <w:spacing w:line="600" w:lineRule="exact"/>
        <w:ind w:left="425" w:leftChars="0" w:firstLine="55" w:firstLineChars="0"/>
        <w:textAlignment w:val="baseline"/>
        <w:rPr>
          <w:rStyle w:val="88"/>
          <w:rFonts w:hint="default"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val="en-US" w:eastAsia="zh-CN"/>
          <w14:textFill>
            <w14:solidFill>
              <w14:schemeClr w14:val="tx1"/>
            </w14:solidFill>
          </w14:textFill>
        </w:rPr>
        <w:t>“</w:t>
      </w:r>
      <w:r>
        <w:rPr>
          <w:rStyle w:val="88"/>
          <w:rFonts w:hint="eastAsia" w:ascii="仿宋" w:hAnsi="仿宋" w:eastAsia="仿宋" w:cs="仿宋"/>
          <w:color w:val="000000" w:themeColor="text1"/>
          <w:highlight w:val="none"/>
          <w:lang w:eastAsia="zh-CN"/>
          <w14:textFill>
            <w14:solidFill>
              <w14:schemeClr w14:val="tx1"/>
            </w14:solidFill>
          </w14:textFill>
        </w:rPr>
        <w:t>乌鲁木齐市信用信息共享平台和信</w:t>
      </w:r>
      <w:r>
        <w:rPr>
          <w:rStyle w:val="88"/>
          <w:rFonts w:hint="eastAsia" w:ascii="仿宋" w:hAnsi="仿宋" w:eastAsia="仿宋" w:cs="仿宋"/>
          <w:color w:val="000000" w:themeColor="text1"/>
          <w:highlight w:val="none"/>
          <w:lang w:val="en-US" w:eastAsia="zh-CN"/>
          <w14:textFill>
            <w14:solidFill>
              <w14:schemeClr w14:val="tx1"/>
            </w14:solidFill>
          </w14:textFill>
        </w:rPr>
        <w:t>用信息网站”完善与提升方案。</w:t>
      </w:r>
    </w:p>
    <w:p>
      <w:pPr>
        <w:pageBreakBefore w:val="0"/>
        <w:numPr>
          <w:ilvl w:val="0"/>
          <w:numId w:val="15"/>
        </w:numPr>
        <w:kinsoku/>
        <w:wordWrap/>
        <w:overflowPunct w:val="0"/>
        <w:topLinePunct w:val="0"/>
        <w:bidi w:val="0"/>
        <w:snapToGrid/>
        <w:spacing w:line="600" w:lineRule="exact"/>
        <w:ind w:left="0" w:leftChars="0" w:firstLine="480" w:firstLineChars="0"/>
        <w:textAlignment w:val="baseline"/>
        <w:rPr>
          <w:rStyle w:val="88"/>
          <w:rFonts w:hint="eastAsia" w:ascii="仿宋" w:hAnsi="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val="en-US" w:eastAsia="zh-CN"/>
          <w14:textFill>
            <w14:solidFill>
              <w14:schemeClr w14:val="tx1"/>
            </w14:solidFill>
          </w14:textFill>
        </w:rPr>
        <w:t>培训教材及操作手册。包括七类行政管理信息、特定信用信息及信用承诺信息归集专题培训，信易贷专题培训，重错码专题培训等</w:t>
      </w:r>
      <w:r>
        <w:rPr>
          <w:rStyle w:val="88"/>
          <w:rFonts w:hint="eastAsia" w:ascii="仿宋" w:hAnsi="仿宋" w:cs="仿宋"/>
          <w:color w:val="000000" w:themeColor="text1"/>
          <w:highlight w:val="none"/>
          <w:lang w:val="en-US" w:eastAsia="zh-CN"/>
          <w14:textFill>
            <w14:solidFill>
              <w14:schemeClr w14:val="tx1"/>
            </w14:solidFill>
          </w14:textFill>
        </w:rPr>
        <w:t>。</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val="en-US" w:eastAsia="zh-CN"/>
          <w14:textFill>
            <w14:solidFill>
              <w14:schemeClr w14:val="tx1"/>
            </w14:solidFill>
          </w14:textFill>
        </w:rPr>
      </w:pPr>
      <w:r>
        <w:rPr>
          <w:rStyle w:val="88"/>
          <w:rFonts w:hint="eastAsia" w:ascii="仿宋" w:hAnsi="仿宋" w:eastAsia="仿宋" w:cs="仿宋"/>
          <w:b/>
          <w:bCs/>
          <w:color w:val="000000" w:themeColor="text1"/>
          <w:highlight w:val="none"/>
          <w:lang w:val="en-US" w:eastAsia="zh-CN"/>
          <w14:textFill>
            <w14:solidFill>
              <w14:schemeClr w14:val="tx1"/>
            </w14:solidFill>
          </w14:textFill>
        </w:rPr>
        <w:t>双方的权利与义务</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（一）甲方的权利与义务</w:t>
      </w:r>
    </w:p>
    <w:p>
      <w:pPr>
        <w:pageBreakBefore w:val="0"/>
        <w:numPr>
          <w:ilvl w:val="0"/>
          <w:numId w:val="16"/>
        </w:numPr>
        <w:kinsoku/>
        <w:wordWrap/>
        <w:overflowPunct w:val="0"/>
        <w:topLinePunct w:val="0"/>
        <w:bidi w:val="0"/>
        <w:snapToGrid/>
        <w:spacing w:line="600" w:lineRule="exact"/>
        <w:ind w:left="0" w:leftChars="0" w:firstLine="480" w:firstLineChars="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甲方有权督促乙方按照本协议约定完成</w:t>
      </w:r>
      <w:r>
        <w:rPr>
          <w:rStyle w:val="88"/>
          <w:rFonts w:hint="eastAsia" w:ascii="仿宋" w:hAnsi="仿宋" w:eastAsia="仿宋" w:cs="仿宋"/>
          <w:color w:val="000000" w:themeColor="text1"/>
          <w:highlight w:val="none"/>
          <w:lang w:val="en-US" w:eastAsia="zh-CN"/>
          <w14:textFill>
            <w14:solidFill>
              <w14:schemeClr w14:val="tx1"/>
            </w14:solidFill>
          </w14:textFill>
        </w:rPr>
        <w:t>服务</w:t>
      </w:r>
      <w:r>
        <w:rPr>
          <w:rStyle w:val="88"/>
          <w:rFonts w:hint="eastAsia" w:ascii="仿宋" w:hAnsi="仿宋" w:eastAsia="仿宋" w:cs="仿宋"/>
          <w:color w:val="000000" w:themeColor="text1"/>
          <w:highlight w:val="none"/>
          <w:lang w:eastAsia="zh-CN"/>
          <w14:textFill>
            <w14:solidFill>
              <w14:schemeClr w14:val="tx1"/>
            </w14:solidFill>
          </w14:textFill>
        </w:rPr>
        <w:t>工作，有权对乙方</w:t>
      </w:r>
      <w:r>
        <w:rPr>
          <w:rStyle w:val="88"/>
          <w:rFonts w:hint="eastAsia" w:ascii="仿宋" w:hAnsi="仿宋" w:eastAsia="仿宋" w:cs="仿宋"/>
          <w:color w:val="000000" w:themeColor="text1"/>
          <w:highlight w:val="none"/>
          <w:lang w:val="en-US" w:eastAsia="zh-CN"/>
          <w14:textFill>
            <w14:solidFill>
              <w14:schemeClr w14:val="tx1"/>
            </w14:solidFill>
          </w14:textFill>
        </w:rPr>
        <w:t>服务</w:t>
      </w:r>
      <w:r>
        <w:rPr>
          <w:rStyle w:val="88"/>
          <w:rFonts w:hint="eastAsia" w:ascii="仿宋" w:hAnsi="仿宋" w:eastAsia="仿宋" w:cs="仿宋"/>
          <w:color w:val="000000" w:themeColor="text1"/>
          <w:highlight w:val="none"/>
          <w:lang w:eastAsia="zh-CN"/>
          <w14:textFill>
            <w14:solidFill>
              <w14:schemeClr w14:val="tx1"/>
            </w14:solidFill>
          </w14:textFill>
        </w:rPr>
        <w:t>工作进展情况进行检查，有权对乙方阶段性</w:t>
      </w:r>
      <w:r>
        <w:rPr>
          <w:rStyle w:val="88"/>
          <w:rFonts w:hint="eastAsia" w:ascii="仿宋" w:hAnsi="仿宋" w:eastAsia="仿宋" w:cs="仿宋"/>
          <w:color w:val="000000" w:themeColor="text1"/>
          <w:highlight w:val="none"/>
          <w:lang w:val="en-US" w:eastAsia="zh-CN"/>
          <w14:textFill>
            <w14:solidFill>
              <w14:schemeClr w14:val="tx1"/>
            </w14:solidFill>
          </w14:textFill>
        </w:rPr>
        <w:t>服务</w:t>
      </w:r>
      <w:r>
        <w:rPr>
          <w:rStyle w:val="88"/>
          <w:rFonts w:hint="eastAsia" w:ascii="仿宋" w:hAnsi="仿宋" w:eastAsia="仿宋" w:cs="仿宋"/>
          <w:color w:val="000000" w:themeColor="text1"/>
          <w:highlight w:val="none"/>
          <w:lang w:eastAsia="zh-CN"/>
          <w14:textFill>
            <w14:solidFill>
              <w14:schemeClr w14:val="tx1"/>
            </w14:solidFill>
          </w14:textFill>
        </w:rPr>
        <w:t>成果进行程序性确认或提出调整建议。</w:t>
      </w:r>
    </w:p>
    <w:p>
      <w:pPr>
        <w:pageBreakBefore w:val="0"/>
        <w:numPr>
          <w:ilvl w:val="0"/>
          <w:numId w:val="16"/>
        </w:numPr>
        <w:kinsoku/>
        <w:wordWrap/>
        <w:overflowPunct w:val="0"/>
        <w:topLinePunct w:val="0"/>
        <w:bidi w:val="0"/>
        <w:snapToGrid/>
        <w:spacing w:line="600" w:lineRule="exact"/>
        <w:ind w:left="0" w:leftChars="0" w:firstLine="480" w:firstLineChars="0"/>
        <w:textAlignment w:val="baseline"/>
        <w:rPr>
          <w:rStyle w:val="88"/>
          <w:rFonts w:hint="default"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甲方有义务根据本协议约定，向乙方提供保证</w:t>
      </w:r>
      <w:r>
        <w:rPr>
          <w:rStyle w:val="88"/>
          <w:rFonts w:hint="eastAsia" w:ascii="仿宋" w:hAnsi="仿宋" w:eastAsia="仿宋" w:cs="仿宋"/>
          <w:color w:val="000000" w:themeColor="text1"/>
          <w:highlight w:val="none"/>
          <w:lang w:val="en-US" w:eastAsia="zh-CN"/>
          <w14:textFill>
            <w14:solidFill>
              <w14:schemeClr w14:val="tx1"/>
            </w14:solidFill>
          </w14:textFill>
        </w:rPr>
        <w:t>项目服务</w:t>
      </w:r>
      <w:r>
        <w:rPr>
          <w:rStyle w:val="88"/>
          <w:rFonts w:hint="eastAsia" w:ascii="仿宋" w:hAnsi="仿宋" w:eastAsia="仿宋" w:cs="仿宋"/>
          <w:color w:val="000000" w:themeColor="text1"/>
          <w:highlight w:val="none"/>
          <w:lang w:eastAsia="zh-CN"/>
          <w14:textFill>
            <w14:solidFill>
              <w14:schemeClr w14:val="tx1"/>
            </w14:solidFill>
          </w14:textFill>
        </w:rPr>
        <w:t>工作顺利进行所需的</w:t>
      </w:r>
      <w:r>
        <w:rPr>
          <w:rStyle w:val="88"/>
          <w:rFonts w:hint="eastAsia" w:ascii="仿宋" w:hAnsi="仿宋" w:eastAsia="仿宋" w:cs="仿宋"/>
          <w:color w:val="000000" w:themeColor="text1"/>
          <w:highlight w:val="none"/>
          <w:lang w:val="en-US" w:eastAsia="zh-CN"/>
          <w14:textFill>
            <w14:solidFill>
              <w14:schemeClr w14:val="tx1"/>
            </w14:solidFill>
          </w14:textFill>
        </w:rPr>
        <w:t>项目技术支持与服务</w:t>
      </w:r>
      <w:r>
        <w:rPr>
          <w:rStyle w:val="88"/>
          <w:rFonts w:hint="eastAsia" w:ascii="仿宋" w:hAnsi="仿宋" w:eastAsia="仿宋" w:cs="仿宋"/>
          <w:color w:val="000000" w:themeColor="text1"/>
          <w:highlight w:val="none"/>
          <w:lang w:eastAsia="zh-CN"/>
          <w14:textFill>
            <w14:solidFill>
              <w14:schemeClr w14:val="tx1"/>
            </w14:solidFill>
          </w14:textFill>
        </w:rPr>
        <w:t>费及相关支持，包括按时足额向乙方支付</w:t>
      </w:r>
      <w:r>
        <w:rPr>
          <w:rStyle w:val="88"/>
          <w:rFonts w:hint="eastAsia" w:ascii="仿宋" w:hAnsi="仿宋" w:eastAsia="仿宋" w:cs="仿宋"/>
          <w:color w:val="000000" w:themeColor="text1"/>
          <w:highlight w:val="none"/>
          <w:lang w:val="en-US" w:eastAsia="zh-CN"/>
          <w14:textFill>
            <w14:solidFill>
              <w14:schemeClr w14:val="tx1"/>
            </w14:solidFill>
          </w14:textFill>
        </w:rPr>
        <w:t>项目服务</w:t>
      </w:r>
      <w:r>
        <w:rPr>
          <w:rStyle w:val="88"/>
          <w:rFonts w:hint="eastAsia" w:ascii="仿宋" w:hAnsi="仿宋" w:eastAsia="仿宋" w:cs="仿宋"/>
          <w:color w:val="000000" w:themeColor="text1"/>
          <w:highlight w:val="none"/>
          <w:lang w:eastAsia="zh-CN"/>
          <w14:textFill>
            <w14:solidFill>
              <w14:schemeClr w14:val="tx1"/>
            </w14:solidFill>
          </w14:textFill>
        </w:rPr>
        <w:t>费，及支持并配合乙方</w:t>
      </w:r>
      <w:r>
        <w:rPr>
          <w:rStyle w:val="88"/>
          <w:rFonts w:hint="eastAsia" w:ascii="仿宋" w:hAnsi="仿宋" w:eastAsia="仿宋" w:cs="仿宋"/>
          <w:color w:val="000000" w:themeColor="text1"/>
          <w:highlight w:val="none"/>
          <w:lang w:val="en-US" w:eastAsia="zh-CN"/>
          <w14:textFill>
            <w14:solidFill>
              <w14:schemeClr w14:val="tx1"/>
            </w14:solidFill>
          </w14:textFill>
        </w:rPr>
        <w:t>为推进工作需开展的部门协调、业务推进及培训等事宜。</w:t>
      </w:r>
    </w:p>
    <w:p>
      <w:pPr>
        <w:pageBreakBefore w:val="0"/>
        <w:numPr>
          <w:ilvl w:val="0"/>
          <w:numId w:val="16"/>
        </w:numPr>
        <w:kinsoku/>
        <w:wordWrap/>
        <w:overflowPunct w:val="0"/>
        <w:topLinePunct w:val="0"/>
        <w:bidi w:val="0"/>
        <w:snapToGrid/>
        <w:spacing w:line="600" w:lineRule="exact"/>
        <w:ind w:left="0" w:leftChars="0" w:firstLine="480" w:firstLineChars="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甲方</w:t>
      </w:r>
      <w:r>
        <w:rPr>
          <w:rStyle w:val="88"/>
          <w:rFonts w:hint="eastAsia" w:ascii="仿宋" w:hAnsi="仿宋" w:eastAsia="仿宋" w:cs="仿宋"/>
          <w:color w:val="000000" w:themeColor="text1"/>
          <w:highlight w:val="none"/>
          <w:lang w:val="en-US" w:eastAsia="zh-CN"/>
          <w14:textFill>
            <w14:solidFill>
              <w14:schemeClr w14:val="tx1"/>
            </w14:solidFill>
          </w14:textFill>
        </w:rPr>
        <w:t>有义务向乙方提供本协议项下咨询与服务工作所需的资料信息，并确保前述资料信息的真实性、准确性。</w:t>
      </w:r>
    </w:p>
    <w:p>
      <w:pPr>
        <w:pageBreakBefore w:val="0"/>
        <w:numPr>
          <w:ilvl w:val="0"/>
          <w:numId w:val="16"/>
        </w:numPr>
        <w:kinsoku/>
        <w:wordWrap/>
        <w:overflowPunct w:val="0"/>
        <w:topLinePunct w:val="0"/>
        <w:bidi w:val="0"/>
        <w:snapToGrid/>
        <w:spacing w:line="600" w:lineRule="exact"/>
        <w:ind w:left="0" w:leftChars="0" w:firstLine="480" w:firstLineChars="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甲方有义务完成其他需甲方协调或支持的事宜。</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（二）乙方的权利与义务</w:t>
      </w:r>
    </w:p>
    <w:p>
      <w:pPr>
        <w:pageBreakBefore w:val="0"/>
        <w:numPr>
          <w:ilvl w:val="0"/>
          <w:numId w:val="17"/>
        </w:numPr>
        <w:kinsoku/>
        <w:wordWrap/>
        <w:overflowPunct w:val="0"/>
        <w:topLinePunct w:val="0"/>
        <w:bidi w:val="0"/>
        <w:snapToGrid/>
        <w:spacing w:line="600" w:lineRule="exact"/>
        <w:ind w:left="0" w:leftChars="0" w:firstLine="480" w:firstLineChars="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乙方有权按照本协议约定获得</w:t>
      </w:r>
      <w:r>
        <w:rPr>
          <w:rStyle w:val="88"/>
          <w:rFonts w:hint="eastAsia" w:ascii="仿宋" w:hAnsi="仿宋" w:eastAsia="仿宋" w:cs="仿宋"/>
          <w:color w:val="000000" w:themeColor="text1"/>
          <w:highlight w:val="none"/>
          <w:lang w:val="en-US" w:eastAsia="zh-CN"/>
          <w14:textFill>
            <w14:solidFill>
              <w14:schemeClr w14:val="tx1"/>
            </w14:solidFill>
          </w14:textFill>
        </w:rPr>
        <w:t>项目服务</w:t>
      </w:r>
      <w:r>
        <w:rPr>
          <w:rStyle w:val="88"/>
          <w:rFonts w:hint="eastAsia" w:ascii="仿宋" w:hAnsi="仿宋" w:eastAsia="仿宋" w:cs="仿宋"/>
          <w:color w:val="000000" w:themeColor="text1"/>
          <w:highlight w:val="none"/>
          <w:lang w:eastAsia="zh-CN"/>
          <w14:textFill>
            <w14:solidFill>
              <w14:schemeClr w14:val="tx1"/>
            </w14:solidFill>
          </w14:textFill>
        </w:rPr>
        <w:t>费，有权要求甲方提供开展</w:t>
      </w:r>
      <w:r>
        <w:rPr>
          <w:rStyle w:val="88"/>
          <w:rFonts w:hint="eastAsia" w:ascii="仿宋" w:hAnsi="仿宋" w:eastAsia="仿宋" w:cs="仿宋"/>
          <w:color w:val="000000" w:themeColor="text1"/>
          <w:highlight w:val="none"/>
          <w:lang w:val="en-US" w:eastAsia="zh-CN"/>
          <w14:textFill>
            <w14:solidFill>
              <w14:schemeClr w14:val="tx1"/>
            </w14:solidFill>
          </w14:textFill>
        </w:rPr>
        <w:t>项目工作</w:t>
      </w:r>
      <w:r>
        <w:rPr>
          <w:rStyle w:val="88"/>
          <w:rFonts w:hint="eastAsia" w:ascii="仿宋" w:hAnsi="仿宋" w:eastAsia="仿宋" w:cs="仿宋"/>
          <w:color w:val="000000" w:themeColor="text1"/>
          <w:highlight w:val="none"/>
          <w:lang w:eastAsia="zh-CN"/>
          <w14:textFill>
            <w14:solidFill>
              <w14:schemeClr w14:val="tx1"/>
            </w14:solidFill>
          </w14:textFill>
        </w:rPr>
        <w:t>所需的各项支持，有权根据实际情况提出</w:t>
      </w:r>
      <w:r>
        <w:rPr>
          <w:rStyle w:val="88"/>
          <w:rFonts w:hint="eastAsia" w:ascii="仿宋" w:hAnsi="仿宋" w:eastAsia="仿宋" w:cs="仿宋"/>
          <w:color w:val="000000" w:themeColor="text1"/>
          <w:highlight w:val="none"/>
          <w:lang w:val="en-US" w:eastAsia="zh-CN"/>
          <w14:textFill>
            <w14:solidFill>
              <w14:schemeClr w14:val="tx1"/>
            </w14:solidFill>
          </w14:textFill>
        </w:rPr>
        <w:t>需甲方组织、协调相关部门推进相关工作事宜的</w:t>
      </w:r>
      <w:r>
        <w:rPr>
          <w:rStyle w:val="88"/>
          <w:rFonts w:hint="eastAsia" w:ascii="仿宋" w:hAnsi="仿宋" w:eastAsia="仿宋" w:cs="仿宋"/>
          <w:color w:val="000000" w:themeColor="text1"/>
          <w:highlight w:val="none"/>
          <w:lang w:eastAsia="zh-CN"/>
          <w14:textFill>
            <w14:solidFill>
              <w14:schemeClr w14:val="tx1"/>
            </w14:solidFill>
          </w14:textFill>
        </w:rPr>
        <w:t>建议，</w:t>
      </w:r>
      <w:r>
        <w:rPr>
          <w:rStyle w:val="88"/>
          <w:rFonts w:hint="eastAsia" w:ascii="仿宋" w:hAnsi="仿宋" w:eastAsia="仿宋" w:cs="仿宋"/>
          <w:color w:val="000000" w:themeColor="text1"/>
          <w:highlight w:val="none"/>
          <w:lang w:val="en-US" w:eastAsia="zh-CN"/>
          <w14:textFill>
            <w14:solidFill>
              <w14:schemeClr w14:val="tx1"/>
            </w14:solidFill>
          </w14:textFill>
        </w:rPr>
        <w:t>但建议须经甲方同意方可实施</w:t>
      </w:r>
      <w:r>
        <w:rPr>
          <w:rStyle w:val="88"/>
          <w:rFonts w:hint="eastAsia" w:ascii="仿宋" w:hAnsi="仿宋" w:eastAsia="仿宋" w:cs="仿宋"/>
          <w:color w:val="000000" w:themeColor="text1"/>
          <w:highlight w:val="none"/>
          <w:lang w:eastAsia="zh-CN"/>
          <w14:textFill>
            <w14:solidFill>
              <w14:schemeClr w14:val="tx1"/>
            </w14:solidFill>
          </w14:textFill>
        </w:rPr>
        <w:t>。</w:t>
      </w:r>
    </w:p>
    <w:p>
      <w:pPr>
        <w:pageBreakBefore w:val="0"/>
        <w:numPr>
          <w:ilvl w:val="0"/>
          <w:numId w:val="17"/>
        </w:numPr>
        <w:kinsoku/>
        <w:wordWrap/>
        <w:overflowPunct w:val="0"/>
        <w:topLinePunct w:val="0"/>
        <w:bidi w:val="0"/>
        <w:snapToGrid/>
        <w:spacing w:line="600" w:lineRule="exact"/>
        <w:ind w:left="0" w:leftChars="0" w:firstLine="480" w:firstLineChars="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乙方有义务按照本协议约定完成</w:t>
      </w:r>
      <w:r>
        <w:rPr>
          <w:rStyle w:val="88"/>
          <w:rFonts w:hint="eastAsia" w:ascii="仿宋" w:hAnsi="仿宋" w:eastAsia="仿宋" w:cs="仿宋"/>
          <w:color w:val="000000" w:themeColor="text1"/>
          <w:highlight w:val="none"/>
          <w:lang w:val="en-US" w:eastAsia="zh-CN"/>
          <w14:textFill>
            <w14:solidFill>
              <w14:schemeClr w14:val="tx1"/>
            </w14:solidFill>
          </w14:textFill>
        </w:rPr>
        <w:t>信用服务</w:t>
      </w:r>
      <w:r>
        <w:rPr>
          <w:rStyle w:val="88"/>
          <w:rFonts w:hint="eastAsia" w:ascii="仿宋" w:hAnsi="仿宋" w:eastAsia="仿宋" w:cs="仿宋"/>
          <w:color w:val="000000" w:themeColor="text1"/>
          <w:highlight w:val="none"/>
          <w:lang w:eastAsia="zh-CN"/>
          <w14:textFill>
            <w14:solidFill>
              <w14:schemeClr w14:val="tx1"/>
            </w14:solidFill>
          </w14:textFill>
        </w:rPr>
        <w:t>工作，包括</w:t>
      </w:r>
      <w:r>
        <w:rPr>
          <w:rStyle w:val="88"/>
          <w:rFonts w:hint="eastAsia" w:ascii="仿宋" w:hAnsi="仿宋" w:eastAsia="仿宋" w:cs="仿宋"/>
          <w:color w:val="000000" w:themeColor="text1"/>
          <w:highlight w:val="none"/>
          <w:lang w:val="en-US" w:eastAsia="zh-CN"/>
          <w14:textFill>
            <w14:solidFill>
              <w14:schemeClr w14:val="tx1"/>
            </w14:solidFill>
          </w14:textFill>
        </w:rPr>
        <w:t>对现有业务的梳理、现状总结、现有数据分析以及乌市信用平台测试与试用</w:t>
      </w:r>
      <w:r>
        <w:rPr>
          <w:rStyle w:val="88"/>
          <w:rFonts w:hint="eastAsia" w:ascii="仿宋" w:hAnsi="仿宋" w:eastAsia="仿宋" w:cs="仿宋"/>
          <w:color w:val="000000" w:themeColor="text1"/>
          <w:highlight w:val="none"/>
          <w:lang w:eastAsia="zh-CN"/>
          <w14:textFill>
            <w14:solidFill>
              <w14:schemeClr w14:val="tx1"/>
            </w14:solidFill>
          </w14:textFill>
        </w:rPr>
        <w:t>等，并在此基础上完成《</w:t>
      </w:r>
      <w:r>
        <w:rPr>
          <w:rStyle w:val="88"/>
          <w:rFonts w:hint="eastAsia" w:ascii="仿宋" w:hAnsi="仿宋" w:eastAsia="仿宋" w:cs="仿宋"/>
          <w:color w:val="000000" w:themeColor="text1"/>
          <w:highlight w:val="none"/>
          <w:lang w:val="en-US" w:eastAsia="zh-CN"/>
          <w14:textFill>
            <w14:solidFill>
              <w14:schemeClr w14:val="tx1"/>
            </w14:solidFill>
          </w14:textFill>
        </w:rPr>
        <w:t>乌鲁木齐市信用状况监测预警排名提升总体方案</w:t>
      </w:r>
      <w:r>
        <w:rPr>
          <w:rStyle w:val="88"/>
          <w:rFonts w:hint="eastAsia" w:ascii="仿宋" w:hAnsi="仿宋" w:eastAsia="仿宋" w:cs="仿宋"/>
          <w:color w:val="000000" w:themeColor="text1"/>
          <w:highlight w:val="none"/>
          <w:lang w:eastAsia="zh-CN"/>
          <w14:textFill>
            <w14:solidFill>
              <w14:schemeClr w14:val="tx1"/>
            </w14:solidFill>
          </w14:textFill>
        </w:rPr>
        <w:t>》和</w:t>
      </w:r>
      <w:r>
        <w:rPr>
          <w:rStyle w:val="88"/>
          <w:rFonts w:hint="eastAsia" w:ascii="仿宋" w:hAnsi="仿宋" w:eastAsia="仿宋" w:cs="仿宋"/>
          <w:color w:val="000000" w:themeColor="text1"/>
          <w:highlight w:val="none"/>
          <w:lang w:val="en-US" w:eastAsia="zh-CN"/>
          <w14:textFill>
            <w14:solidFill>
              <w14:schemeClr w14:val="tx1"/>
            </w14:solidFill>
          </w14:textFill>
        </w:rPr>
        <w:t>《</w:t>
      </w:r>
      <w:r>
        <w:rPr>
          <w:rStyle w:val="88"/>
          <w:rFonts w:hint="eastAsia" w:ascii="仿宋" w:hAnsi="仿宋" w:eastAsia="仿宋" w:cs="仿宋"/>
          <w:color w:val="000000" w:themeColor="text1"/>
          <w:highlight w:val="none"/>
          <w:lang w:eastAsia="zh-CN"/>
          <w14:textFill>
            <w14:solidFill>
              <w14:schemeClr w14:val="tx1"/>
            </w14:solidFill>
          </w14:textFill>
        </w:rPr>
        <w:t>乌鲁木齐市信用信息共享平台和信</w:t>
      </w:r>
      <w:r>
        <w:rPr>
          <w:rStyle w:val="88"/>
          <w:rFonts w:hint="eastAsia" w:ascii="仿宋" w:hAnsi="仿宋" w:eastAsia="仿宋" w:cs="仿宋"/>
          <w:color w:val="000000" w:themeColor="text1"/>
          <w:highlight w:val="none"/>
          <w:lang w:val="en-US" w:eastAsia="zh-CN"/>
          <w14:textFill>
            <w14:solidFill>
              <w14:schemeClr w14:val="tx1"/>
            </w14:solidFill>
          </w14:textFill>
        </w:rPr>
        <w:t>用信息网站完善与提升方案》</w:t>
      </w:r>
      <w:r>
        <w:rPr>
          <w:rStyle w:val="88"/>
          <w:rFonts w:hint="eastAsia" w:ascii="仿宋" w:hAnsi="仿宋" w:eastAsia="仿宋" w:cs="仿宋"/>
          <w:color w:val="000000" w:themeColor="text1"/>
          <w:highlight w:val="none"/>
          <w:lang w:eastAsia="zh-CN"/>
          <w14:textFill>
            <w14:solidFill>
              <w14:schemeClr w14:val="tx1"/>
            </w14:solidFill>
          </w14:textFill>
        </w:rPr>
        <w:t>编制工作。</w:t>
      </w:r>
    </w:p>
    <w:p>
      <w:pPr>
        <w:pageBreakBefore w:val="0"/>
        <w:numPr>
          <w:ilvl w:val="0"/>
          <w:numId w:val="17"/>
        </w:numPr>
        <w:kinsoku/>
        <w:wordWrap/>
        <w:overflowPunct w:val="0"/>
        <w:topLinePunct w:val="0"/>
        <w:bidi w:val="0"/>
        <w:snapToGrid/>
        <w:spacing w:line="600" w:lineRule="exact"/>
        <w:ind w:left="0" w:leftChars="0" w:firstLine="480" w:firstLineChars="0"/>
        <w:textAlignment w:val="baseline"/>
        <w:rPr>
          <w:rStyle w:val="88"/>
          <w:rFonts w:hint="eastAsia"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乙方有义务</w:t>
      </w:r>
      <w:r>
        <w:rPr>
          <w:rStyle w:val="88"/>
          <w:rFonts w:hint="eastAsia" w:ascii="仿宋" w:hAnsi="仿宋" w:eastAsia="仿宋" w:cs="仿宋"/>
          <w:color w:val="000000" w:themeColor="text1"/>
          <w:highlight w:val="none"/>
          <w:lang w:val="en-US" w:eastAsia="zh-CN"/>
          <w14:textFill>
            <w14:solidFill>
              <w14:schemeClr w14:val="tx1"/>
            </w14:solidFill>
          </w14:textFill>
        </w:rPr>
        <w:t>按照甲方要求</w:t>
      </w:r>
      <w:r>
        <w:rPr>
          <w:rStyle w:val="88"/>
          <w:rFonts w:hint="eastAsia" w:ascii="仿宋" w:hAnsi="仿宋" w:eastAsia="仿宋" w:cs="仿宋"/>
          <w:color w:val="000000" w:themeColor="text1"/>
          <w:highlight w:val="none"/>
          <w:lang w:eastAsia="zh-CN"/>
          <w14:textFill>
            <w14:solidFill>
              <w14:schemeClr w14:val="tx1"/>
            </w14:solidFill>
          </w14:textFill>
        </w:rPr>
        <w:t>对</w:t>
      </w:r>
      <w:r>
        <w:rPr>
          <w:rStyle w:val="88"/>
          <w:rFonts w:hint="eastAsia" w:ascii="仿宋" w:hAnsi="仿宋" w:eastAsia="仿宋" w:cs="仿宋"/>
          <w:color w:val="000000" w:themeColor="text1"/>
          <w:highlight w:val="none"/>
          <w:lang w:val="en-US" w:eastAsia="zh-CN"/>
          <w14:textFill>
            <w14:solidFill>
              <w14:schemeClr w14:val="tx1"/>
            </w14:solidFill>
          </w14:textFill>
        </w:rPr>
        <w:t>提交成果</w:t>
      </w:r>
      <w:r>
        <w:rPr>
          <w:rStyle w:val="88"/>
          <w:rFonts w:hint="eastAsia" w:ascii="仿宋" w:hAnsi="仿宋" w:eastAsia="仿宋" w:cs="仿宋"/>
          <w:color w:val="000000" w:themeColor="text1"/>
          <w:highlight w:val="none"/>
          <w:lang w:eastAsia="zh-CN"/>
          <w14:textFill>
            <w14:solidFill>
              <w14:schemeClr w14:val="tx1"/>
            </w14:solidFill>
          </w14:textFill>
        </w:rPr>
        <w:t>进行修改完善，并根据</w:t>
      </w:r>
      <w:r>
        <w:rPr>
          <w:rStyle w:val="88"/>
          <w:rFonts w:hint="eastAsia" w:ascii="仿宋" w:hAnsi="仿宋" w:eastAsia="仿宋" w:cs="仿宋"/>
          <w:color w:val="000000" w:themeColor="text1"/>
          <w:highlight w:val="none"/>
          <w:lang w:val="en-US" w:eastAsia="zh-CN"/>
          <w14:textFill>
            <w14:solidFill>
              <w14:schemeClr w14:val="tx1"/>
            </w14:solidFill>
          </w14:textFill>
        </w:rPr>
        <w:t>验收环节</w:t>
      </w:r>
      <w:r>
        <w:rPr>
          <w:rStyle w:val="88"/>
          <w:rFonts w:hint="eastAsia" w:ascii="仿宋" w:hAnsi="仿宋" w:eastAsia="仿宋" w:cs="仿宋"/>
          <w:color w:val="000000" w:themeColor="text1"/>
          <w:highlight w:val="none"/>
          <w:lang w:eastAsia="zh-CN"/>
          <w14:textFill>
            <w14:solidFill>
              <w14:schemeClr w14:val="tx1"/>
            </w14:solidFill>
          </w14:textFill>
        </w:rPr>
        <w:t>专家评审意见对</w:t>
      </w:r>
      <w:r>
        <w:rPr>
          <w:rStyle w:val="88"/>
          <w:rFonts w:hint="eastAsia" w:ascii="仿宋" w:hAnsi="仿宋" w:eastAsia="仿宋" w:cs="仿宋"/>
          <w:color w:val="000000" w:themeColor="text1"/>
          <w:highlight w:val="none"/>
          <w:lang w:val="en-US" w:eastAsia="zh-CN"/>
          <w14:textFill>
            <w14:solidFill>
              <w14:schemeClr w14:val="tx1"/>
            </w14:solidFill>
          </w14:textFill>
        </w:rPr>
        <w:t>提交成果</w:t>
      </w:r>
      <w:r>
        <w:rPr>
          <w:rStyle w:val="88"/>
          <w:rFonts w:hint="eastAsia" w:ascii="仿宋" w:hAnsi="仿宋" w:eastAsia="仿宋" w:cs="仿宋"/>
          <w:color w:val="000000" w:themeColor="text1"/>
          <w:highlight w:val="none"/>
          <w:lang w:eastAsia="zh-CN"/>
          <w14:textFill>
            <w14:solidFill>
              <w14:schemeClr w14:val="tx1"/>
            </w14:solidFill>
          </w14:textFill>
        </w:rPr>
        <w:t>终稿进行修改完善</w:t>
      </w:r>
      <w:r>
        <w:rPr>
          <w:rStyle w:val="88"/>
          <w:rFonts w:hint="eastAsia" w:ascii="仿宋" w:hAnsi="仿宋" w:eastAsia="仿宋" w:cs="仿宋"/>
          <w:color w:val="000000" w:themeColor="text1"/>
          <w:highlight w:val="none"/>
          <w:lang w:val="en-US" w:eastAsia="zh-CN"/>
          <w14:textFill>
            <w14:solidFill>
              <w14:schemeClr w14:val="tx1"/>
            </w14:solidFill>
          </w14:textFill>
        </w:rPr>
        <w:t>。</w:t>
      </w:r>
    </w:p>
    <w:p>
      <w:pPr>
        <w:pageBreakBefore w:val="0"/>
        <w:numPr>
          <w:ilvl w:val="0"/>
          <w:numId w:val="17"/>
        </w:numPr>
        <w:kinsoku/>
        <w:wordWrap/>
        <w:overflowPunct w:val="0"/>
        <w:topLinePunct w:val="0"/>
        <w:bidi w:val="0"/>
        <w:snapToGrid/>
        <w:spacing w:line="600" w:lineRule="exact"/>
        <w:ind w:left="0" w:leftChars="0" w:firstLine="480" w:firstLineChars="0"/>
        <w:textAlignment w:val="baseline"/>
        <w:rPr>
          <w:rStyle w:val="88"/>
          <w:rFonts w:hint="default"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乙方应</w:t>
      </w:r>
      <w:r>
        <w:rPr>
          <w:rStyle w:val="88"/>
          <w:rFonts w:hint="eastAsia" w:ascii="仿宋" w:hAnsi="仿宋" w:eastAsia="仿宋" w:cs="仿宋"/>
          <w:color w:val="000000" w:themeColor="text1"/>
          <w:highlight w:val="none"/>
          <w:lang w:val="en-US" w:eastAsia="zh-CN"/>
          <w14:textFill>
            <w14:solidFill>
              <w14:schemeClr w14:val="tx1"/>
            </w14:solidFill>
          </w14:textFill>
        </w:rPr>
        <w:t>提供1名信用专业人员在乌市发改委驻场1年</w:t>
      </w:r>
      <w:r>
        <w:rPr>
          <w:rStyle w:val="88"/>
          <w:rFonts w:hint="eastAsia" w:ascii="仿宋" w:hAnsi="仿宋" w:eastAsia="仿宋" w:cs="仿宋"/>
          <w:color w:val="000000" w:themeColor="text1"/>
          <w:highlight w:val="none"/>
          <w:lang w:eastAsia="zh-CN"/>
          <w14:textFill>
            <w14:solidFill>
              <w14:schemeClr w14:val="tx1"/>
            </w14:solidFill>
          </w14:textFill>
        </w:rPr>
        <w:t>，</w:t>
      </w:r>
      <w:r>
        <w:rPr>
          <w:rStyle w:val="88"/>
          <w:rFonts w:hint="eastAsia" w:ascii="仿宋" w:hAnsi="仿宋" w:eastAsia="仿宋" w:cs="仿宋"/>
          <w:color w:val="000000" w:themeColor="text1"/>
          <w:highlight w:val="none"/>
          <w:lang w:val="en-US" w:eastAsia="zh-CN"/>
          <w14:textFill>
            <w14:solidFill>
              <w14:schemeClr w14:val="tx1"/>
            </w14:solidFill>
          </w14:textFill>
        </w:rPr>
        <w:t>现场开展平台推进、技术支持与咨询服务等工作。</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服务费及支付</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（一）本协议项下，甲方应当向乙方支付的</w:t>
      </w:r>
      <w:r>
        <w:rPr>
          <w:rStyle w:val="88"/>
          <w:rFonts w:hint="eastAsia" w:ascii="仿宋" w:hAnsi="仿宋" w:eastAsia="仿宋" w:cs="仿宋"/>
          <w:color w:val="000000" w:themeColor="text1"/>
          <w:highlight w:val="none"/>
          <w:lang w:val="en-US" w:eastAsia="zh-CN"/>
          <w14:textFill>
            <w14:solidFill>
              <w14:schemeClr w14:val="tx1"/>
            </w14:solidFill>
          </w14:textFill>
        </w:rPr>
        <w:t>项目</w:t>
      </w:r>
      <w:r>
        <w:rPr>
          <w:rStyle w:val="88"/>
          <w:rFonts w:hint="eastAsia" w:ascii="仿宋" w:hAnsi="仿宋" w:eastAsia="仿宋" w:cs="仿宋"/>
          <w:color w:val="000000" w:themeColor="text1"/>
          <w:highlight w:val="none"/>
          <w:lang w:eastAsia="zh-CN"/>
          <w14:textFill>
            <w14:solidFill>
              <w14:schemeClr w14:val="tx1"/>
            </w14:solidFill>
          </w14:textFill>
        </w:rPr>
        <w:t>服务费总额为</w:t>
      </w:r>
      <w:r>
        <w:rPr>
          <w:rStyle w:val="88"/>
          <w:rFonts w:hint="eastAsia" w:ascii="仿宋" w:hAnsi="仿宋" w:cs="仿宋"/>
          <w:color w:val="000000" w:themeColor="text1"/>
          <w:highlight w:val="none"/>
          <w:lang w:val="en-US" w:eastAsia="zh-CN"/>
          <w14:textFill>
            <w14:solidFill>
              <w14:schemeClr w14:val="tx1"/>
            </w14:solidFill>
          </w14:textFill>
        </w:rPr>
        <w:t>*</w:t>
      </w:r>
      <w:r>
        <w:rPr>
          <w:rStyle w:val="88"/>
          <w:rFonts w:hint="eastAsia" w:ascii="仿宋" w:hAnsi="仿宋" w:eastAsia="仿宋" w:cs="仿宋"/>
          <w:color w:val="000000" w:themeColor="text1"/>
          <w:highlight w:val="none"/>
          <w:lang w:val="en-US" w:eastAsia="zh-CN"/>
          <w14:textFill>
            <w14:solidFill>
              <w14:schemeClr w14:val="tx1"/>
            </w14:solidFill>
          </w14:textFill>
        </w:rPr>
        <w:t>元</w:t>
      </w:r>
      <w:r>
        <w:rPr>
          <w:rStyle w:val="88"/>
          <w:rFonts w:hint="eastAsia" w:ascii="仿宋" w:hAnsi="仿宋" w:eastAsia="仿宋" w:cs="仿宋"/>
          <w:color w:val="000000" w:themeColor="text1"/>
          <w:highlight w:val="none"/>
          <w:lang w:eastAsia="zh-CN"/>
          <w14:textFill>
            <w14:solidFill>
              <w14:schemeClr w14:val="tx1"/>
            </w14:solidFill>
          </w14:textFill>
        </w:rPr>
        <w:t>人民币（¥</w:t>
      </w:r>
      <w:r>
        <w:rPr>
          <w:rStyle w:val="88"/>
          <w:rFonts w:hint="eastAsia" w:ascii="仿宋" w:hAnsi="仿宋" w:eastAsia="仿宋" w:cs="仿宋"/>
          <w:color w:val="000000" w:themeColor="text1"/>
          <w:highlight w:val="none"/>
          <w:lang w:val="en-US" w:eastAsia="zh-CN"/>
          <w14:textFill>
            <w14:solidFill>
              <w14:schemeClr w14:val="tx1"/>
            </w14:solidFill>
          </w14:textFill>
        </w:rPr>
        <w:t>元</w:t>
      </w:r>
      <w:r>
        <w:rPr>
          <w:rStyle w:val="88"/>
          <w:rFonts w:hint="eastAsia" w:ascii="仿宋" w:hAnsi="仿宋" w:eastAsia="仿宋" w:cs="仿宋"/>
          <w:color w:val="000000" w:themeColor="text1"/>
          <w:highlight w:val="none"/>
          <w:lang w:eastAsia="zh-CN"/>
          <w14:textFill>
            <w14:solidFill>
              <w14:schemeClr w14:val="tx1"/>
            </w14:solidFill>
          </w14:textFill>
        </w:rPr>
        <w:t>）整，</w:t>
      </w:r>
      <w:r>
        <w:rPr>
          <w:rStyle w:val="88"/>
          <w:rFonts w:hint="eastAsia" w:ascii="仿宋" w:hAnsi="仿宋" w:eastAsia="仿宋" w:cs="仿宋"/>
          <w:color w:val="000000" w:themeColor="text1"/>
          <w:highlight w:val="none"/>
          <w:lang w:val="en-US" w:eastAsia="zh-CN"/>
          <w14:textFill>
            <w14:solidFill>
              <w14:schemeClr w14:val="tx1"/>
            </w14:solidFill>
          </w14:textFill>
        </w:rPr>
        <w:t>包含本协议项下全部费用</w:t>
      </w:r>
      <w:r>
        <w:rPr>
          <w:rStyle w:val="88"/>
          <w:rFonts w:hint="eastAsia" w:ascii="仿宋" w:hAnsi="仿宋" w:eastAsia="仿宋" w:cs="仿宋"/>
          <w:color w:val="000000" w:themeColor="text1"/>
          <w:highlight w:val="none"/>
          <w:lang w:eastAsia="zh-CN"/>
          <w14:textFill>
            <w14:solidFill>
              <w14:schemeClr w14:val="tx1"/>
            </w14:solidFill>
          </w14:textFill>
        </w:rPr>
        <w:t>。合同签订后支付总项目款的40%，</w:t>
      </w:r>
      <w:r>
        <w:rPr>
          <w:rStyle w:val="88"/>
          <w:rFonts w:hint="eastAsia" w:ascii="仿宋" w:hAnsi="仿宋" w:eastAsia="仿宋" w:cs="仿宋"/>
          <w:color w:val="000000" w:themeColor="text1"/>
          <w:highlight w:val="none"/>
          <w:lang w:val="en-US" w:eastAsia="zh-CN"/>
          <w14:textFill>
            <w14:solidFill>
              <w14:schemeClr w14:val="tx1"/>
            </w14:solidFill>
          </w14:textFill>
        </w:rPr>
        <w:t>项目中期完成所有项目成果提交后支付</w:t>
      </w:r>
      <w:r>
        <w:rPr>
          <w:rStyle w:val="88"/>
          <w:rFonts w:hint="eastAsia" w:ascii="仿宋" w:hAnsi="仿宋" w:eastAsia="仿宋" w:cs="仿宋"/>
          <w:color w:val="000000" w:themeColor="text1"/>
          <w:highlight w:val="none"/>
          <w:lang w:eastAsia="zh-CN"/>
          <w14:textFill>
            <w14:solidFill>
              <w14:schemeClr w14:val="tx1"/>
            </w14:solidFill>
          </w14:textFill>
        </w:rPr>
        <w:t>40%，项目验收通过后支付剩余20%。在甲方支付相关费用前，乙方应当先向甲方提供等额完税发票，否则甲方有权拒绝付款。</w:t>
      </w:r>
      <w:r>
        <w:rPr>
          <w:rStyle w:val="88"/>
          <w:rFonts w:hint="eastAsia" w:ascii="仿宋" w:hAnsi="仿宋" w:eastAsia="仿宋" w:cs="仿宋"/>
          <w:color w:val="000000" w:themeColor="text1"/>
          <w:highlight w:val="none"/>
          <w:lang w:eastAsia="zh-CN"/>
          <w14:textFill>
            <w14:solidFill>
              <w14:schemeClr w14:val="tx1"/>
            </w14:solidFill>
          </w14:textFill>
        </w:rPr>
        <w:t>如因政府资金计划改变、审批流程延误等特殊原因导致付款延误时，甲方不支付延期应付款项的利息，甲方与乙方应友好协商确定延期付款方案。</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（二）乙方指定服务费收款账户信息如下：</w:t>
      </w:r>
    </w:p>
    <w:p>
      <w:pPr>
        <w:pageBreakBefore w:val="0"/>
        <w:kinsoku/>
        <w:wordWrap/>
        <w:overflowPunct w:val="0"/>
        <w:topLinePunct w:val="0"/>
        <w:bidi w:val="0"/>
        <w:snapToGrid/>
        <w:spacing w:line="600" w:lineRule="exact"/>
        <w:ind w:left="0" w:firstLine="480" w:firstLineChars="20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开户银行：</w:t>
      </w:r>
    </w:p>
    <w:p>
      <w:pPr>
        <w:pageBreakBefore w:val="0"/>
        <w:kinsoku/>
        <w:wordWrap/>
        <w:overflowPunct w:val="0"/>
        <w:topLinePunct w:val="0"/>
        <w:bidi w:val="0"/>
        <w:snapToGrid/>
        <w:spacing w:line="600" w:lineRule="exact"/>
        <w:ind w:left="0" w:firstLine="480" w:firstLineChars="200"/>
        <w:textAlignment w:val="baseline"/>
        <w:rPr>
          <w:rStyle w:val="88"/>
          <w:rFonts w:hint="default"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开户名：</w:t>
      </w:r>
    </w:p>
    <w:p>
      <w:pPr>
        <w:pageBreakBefore w:val="0"/>
        <w:kinsoku/>
        <w:wordWrap/>
        <w:overflowPunct w:val="0"/>
        <w:topLinePunct w:val="0"/>
        <w:bidi w:val="0"/>
        <w:snapToGrid/>
        <w:spacing w:line="600" w:lineRule="exact"/>
        <w:ind w:left="0" w:firstLine="480" w:firstLineChars="200"/>
        <w:textAlignment w:val="baseline"/>
        <w:rPr>
          <w:rFonts w:hint="eastAsia"/>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帐号：</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（三）</w:t>
      </w:r>
      <w:r>
        <w:rPr>
          <w:rFonts w:hint="eastAsia" w:ascii="仿宋" w:hAnsi="仿宋" w:cs="仿宋"/>
          <w:color w:val="000000" w:themeColor="text1"/>
          <w:highlight w:val="none"/>
          <w:lang w:val="en-US" w:eastAsia="zh-CN"/>
          <w14:textFill>
            <w14:solidFill>
              <w14:schemeClr w14:val="tx1"/>
            </w14:solidFill>
          </w14:textFill>
        </w:rPr>
        <w:t>甲方</w:t>
      </w:r>
      <w:r>
        <w:rPr>
          <w:rFonts w:hint="eastAsia" w:ascii="仿宋" w:hAnsi="仿宋" w:cs="仿宋"/>
          <w:color w:val="000000" w:themeColor="text1"/>
          <w:highlight w:val="none"/>
          <w:lang w:eastAsia="zh-CN"/>
          <w14:textFill>
            <w14:solidFill>
              <w14:schemeClr w14:val="tx1"/>
            </w14:solidFill>
          </w14:textFill>
        </w:rPr>
        <w:t>应当在收到</w:t>
      </w:r>
      <w:r>
        <w:rPr>
          <w:rFonts w:hint="eastAsia" w:ascii="仿宋" w:hAnsi="仿宋" w:cs="仿宋"/>
          <w:color w:val="000000" w:themeColor="text1"/>
          <w:highlight w:val="none"/>
          <w:lang w:val="en-US" w:eastAsia="zh-CN"/>
          <w14:textFill>
            <w14:solidFill>
              <w14:schemeClr w14:val="tx1"/>
            </w14:solidFill>
          </w14:textFill>
        </w:rPr>
        <w:t>乙方提供的</w:t>
      </w:r>
      <w:r>
        <w:rPr>
          <w:rFonts w:hint="eastAsia" w:ascii="仿宋" w:hAnsi="仿宋" w:cs="仿宋"/>
          <w:color w:val="000000" w:themeColor="text1"/>
          <w:highlight w:val="none"/>
          <w:lang w:eastAsia="zh-CN"/>
          <w14:textFill>
            <w14:solidFill>
              <w14:schemeClr w14:val="tx1"/>
            </w14:solidFill>
          </w14:textFill>
        </w:rPr>
        <w:t>符合有关财务规定的正式发票之日起15个工作日内，向</w:t>
      </w:r>
      <w:r>
        <w:rPr>
          <w:rFonts w:hint="eastAsia" w:ascii="仿宋" w:hAnsi="仿宋" w:cs="仿宋"/>
          <w:color w:val="000000" w:themeColor="text1"/>
          <w:highlight w:val="none"/>
          <w:lang w:val="en-US" w:eastAsia="zh-CN"/>
          <w14:textFill>
            <w14:solidFill>
              <w14:schemeClr w14:val="tx1"/>
            </w14:solidFill>
          </w14:textFill>
        </w:rPr>
        <w:t>乙方支付相应金额服务费</w:t>
      </w:r>
      <w:r>
        <w:rPr>
          <w:rFonts w:hint="eastAsia" w:ascii="仿宋" w:hAnsi="仿宋" w:cs="仿宋"/>
          <w:color w:val="000000" w:themeColor="text1"/>
          <w:highlight w:val="none"/>
          <w:lang w:eastAsia="zh-CN"/>
          <w14:textFill>
            <w14:solidFill>
              <w14:schemeClr w14:val="tx1"/>
            </w14:solidFill>
          </w14:textFill>
        </w:rPr>
        <w:t>。甲方开票信息如下</w:t>
      </w:r>
      <w:r>
        <w:rPr>
          <w:rStyle w:val="88"/>
          <w:rFonts w:hint="eastAsia" w:ascii="仿宋" w:hAnsi="仿宋" w:eastAsia="仿宋" w:cs="仿宋"/>
          <w:color w:val="000000" w:themeColor="text1"/>
          <w:highlight w:val="none"/>
          <w:lang w:eastAsia="zh-CN"/>
          <w14:textFill>
            <w14:solidFill>
              <w14:schemeClr w14:val="tx1"/>
            </w14:solidFill>
          </w14:textFill>
        </w:rPr>
        <w:t>：</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名称：</w:t>
      </w:r>
    </w:p>
    <w:p>
      <w:pPr>
        <w:pageBreakBefore w:val="0"/>
        <w:kinsoku/>
        <w:wordWrap/>
        <w:overflowPunct w:val="0"/>
        <w:topLinePunct w:val="0"/>
        <w:bidi w:val="0"/>
        <w:snapToGrid/>
        <w:spacing w:line="600" w:lineRule="exact"/>
        <w:ind w:left="0" w:firstLine="480" w:firstLineChars="20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纳税人识别号：</w:t>
      </w:r>
    </w:p>
    <w:p>
      <w:pPr>
        <w:pStyle w:val="32"/>
        <w:pageBreakBefore w:val="0"/>
        <w:kinsoku/>
        <w:wordWrap/>
        <w:overflowPunct w:val="0"/>
        <w:topLinePunct w:val="0"/>
        <w:bidi w:val="0"/>
        <w:snapToGrid/>
        <w:spacing w:line="600" w:lineRule="exact"/>
        <w:ind w:left="0" w:firstLine="480" w:firstLineChars="200"/>
        <w:rPr>
          <w:rStyle w:val="88"/>
          <w:rFonts w:hint="default"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val="en-US" w:eastAsia="zh-CN"/>
          <w14:textFill>
            <w14:solidFill>
              <w14:schemeClr w14:val="tx1"/>
            </w14:solidFill>
          </w14:textFill>
        </w:rPr>
        <w:t>乙方付款账户信息如下：</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进度计划</w:t>
      </w:r>
    </w:p>
    <w:p>
      <w:pPr>
        <w:pageBreakBefore w:val="0"/>
        <w:kinsoku/>
        <w:wordWrap/>
        <w:overflowPunct w:val="0"/>
        <w:topLinePunct w:val="0"/>
        <w:bidi w:val="0"/>
        <w:snapToGrid/>
        <w:spacing w:line="600" w:lineRule="exact"/>
        <w:ind w:left="0" w:firstLine="480" w:firstLineChars="200"/>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（一）</w:t>
      </w:r>
      <w:r>
        <w:rPr>
          <w:rStyle w:val="88"/>
          <w:rFonts w:hint="eastAsia" w:ascii="仿宋" w:hAnsi="仿宋" w:eastAsia="仿宋" w:cs="仿宋"/>
          <w:color w:val="000000" w:themeColor="text1"/>
          <w:highlight w:val="none"/>
          <w:lang w:val="en-US" w:eastAsia="zh-CN"/>
          <w14:textFill>
            <w14:solidFill>
              <w14:schemeClr w14:val="tx1"/>
            </w14:solidFill>
          </w14:textFill>
        </w:rPr>
        <w:t>项目</w:t>
      </w:r>
      <w:r>
        <w:rPr>
          <w:rStyle w:val="88"/>
          <w:rFonts w:hint="eastAsia" w:ascii="仿宋" w:hAnsi="仿宋" w:eastAsia="仿宋" w:cs="仿宋"/>
          <w:color w:val="000000" w:themeColor="text1"/>
          <w:highlight w:val="none"/>
          <w:lang w:eastAsia="zh-CN"/>
          <w14:textFill>
            <w14:solidFill>
              <w14:schemeClr w14:val="tx1"/>
            </w14:solidFill>
          </w14:textFill>
        </w:rPr>
        <w:t>服务工作计划按如下进度分阶段进行，若受到包括传染病在内等不可抗力因素的影响，</w:t>
      </w:r>
      <w:r>
        <w:rPr>
          <w:rStyle w:val="88"/>
          <w:rFonts w:hint="eastAsia" w:ascii="仿宋" w:hAnsi="仿宋" w:eastAsia="仿宋" w:cs="仿宋"/>
          <w:color w:val="000000" w:themeColor="text1"/>
          <w:highlight w:val="none"/>
          <w:lang w:val="en-US" w:eastAsia="zh-CN"/>
          <w14:textFill>
            <w14:solidFill>
              <w14:schemeClr w14:val="tx1"/>
            </w14:solidFill>
          </w14:textFill>
        </w:rPr>
        <w:t>经甲方书面同意</w:t>
      </w:r>
      <w:r>
        <w:rPr>
          <w:rStyle w:val="88"/>
          <w:rFonts w:hint="eastAsia" w:ascii="仿宋" w:hAnsi="仿宋" w:eastAsia="仿宋" w:cs="仿宋"/>
          <w:color w:val="000000" w:themeColor="text1"/>
          <w:highlight w:val="none"/>
          <w:lang w:eastAsia="zh-CN"/>
          <w14:textFill>
            <w14:solidFill>
              <w14:schemeClr w14:val="tx1"/>
            </w14:solidFill>
          </w14:textFill>
        </w:rPr>
        <w:t>可进行合理顺延：</w:t>
      </w:r>
    </w:p>
    <w:p>
      <w:pPr>
        <w:pageBreakBefore w:val="0"/>
        <w:kinsoku/>
        <w:wordWrap/>
        <w:overflowPunct w:val="0"/>
        <w:topLinePunct w:val="0"/>
        <w:bidi w:val="0"/>
        <w:snapToGrid/>
        <w:spacing w:line="600" w:lineRule="exact"/>
        <w:ind w:left="0" w:firstLine="480" w:firstLineChars="200"/>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1、2023年</w:t>
      </w:r>
      <w:r>
        <w:rPr>
          <w:rStyle w:val="88"/>
          <w:rFonts w:hint="eastAsia" w:ascii="仿宋" w:hAnsi="仿宋" w:eastAsia="仿宋" w:cs="仿宋"/>
          <w:color w:val="000000" w:themeColor="text1"/>
          <w:highlight w:val="none"/>
          <w:lang w:val="en-US" w:eastAsia="zh-CN"/>
          <w14:textFill>
            <w14:solidFill>
              <w14:schemeClr w14:val="tx1"/>
            </w14:solidFill>
          </w14:textFill>
        </w:rPr>
        <w:t>9</w:t>
      </w:r>
      <w:r>
        <w:rPr>
          <w:rStyle w:val="88"/>
          <w:rFonts w:hint="eastAsia" w:ascii="仿宋" w:hAnsi="仿宋" w:eastAsia="仿宋" w:cs="仿宋"/>
          <w:color w:val="000000" w:themeColor="text1"/>
          <w:highlight w:val="none"/>
          <w:lang w:eastAsia="zh-CN"/>
          <w14:textFill>
            <w14:solidFill>
              <w14:schemeClr w14:val="tx1"/>
            </w14:solidFill>
          </w14:textFill>
        </w:rPr>
        <w:t>月，甲乙双方签订本协议，乙方于本协议生效后，正式组建</w:t>
      </w:r>
      <w:r>
        <w:rPr>
          <w:rStyle w:val="88"/>
          <w:rFonts w:hint="eastAsia" w:ascii="仿宋" w:hAnsi="仿宋" w:eastAsia="仿宋" w:cs="仿宋"/>
          <w:color w:val="000000" w:themeColor="text1"/>
          <w:highlight w:val="none"/>
          <w:lang w:val="en-US" w:eastAsia="zh-CN"/>
          <w14:textFill>
            <w14:solidFill>
              <w14:schemeClr w14:val="tx1"/>
            </w14:solidFill>
          </w14:textFill>
        </w:rPr>
        <w:t>项目小组,确定项目工作组成员，并书面告知甲方后</w:t>
      </w:r>
      <w:r>
        <w:rPr>
          <w:rStyle w:val="88"/>
          <w:rFonts w:hint="eastAsia" w:ascii="仿宋" w:hAnsi="仿宋" w:eastAsia="仿宋" w:cs="仿宋"/>
          <w:color w:val="000000" w:themeColor="text1"/>
          <w:highlight w:val="none"/>
          <w:lang w:eastAsia="zh-CN"/>
          <w14:textFill>
            <w14:solidFill>
              <w14:schemeClr w14:val="tx1"/>
            </w14:solidFill>
          </w14:textFill>
        </w:rPr>
        <w:t>启动研究工作，</w:t>
      </w:r>
      <w:r>
        <w:rPr>
          <w:rStyle w:val="88"/>
          <w:rFonts w:hint="eastAsia" w:ascii="仿宋" w:hAnsi="仿宋" w:eastAsia="仿宋" w:cs="仿宋"/>
          <w:color w:val="000000" w:themeColor="text1"/>
          <w:highlight w:val="none"/>
          <w:lang w:val="en-US" w:eastAsia="zh-CN"/>
          <w14:textFill>
            <w14:solidFill>
              <w14:schemeClr w14:val="tx1"/>
            </w14:solidFill>
          </w14:textFill>
        </w:rPr>
        <w:t>本协议履行期间非经甲方同意，不得擅自更换工作组成员</w:t>
      </w:r>
      <w:r>
        <w:rPr>
          <w:rStyle w:val="88"/>
          <w:rFonts w:hint="eastAsia" w:ascii="仿宋" w:hAnsi="仿宋" w:eastAsia="仿宋" w:cs="仿宋"/>
          <w:color w:val="000000" w:themeColor="text1"/>
          <w:highlight w:val="none"/>
          <w:lang w:eastAsia="zh-CN"/>
          <w14:textFill>
            <w14:solidFill>
              <w14:schemeClr w14:val="tx1"/>
            </w14:solidFill>
          </w14:textFill>
        </w:rPr>
        <w:t>。</w:t>
      </w:r>
    </w:p>
    <w:p>
      <w:pPr>
        <w:pageBreakBefore w:val="0"/>
        <w:kinsoku/>
        <w:wordWrap/>
        <w:overflowPunct w:val="0"/>
        <w:topLinePunct w:val="0"/>
        <w:bidi w:val="0"/>
        <w:snapToGrid/>
        <w:spacing w:line="600" w:lineRule="exact"/>
        <w:ind w:left="0" w:firstLine="480" w:firstLineChars="200"/>
        <w:rPr>
          <w:rStyle w:val="88"/>
          <w:rFonts w:hint="eastAsia"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2、2023年</w:t>
      </w:r>
      <w:r>
        <w:rPr>
          <w:rStyle w:val="88"/>
          <w:rFonts w:hint="eastAsia" w:ascii="仿宋" w:hAnsi="仿宋" w:eastAsia="仿宋" w:cs="仿宋"/>
          <w:color w:val="000000" w:themeColor="text1"/>
          <w:highlight w:val="none"/>
          <w:lang w:val="en-US" w:eastAsia="zh-CN"/>
          <w14:textFill>
            <w14:solidFill>
              <w14:schemeClr w14:val="tx1"/>
            </w14:solidFill>
          </w14:textFill>
        </w:rPr>
        <w:t>10</w:t>
      </w:r>
      <w:r>
        <w:rPr>
          <w:rStyle w:val="88"/>
          <w:rFonts w:hint="eastAsia" w:ascii="仿宋" w:hAnsi="仿宋" w:eastAsia="仿宋" w:cs="仿宋"/>
          <w:color w:val="000000" w:themeColor="text1"/>
          <w:highlight w:val="none"/>
          <w:lang w:eastAsia="zh-CN"/>
          <w14:textFill>
            <w14:solidFill>
              <w14:schemeClr w14:val="tx1"/>
            </w14:solidFill>
          </w14:textFill>
        </w:rPr>
        <w:t>月，乙方</w:t>
      </w:r>
      <w:r>
        <w:rPr>
          <w:rStyle w:val="88"/>
          <w:rFonts w:hint="eastAsia" w:ascii="仿宋" w:hAnsi="仿宋" w:eastAsia="仿宋" w:cs="仿宋"/>
          <w:color w:val="000000" w:themeColor="text1"/>
          <w:highlight w:val="none"/>
          <w:lang w:val="en-US" w:eastAsia="zh-CN"/>
          <w14:textFill>
            <w14:solidFill>
              <w14:schemeClr w14:val="tx1"/>
            </w14:solidFill>
          </w14:textFill>
        </w:rPr>
        <w:t>编写《乌鲁木齐市信用状况监测预警排名提升总体方案》提交甲方推进实施；开展七类行政管理信息首次专题培训，提交培训材料。</w:t>
      </w:r>
    </w:p>
    <w:p>
      <w:pPr>
        <w:pageBreakBefore w:val="0"/>
        <w:kinsoku/>
        <w:wordWrap/>
        <w:overflowPunct w:val="0"/>
        <w:topLinePunct w:val="0"/>
        <w:bidi w:val="0"/>
        <w:snapToGrid/>
        <w:spacing w:line="600" w:lineRule="exact"/>
        <w:ind w:left="0" w:firstLine="480" w:firstLineChars="200"/>
        <w:rPr>
          <w:rStyle w:val="88"/>
          <w:rFonts w:hint="eastAsia"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3、2023年</w:t>
      </w:r>
      <w:r>
        <w:rPr>
          <w:rStyle w:val="88"/>
          <w:rFonts w:hint="eastAsia" w:ascii="仿宋" w:hAnsi="仿宋" w:eastAsia="仿宋" w:cs="仿宋"/>
          <w:color w:val="000000" w:themeColor="text1"/>
          <w:highlight w:val="none"/>
          <w:lang w:val="en-US" w:eastAsia="zh-CN"/>
          <w14:textFill>
            <w14:solidFill>
              <w14:schemeClr w14:val="tx1"/>
            </w14:solidFill>
          </w14:textFill>
        </w:rPr>
        <w:t>11</w:t>
      </w:r>
      <w:r>
        <w:rPr>
          <w:rStyle w:val="88"/>
          <w:rFonts w:hint="eastAsia" w:ascii="仿宋" w:hAnsi="仿宋" w:eastAsia="仿宋" w:cs="仿宋"/>
          <w:color w:val="000000" w:themeColor="text1"/>
          <w:highlight w:val="none"/>
          <w:lang w:eastAsia="zh-CN"/>
          <w14:textFill>
            <w14:solidFill>
              <w14:schemeClr w14:val="tx1"/>
            </w14:solidFill>
          </w14:textFill>
        </w:rPr>
        <w:t>月-</w:t>
      </w:r>
      <w:r>
        <w:rPr>
          <w:rStyle w:val="88"/>
          <w:rFonts w:hint="eastAsia" w:ascii="仿宋" w:hAnsi="仿宋" w:eastAsia="仿宋" w:cs="仿宋"/>
          <w:color w:val="000000" w:themeColor="text1"/>
          <w:highlight w:val="none"/>
          <w:lang w:val="en-US" w:eastAsia="zh-CN"/>
          <w14:textFill>
            <w14:solidFill>
              <w14:schemeClr w14:val="tx1"/>
            </w14:solidFill>
          </w14:textFill>
        </w:rPr>
        <w:t>2024年8月</w:t>
      </w:r>
      <w:r>
        <w:rPr>
          <w:rStyle w:val="88"/>
          <w:rFonts w:hint="eastAsia" w:ascii="仿宋" w:hAnsi="仿宋" w:eastAsia="仿宋" w:cs="仿宋"/>
          <w:color w:val="000000" w:themeColor="text1"/>
          <w:highlight w:val="none"/>
          <w:lang w:eastAsia="zh-CN"/>
          <w14:textFill>
            <w14:solidFill>
              <w14:schemeClr w14:val="tx1"/>
            </w14:solidFill>
          </w14:textFill>
        </w:rPr>
        <w:t>，</w:t>
      </w:r>
      <w:r>
        <w:rPr>
          <w:rStyle w:val="88"/>
          <w:rFonts w:hint="eastAsia" w:ascii="仿宋" w:hAnsi="仿宋" w:eastAsia="仿宋" w:cs="仿宋"/>
          <w:color w:val="000000" w:themeColor="text1"/>
          <w:highlight w:val="none"/>
          <w:lang w:val="en-US" w:eastAsia="zh-CN"/>
          <w14:textFill>
            <w14:solidFill>
              <w14:schemeClr w14:val="tx1"/>
            </w14:solidFill>
          </w14:textFill>
        </w:rPr>
        <w:t>每月编写一份乌鲁木市信用监测预警状况月度推进措施及计划安排，每年过年当月国家不开展监测，因此共9份。期间组织重错码培训、信用承诺培训；编制信用监管文件、公共信用信息归集通知、使用国家公共信用评价结果的通知、重错码整改通知、信用承诺信息归集通知、鼓励各部门开展信用文化宣传活动通知等；推进严重失信主体退出、信易贷企业注册与实名认证、与银行联合建模等服务。</w:t>
      </w:r>
    </w:p>
    <w:p>
      <w:pPr>
        <w:pageBreakBefore w:val="0"/>
        <w:kinsoku/>
        <w:wordWrap/>
        <w:overflowPunct w:val="0"/>
        <w:topLinePunct w:val="0"/>
        <w:bidi w:val="0"/>
        <w:snapToGrid/>
        <w:spacing w:line="600" w:lineRule="exact"/>
        <w:ind w:left="0" w:firstLine="480" w:firstLineChars="200"/>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4、202</w:t>
      </w:r>
      <w:r>
        <w:rPr>
          <w:rStyle w:val="88"/>
          <w:rFonts w:hint="eastAsia" w:ascii="仿宋" w:hAnsi="仿宋" w:eastAsia="仿宋" w:cs="仿宋"/>
          <w:color w:val="000000" w:themeColor="text1"/>
          <w:highlight w:val="none"/>
          <w:lang w:val="en-US" w:eastAsia="zh-CN"/>
          <w14:textFill>
            <w14:solidFill>
              <w14:schemeClr w14:val="tx1"/>
            </w14:solidFill>
          </w14:textFill>
        </w:rPr>
        <w:t>4</w:t>
      </w:r>
      <w:r>
        <w:rPr>
          <w:rStyle w:val="88"/>
          <w:rFonts w:hint="eastAsia" w:ascii="仿宋" w:hAnsi="仿宋" w:eastAsia="仿宋" w:cs="仿宋"/>
          <w:color w:val="000000" w:themeColor="text1"/>
          <w:highlight w:val="none"/>
          <w:lang w:eastAsia="zh-CN"/>
          <w14:textFill>
            <w14:solidFill>
              <w14:schemeClr w14:val="tx1"/>
            </w14:solidFill>
          </w14:textFill>
        </w:rPr>
        <w:t>年</w:t>
      </w:r>
      <w:r>
        <w:rPr>
          <w:rStyle w:val="88"/>
          <w:rFonts w:hint="eastAsia" w:ascii="仿宋" w:hAnsi="仿宋" w:eastAsia="仿宋" w:cs="仿宋"/>
          <w:color w:val="000000" w:themeColor="text1"/>
          <w:highlight w:val="none"/>
          <w:lang w:val="en-US" w:eastAsia="zh-CN"/>
          <w14:textFill>
            <w14:solidFill>
              <w14:schemeClr w14:val="tx1"/>
            </w14:solidFill>
          </w14:textFill>
        </w:rPr>
        <w:t>9月</w:t>
      </w:r>
      <w:r>
        <w:rPr>
          <w:rStyle w:val="88"/>
          <w:rFonts w:hint="eastAsia" w:ascii="仿宋" w:hAnsi="仿宋" w:eastAsia="仿宋" w:cs="仿宋"/>
          <w:color w:val="000000" w:themeColor="text1"/>
          <w:highlight w:val="none"/>
          <w:lang w:eastAsia="zh-CN"/>
          <w14:textFill>
            <w14:solidFill>
              <w14:schemeClr w14:val="tx1"/>
            </w14:solidFill>
          </w14:textFill>
        </w:rPr>
        <w:t>，</w:t>
      </w:r>
      <w:r>
        <w:rPr>
          <w:rStyle w:val="88"/>
          <w:rFonts w:hint="eastAsia" w:ascii="仿宋" w:hAnsi="仿宋" w:eastAsia="仿宋" w:cs="仿宋"/>
          <w:color w:val="000000" w:themeColor="text1"/>
          <w:highlight w:val="none"/>
          <w:lang w:val="en-US" w:eastAsia="zh-CN"/>
          <w14:textFill>
            <w14:solidFill>
              <w14:schemeClr w14:val="tx1"/>
            </w14:solidFill>
          </w14:textFill>
        </w:rPr>
        <w:t>提交《乌鲁木齐市信用状况监测预警排名提升总体方案》、《9份乌鲁木市信用监测预警状况月度推进措施及计划安排》、《“</w:t>
      </w:r>
      <w:r>
        <w:rPr>
          <w:rStyle w:val="88"/>
          <w:rFonts w:hint="eastAsia" w:ascii="仿宋" w:hAnsi="仿宋" w:eastAsia="仿宋" w:cs="仿宋"/>
          <w:color w:val="000000" w:themeColor="text1"/>
          <w:highlight w:val="none"/>
          <w:lang w:eastAsia="zh-CN"/>
          <w14:textFill>
            <w14:solidFill>
              <w14:schemeClr w14:val="tx1"/>
            </w14:solidFill>
          </w14:textFill>
        </w:rPr>
        <w:t>乌鲁木齐市信用信息共享平台和信</w:t>
      </w:r>
      <w:r>
        <w:rPr>
          <w:rStyle w:val="88"/>
          <w:rFonts w:hint="eastAsia" w:ascii="仿宋" w:hAnsi="仿宋" w:eastAsia="仿宋" w:cs="仿宋"/>
          <w:color w:val="000000" w:themeColor="text1"/>
          <w:highlight w:val="none"/>
          <w:lang w:val="en-US" w:eastAsia="zh-CN"/>
          <w14:textFill>
            <w14:solidFill>
              <w14:schemeClr w14:val="tx1"/>
            </w14:solidFill>
          </w14:textFill>
        </w:rPr>
        <w:t>用信息网站”完善与提升方案》、《信用系列工作培训教材与操作手册》，编写项目总结验收报告，</w:t>
      </w:r>
      <w:r>
        <w:rPr>
          <w:rStyle w:val="88"/>
          <w:rFonts w:hint="eastAsia" w:ascii="仿宋" w:hAnsi="仿宋" w:eastAsia="仿宋" w:cs="仿宋"/>
          <w:color w:val="000000" w:themeColor="text1"/>
          <w:highlight w:val="none"/>
          <w:lang w:eastAsia="zh-CN"/>
          <w14:textFill>
            <w14:solidFill>
              <w14:schemeClr w14:val="tx1"/>
            </w14:solidFill>
          </w14:textFill>
        </w:rPr>
        <w:t>根据</w:t>
      </w:r>
      <w:r>
        <w:rPr>
          <w:rStyle w:val="88"/>
          <w:rFonts w:hint="eastAsia" w:ascii="仿宋" w:hAnsi="仿宋" w:eastAsia="仿宋" w:cs="仿宋"/>
          <w:color w:val="000000" w:themeColor="text1"/>
          <w:highlight w:val="none"/>
          <w:lang w:val="en-US" w:eastAsia="zh-CN"/>
          <w14:textFill>
            <w14:solidFill>
              <w14:schemeClr w14:val="tx1"/>
            </w14:solidFill>
          </w14:textFill>
        </w:rPr>
        <w:t>甲方</w:t>
      </w:r>
      <w:r>
        <w:rPr>
          <w:rStyle w:val="88"/>
          <w:rFonts w:hint="eastAsia" w:ascii="仿宋" w:hAnsi="仿宋" w:eastAsia="仿宋" w:cs="仿宋"/>
          <w:color w:val="000000" w:themeColor="text1"/>
          <w:highlight w:val="none"/>
          <w:lang w:eastAsia="zh-CN"/>
          <w14:textFill>
            <w14:solidFill>
              <w14:schemeClr w14:val="tx1"/>
            </w14:solidFill>
          </w14:textFill>
        </w:rPr>
        <w:t>审议情况，召开专家评审会，履行验收结题手续。</w:t>
      </w:r>
    </w:p>
    <w:p>
      <w:pPr>
        <w:pageBreakBefore w:val="0"/>
        <w:kinsoku/>
        <w:wordWrap/>
        <w:overflowPunct w:val="0"/>
        <w:topLinePunct w:val="0"/>
        <w:bidi w:val="0"/>
        <w:snapToGrid/>
        <w:spacing w:line="600" w:lineRule="exact"/>
        <w:ind w:left="0" w:firstLine="482" w:firstLineChars="200"/>
        <w:rPr>
          <w:rStyle w:val="88"/>
          <w:rFonts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乙方向甲方提交全套报告电子文档和印刷件</w:t>
      </w:r>
      <w:r>
        <w:rPr>
          <w:rStyle w:val="88"/>
          <w:rFonts w:hint="eastAsia" w:ascii="仿宋" w:hAnsi="仿宋" w:cs="仿宋"/>
          <w:b/>
          <w:bCs/>
          <w:color w:val="000000" w:themeColor="text1"/>
          <w:highlight w:val="none"/>
          <w:lang w:val="en-US" w:eastAsia="zh-CN"/>
          <w14:textFill>
            <w14:solidFill>
              <w14:schemeClr w14:val="tx1"/>
            </w14:solidFill>
          </w14:textFill>
        </w:rPr>
        <w:t>4</w:t>
      </w:r>
      <w:r>
        <w:rPr>
          <w:rStyle w:val="88"/>
          <w:rFonts w:hint="eastAsia" w:ascii="仿宋" w:hAnsi="仿宋" w:eastAsia="仿宋" w:cs="仿宋"/>
          <w:b/>
          <w:bCs/>
          <w:color w:val="000000" w:themeColor="text1"/>
          <w:highlight w:val="none"/>
          <w:lang w:eastAsia="zh-CN"/>
          <w14:textFill>
            <w14:solidFill>
              <w14:schemeClr w14:val="tx1"/>
            </w14:solidFill>
          </w14:textFill>
        </w:rPr>
        <w:t>套。最终成果需上评审会验收，具体组织形式经由甲方批准后实施，评审会产生的相关费用包含在合同总价款内。</w:t>
      </w:r>
    </w:p>
    <w:p>
      <w:pPr>
        <w:pageBreakBefore w:val="0"/>
        <w:kinsoku/>
        <w:wordWrap/>
        <w:overflowPunct w:val="0"/>
        <w:topLinePunct w:val="0"/>
        <w:bidi w:val="0"/>
        <w:snapToGrid/>
        <w:spacing w:line="600" w:lineRule="exact"/>
        <w:ind w:left="0" w:firstLine="480" w:firstLineChars="200"/>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（二）工作机制</w:t>
      </w:r>
    </w:p>
    <w:p>
      <w:pPr>
        <w:pageBreakBefore w:val="0"/>
        <w:kinsoku/>
        <w:wordWrap/>
        <w:overflowPunct w:val="0"/>
        <w:topLinePunct w:val="0"/>
        <w:bidi w:val="0"/>
        <w:snapToGrid/>
        <w:spacing w:line="600" w:lineRule="exact"/>
        <w:ind w:left="0" w:firstLine="480" w:firstLineChars="200"/>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1、本协议履行过程中，双方应当积极配合、充分沟通、协调资源，涉及重大事项时应当及时通过各种线上、线下方式进行商议。</w:t>
      </w:r>
    </w:p>
    <w:p>
      <w:pPr>
        <w:pageBreakBefore w:val="0"/>
        <w:kinsoku/>
        <w:wordWrap/>
        <w:overflowPunct w:val="0"/>
        <w:topLinePunct w:val="0"/>
        <w:bidi w:val="0"/>
        <w:snapToGrid/>
        <w:spacing w:line="600" w:lineRule="exact"/>
        <w:ind w:left="0" w:firstLine="480" w:firstLineChars="200"/>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2、本协议履行过程中，任何一方发给对方的书面函件均应加盖己方印章。</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保密条款</w:t>
      </w:r>
    </w:p>
    <w:p>
      <w:pPr>
        <w:pStyle w:val="20"/>
        <w:pageBreakBefore w:val="0"/>
        <w:widowControl/>
        <w:pBdr>
          <w:top w:val="none" w:color="auto" w:sz="0" w:space="0"/>
          <w:left w:val="none" w:color="auto" w:sz="0" w:space="0"/>
          <w:bottom w:val="none" w:color="auto" w:sz="0" w:space="0"/>
          <w:right w:val="none" w:color="auto" w:sz="0" w:space="0"/>
        </w:pBdr>
        <w:kinsoku/>
        <w:wordWrap/>
        <w:overflowPunct w:val="0"/>
        <w:topLinePunct w:val="0"/>
        <w:bidi w:val="0"/>
        <w:snapToGrid/>
        <w:spacing w:line="600" w:lineRule="exact"/>
        <w:ind w:left="0" w:firstLine="480" w:firstLineChars="200"/>
        <w:jc w:val="both"/>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（一）</w:t>
      </w:r>
      <w:r>
        <w:rPr>
          <w:rStyle w:val="88"/>
          <w:rFonts w:hint="eastAsia" w:ascii="仿宋" w:hAnsi="仿宋" w:eastAsia="仿宋" w:cs="仿宋"/>
          <w:color w:val="000000" w:themeColor="text1"/>
          <w:highlight w:val="none"/>
          <w:lang w:val="en-US" w:eastAsia="zh-CN"/>
          <w14:textFill>
            <w14:solidFill>
              <w14:schemeClr w14:val="tx1"/>
            </w14:solidFill>
          </w14:textFill>
        </w:rPr>
        <w:t>除</w:t>
      </w:r>
      <w:r>
        <w:rPr>
          <w:rStyle w:val="88"/>
          <w:rFonts w:hint="eastAsia" w:ascii="仿宋" w:hAnsi="仿宋" w:eastAsia="仿宋" w:cs="仿宋"/>
          <w:color w:val="000000" w:themeColor="text1"/>
          <w:highlight w:val="none"/>
          <w:lang w:val="en-US" w:eastAsia="zh-CN" w:bidi="ar-SA"/>
          <w14:textFill>
            <w14:solidFill>
              <w14:schemeClr w14:val="tx1"/>
            </w14:solidFill>
          </w14:textFill>
        </w:rPr>
        <w:t>严格遵守</w:t>
      </w:r>
      <w:r>
        <w:rPr>
          <w:rStyle w:val="88"/>
          <w:rFonts w:hint="eastAsia" w:ascii="仿宋" w:hAnsi="仿宋" w:eastAsia="仿宋" w:cs="仿宋"/>
          <w:color w:val="000000" w:themeColor="text1"/>
          <w:sz w:val="24"/>
          <w:szCs w:val="24"/>
          <w:highlight w:val="none"/>
          <w:lang w:bidi="ar-SA"/>
          <w14:textFill>
            <w14:solidFill>
              <w14:schemeClr w14:val="tx1"/>
            </w14:solidFill>
          </w14:textFill>
        </w:rPr>
        <w:t>《中华人民共和国保守国家秘密法》</w:t>
      </w:r>
      <w:r>
        <w:rPr>
          <w:rStyle w:val="88"/>
          <w:rFonts w:hint="eastAsia" w:ascii="仿宋" w:hAnsi="仿宋" w:eastAsia="仿宋" w:cs="仿宋"/>
          <w:color w:val="000000" w:themeColor="text1"/>
          <w:sz w:val="24"/>
          <w:szCs w:val="24"/>
          <w:highlight w:val="none"/>
          <w:lang w:eastAsia="zh-CN" w:bidi="ar-SA"/>
          <w14:textFill>
            <w14:solidFill>
              <w14:schemeClr w14:val="tx1"/>
            </w14:solidFill>
          </w14:textFill>
        </w:rPr>
        <w:t>、</w:t>
      </w:r>
      <w:r>
        <w:rPr>
          <w:rStyle w:val="88"/>
          <w:rFonts w:ascii="仿宋" w:hAnsi="仿宋" w:eastAsia="仿宋" w:cs="仿宋"/>
          <w:color w:val="000000" w:themeColor="text1"/>
          <w:sz w:val="24"/>
          <w:szCs w:val="24"/>
          <w:highlight w:val="none"/>
          <w14:textFill>
            <w14:solidFill>
              <w14:schemeClr w14:val="tx1"/>
            </w14:solidFill>
          </w14:textFill>
        </w:rPr>
        <w:t>《中华人民共和国保守国家秘密法实施条例》</w:t>
      </w:r>
      <w:r>
        <w:rPr>
          <w:rStyle w:val="88"/>
          <w:rFonts w:hint="eastAsia" w:ascii="仿宋" w:hAnsi="仿宋" w:eastAsia="仿宋" w:cs="仿宋"/>
          <w:color w:val="000000" w:themeColor="text1"/>
          <w:highlight w:val="none"/>
          <w:lang w:val="en-US" w:eastAsia="zh-CN"/>
          <w14:textFill>
            <w14:solidFill>
              <w14:schemeClr w14:val="tx1"/>
            </w14:solidFill>
          </w14:textFill>
        </w:rPr>
        <w:t>及相关政府机关保密要求等外，</w:t>
      </w:r>
      <w:r>
        <w:rPr>
          <w:rStyle w:val="88"/>
          <w:rFonts w:hint="eastAsia" w:ascii="仿宋" w:hAnsi="仿宋" w:eastAsia="仿宋" w:cs="仿宋"/>
          <w:color w:val="000000" w:themeColor="text1"/>
          <w:highlight w:val="none"/>
          <w:lang w:eastAsia="zh-CN"/>
          <w14:textFill>
            <w14:solidFill>
              <w14:schemeClr w14:val="tx1"/>
            </w14:solidFill>
          </w14:textFill>
        </w:rPr>
        <w:t>法律规定的商业秘密，以及提供方要求保密或标注“保密”、“秘密”字样的信息资料，</w:t>
      </w:r>
      <w:r>
        <w:rPr>
          <w:rStyle w:val="88"/>
          <w:rFonts w:hint="eastAsia" w:ascii="仿宋" w:hAnsi="仿宋" w:eastAsia="仿宋" w:cs="仿宋"/>
          <w:color w:val="000000" w:themeColor="text1"/>
          <w:highlight w:val="none"/>
          <w:lang w:val="en-US" w:eastAsia="zh-CN"/>
          <w14:textFill>
            <w14:solidFill>
              <w14:schemeClr w14:val="tx1"/>
            </w14:solidFill>
          </w14:textFill>
        </w:rPr>
        <w:t>亦</w:t>
      </w:r>
      <w:r>
        <w:rPr>
          <w:rStyle w:val="88"/>
          <w:rFonts w:hint="eastAsia" w:ascii="仿宋" w:hAnsi="仿宋" w:eastAsia="仿宋" w:cs="仿宋"/>
          <w:color w:val="000000" w:themeColor="text1"/>
          <w:highlight w:val="none"/>
          <w:lang w:eastAsia="zh-CN"/>
          <w14:textFill>
            <w14:solidFill>
              <w14:schemeClr w14:val="tx1"/>
            </w14:solidFill>
          </w14:textFill>
        </w:rPr>
        <w:t>构成本协议项下的保密信息。甲乙双方均应对签订和履行本协议而获知的对方的保密信息承担保密义务，未经保密信息提供方许可，不得擅自使用或对外披露、传播</w:t>
      </w:r>
      <w:r>
        <w:rPr>
          <w:rStyle w:val="88"/>
          <w:rFonts w:hint="eastAsia" w:ascii="仿宋" w:hAnsi="仿宋" w:eastAsia="仿宋" w:cs="仿宋"/>
          <w:color w:val="000000" w:themeColor="text1"/>
          <w:highlight w:val="none"/>
          <w:lang w:val="en-US" w:eastAsia="zh-CN"/>
          <w14:textFill>
            <w14:solidFill>
              <w14:schemeClr w14:val="tx1"/>
            </w14:solidFill>
          </w14:textFill>
        </w:rPr>
        <w:t>或用于商业用途</w:t>
      </w:r>
      <w:r>
        <w:rPr>
          <w:rStyle w:val="88"/>
          <w:rFonts w:hint="eastAsia" w:ascii="仿宋" w:hAnsi="仿宋" w:eastAsia="仿宋" w:cs="仿宋"/>
          <w:color w:val="000000" w:themeColor="text1"/>
          <w:highlight w:val="none"/>
          <w:lang w:eastAsia="zh-CN"/>
          <w14:textFill>
            <w14:solidFill>
              <w14:schemeClr w14:val="tx1"/>
            </w14:solidFill>
          </w14:textFill>
        </w:rPr>
        <w:t>，但行政司法程序要求者除外。</w:t>
      </w:r>
    </w:p>
    <w:p>
      <w:pPr>
        <w:pageBreakBefore w:val="0"/>
        <w:kinsoku/>
        <w:wordWrap/>
        <w:overflowPunct w:val="0"/>
        <w:topLinePunct w:val="0"/>
        <w:bidi w:val="0"/>
        <w:snapToGrid/>
        <w:spacing w:line="600" w:lineRule="exact"/>
        <w:ind w:left="0" w:firstLine="480" w:firstLineChars="200"/>
        <w:textAlignment w:val="baseline"/>
        <w:rPr>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（二）保密条款长期有效，各方的保密义务应至相关保密信息可被公众依法通过公开渠道知悉之日止。</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不可抗力</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（一）不可抗力是不能预见、不能避免且不能克服的客观情况。各方同意下列客观情况属于本协议项下不可抗力：自然灾害、传染病及其引起的政府防控措施、战争、武装冲突、暴乱、爆炸等。</w:t>
      </w:r>
      <w:bookmarkStart w:id="364" w:name="tiao_180_kuan_2"/>
      <w:bookmarkEnd w:id="364"/>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二）当事人一方因不可抗力不能履行协议的，根据不可抗力的影响，部分或者全部免除责任，但是法律另有规定的除外。因不可抗力不能履行协议的，应当及时通知其他当事人，以减轻可能给其他当事人造成的损失，并应当在合理期限内提供证明。</w:t>
      </w:r>
      <w:bookmarkStart w:id="365" w:name="tiao_590_kuan_2"/>
      <w:bookmarkEnd w:id="365"/>
      <w:r>
        <w:rPr>
          <w:rStyle w:val="88"/>
          <w:rFonts w:hint="eastAsia" w:ascii="仿宋" w:hAnsi="仿宋" w:eastAsia="仿宋" w:cs="仿宋"/>
          <w:color w:val="000000" w:themeColor="text1"/>
          <w:highlight w:val="none"/>
          <w:lang w:eastAsia="zh-CN"/>
          <w14:textFill>
            <w14:solidFill>
              <w14:schemeClr w14:val="tx1"/>
            </w14:solidFill>
          </w14:textFill>
        </w:rPr>
        <w:t>虽有前述约定，但当事人迟延履行后发生不可抗力的，不免除其违约责任。</w:t>
      </w:r>
    </w:p>
    <w:p>
      <w:pPr>
        <w:pageBreakBefore w:val="0"/>
        <w:kinsoku/>
        <w:wordWrap/>
        <w:overflowPunct w:val="0"/>
        <w:topLinePunct w:val="0"/>
        <w:bidi w:val="0"/>
        <w:snapToGrid/>
        <w:spacing w:line="600" w:lineRule="exact"/>
        <w:ind w:left="0" w:firstLine="480" w:firstLineChars="200"/>
        <w:textAlignment w:val="baseline"/>
        <w:rPr>
          <w:rStyle w:val="88"/>
          <w:rFonts w:hint="default" w:ascii="仿宋" w:hAnsi="仿宋" w:eastAsia="仿宋" w:cs="仿宋"/>
          <w:color w:val="000000" w:themeColor="text1"/>
          <w:highlight w:val="none"/>
          <w:lang w:val="en-US"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（三）本协议项下工作因不可抗力发生延误的，甲乙双方互不承担违约责任，有关工作根据不可抗力的影响进行相应顺延。</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违约责任</w:t>
      </w:r>
    </w:p>
    <w:p>
      <w:pPr>
        <w:pageBreakBefore w:val="0"/>
        <w:numPr>
          <w:ilvl w:val="0"/>
          <w:numId w:val="18"/>
        </w:numPr>
        <w:kinsoku/>
        <w:wordWrap/>
        <w:overflowPunct w:val="0"/>
        <w:topLinePunct w:val="0"/>
        <w:bidi w:val="0"/>
        <w:snapToGrid/>
        <w:spacing w:line="600" w:lineRule="exact"/>
        <w:ind w:left="0" w:firstLine="480" w:firstLineChars="200"/>
        <w:textAlignment w:val="baseline"/>
        <w:rPr>
          <w:rStyle w:val="88"/>
          <w:rFonts w:hint="eastAsia"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甲方未按照本协议约定向乙方按时足额支付咨询服务费的，乙方有权暂停提供咨询服务。</w:t>
      </w:r>
    </w:p>
    <w:p>
      <w:pPr>
        <w:pStyle w:val="2"/>
        <w:numPr>
          <w:ilvl w:val="0"/>
          <w:numId w:val="18"/>
        </w:numPr>
        <w:jc w:val="left"/>
        <w:rPr>
          <w:rStyle w:val="88"/>
          <w:rFonts w:hint="eastAsia" w:ascii="仿宋" w:hAnsi="仿宋" w:eastAsia="仿宋" w:cs="仿宋"/>
          <w:b w:val="0"/>
          <w:bCs w:val="0"/>
          <w:color w:val="000000" w:themeColor="text1"/>
          <w:sz w:val="24"/>
          <w:szCs w:val="24"/>
          <w:highlight w:val="none"/>
          <w:lang w:val="en-US" w:eastAsia="zh-CN" w:bidi="en-US"/>
          <w14:textFill>
            <w14:solidFill>
              <w14:schemeClr w14:val="tx1"/>
            </w14:solidFill>
          </w14:textFill>
        </w:rPr>
      </w:pPr>
      <w:r>
        <w:rPr>
          <w:rStyle w:val="88"/>
          <w:rFonts w:hint="eastAsia" w:ascii="仿宋" w:hAnsi="仿宋" w:eastAsia="仿宋" w:cs="仿宋"/>
          <w:b w:val="0"/>
          <w:bCs w:val="0"/>
          <w:color w:val="000000" w:themeColor="text1"/>
          <w:sz w:val="24"/>
          <w:szCs w:val="24"/>
          <w:highlight w:val="none"/>
          <w:lang w:val="en-US" w:eastAsia="zh-CN" w:bidi="en-US"/>
          <w14:textFill>
            <w14:solidFill>
              <w14:schemeClr w14:val="tx1"/>
            </w14:solidFill>
          </w14:textFill>
        </w:rPr>
        <w:t>乙方如未按照本协议约定达到招标需求的实施目标，甲方有权利要求乙方提高服务质量、延长服务期限，直至达到招标需求的实施目标。</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争议的解决</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（一）本协议适用中华人民共和国法律并受其管辖。</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（二）因本协议引起的或与本协议有关的任何争议，各方应友好协商，协商不成的，</w:t>
      </w:r>
      <w:r>
        <w:rPr>
          <w:rStyle w:val="88"/>
          <w:rFonts w:hint="eastAsia" w:ascii="仿宋" w:hAnsi="仿宋" w:eastAsia="仿宋" w:cs="仿宋"/>
          <w:color w:val="000000" w:themeColor="text1"/>
          <w:highlight w:val="none"/>
          <w:lang w:val="en-US" w:eastAsia="zh-CN"/>
          <w14:textFill>
            <w14:solidFill>
              <w14:schemeClr w14:val="tx1"/>
            </w14:solidFill>
          </w14:textFill>
        </w:rPr>
        <w:t>由甲方所在地</w:t>
      </w:r>
      <w:r>
        <w:rPr>
          <w:rStyle w:val="88"/>
          <w:rFonts w:hint="eastAsia" w:ascii="仿宋" w:hAnsi="仿宋" w:eastAsia="仿宋" w:cs="仿宋"/>
          <w:color w:val="000000" w:themeColor="text1"/>
          <w:highlight w:val="none"/>
          <w:lang w:eastAsia="zh-CN"/>
          <w14:textFill>
            <w14:solidFill>
              <w14:schemeClr w14:val="tx1"/>
            </w14:solidFill>
          </w14:textFill>
        </w:rPr>
        <w:t>人民法院</w:t>
      </w:r>
      <w:r>
        <w:rPr>
          <w:rStyle w:val="88"/>
          <w:rFonts w:hint="eastAsia" w:ascii="仿宋" w:hAnsi="仿宋" w:eastAsia="仿宋" w:cs="仿宋"/>
          <w:color w:val="000000" w:themeColor="text1"/>
          <w:highlight w:val="none"/>
          <w:lang w:val="en-US" w:eastAsia="zh-CN"/>
          <w14:textFill>
            <w14:solidFill>
              <w14:schemeClr w14:val="tx1"/>
            </w14:solidFill>
          </w14:textFill>
        </w:rPr>
        <w:t>管辖</w:t>
      </w:r>
      <w:r>
        <w:rPr>
          <w:rStyle w:val="88"/>
          <w:rFonts w:hint="eastAsia" w:ascii="仿宋" w:hAnsi="仿宋" w:eastAsia="仿宋" w:cs="仿宋"/>
          <w:color w:val="000000" w:themeColor="text1"/>
          <w:highlight w:val="none"/>
          <w:lang w:eastAsia="zh-CN"/>
          <w14:textFill>
            <w14:solidFill>
              <w14:schemeClr w14:val="tx1"/>
            </w14:solidFill>
          </w14:textFill>
        </w:rPr>
        <w:t>，本协议签订地为</w:t>
      </w:r>
      <w:r>
        <w:rPr>
          <w:rStyle w:val="88"/>
          <w:rFonts w:hint="eastAsia" w:ascii="仿宋" w:hAnsi="仿宋" w:eastAsia="仿宋" w:cs="仿宋"/>
          <w:color w:val="000000" w:themeColor="text1"/>
          <w:highlight w:val="none"/>
          <w:lang w:val="en-US" w:eastAsia="zh-CN"/>
          <w14:textFill>
            <w14:solidFill>
              <w14:schemeClr w14:val="tx1"/>
            </w14:solidFill>
          </w14:textFill>
        </w:rPr>
        <w:t>甲方所在地</w:t>
      </w:r>
      <w:r>
        <w:rPr>
          <w:rStyle w:val="88"/>
          <w:rFonts w:hint="eastAsia" w:ascii="仿宋" w:hAnsi="仿宋" w:eastAsia="仿宋" w:cs="仿宋"/>
          <w:color w:val="000000" w:themeColor="text1"/>
          <w:highlight w:val="none"/>
          <w:lang w:eastAsia="zh-CN"/>
          <w14:textFill>
            <w14:solidFill>
              <w14:schemeClr w14:val="tx1"/>
            </w14:solidFill>
          </w14:textFill>
        </w:rPr>
        <w:t>。</w:t>
      </w:r>
    </w:p>
    <w:p>
      <w:pPr>
        <w:pageBreakBefore w:val="0"/>
        <w:numPr>
          <w:ilvl w:val="0"/>
          <w:numId w:val="13"/>
        </w:numPr>
        <w:kinsoku/>
        <w:wordWrap/>
        <w:overflowPunct w:val="0"/>
        <w:topLinePunct w:val="0"/>
        <w:bidi w:val="0"/>
        <w:snapToGrid/>
        <w:spacing w:line="600" w:lineRule="exact"/>
        <w:ind w:left="0" w:leftChars="0" w:firstLine="420" w:firstLineChars="0"/>
        <w:textAlignment w:val="baseline"/>
        <w:rPr>
          <w:rStyle w:val="88"/>
          <w:rFonts w:hint="eastAsia" w:ascii="仿宋" w:hAnsi="仿宋" w:eastAsia="仿宋" w:cs="仿宋"/>
          <w:b/>
          <w:bCs/>
          <w:color w:val="000000" w:themeColor="text1"/>
          <w:highlight w:val="none"/>
          <w:lang w:eastAsia="zh-CN"/>
          <w14:textFill>
            <w14:solidFill>
              <w14:schemeClr w14:val="tx1"/>
            </w14:solidFill>
          </w14:textFill>
        </w:rPr>
      </w:pPr>
      <w:r>
        <w:rPr>
          <w:rStyle w:val="88"/>
          <w:rFonts w:hint="eastAsia" w:ascii="仿宋" w:hAnsi="仿宋" w:eastAsia="仿宋" w:cs="仿宋"/>
          <w:b/>
          <w:bCs/>
          <w:color w:val="000000" w:themeColor="text1"/>
          <w:highlight w:val="none"/>
          <w:lang w:eastAsia="zh-CN"/>
          <w14:textFill>
            <w14:solidFill>
              <w14:schemeClr w14:val="tx1"/>
            </w14:solidFill>
          </w14:textFill>
        </w:rPr>
        <w:t>其他约定</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（一）本协议所有未尽事宜，均可由甲乙双方友好协商解决。</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（二）本协议一式四份，甲乙双方各执二份，自甲乙双方盖章之日起生效。</w:t>
      </w:r>
    </w:p>
    <w:p>
      <w:pPr>
        <w:pageBreakBefore w:val="0"/>
        <w:kinsoku/>
        <w:wordWrap/>
        <w:overflowPunct w:val="0"/>
        <w:topLinePunct w:val="0"/>
        <w:bidi w:val="0"/>
        <w:snapToGrid/>
        <w:spacing w:line="60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三）送达与本协议有关的信息、资料、文件、文书、通知（以下统称为“通知”），应当以书面形式（包括数据电文）进行，并应当通过中国邮政EMS快递、电子邮件、专人递交等方式，按照下列约定的送达地址送达受送达人，通知在到达受送达人时生效。以中国邮政EMS快递方式送达通知的，以签收底单记载的签收日期为通知到达日；以电子邮件方式送达通知的，以发送电子邮件到达受送达人电子信箱之日为通知到达日；以专人递交方式送达通知的，以受送达人签收之日为通知到达日。当事人变更送达地址的，须提前通知其他当事人，否则由此导致通知未能被受送达人实际接收的一切不利后果，均由受送达人自行承担。如因本协议</w:t>
      </w:r>
      <w:r>
        <w:rPr>
          <w:rStyle w:val="88"/>
          <w:rFonts w:hint="eastAsia" w:ascii="仿宋" w:hAnsi="仿宋" w:eastAsia="仿宋" w:cs="仿宋"/>
          <w:color w:val="000000" w:themeColor="text1"/>
          <w:highlight w:val="none"/>
          <w:lang w:val="en-US" w:eastAsia="zh-CN"/>
          <w14:textFill>
            <w14:solidFill>
              <w14:schemeClr w14:val="tx1"/>
            </w14:solidFill>
          </w14:textFill>
        </w:rPr>
        <w:t>履行</w:t>
      </w:r>
      <w:r>
        <w:rPr>
          <w:rStyle w:val="88"/>
          <w:rFonts w:hint="eastAsia" w:ascii="仿宋" w:hAnsi="仿宋" w:eastAsia="仿宋" w:cs="仿宋"/>
          <w:color w:val="000000" w:themeColor="text1"/>
          <w:highlight w:val="none"/>
          <w:lang w:eastAsia="zh-CN"/>
          <w14:textFill>
            <w14:solidFill>
              <w14:schemeClr w14:val="tx1"/>
            </w14:solidFill>
          </w14:textFill>
        </w:rPr>
        <w:t>发生诉讼，则各方一致同意人民法院可以通过下列约定的送达地址向各方送达仲裁文书和诉讼文书等法律文件：</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甲方：</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收件人：</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联系电话：</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邮寄地址：</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邮编：</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电子邮箱:</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乙方：</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收件人：</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联系电话：</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邮寄地址：</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邮编：</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电子邮箱：</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甲方（盖章）：</w:t>
      </w:r>
      <w:r>
        <w:rPr>
          <w:rStyle w:val="88"/>
          <w:rFonts w:hint="eastAsia" w:ascii="仿宋" w:hAnsi="仿宋" w:cs="仿宋"/>
          <w:color w:val="000000" w:themeColor="text1"/>
          <w:highlight w:val="none"/>
          <w:lang w:val="en-US" w:eastAsia="zh-CN"/>
          <w14:textFill>
            <w14:solidFill>
              <w14:schemeClr w14:val="tx1"/>
            </w14:solidFill>
          </w14:textFill>
        </w:rPr>
        <w:t xml:space="preserve">                         </w:t>
      </w:r>
      <w:r>
        <w:rPr>
          <w:rStyle w:val="88"/>
          <w:rFonts w:hint="eastAsia" w:ascii="仿宋" w:hAnsi="仿宋" w:eastAsia="仿宋" w:cs="仿宋"/>
          <w:color w:val="000000" w:themeColor="text1"/>
          <w:highlight w:val="none"/>
          <w:lang w:eastAsia="zh-CN"/>
          <w14:textFill>
            <w14:solidFill>
              <w14:schemeClr w14:val="tx1"/>
            </w14:solidFill>
          </w14:textFill>
        </w:rPr>
        <w:t>乙方（盖章）：</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textAlignment w:val="baseline"/>
        <w:rPr>
          <w:rStyle w:val="88"/>
          <w:rFonts w:ascii="仿宋" w:hAnsi="仿宋" w:eastAsia="仿宋" w:cs="仿宋"/>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签约代表：</w:t>
      </w:r>
      <w:r>
        <w:rPr>
          <w:rStyle w:val="88"/>
          <w:rFonts w:hint="eastAsia" w:ascii="仿宋" w:hAnsi="仿宋" w:cs="仿宋"/>
          <w:color w:val="000000" w:themeColor="text1"/>
          <w:highlight w:val="none"/>
          <w:lang w:val="en-US" w:eastAsia="zh-CN"/>
          <w14:textFill>
            <w14:solidFill>
              <w14:schemeClr w14:val="tx1"/>
            </w14:solidFill>
          </w14:textFill>
        </w:rPr>
        <w:t xml:space="preserve">                             </w:t>
      </w:r>
      <w:r>
        <w:rPr>
          <w:rStyle w:val="88"/>
          <w:rFonts w:hint="eastAsia" w:ascii="仿宋" w:hAnsi="仿宋" w:eastAsia="仿宋" w:cs="仿宋"/>
          <w:color w:val="000000" w:themeColor="text1"/>
          <w:highlight w:val="none"/>
          <w:lang w:eastAsia="zh-CN"/>
          <w14:textFill>
            <w14:solidFill>
              <w14:schemeClr w14:val="tx1"/>
            </w14:solidFill>
          </w14:textFill>
        </w:rPr>
        <w:t>签约代表：</w:t>
      </w:r>
    </w:p>
    <w:p>
      <w:pPr>
        <w:keepNext w:val="0"/>
        <w:keepLines w:val="0"/>
        <w:pageBreakBefore w:val="0"/>
        <w:widowControl w:val="0"/>
        <w:kinsoku/>
        <w:wordWrap/>
        <w:overflowPunct w:val="0"/>
        <w:topLinePunct w:val="0"/>
        <w:autoSpaceDE/>
        <w:autoSpaceDN/>
        <w:bidi w:val="0"/>
        <w:adjustRightInd/>
        <w:snapToGrid/>
        <w:spacing w:line="580" w:lineRule="exact"/>
        <w:ind w:left="0" w:firstLine="480" w:firstLineChars="200"/>
        <w:rPr>
          <w:color w:val="000000" w:themeColor="text1"/>
          <w:highlight w:val="none"/>
          <w:lang w:eastAsia="zh-CN"/>
          <w14:textFill>
            <w14:solidFill>
              <w14:schemeClr w14:val="tx1"/>
            </w14:solidFill>
          </w14:textFill>
        </w:rPr>
      </w:pPr>
      <w:r>
        <w:rPr>
          <w:rStyle w:val="88"/>
          <w:rFonts w:hint="eastAsia" w:ascii="仿宋" w:hAnsi="仿宋" w:eastAsia="仿宋" w:cs="仿宋"/>
          <w:color w:val="000000" w:themeColor="text1"/>
          <w:highlight w:val="none"/>
          <w:lang w:eastAsia="zh-CN"/>
          <w14:textFill>
            <w14:solidFill>
              <w14:schemeClr w14:val="tx1"/>
            </w14:solidFill>
          </w14:textFill>
        </w:rPr>
        <w:t>日期：年月日</w:t>
      </w:r>
      <w:r>
        <w:rPr>
          <w:rStyle w:val="88"/>
          <w:rFonts w:hint="eastAsia" w:ascii="仿宋" w:hAnsi="仿宋" w:cs="仿宋"/>
          <w:color w:val="000000" w:themeColor="text1"/>
          <w:highlight w:val="none"/>
          <w:lang w:val="en-US" w:eastAsia="zh-CN"/>
          <w14:textFill>
            <w14:solidFill>
              <w14:schemeClr w14:val="tx1"/>
            </w14:solidFill>
          </w14:textFill>
        </w:rPr>
        <w:t xml:space="preserve">                           </w:t>
      </w:r>
      <w:r>
        <w:rPr>
          <w:rStyle w:val="88"/>
          <w:rFonts w:hint="eastAsia" w:ascii="仿宋" w:hAnsi="仿宋" w:eastAsia="仿宋" w:cs="仿宋"/>
          <w:color w:val="000000" w:themeColor="text1"/>
          <w:highlight w:val="none"/>
          <w:lang w:eastAsia="zh-CN"/>
          <w14:textFill>
            <w14:solidFill>
              <w14:schemeClr w14:val="tx1"/>
            </w14:solidFill>
          </w14:textFill>
        </w:rPr>
        <w:t>日期：年月日</w:t>
      </w:r>
    </w:p>
    <w:p>
      <w:pPr>
        <w:ind w:left="0" w:leftChars="0" w:firstLine="0" w:firstLineChars="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pStyle w:val="3"/>
        <w:pageBreakBefore w:val="0"/>
        <w:kinsoku/>
        <w:wordWrap/>
        <w:overflowPunct w:val="0"/>
        <w:topLinePunct w:val="0"/>
        <w:autoSpaceDE/>
        <w:autoSpaceDN/>
        <w:bidi w:val="0"/>
        <w:adjustRightInd/>
        <w:snapToGrid/>
        <w:spacing w:before="0" w:line="600" w:lineRule="exact"/>
        <w:ind w:left="0" w:leftChars="0" w:firstLine="643" w:firstLineChars="200"/>
        <w:jc w:val="center"/>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第四部分</w:t>
      </w:r>
      <w:bookmarkEnd w:id="360"/>
      <w:bookmarkEnd w:id="361"/>
      <w:bookmarkEnd w:id="362"/>
      <w:r>
        <w:rPr>
          <w:rFonts w:hint="eastAsia"/>
          <w:color w:val="000000" w:themeColor="text1"/>
          <w:highlight w:val="none"/>
          <w:lang w:eastAsia="zh-CN"/>
          <w14:textFill>
            <w14:solidFill>
              <w14:schemeClr w14:val="tx1"/>
            </w14:solidFill>
          </w14:textFill>
        </w:rPr>
        <w:t>招标需求</w:t>
      </w:r>
      <w:bookmarkEnd w:id="363"/>
      <w:bookmarkStart w:id="366" w:name="_Toc8098"/>
    </w:p>
    <w:p>
      <w:pPr>
        <w:autoSpaceDE w:val="0"/>
        <w:spacing w:line="5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一、项目名称：</w:t>
      </w:r>
      <w:r>
        <w:rPr>
          <w:rFonts w:hint="eastAsia" w:ascii="仿宋" w:hAnsi="仿宋" w:eastAsia="仿宋" w:cs="仿宋"/>
          <w:color w:val="000000" w:themeColor="text1"/>
          <w:sz w:val="24"/>
          <w:szCs w:val="24"/>
          <w:highlight w:val="none"/>
          <w14:textFill>
            <w14:solidFill>
              <w14:schemeClr w14:val="tx1"/>
            </w14:solidFill>
          </w14:textFill>
        </w:rPr>
        <w:t>乌鲁木齐信用信息共享平台和信用信息网站运营服务项目</w:t>
      </w:r>
    </w:p>
    <w:p>
      <w:pPr>
        <w:pageBreakBefore w:val="0"/>
        <w:widowControl w:val="0"/>
        <w:kinsoku/>
        <w:wordWrap/>
        <w:overflowPunct w:val="0"/>
        <w:topLinePunct w:val="0"/>
        <w:autoSpaceDE/>
        <w:autoSpaceDN/>
        <w:bidi w:val="0"/>
        <w:adjustRightInd/>
        <w:snapToGrid/>
        <w:spacing w:line="600" w:lineRule="exact"/>
        <w:ind w:firstLine="482"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二、实施目标：</w:t>
      </w:r>
      <w:r>
        <w:rPr>
          <w:rFonts w:hint="eastAsia" w:ascii="仿宋" w:hAnsi="仿宋" w:cs="仿宋"/>
          <w:color w:val="000000" w:themeColor="text1"/>
          <w:sz w:val="24"/>
          <w:szCs w:val="24"/>
          <w:highlight w:val="none"/>
          <w:lang w:eastAsia="zh-CN"/>
          <w14:textFill>
            <w14:solidFill>
              <w14:schemeClr w14:val="tx1"/>
            </w14:solidFill>
          </w14:textFill>
        </w:rPr>
        <w:t>为贯彻落实国家及自治区关于社会信用体系建设工作要求，对照《国家公共信用信息中心印发&lt;城市信用状况监测预警指标（2022年版）&gt;的通知》，为乌市提供城市信用监测排名提升及七类行政管理信息归集排名提升的信用咨询服务及技术支持服务，由乌市信用牵头部门协调信用成员单位形成合力共同提升乌市信用监测排名至全国36个省会及副省级以上城市排名30名以内；七类行政管理信息归集工作在全疆通报中提升至全疆前3名。</w:t>
      </w:r>
    </w:p>
    <w:p>
      <w:pPr>
        <w:autoSpaceDE w:val="0"/>
        <w:spacing w:line="56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三、实施内容：</w:t>
      </w:r>
    </w:p>
    <w:p>
      <w:pPr>
        <w:numPr>
          <w:ilvl w:val="0"/>
          <w:numId w:val="19"/>
        </w:numPr>
        <w:autoSpaceDE w:val="0"/>
        <w:spacing w:line="560" w:lineRule="exact"/>
        <w:ind w:left="425" w:leftChars="0" w:hanging="5" w:firstLineChars="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提升乌市信用监测排名</w:t>
      </w:r>
      <w:r>
        <w:rPr>
          <w:rFonts w:hint="eastAsia" w:ascii="仿宋" w:hAnsi="仿宋" w:eastAsia="仿宋" w:cs="仿宋"/>
          <w:b/>
          <w:bCs/>
          <w:color w:val="000000" w:themeColor="text1"/>
          <w:sz w:val="24"/>
          <w:szCs w:val="24"/>
          <w:highlight w:val="none"/>
          <w14:textFill>
            <w14:solidFill>
              <w14:schemeClr w14:val="tx1"/>
            </w14:solidFill>
          </w14:textFill>
        </w:rPr>
        <w:t>。</w:t>
      </w:r>
    </w:p>
    <w:p>
      <w:pPr>
        <w:autoSpaceDE w:val="0"/>
        <w:spacing w:line="560" w:lineRule="exact"/>
        <w:ind w:firstLine="482" w:firstLineChars="20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一是</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围绕《城市信用状况监测预警指标（2022年版）》34项指标每月总结现状、分析问题、制定下月推进措施；</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二是</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每月通过国家信用监测平台报送相关信息，并与自治区、国家相关部门核实并异议处理乌市基于监测平台报送信息、基于信用平台报送数据信息及国家通过大数据监测信息的一致性；</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三是</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提供城市监测指标涉及34项指标的相关专题培训，推进信用制度、信用报告、信用评价，信用档案、信用监管、信用承诺等服务的落地；</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四是</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提供现场驻场人员1名，协助乌市信用体系建设现场服务相关工作。</w:t>
      </w:r>
    </w:p>
    <w:p>
      <w:pPr>
        <w:numPr>
          <w:ilvl w:val="0"/>
          <w:numId w:val="19"/>
        </w:numPr>
        <w:autoSpaceDE w:val="0"/>
        <w:spacing w:line="560" w:lineRule="exact"/>
        <w:ind w:left="425" w:leftChars="0" w:hanging="5" w:firstLineChars="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提升乌市信用信息平台正常化应用水平。</w:t>
      </w:r>
    </w:p>
    <w:p>
      <w:pPr>
        <w:autoSpaceDE w:val="0"/>
        <w:spacing w:line="56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根据</w:t>
      </w:r>
      <w:r>
        <w:rPr>
          <w:rFonts w:hint="eastAsia" w:ascii="仿宋" w:hAnsi="仿宋" w:eastAsia="仿宋" w:cs="仿宋"/>
          <w:color w:val="000000" w:themeColor="text1"/>
          <w:sz w:val="24"/>
          <w:szCs w:val="24"/>
          <w:highlight w:val="none"/>
          <w14:textFill>
            <w14:solidFill>
              <w14:schemeClr w14:val="tx1"/>
            </w14:solidFill>
          </w14:textFill>
        </w:rPr>
        <w:t>《城市信用状况监测预警指标（2022年版）》</w:t>
      </w:r>
      <w:r>
        <w:rPr>
          <w:rFonts w:hint="eastAsia" w:ascii="仿宋" w:hAnsi="仿宋" w:eastAsia="仿宋" w:cs="仿宋"/>
          <w:color w:val="000000" w:themeColor="text1"/>
          <w:sz w:val="24"/>
          <w:szCs w:val="24"/>
          <w:highlight w:val="none"/>
          <w:lang w:val="en-US" w:eastAsia="zh-CN"/>
          <w14:textFill>
            <w14:solidFill>
              <w14:schemeClr w14:val="tx1"/>
            </w14:solidFill>
          </w14:textFill>
        </w:rPr>
        <w:t>指标中关于数据归集、信用业务开展等工作要求，测试</w:t>
      </w:r>
      <w:r>
        <w:rPr>
          <w:rFonts w:hint="eastAsia" w:ascii="仿宋" w:hAnsi="仿宋" w:eastAsia="仿宋" w:cs="仿宋"/>
          <w:color w:val="000000" w:themeColor="text1"/>
          <w:sz w:val="24"/>
          <w:szCs w:val="24"/>
          <w:highlight w:val="none"/>
          <w14:textFill>
            <w14:solidFill>
              <w14:schemeClr w14:val="tx1"/>
            </w14:solidFill>
          </w14:textFill>
        </w:rPr>
        <w:t>乌鲁木齐信用信息共享平台和信用信息网站</w:t>
      </w:r>
      <w:r>
        <w:rPr>
          <w:rFonts w:hint="eastAsia" w:ascii="仿宋" w:hAnsi="仿宋" w:eastAsia="仿宋" w:cs="仿宋"/>
          <w:color w:val="000000" w:themeColor="text1"/>
          <w:sz w:val="24"/>
          <w:szCs w:val="24"/>
          <w:highlight w:val="none"/>
          <w:lang w:val="en-US" w:eastAsia="zh-CN"/>
          <w14:textFill>
            <w14:solidFill>
              <w14:schemeClr w14:val="tx1"/>
            </w14:solidFill>
          </w14:textFill>
        </w:rPr>
        <w:t>功能，并提出平台升级改造需求及方案。</w:t>
      </w:r>
    </w:p>
    <w:p>
      <w:pPr>
        <w:numPr>
          <w:ilvl w:val="0"/>
          <w:numId w:val="19"/>
        </w:numPr>
        <w:autoSpaceDE w:val="0"/>
        <w:spacing w:line="560" w:lineRule="exact"/>
        <w:ind w:left="425" w:leftChars="0" w:hanging="5" w:firstLineChars="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提升乌市信用信息平台应用水平，确保平台归集数据质量进入全疆前列。</w:t>
      </w:r>
    </w:p>
    <w:p>
      <w:pPr>
        <w:autoSpaceDE w:val="0"/>
        <w:spacing w:line="56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根据《城市信用状况监测预警指标（2022年版）》指标中关于数据归集、信用业务开展等工作要求，测试乌鲁木齐信用信息共享平台和信用信息网站功能，并提出平台升级改造需求及方案。</w:t>
      </w:r>
    </w:p>
    <w:p>
      <w:pPr>
        <w:numPr>
          <w:ilvl w:val="0"/>
          <w:numId w:val="0"/>
        </w:numPr>
        <w:autoSpaceDE w:val="0"/>
        <w:spacing w:line="560" w:lineRule="exact"/>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cs="仿宋"/>
          <w:b/>
          <w:bCs/>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开展平台等保三级测评。</w:t>
      </w:r>
    </w:p>
    <w:p>
      <w:pPr>
        <w:autoSpaceDE w:val="0"/>
        <w:spacing w:line="560" w:lineRule="exact"/>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就</w:t>
      </w:r>
      <w:r>
        <w:rPr>
          <w:rFonts w:hint="eastAsia" w:ascii="仿宋" w:hAnsi="仿宋" w:eastAsia="仿宋" w:cs="仿宋"/>
          <w:color w:val="000000" w:themeColor="text1"/>
          <w:sz w:val="24"/>
          <w:szCs w:val="24"/>
          <w:highlight w:val="none"/>
          <w14:textFill>
            <w14:solidFill>
              <w14:schemeClr w14:val="tx1"/>
            </w14:solidFill>
          </w14:textFill>
        </w:rPr>
        <w:t>乌鲁木齐信用信息共享平台和信用信息网站</w:t>
      </w:r>
      <w:r>
        <w:rPr>
          <w:rFonts w:hint="eastAsia" w:ascii="仿宋" w:hAnsi="仿宋" w:eastAsia="仿宋" w:cs="仿宋"/>
          <w:color w:val="000000" w:themeColor="text1"/>
          <w:sz w:val="24"/>
          <w:szCs w:val="24"/>
          <w:highlight w:val="none"/>
          <w:lang w:val="en-US" w:eastAsia="zh-CN"/>
          <w14:textFill>
            <w14:solidFill>
              <w14:schemeClr w14:val="tx1"/>
            </w14:solidFill>
          </w14:textFill>
        </w:rPr>
        <w:t>开展</w:t>
      </w:r>
      <w:r>
        <w:rPr>
          <w:rFonts w:hint="eastAsia" w:ascii="仿宋" w:hAnsi="仿宋" w:cs="仿宋"/>
          <w:color w:val="000000" w:themeColor="text1"/>
          <w:sz w:val="24"/>
          <w:szCs w:val="24"/>
          <w:highlight w:val="none"/>
          <w:lang w:val="en-US" w:eastAsia="zh-CN"/>
          <w14:textFill>
            <w14:solidFill>
              <w14:schemeClr w14:val="tx1"/>
            </w14:solidFill>
          </w14:textFill>
        </w:rPr>
        <w:t>三级</w:t>
      </w:r>
      <w:r>
        <w:rPr>
          <w:rFonts w:hint="eastAsia" w:ascii="仿宋" w:hAnsi="仿宋" w:eastAsia="仿宋" w:cs="仿宋"/>
          <w:color w:val="000000" w:themeColor="text1"/>
          <w:sz w:val="24"/>
          <w:szCs w:val="24"/>
          <w:highlight w:val="none"/>
          <w:lang w:val="en-US" w:eastAsia="zh-CN"/>
          <w14:textFill>
            <w14:solidFill>
              <w14:schemeClr w14:val="tx1"/>
            </w14:solidFill>
          </w14:textFill>
        </w:rPr>
        <w:t>等保测评服务。</w:t>
      </w:r>
    </w:p>
    <w:p>
      <w:pPr>
        <w:numPr>
          <w:ilvl w:val="0"/>
          <w:numId w:val="0"/>
        </w:numPr>
        <w:autoSpaceDE w:val="0"/>
        <w:spacing w:line="560" w:lineRule="exact"/>
        <w:ind w:firstLine="482" w:firstLineChars="200"/>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cs="仿宋"/>
          <w:b/>
          <w:bCs/>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开展乌市信用信息归集服务</w:t>
      </w:r>
    </w:p>
    <w:p>
      <w:pPr>
        <w:autoSpaceDE w:val="0"/>
        <w:spacing w:line="560" w:lineRule="exact"/>
        <w:ind w:firstLine="480" w:firstLineChars="20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为乌市各市直部门及七区一县提供信用信息归集专题培训、技术支持、每月通报信息统计分析等服务，乌市信用牵头部门需按照供应商提供的咨询意见和建议推进工作的落地实施，形成合力将乌市七类行政管理信息归集工作在全疆通报中提升至全疆前3名。</w:t>
      </w:r>
    </w:p>
    <w:p>
      <w:pPr>
        <w:autoSpaceDE w:val="0"/>
        <w:spacing w:line="560" w:lineRule="exact"/>
        <w:ind w:firstLine="482"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四、服务年限：</w:t>
      </w:r>
      <w:r>
        <w:rPr>
          <w:rFonts w:hint="eastAsia" w:ascii="仿宋" w:hAnsi="仿宋" w:eastAsia="仿宋" w:cs="仿宋"/>
          <w:b w:val="0"/>
          <w:bCs w:val="0"/>
          <w:color w:val="000000" w:themeColor="text1"/>
          <w:sz w:val="24"/>
          <w:szCs w:val="24"/>
          <w:highlight w:val="none"/>
          <w14:textFill>
            <w14:solidFill>
              <w14:schemeClr w14:val="tx1"/>
            </w14:solidFill>
          </w14:textFill>
        </w:rPr>
        <w:t>签订合同后</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val="0"/>
          <w:bCs w:val="0"/>
          <w:color w:val="000000" w:themeColor="text1"/>
          <w:sz w:val="24"/>
          <w:szCs w:val="24"/>
          <w:highlight w:val="none"/>
          <w14:textFill>
            <w14:solidFill>
              <w14:schemeClr w14:val="tx1"/>
            </w14:solidFill>
          </w14:textFill>
        </w:rPr>
        <w:t>个月</w:t>
      </w:r>
    </w:p>
    <w:p>
      <w:pPr>
        <w:rPr>
          <w:rFonts w:hint="eastAsia" w:ascii="仿宋" w:hAnsi="仿宋" w:eastAsia="仿宋" w:cs="仿宋"/>
          <w:color w:val="000000" w:themeColor="text1"/>
          <w:sz w:val="24"/>
          <w:szCs w:val="24"/>
          <w:highlight w:val="none"/>
          <w14:textFill>
            <w14:solidFill>
              <w14:schemeClr w14:val="tx1"/>
            </w14:solidFill>
          </w14:textFill>
        </w:rPr>
      </w:pPr>
    </w:p>
    <w:p>
      <w:pPr>
        <w:pageBreakBefore w:val="0"/>
        <w:kinsoku/>
        <w:wordWrap/>
        <w:overflowPunct w:val="0"/>
        <w:topLinePunct w:val="0"/>
        <w:autoSpaceDE/>
        <w:autoSpaceDN/>
        <w:bidi w:val="0"/>
        <w:adjustRightInd/>
        <w:snapToGrid/>
        <w:spacing w:line="600" w:lineRule="exact"/>
        <w:ind w:firstLine="480" w:firstLineChars="200"/>
        <w:rPr>
          <w:color w:val="000000" w:themeColor="text1"/>
          <w:highlight w:val="none"/>
          <w:lang w:eastAsia="zh-CN"/>
          <w14:textFill>
            <w14:solidFill>
              <w14:schemeClr w14:val="tx1"/>
            </w14:solidFill>
          </w14:textFill>
        </w:rPr>
      </w:pPr>
    </w:p>
    <w:p>
      <w:pPr>
        <w:pageBreakBefore w:val="0"/>
        <w:kinsoku/>
        <w:wordWrap/>
        <w:overflowPunct w:val="0"/>
        <w:topLinePunct w:val="0"/>
        <w:autoSpaceDE/>
        <w:autoSpaceDN/>
        <w:bidi w:val="0"/>
        <w:adjustRightInd/>
        <w:snapToGrid/>
        <w:spacing w:line="600" w:lineRule="exact"/>
        <w:ind w:firstLine="480"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pStyle w:val="3"/>
        <w:pageBreakBefore w:val="0"/>
        <w:kinsoku/>
        <w:wordWrap/>
        <w:overflowPunct w:val="0"/>
        <w:topLinePunct w:val="0"/>
        <w:autoSpaceDE/>
        <w:autoSpaceDN/>
        <w:bidi w:val="0"/>
        <w:adjustRightInd/>
        <w:snapToGrid/>
        <w:spacing w:line="600" w:lineRule="exact"/>
        <w:ind w:firstLine="643" w:firstLineChars="20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第五部分投标文件格式</w:t>
      </w:r>
      <w:bookmarkEnd w:id="366"/>
    </w:p>
    <w:p>
      <w:pPr>
        <w:pStyle w:val="39"/>
        <w:pageBreakBefore w:val="0"/>
        <w:kinsoku/>
        <w:wordWrap/>
        <w:overflowPunct w:val="0"/>
        <w:topLinePunct w:val="0"/>
        <w:autoSpaceDE/>
        <w:autoSpaceDN/>
        <w:bidi w:val="0"/>
        <w:adjustRightInd/>
        <w:snapToGrid/>
        <w:spacing w:after="0" w:line="600" w:lineRule="exact"/>
        <w:ind w:left="0" w:firstLine="480" w:firstLineChars="200"/>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目录</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一、投标函（附件一）；</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二、开标一览表（附件二）；</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三、分项报价表（附件三）；</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四、法定代表人身份证明书（附件四）；</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五、法定代表人授权委托书（附件五）；</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六、企业基本情况（附件六）；</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七、公司简介（后附营业执照（事业单位法人证书）、税务登记证、组织机</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构代码证、相应的代理资质、保证金交纳情况等企业相关资料）（附件七）；</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八、资格审查及符合性审查要求材料、</w:t>
      </w:r>
      <w:r>
        <w:rPr>
          <w:rFonts w:hint="eastAsia"/>
          <w:color w:val="000000" w:themeColor="text1"/>
          <w:highlight w:val="none"/>
          <w:lang w:val="en-US" w:eastAsia="zh-CN"/>
          <w14:textFill>
            <w14:solidFill>
              <w14:schemeClr w14:val="tx1"/>
            </w14:solidFill>
          </w14:textFill>
        </w:rPr>
        <w:t>按照招标文件要求提供</w:t>
      </w:r>
      <w:r>
        <w:rPr>
          <w:rFonts w:hint="eastAsia"/>
          <w:color w:val="000000" w:themeColor="text1"/>
          <w:highlight w:val="none"/>
          <w:lang w:eastAsia="zh-CN"/>
          <w14:textFill>
            <w14:solidFill>
              <w14:schemeClr w14:val="tx1"/>
            </w14:solidFill>
          </w14:textFill>
        </w:rPr>
        <w:t>（自行提供）</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九、投标人参加招标采购活动3年内在经营活动中无重大违法记录的声明；（附件八）</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十、项目负责人及团队人员（人员配备）简历表（附件九）</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十一、项目承接能力投标人提供近3年业绩（附件十）；</w:t>
      </w:r>
      <w:r>
        <w:rPr>
          <w:rFonts w:hint="eastAsia" w:ascii="仿宋" w:hAnsi="仿宋"/>
          <w:color w:val="000000" w:themeColor="text1"/>
          <w:kern w:val="2"/>
          <w:highlight w:val="none"/>
          <w:lang w:val="en-US" w:eastAsia="zh-CN"/>
          <w14:textFill>
            <w14:solidFill>
              <w14:schemeClr w14:val="tx1"/>
            </w14:solidFill>
          </w14:textFill>
        </w:rPr>
        <w:t>招标文件要求业绩内容及证明材料</w:t>
      </w:r>
      <w:r>
        <w:rPr>
          <w:rFonts w:hint="eastAsia" w:ascii="仿宋" w:hAnsi="仿宋"/>
          <w:color w:val="000000" w:themeColor="text1"/>
          <w:kern w:val="2"/>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自行提供，针对于此次采购要求、及评审标准为主</w:t>
      </w:r>
      <w:r>
        <w:rPr>
          <w:rFonts w:hint="eastAsia" w:ascii="仿宋" w:hAnsi="仿宋"/>
          <w:color w:val="000000" w:themeColor="text1"/>
          <w:kern w:val="2"/>
          <w:highlight w:val="none"/>
          <w:lang w:eastAsia="zh-CN"/>
          <w14:textFill>
            <w14:solidFill>
              <w14:schemeClr w14:val="tx1"/>
            </w14:solidFill>
          </w14:textFill>
        </w:rPr>
        <w:t>）；</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十二、</w:t>
      </w:r>
      <w:r>
        <w:rPr>
          <w:rFonts w:hint="eastAsia" w:ascii="仿宋" w:hAnsi="仿宋" w:eastAsia="仿宋"/>
          <w:color w:val="000000" w:themeColor="text1"/>
          <w:kern w:val="2"/>
          <w:highlight w:val="none"/>
          <w14:textFill>
            <w14:solidFill>
              <w14:schemeClr w14:val="tx1"/>
            </w14:solidFill>
          </w14:textFill>
        </w:rPr>
        <w:t>企业实力</w:t>
      </w:r>
      <w:r>
        <w:rPr>
          <w:rFonts w:hint="eastAsia"/>
          <w:color w:val="000000" w:themeColor="text1"/>
          <w:highlight w:val="none"/>
          <w:lang w:eastAsia="zh-CN"/>
          <w14:textFill>
            <w14:solidFill>
              <w14:schemeClr w14:val="tx1"/>
            </w14:solidFill>
          </w14:textFill>
        </w:rPr>
        <w:t>（自行提供，针对于此次采购要求、及评审标准为主）；</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十三、</w:t>
      </w:r>
      <w:r>
        <w:rPr>
          <w:rFonts w:hint="eastAsia" w:ascii="仿宋" w:hAnsi="仿宋" w:eastAsia="仿宋"/>
          <w:color w:val="000000" w:themeColor="text1"/>
          <w:kern w:val="2"/>
          <w:highlight w:val="none"/>
          <w14:textFill>
            <w14:solidFill>
              <w14:schemeClr w14:val="tx1"/>
            </w14:solidFill>
          </w14:textFill>
        </w:rPr>
        <w:t>企业履约能力演示</w:t>
      </w:r>
      <w:r>
        <w:rPr>
          <w:rFonts w:hint="eastAsia"/>
          <w:color w:val="000000" w:themeColor="text1"/>
          <w:highlight w:val="none"/>
          <w:lang w:eastAsia="zh-CN"/>
          <w14:textFill>
            <w14:solidFill>
              <w14:schemeClr w14:val="tx1"/>
            </w14:solidFill>
          </w14:textFill>
        </w:rPr>
        <w:t>（自行提供，针对于此次采购要求、及评审标准为主）</w:t>
      </w:r>
      <w:r>
        <w:rPr>
          <w:rFonts w:hint="eastAsia"/>
          <w:color w:val="000000" w:themeColor="text1"/>
          <w:highlight w:val="none"/>
          <w:lang w:val="en-US" w:eastAsia="zh-CN"/>
          <w14:textFill>
            <w14:solidFill>
              <w14:schemeClr w14:val="tx1"/>
            </w14:solidFill>
          </w14:textFill>
        </w:rPr>
        <w:t>按照前附表发送至邮箱</w:t>
      </w:r>
      <w:r>
        <w:rPr>
          <w:rFonts w:hint="eastAsia"/>
          <w:color w:val="000000" w:themeColor="text1"/>
          <w:highlight w:val="none"/>
          <w:lang w:eastAsia="zh-CN"/>
          <w14:textFill>
            <w14:solidFill>
              <w14:schemeClr w14:val="tx1"/>
            </w14:solidFill>
          </w14:textFill>
        </w:rPr>
        <w:t>；</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十四、</w:t>
      </w:r>
      <w:r>
        <w:rPr>
          <w:rFonts w:hint="eastAsia" w:ascii="仿宋" w:hAnsi="仿宋" w:eastAsia="仿宋"/>
          <w:color w:val="000000" w:themeColor="text1"/>
          <w:kern w:val="2"/>
          <w:sz w:val="24"/>
          <w:szCs w:val="24"/>
          <w:highlight w:val="none"/>
          <w14:textFill>
            <w14:solidFill>
              <w14:schemeClr w14:val="tx1"/>
            </w14:solidFill>
          </w14:textFill>
        </w:rPr>
        <w:t>技术方案</w:t>
      </w:r>
      <w:r>
        <w:rPr>
          <w:rFonts w:hint="eastAsia" w:ascii="仿宋" w:hAnsi="仿宋"/>
          <w:color w:val="000000" w:themeColor="text1"/>
          <w:kern w:val="2"/>
          <w:sz w:val="24"/>
          <w:szCs w:val="24"/>
          <w:highlight w:val="none"/>
          <w:lang w:eastAsia="zh-CN"/>
          <w14:textFill>
            <w14:solidFill>
              <w14:schemeClr w14:val="tx1"/>
            </w14:solidFill>
          </w14:textFill>
        </w:rPr>
        <w:t>（</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服务</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方案</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实施计划</w:t>
      </w:r>
      <w:r>
        <w:rPr>
          <w:rFonts w:hint="eastAsia" w:ascii="仿宋" w:hAnsi="仿宋"/>
          <w:color w:val="000000" w:themeColor="text1"/>
          <w:kern w:val="2"/>
          <w:sz w:val="24"/>
          <w:szCs w:val="24"/>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（自行提供，针对于此次采购要求、及评审标准为主）；</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十五、</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服务</w:t>
      </w:r>
      <w:r>
        <w:rPr>
          <w:rFonts w:hint="eastAsia" w:ascii="仿宋" w:hAnsi="仿宋" w:cs="仿宋"/>
          <w:i w:val="0"/>
          <w:iCs w:val="0"/>
          <w:color w:val="000000" w:themeColor="text1"/>
          <w:kern w:val="0"/>
          <w:sz w:val="24"/>
          <w:szCs w:val="24"/>
          <w:highlight w:val="none"/>
          <w:u w:val="none"/>
          <w:lang w:val="en-US" w:eastAsia="zh-CN" w:bidi="ar"/>
          <w14:textFill>
            <w14:solidFill>
              <w14:schemeClr w14:val="tx1"/>
            </w14:solidFill>
          </w14:textFill>
        </w:rPr>
        <w:t>进度计划、</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驻场服务</w:t>
      </w:r>
      <w:r>
        <w:rPr>
          <w:rFonts w:hint="eastAsia"/>
          <w:color w:val="000000" w:themeColor="text1"/>
          <w:highlight w:val="none"/>
          <w:lang w:eastAsia="zh-CN"/>
          <w14:textFill>
            <w14:solidFill>
              <w14:schemeClr w14:val="tx1"/>
            </w14:solidFill>
          </w14:textFill>
        </w:rPr>
        <w:t>（自行提供，针对于此次采购要求、及评审标准为主）；</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十六、服务需求偏离表（附件十一）；</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lang w:eastAsia="zh-CN"/>
          <w14:textFill>
            <w14:solidFill>
              <w14:schemeClr w14:val="tx1"/>
            </w14:solidFill>
          </w14:textFill>
        </w:rPr>
        <w:t>、其他资料（投标人认为有必要提供的有利于自身的其它材料）（附件十二）</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十</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lang w:eastAsia="zh-CN"/>
          <w14:textFill>
            <w14:solidFill>
              <w14:schemeClr w14:val="tx1"/>
            </w14:solidFill>
          </w14:textFill>
        </w:rPr>
        <w:t>、（中小微企业证明文件等（如有）（附件十三）</w:t>
      </w:r>
    </w:p>
    <w:p>
      <w:pPr>
        <w:pStyle w:val="6"/>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十九</w:t>
      </w:r>
      <w:r>
        <w:rPr>
          <w:rFonts w:hint="eastAsia"/>
          <w:color w:val="000000" w:themeColor="text1"/>
          <w:highlight w:val="none"/>
          <w:lang w:eastAsia="zh-CN"/>
          <w14:textFill>
            <w14:solidFill>
              <w14:schemeClr w14:val="tx1"/>
            </w14:solidFill>
          </w14:textFill>
        </w:rPr>
        <w:t>、其他证明文件（附件十四）</w:t>
      </w:r>
    </w:p>
    <w:p>
      <w:pPr>
        <w:pageBreakBefore w:val="0"/>
        <w:widowControl w:val="0"/>
        <w:kinsoku/>
        <w:wordWrap/>
        <w:overflowPunct w:val="0"/>
        <w:topLinePunct w:val="0"/>
        <w:autoSpaceDE/>
        <w:autoSpaceDN/>
        <w:bidi w:val="0"/>
        <w:adjustRightInd/>
        <w:snapToGrid/>
        <w:spacing w:line="600" w:lineRule="exact"/>
        <w:ind w:firstLine="480" w:firstLineChars="200"/>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注：以上材料须加盖单位公章，投标人需将投标文件按上述顺序装订成册。</w:t>
      </w:r>
    </w:p>
    <w:p>
      <w:pPr>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pPr>
        <w:pStyle w:val="32"/>
        <w:rPr>
          <w:rFonts w:hint="eastAsia"/>
          <w:color w:val="000000" w:themeColor="text1"/>
          <w:highlight w:val="none"/>
          <w:lang w:eastAsia="zh-CN"/>
          <w14:textFill>
            <w14:solidFill>
              <w14:schemeClr w14:val="tx1"/>
            </w14:solidFill>
          </w14:textFill>
        </w:rPr>
      </w:pPr>
    </w:p>
    <w:p>
      <w:pPr>
        <w:pStyle w:val="39"/>
        <w:pageBreakBefore w:val="0"/>
        <w:kinsoku/>
        <w:wordWrap/>
        <w:overflowPunct w:val="0"/>
        <w:topLinePunct w:val="0"/>
        <w:autoSpaceDE/>
        <w:autoSpaceDN/>
        <w:bidi w:val="0"/>
        <w:adjustRightInd/>
        <w:snapToGrid/>
        <w:spacing w:after="0" w:line="600" w:lineRule="exact"/>
        <w:ind w:left="0" w:firstLine="482" w:firstLineChars="200"/>
        <w:jc w:val="both"/>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附件一</w:t>
      </w:r>
    </w:p>
    <w:p>
      <w:pPr>
        <w:pStyle w:val="39"/>
        <w:pageBreakBefore w:val="0"/>
        <w:kinsoku/>
        <w:wordWrap/>
        <w:overflowPunct w:val="0"/>
        <w:topLinePunct w:val="0"/>
        <w:autoSpaceDE/>
        <w:autoSpaceDN/>
        <w:bidi w:val="0"/>
        <w:adjustRightInd/>
        <w:snapToGrid/>
        <w:spacing w:after="0" w:line="600" w:lineRule="exact"/>
        <w:ind w:left="0" w:firstLine="480" w:firstLineChars="200"/>
        <w:jc w:val="center"/>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投标函</w:t>
      </w:r>
    </w:p>
    <w:p>
      <w:pPr>
        <w:pStyle w:val="45"/>
        <w:pageBreakBefore w:val="0"/>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致：</w:t>
      </w:r>
      <w:r>
        <w:rPr>
          <w:rFonts w:hint="eastAsia" w:ascii="仿宋" w:hAnsi="仿宋" w:eastAsia="仿宋" w:cs="仿宋"/>
          <w:color w:val="000000" w:themeColor="text1"/>
          <w:highlight w:val="none"/>
          <w:u w:val="single"/>
          <w:lang w:eastAsia="zh-CN"/>
          <w14:textFill>
            <w14:solidFill>
              <w14:schemeClr w14:val="tx1"/>
            </w14:solidFill>
          </w14:textFill>
        </w:rPr>
        <w:t>（招标人）</w:t>
      </w:r>
      <w:r>
        <w:rPr>
          <w:rFonts w:hint="eastAsia" w:ascii="仿宋" w:hAnsi="仿宋" w:eastAsia="仿宋" w:cs="仿宋"/>
          <w:color w:val="000000" w:themeColor="text1"/>
          <w:highlight w:val="none"/>
          <w:lang w:eastAsia="zh-CN"/>
          <w14:textFill>
            <w14:solidFill>
              <w14:schemeClr w14:val="tx1"/>
            </w14:solidFill>
          </w14:textFill>
        </w:rPr>
        <w:t>：</w:t>
      </w:r>
    </w:p>
    <w:p>
      <w:pPr>
        <w:pStyle w:val="45"/>
        <w:pageBreakBefore w:val="0"/>
        <w:tabs>
          <w:tab w:val="left" w:pos="8649"/>
        </w:tabs>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经研究，我们决定参加编号为</w:t>
      </w:r>
      <w:r>
        <w:rPr>
          <w:rFonts w:hint="eastAsia" w:ascii="仿宋" w:hAnsi="仿宋" w:eastAsia="仿宋" w:cs="仿宋"/>
          <w:color w:val="000000" w:themeColor="text1"/>
          <w:highlight w:val="none"/>
          <w:u w:val="singl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的招标投标活动，为此，我方正式授权</w:t>
      </w:r>
      <w:r>
        <w:rPr>
          <w:rFonts w:hint="eastAsia" w:ascii="仿宋" w:hAnsi="仿宋" w:eastAsia="仿宋" w:cs="仿宋"/>
          <w:color w:val="000000" w:themeColor="text1"/>
          <w:highlight w:val="none"/>
          <w:u w:val="single"/>
          <w:lang w:eastAsia="zh-CN"/>
          <w14:textFill>
            <w14:solidFill>
              <w14:schemeClr w14:val="tx1"/>
            </w14:solidFill>
          </w14:textFill>
        </w:rPr>
        <w:t>（委托代理人）</w:t>
      </w:r>
      <w:r>
        <w:rPr>
          <w:rFonts w:hint="eastAsia" w:ascii="仿宋" w:hAnsi="仿宋" w:eastAsia="仿宋" w:cs="仿宋"/>
          <w:color w:val="000000" w:themeColor="text1"/>
          <w:highlight w:val="none"/>
          <w:lang w:eastAsia="zh-CN"/>
          <w14:textFill>
            <w14:solidFill>
              <w14:schemeClr w14:val="tx1"/>
            </w14:solidFill>
          </w14:textFill>
        </w:rPr>
        <w:t>代表我公司签署投标文件,郑重声明以下诸点，并负法律责任。</w:t>
      </w:r>
    </w:p>
    <w:p>
      <w:pPr>
        <w:pStyle w:val="45"/>
        <w:pageBreakBefore w:val="0"/>
        <w:tabs>
          <w:tab w:val="left" w:pos="1468"/>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000000" w:themeColor="text1"/>
          <w:highlight w:val="none"/>
          <w:lang w:eastAsia="zh-CN"/>
          <w14:textFill>
            <w14:solidFill>
              <w14:schemeClr w14:val="tx1"/>
            </w14:solidFill>
          </w14:textFill>
        </w:rPr>
      </w:pPr>
      <w:bookmarkStart w:id="367" w:name="bookmark432"/>
      <w:r>
        <w:rPr>
          <w:rFonts w:hint="eastAsia" w:ascii="仿宋" w:hAnsi="仿宋" w:eastAsia="仿宋" w:cs="仿宋"/>
          <w:color w:val="000000" w:themeColor="text1"/>
          <w:highlight w:val="none"/>
          <w:lang w:eastAsia="zh-CN"/>
          <w14:textFill>
            <w14:solidFill>
              <w14:schemeClr w14:val="tx1"/>
            </w14:solidFill>
          </w14:textFill>
        </w:rPr>
        <w:t>一</w:t>
      </w:r>
      <w:bookmarkEnd w:id="367"/>
      <w:r>
        <w:rPr>
          <w:rFonts w:hint="eastAsia" w:ascii="仿宋" w:hAnsi="仿宋" w:eastAsia="仿宋" w:cs="仿宋"/>
          <w:color w:val="000000" w:themeColor="text1"/>
          <w:highlight w:val="none"/>
          <w:lang w:eastAsia="zh-CN"/>
          <w14:textFill>
            <w14:solidFill>
              <w14:schemeClr w14:val="tx1"/>
            </w14:solidFill>
          </w14:textFill>
        </w:rPr>
        <w:t>、我方</w:t>
      </w:r>
      <w:r>
        <w:rPr>
          <w:rFonts w:hint="eastAsia" w:ascii="仿宋" w:hAnsi="仿宋" w:eastAsia="仿宋" w:cs="仿宋"/>
          <w:color w:val="000000" w:themeColor="text1"/>
          <w:highlight w:val="none"/>
          <w:lang w:val="en-US" w:eastAsia="zh-CN"/>
          <w14:textFill>
            <w14:solidFill>
              <w14:schemeClr w14:val="tx1"/>
            </w14:solidFill>
          </w14:textFill>
        </w:rPr>
        <w:t>中标后将递交纸质版投标文件三份（一正二副）（包括电子版：光盘和U盘各1份）</w:t>
      </w:r>
      <w:r>
        <w:rPr>
          <w:rFonts w:hint="eastAsia" w:ascii="仿宋" w:hAnsi="仿宋" w:eastAsia="仿宋" w:cs="仿宋"/>
          <w:color w:val="000000" w:themeColor="text1"/>
          <w:highlight w:val="none"/>
          <w:lang w:eastAsia="zh-CN"/>
          <w14:textFill>
            <w14:solidFill>
              <w14:schemeClr w14:val="tx1"/>
            </w14:solidFill>
          </w14:textFill>
        </w:rPr>
        <w:t>。</w:t>
      </w:r>
    </w:p>
    <w:p>
      <w:pPr>
        <w:pStyle w:val="45"/>
        <w:pageBreakBefore w:val="0"/>
        <w:tabs>
          <w:tab w:val="left" w:pos="1490"/>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000000" w:themeColor="text1"/>
          <w:highlight w:val="none"/>
          <w:lang w:eastAsia="zh-CN"/>
          <w14:textFill>
            <w14:solidFill>
              <w14:schemeClr w14:val="tx1"/>
            </w14:solidFill>
          </w14:textFill>
        </w:rPr>
      </w:pPr>
      <w:bookmarkStart w:id="368" w:name="bookmark433"/>
      <w:r>
        <w:rPr>
          <w:rFonts w:hint="eastAsia" w:ascii="仿宋" w:hAnsi="仿宋" w:eastAsia="仿宋" w:cs="仿宋"/>
          <w:color w:val="000000" w:themeColor="text1"/>
          <w:highlight w:val="none"/>
          <w:lang w:eastAsia="zh-CN"/>
          <w14:textFill>
            <w14:solidFill>
              <w14:schemeClr w14:val="tx1"/>
            </w14:solidFill>
          </w14:textFill>
        </w:rPr>
        <w:t>二</w:t>
      </w:r>
      <w:bookmarkEnd w:id="368"/>
      <w:r>
        <w:rPr>
          <w:rFonts w:hint="eastAsia" w:ascii="仿宋" w:hAnsi="仿宋" w:eastAsia="仿宋" w:cs="仿宋"/>
          <w:color w:val="000000" w:themeColor="text1"/>
          <w:highlight w:val="none"/>
          <w:lang w:eastAsia="zh-CN"/>
          <w14:textFill>
            <w14:solidFill>
              <w14:schemeClr w14:val="tx1"/>
            </w14:solidFill>
          </w14:textFill>
        </w:rPr>
        <w:t>、如果我方的投标文件被接受，我方将履行公开招标文件中规定的每项要求，并按我方投标文件中的承诺按期、按质、按量履约；</w:t>
      </w:r>
    </w:p>
    <w:p>
      <w:pPr>
        <w:pStyle w:val="45"/>
        <w:pageBreakBefore w:val="0"/>
        <w:tabs>
          <w:tab w:val="left" w:pos="1494"/>
        </w:tabs>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000000" w:themeColor="text1"/>
          <w:highlight w:val="none"/>
          <w:lang w:eastAsia="zh-CN"/>
          <w14:textFill>
            <w14:solidFill>
              <w14:schemeClr w14:val="tx1"/>
            </w14:solidFill>
          </w14:textFill>
        </w:rPr>
      </w:pPr>
      <w:bookmarkStart w:id="369" w:name="bookmark434"/>
      <w:r>
        <w:rPr>
          <w:rFonts w:hint="eastAsia" w:ascii="仿宋" w:hAnsi="仿宋" w:eastAsia="仿宋" w:cs="仿宋"/>
          <w:color w:val="000000" w:themeColor="text1"/>
          <w:highlight w:val="none"/>
          <w:lang w:eastAsia="zh-CN"/>
          <w14:textFill>
            <w14:solidFill>
              <w14:schemeClr w14:val="tx1"/>
            </w14:solidFill>
          </w14:textFill>
        </w:rPr>
        <w:t>三</w:t>
      </w:r>
      <w:bookmarkEnd w:id="369"/>
      <w:r>
        <w:rPr>
          <w:rFonts w:hint="eastAsia" w:ascii="仿宋" w:hAnsi="仿宋" w:eastAsia="仿宋" w:cs="仿宋"/>
          <w:color w:val="000000" w:themeColor="text1"/>
          <w:highlight w:val="none"/>
          <w:lang w:eastAsia="zh-CN"/>
          <w14:textFill>
            <w14:solidFill>
              <w14:schemeClr w14:val="tx1"/>
            </w14:solidFill>
          </w14:textFill>
        </w:rPr>
        <w:t>、我方理解，最低报价不是中标的唯一条件，你们有选择投标人的权利；</w:t>
      </w:r>
    </w:p>
    <w:p>
      <w:pPr>
        <w:pStyle w:val="45"/>
        <w:pageBreakBefore w:val="0"/>
        <w:tabs>
          <w:tab w:val="left" w:pos="1512"/>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000000" w:themeColor="text1"/>
          <w:highlight w:val="none"/>
          <w:lang w:eastAsia="zh-CN"/>
          <w14:textFill>
            <w14:solidFill>
              <w14:schemeClr w14:val="tx1"/>
            </w14:solidFill>
          </w14:textFill>
        </w:rPr>
      </w:pPr>
      <w:bookmarkStart w:id="370" w:name="bookmark435"/>
      <w:r>
        <w:rPr>
          <w:rFonts w:hint="eastAsia" w:ascii="仿宋" w:hAnsi="仿宋" w:eastAsia="仿宋" w:cs="仿宋"/>
          <w:color w:val="000000" w:themeColor="text1"/>
          <w:highlight w:val="none"/>
          <w:lang w:eastAsia="zh-CN"/>
          <w14:textFill>
            <w14:solidFill>
              <w14:schemeClr w14:val="tx1"/>
            </w14:solidFill>
          </w14:textFill>
        </w:rPr>
        <w:t>四</w:t>
      </w:r>
      <w:bookmarkEnd w:id="370"/>
      <w:r>
        <w:rPr>
          <w:rFonts w:hint="eastAsia" w:ascii="仿宋" w:hAnsi="仿宋" w:eastAsia="仿宋" w:cs="仿宋"/>
          <w:color w:val="000000" w:themeColor="text1"/>
          <w:highlight w:val="none"/>
          <w:lang w:eastAsia="zh-CN"/>
          <w14:textFill>
            <w14:solidFill>
              <w14:schemeClr w14:val="tx1"/>
            </w14:solidFill>
          </w14:textFill>
        </w:rPr>
        <w:t>、我方愿按《中华人民共和国合同法》及其他有关法律、法规的规定，自觉履行自己的全部责任；</w:t>
      </w:r>
    </w:p>
    <w:p>
      <w:pPr>
        <w:pStyle w:val="45"/>
        <w:pageBreakBefore w:val="0"/>
        <w:tabs>
          <w:tab w:val="left" w:pos="1498"/>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000000" w:themeColor="text1"/>
          <w:highlight w:val="none"/>
          <w:lang w:eastAsia="zh-CN"/>
          <w14:textFill>
            <w14:solidFill>
              <w14:schemeClr w14:val="tx1"/>
            </w14:solidFill>
          </w14:textFill>
        </w:rPr>
      </w:pPr>
      <w:bookmarkStart w:id="371" w:name="bookmark436"/>
      <w:r>
        <w:rPr>
          <w:rFonts w:hint="eastAsia" w:ascii="仿宋" w:hAnsi="仿宋" w:eastAsia="仿宋" w:cs="仿宋"/>
          <w:color w:val="000000" w:themeColor="text1"/>
          <w:highlight w:val="none"/>
          <w:lang w:eastAsia="zh-CN"/>
          <w14:textFill>
            <w14:solidFill>
              <w14:schemeClr w14:val="tx1"/>
            </w14:solidFill>
          </w14:textFill>
        </w:rPr>
        <w:t>五</w:t>
      </w:r>
      <w:bookmarkEnd w:id="371"/>
      <w:r>
        <w:rPr>
          <w:rFonts w:hint="eastAsia" w:ascii="仿宋" w:hAnsi="仿宋" w:eastAsia="仿宋" w:cs="仿宋"/>
          <w:color w:val="000000" w:themeColor="text1"/>
          <w:highlight w:val="none"/>
          <w:lang w:eastAsia="zh-CN"/>
          <w14:textFill>
            <w14:solidFill>
              <w14:schemeClr w14:val="tx1"/>
            </w14:solidFill>
          </w14:textFill>
        </w:rPr>
        <w:t>、我方同意按公开招标文件的规定交纳投标保证金、中标服务费，遵守贵方有关投标的各项规定；</w:t>
      </w:r>
    </w:p>
    <w:p>
      <w:pPr>
        <w:pStyle w:val="45"/>
        <w:pageBreakBefore w:val="0"/>
        <w:tabs>
          <w:tab w:val="left" w:pos="1494"/>
        </w:tabs>
        <w:kinsoku/>
        <w:wordWrap/>
        <w:overflowPunct w:val="0"/>
        <w:topLinePunct w:val="0"/>
        <w:autoSpaceDE/>
        <w:autoSpaceDN/>
        <w:bidi w:val="0"/>
        <w:adjustRightInd/>
        <w:snapToGrid/>
        <w:spacing w:after="0" w:line="600" w:lineRule="exact"/>
        <w:ind w:firstLine="480" w:firstLineChars="200"/>
        <w:jc w:val="both"/>
        <w:rPr>
          <w:rFonts w:ascii="仿宋" w:hAnsi="仿宋" w:eastAsia="仿宋" w:cs="仿宋"/>
          <w:color w:val="000000" w:themeColor="text1"/>
          <w:highlight w:val="none"/>
          <w:lang w:eastAsia="zh-CN"/>
          <w14:textFill>
            <w14:solidFill>
              <w14:schemeClr w14:val="tx1"/>
            </w14:solidFill>
          </w14:textFill>
        </w:rPr>
      </w:pPr>
      <w:bookmarkStart w:id="372" w:name="bookmark437"/>
      <w:r>
        <w:rPr>
          <w:rFonts w:hint="eastAsia" w:ascii="仿宋" w:hAnsi="仿宋" w:eastAsia="仿宋" w:cs="仿宋"/>
          <w:color w:val="000000" w:themeColor="text1"/>
          <w:highlight w:val="none"/>
          <w:lang w:eastAsia="zh-CN"/>
          <w14:textFill>
            <w14:solidFill>
              <w14:schemeClr w14:val="tx1"/>
            </w14:solidFill>
          </w14:textFill>
        </w:rPr>
        <w:t>六</w:t>
      </w:r>
      <w:bookmarkEnd w:id="372"/>
      <w:r>
        <w:rPr>
          <w:rFonts w:hint="eastAsia" w:ascii="仿宋" w:hAnsi="仿宋" w:eastAsia="仿宋" w:cs="仿宋"/>
          <w:color w:val="000000" w:themeColor="text1"/>
          <w:highlight w:val="none"/>
          <w:lang w:eastAsia="zh-CN"/>
          <w14:textFill>
            <w14:solidFill>
              <w14:schemeClr w14:val="tx1"/>
            </w14:solidFill>
          </w14:textFill>
        </w:rPr>
        <w:t>、招标人若发现中标候选人在投标过程中提供虚假证明文件，故意隐瞒公司不良信誉、业绩及财务状况，以及存在可能对合同圆满履行造成风险的其他因素等，则按规定取消其中标资格，监管部门依法进行处理。</w:t>
      </w:r>
    </w:p>
    <w:p>
      <w:pPr>
        <w:pStyle w:val="45"/>
        <w:pageBreakBefore w:val="0"/>
        <w:tabs>
          <w:tab w:val="left" w:pos="1494"/>
        </w:tabs>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000000" w:themeColor="text1"/>
          <w:highlight w:val="none"/>
          <w:lang w:eastAsia="zh-CN"/>
          <w14:textFill>
            <w14:solidFill>
              <w14:schemeClr w14:val="tx1"/>
            </w14:solidFill>
          </w14:textFill>
        </w:rPr>
      </w:pPr>
      <w:bookmarkStart w:id="373" w:name="bookmark438"/>
      <w:r>
        <w:rPr>
          <w:rFonts w:hint="eastAsia" w:ascii="仿宋" w:hAnsi="仿宋" w:eastAsia="仿宋" w:cs="仿宋"/>
          <w:color w:val="000000" w:themeColor="text1"/>
          <w:highlight w:val="none"/>
          <w:lang w:eastAsia="zh-CN"/>
          <w14:textFill>
            <w14:solidFill>
              <w14:schemeClr w14:val="tx1"/>
            </w14:solidFill>
          </w14:textFill>
        </w:rPr>
        <w:t>七</w:t>
      </w:r>
      <w:bookmarkEnd w:id="373"/>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r>
        <w:rPr>
          <w:rFonts w:hint="eastAsia" w:ascii="仿宋" w:hAnsi="仿宋" w:eastAsia="仿宋" w:cs="仿宋"/>
          <w:color w:val="000000" w:themeColor="text1"/>
          <w:highlight w:val="none"/>
          <w:lang w:eastAsia="zh-CN"/>
          <w14:textFill>
            <w14:solidFill>
              <w14:schemeClr w14:val="tx1"/>
            </w14:solidFill>
          </w14:textFill>
        </w:rPr>
        <w:t>我方的投标文件有效期为9</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lang w:eastAsia="zh-CN"/>
          <w14:textFill>
            <w14:solidFill>
              <w14:schemeClr w14:val="tx1"/>
            </w14:solidFill>
          </w14:textFill>
        </w:rPr>
        <w:t>天。</w:t>
      </w:r>
    </w:p>
    <w:p>
      <w:pPr>
        <w:pStyle w:val="45"/>
        <w:pageBreakBefore w:val="0"/>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pageBreakBefore w:val="0"/>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pageBreakBefore w:val="0"/>
        <w:kinsoku/>
        <w:wordWrap/>
        <w:overflowPunct w:val="0"/>
        <w:topLinePunct w:val="0"/>
        <w:autoSpaceDE/>
        <w:autoSpaceDN/>
        <w:bidi w:val="0"/>
        <w:adjustRightInd/>
        <w:snapToGrid/>
        <w:spacing w:after="0" w:line="600" w:lineRule="exact"/>
        <w:ind w:firstLine="480" w:firstLineChars="20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pageBreakBefore w:val="0"/>
        <w:widowControl/>
        <w:kinsoku/>
        <w:wordWrap/>
        <w:overflowPunct w:val="0"/>
        <w:topLinePunct w:val="0"/>
        <w:autoSpaceDE/>
        <w:autoSpaceDN/>
        <w:bidi w:val="0"/>
        <w:adjustRightInd/>
        <w:snapToGrid/>
        <w:spacing w:line="600" w:lineRule="exact"/>
        <w:ind w:firstLine="480" w:firstLineChars="200"/>
        <w:rPr>
          <w:rFonts w:ascii="仿宋" w:hAnsi="仿宋" w:cs="仿宋"/>
          <w:color w:val="000000" w:themeColor="text1"/>
          <w:highlight w:val="none"/>
          <w:lang w:eastAsia="zh-CN"/>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39"/>
        <w:spacing w:after="0"/>
        <w:ind w:left="0"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附件二</w:t>
      </w:r>
    </w:p>
    <w:p>
      <w:pPr>
        <w:pStyle w:val="39"/>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报价一览表</w:t>
      </w:r>
    </w:p>
    <w:tbl>
      <w:tblPr>
        <w:tblStyle w:val="23"/>
        <w:tblW w:w="9190" w:type="dxa"/>
        <w:jc w:val="center"/>
        <w:tblLayout w:type="fixed"/>
        <w:tblCellMar>
          <w:top w:w="0" w:type="dxa"/>
          <w:left w:w="10" w:type="dxa"/>
          <w:bottom w:w="0" w:type="dxa"/>
          <w:right w:w="10" w:type="dxa"/>
        </w:tblCellMar>
      </w:tblPr>
      <w:tblGrid>
        <w:gridCol w:w="1883"/>
        <w:gridCol w:w="2474"/>
        <w:gridCol w:w="1366"/>
        <w:gridCol w:w="3467"/>
      </w:tblGrid>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单位名称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项目编号</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项目名称</w:t>
            </w:r>
          </w:p>
        </w:tc>
        <w:tc>
          <w:tcPr>
            <w:tcW w:w="7307"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798" w:hRule="exact"/>
          <w:jc w:val="center"/>
        </w:trPr>
        <w:tc>
          <w:tcPr>
            <w:tcW w:w="1883"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366" w:type="dxa"/>
            <w:tcBorders>
              <w:top w:val="single" w:color="auto" w:sz="4" w:space="0"/>
              <w:left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1" w:hRule="exact"/>
          <w:jc w:val="center"/>
        </w:trPr>
        <w:tc>
          <w:tcPr>
            <w:tcW w:w="1883"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p>
        </w:tc>
        <w:tc>
          <w:tcPr>
            <w:tcW w:w="247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366" w:type="dxa"/>
            <w:tcBorders>
              <w:top w:val="single" w:color="auto" w:sz="4" w:space="0"/>
              <w:left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467"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2374" w:hRule="exact"/>
          <w:jc w:val="center"/>
        </w:trPr>
        <w:tc>
          <w:tcPr>
            <w:tcW w:w="1883"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投标总价</w:t>
            </w:r>
          </w:p>
        </w:tc>
        <w:tc>
          <w:tcPr>
            <w:tcW w:w="7307" w:type="dxa"/>
            <w:gridSpan w:val="3"/>
            <w:tcBorders>
              <w:top w:val="single" w:color="auto" w:sz="4" w:space="0"/>
              <w:left w:val="single" w:color="auto" w:sz="4" w:space="0"/>
              <w:right w:val="single" w:color="auto" w:sz="4" w:space="0"/>
            </w:tcBorders>
            <w:shd w:val="clear" w:color="auto" w:fill="FFFFFF"/>
            <w:vAlign w:val="center"/>
          </w:tcPr>
          <w:p>
            <w:pPr>
              <w:pStyle w:val="47"/>
              <w:tabs>
                <w:tab w:val="left" w:leader="underscore" w:pos="6440"/>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ab/>
            </w:r>
          </w:p>
          <w:p>
            <w:pPr>
              <w:pStyle w:val="47"/>
              <w:tabs>
                <w:tab w:val="left" w:leader="underscore" w:pos="6469"/>
              </w:tabs>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人民币（大写）：</w:t>
            </w:r>
            <w:r>
              <w:rPr>
                <w:rFonts w:hint="eastAsia" w:ascii="仿宋" w:hAnsi="仿宋" w:eastAsia="仿宋" w:cs="仿宋"/>
                <w:color w:val="000000" w:themeColor="text1"/>
                <w:highlight w:val="none"/>
                <w:lang w:eastAsia="zh-CN"/>
                <w14:textFill>
                  <w14:solidFill>
                    <w14:schemeClr w14:val="tx1"/>
                  </w14:solidFill>
                </w14:textFill>
              </w:rPr>
              <w:tab/>
            </w:r>
          </w:p>
        </w:tc>
      </w:tr>
      <w:tr>
        <w:tblPrEx>
          <w:tblCellMar>
            <w:top w:w="0" w:type="dxa"/>
            <w:left w:w="10" w:type="dxa"/>
            <w:bottom w:w="0" w:type="dxa"/>
            <w:right w:w="10" w:type="dxa"/>
          </w:tblCellMar>
        </w:tblPrEx>
        <w:trPr>
          <w:trHeight w:val="647" w:hRule="exact"/>
          <w:jc w:val="center"/>
        </w:trPr>
        <w:tc>
          <w:tcPr>
            <w:tcW w:w="1883" w:type="dxa"/>
            <w:tcBorders>
              <w:top w:val="single" w:color="auto" w:sz="4" w:space="0"/>
              <w:left w:val="single" w:color="auto" w:sz="4" w:space="0"/>
              <w:bottom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项目服务期</w:t>
            </w:r>
          </w:p>
        </w:tc>
        <w:tc>
          <w:tcPr>
            <w:tcW w:w="7307" w:type="dxa"/>
            <w:gridSpan w:val="3"/>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pStyle w:val="41"/>
        <w:spacing w:after="0"/>
        <w:ind w:firstLine="480"/>
        <w:jc w:val="left"/>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p>
    <w:p>
      <w:pPr>
        <w:pStyle w:val="60"/>
        <w:numPr>
          <w:ilvl w:val="0"/>
          <w:numId w:val="20"/>
        </w:numPr>
        <w:ind w:firstLineChars="0"/>
        <w:rPr>
          <w:color w:val="000000" w:themeColor="text1"/>
          <w:highlight w:val="none"/>
          <w:lang w:eastAsia="zh-CN"/>
          <w14:textFill>
            <w14:solidFill>
              <w14:schemeClr w14:val="tx1"/>
            </w14:solidFill>
          </w14:textFill>
        </w:rPr>
      </w:pPr>
      <w:bookmarkStart w:id="374" w:name="bookmark439"/>
      <w:bookmarkEnd w:id="374"/>
      <w:r>
        <w:rPr>
          <w:rFonts w:hint="eastAsia"/>
          <w:color w:val="000000" w:themeColor="text1"/>
          <w:highlight w:val="none"/>
          <w:lang w:eastAsia="zh-CN"/>
          <w14:textFill>
            <w14:solidFill>
              <w14:schemeClr w14:val="tx1"/>
            </w14:solidFill>
          </w14:textFill>
        </w:rPr>
        <w:t>投标货币为人民币。本项目为总价合同，在数量不发生变化时，不得变动价格;</w:t>
      </w:r>
      <w:bookmarkStart w:id="375" w:name="bookmark442"/>
      <w:bookmarkEnd w:id="375"/>
      <w:bookmarkStart w:id="376" w:name="_Toc29416"/>
      <w:bookmarkStart w:id="377" w:name="_Toc15590"/>
      <w:bookmarkStart w:id="378" w:name="bookmark441"/>
      <w:bookmarkStart w:id="379" w:name="_Toc9549"/>
      <w:bookmarkStart w:id="380" w:name="bookmark443"/>
      <w:bookmarkStart w:id="381" w:name="bookmark440"/>
    </w:p>
    <w:bookmarkEnd w:id="376"/>
    <w:bookmarkEnd w:id="377"/>
    <w:bookmarkEnd w:id="378"/>
    <w:bookmarkEnd w:id="379"/>
    <w:bookmarkEnd w:id="380"/>
    <w:bookmarkEnd w:id="381"/>
    <w:p>
      <w:pPr>
        <w:pStyle w:val="60"/>
        <w:numPr>
          <w:ilvl w:val="0"/>
          <w:numId w:val="20"/>
        </w:numPr>
        <w:ind w:firstLineChars="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所有响应表格应根据投标人预算方式自行编制。</w:t>
      </w:r>
    </w:p>
    <w:p>
      <w:pPr>
        <w:pStyle w:val="41"/>
        <w:tabs>
          <w:tab w:val="left" w:pos="1197"/>
        </w:tabs>
        <w:spacing w:after="0"/>
        <w:ind w:firstLineChars="0"/>
        <w:jc w:val="left"/>
        <w:rPr>
          <w:rFonts w:ascii="仿宋" w:hAnsi="仿宋" w:eastAsia="仿宋" w:cs="仿宋"/>
          <w:color w:val="000000" w:themeColor="text1"/>
          <w:sz w:val="24"/>
          <w:szCs w:val="24"/>
          <w:highlight w:val="none"/>
          <w:lang w:eastAsia="zh-CN"/>
          <w14:textFill>
            <w14:solidFill>
              <w14:schemeClr w14:val="tx1"/>
            </w14:solidFill>
          </w14:textFill>
        </w:rPr>
      </w:pPr>
    </w:p>
    <w:p>
      <w:pPr>
        <w:widowControl/>
        <w:spacing w:line="240" w:lineRule="auto"/>
        <w:ind w:firstLine="0" w:firstLineChars="0"/>
        <w:rPr>
          <w:rFonts w:ascii="仿宋" w:hAnsi="仿宋" w:cs="仿宋"/>
          <w:color w:val="000000" w:themeColor="text1"/>
          <w:highlight w:val="none"/>
          <w:lang w:val="zh-TW" w:eastAsia="zh-CN" w:bidi="zh-TW"/>
          <w14:textFill>
            <w14:solidFill>
              <w14:schemeClr w14:val="tx1"/>
            </w14:solidFill>
          </w14:textFill>
        </w:rPr>
      </w:pPr>
      <w:r>
        <w:rPr>
          <w:rFonts w:ascii="仿宋" w:hAnsi="仿宋" w:cs="仿宋"/>
          <w:b/>
          <w:bCs/>
          <w:color w:val="000000" w:themeColor="text1"/>
          <w:highlight w:val="none"/>
          <w:lang w:eastAsia="zh-CN"/>
          <w14:textFill>
            <w14:solidFill>
              <w14:schemeClr w14:val="tx1"/>
            </w14:solidFill>
          </w14:textFill>
        </w:rPr>
        <w:br w:type="page"/>
      </w:r>
    </w:p>
    <w:p>
      <w:pPr>
        <w:pStyle w:val="39"/>
        <w:spacing w:after="0"/>
        <w:ind w:left="0"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附件三</w:t>
      </w:r>
    </w:p>
    <w:p>
      <w:pPr>
        <w:pStyle w:val="39"/>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分项报价表</w:t>
      </w:r>
    </w:p>
    <w:tbl>
      <w:tblPr>
        <w:tblStyle w:val="23"/>
        <w:tblW w:w="0" w:type="auto"/>
        <w:jc w:val="center"/>
        <w:tblLayout w:type="fixed"/>
        <w:tblCellMar>
          <w:top w:w="0" w:type="dxa"/>
          <w:left w:w="10" w:type="dxa"/>
          <w:bottom w:w="0" w:type="dxa"/>
          <w:right w:w="10" w:type="dxa"/>
        </w:tblCellMar>
      </w:tblPr>
      <w:tblGrid>
        <w:gridCol w:w="970"/>
        <w:gridCol w:w="987"/>
        <w:gridCol w:w="5402"/>
        <w:gridCol w:w="1794"/>
      </w:tblGrid>
      <w:tr>
        <w:tblPrEx>
          <w:tblCellMar>
            <w:top w:w="0" w:type="dxa"/>
            <w:left w:w="10" w:type="dxa"/>
            <w:bottom w:w="0" w:type="dxa"/>
            <w:right w:w="10" w:type="dxa"/>
          </w:tblCellMar>
        </w:tblPrEx>
        <w:trPr>
          <w:trHeight w:val="498" w:hRule="exact"/>
          <w:jc w:val="center"/>
        </w:trPr>
        <w:tc>
          <w:tcPr>
            <w:tcW w:w="970" w:type="dxa"/>
            <w:tcBorders>
              <w:top w:val="single" w:color="auto" w:sz="4" w:space="0"/>
              <w:left w:val="single" w:color="auto" w:sz="4" w:space="0"/>
            </w:tcBorders>
            <w:shd w:val="clear" w:color="auto" w:fill="FFFFFF"/>
            <w:vAlign w:val="center"/>
          </w:tcPr>
          <w:p>
            <w:pPr>
              <w:pStyle w:val="47"/>
              <w:ind w:firstLine="240" w:firstLineChars="10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序号</w:t>
            </w:r>
          </w:p>
        </w:tc>
        <w:tc>
          <w:tcPr>
            <w:tcW w:w="987" w:type="dxa"/>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总项内容</w:t>
            </w:r>
          </w:p>
        </w:tc>
        <w:tc>
          <w:tcPr>
            <w:tcW w:w="5402"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分项项目</w:t>
            </w:r>
          </w:p>
        </w:tc>
        <w:tc>
          <w:tcPr>
            <w:tcW w:w="1794" w:type="dxa"/>
            <w:tcBorders>
              <w:top w:val="single" w:color="auto" w:sz="4" w:space="0"/>
              <w:left w:val="single" w:color="auto" w:sz="4" w:space="0"/>
              <w:righ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总价（元）</w:t>
            </w: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987"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1" w:hRule="exact"/>
          <w:jc w:val="center"/>
        </w:trPr>
        <w:tc>
          <w:tcPr>
            <w:tcW w:w="970" w:type="dxa"/>
            <w:vMerge w:val="restart"/>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p>
        </w:tc>
        <w:tc>
          <w:tcPr>
            <w:tcW w:w="987" w:type="dxa"/>
            <w:vMerge w:val="restart"/>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其他费用</w:t>
            </w:r>
          </w:p>
        </w:tc>
        <w:tc>
          <w:tcPr>
            <w:tcW w:w="5402" w:type="dxa"/>
            <w:tcBorders>
              <w:top w:val="single" w:color="auto" w:sz="4" w:space="0"/>
              <w:lef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税金</w:t>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95" w:hRule="exact"/>
          <w:jc w:val="center"/>
        </w:trPr>
        <w:tc>
          <w:tcPr>
            <w:tcW w:w="970"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987"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5402" w:type="dxa"/>
            <w:tcBorders>
              <w:top w:val="single" w:color="auto" w:sz="4" w:space="0"/>
              <w:left w:val="single" w:color="auto" w:sz="4" w:space="0"/>
            </w:tcBorders>
            <w:shd w:val="clear" w:color="auto" w:fill="FFFFFF"/>
            <w:vAlign w:val="bottom"/>
          </w:tcPr>
          <w:p>
            <w:pPr>
              <w:pStyle w:val="47"/>
              <w:tabs>
                <w:tab w:val="left" w:leader="dot" w:pos="628"/>
              </w:tabs>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en-US" w:bidi="en-US"/>
                <w14:textFill>
                  <w14:solidFill>
                    <w14:schemeClr w14:val="tx1"/>
                  </w14:solidFill>
                </w14:textFill>
              </w:rPr>
              <w:tab/>
            </w:r>
          </w:p>
        </w:tc>
        <w:tc>
          <w:tcPr>
            <w:tcW w:w="1794"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97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987" w:type="dxa"/>
            <w:tcBorders>
              <w:top w:val="single" w:color="auto" w:sz="4" w:space="0"/>
              <w:left w:val="single" w:color="auto" w:sz="4" w:space="0"/>
              <w:bottom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合计</w:t>
            </w:r>
          </w:p>
        </w:tc>
        <w:tc>
          <w:tcPr>
            <w:tcW w:w="540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94"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注：</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1、投标人应根据所需费用分项进行填报，表中表格行数可自行添加。</w:t>
      </w:r>
    </w:p>
    <w:p>
      <w:pPr>
        <w:ind w:firstLine="480"/>
        <w:rPr>
          <w:color w:val="000000" w:themeColor="text1"/>
          <w:highlight w:val="none"/>
          <w:lang w:eastAsia="zh-CN"/>
          <w14:textFill>
            <w14:solidFill>
              <w14:schemeClr w14:val="tx1"/>
            </w14:solidFill>
          </w14:textFill>
        </w:rPr>
      </w:pPr>
      <w:bookmarkStart w:id="382" w:name="bookmark445"/>
      <w:r>
        <w:rPr>
          <w:rFonts w:hint="eastAsia"/>
          <w:color w:val="000000" w:themeColor="text1"/>
          <w:highlight w:val="none"/>
          <w:lang w:eastAsia="zh-CN"/>
          <w14:textFill>
            <w14:solidFill>
              <w14:schemeClr w14:val="tx1"/>
            </w14:solidFill>
          </w14:textFill>
        </w:rPr>
        <w:t>2</w:t>
      </w:r>
      <w:bookmarkEnd w:id="382"/>
      <w:r>
        <w:rPr>
          <w:rFonts w:hint="eastAsia"/>
          <w:color w:val="000000" w:themeColor="text1"/>
          <w:highlight w:val="none"/>
          <w:lang w:eastAsia="zh-CN"/>
          <w14:textFill>
            <w14:solidFill>
              <w14:schemeClr w14:val="tx1"/>
            </w14:solidFill>
          </w14:textFill>
        </w:rPr>
        <w:t>、公开招标文件中未列出的相关辅助材料和在实施过程中涉及到的其它一切费用应在报价时一并考虑，项目实施过程中不再单独结算。</w:t>
      </w:r>
    </w:p>
    <w:p>
      <w:pPr>
        <w:ind w:firstLine="480"/>
        <w:rPr>
          <w:color w:val="000000" w:themeColor="text1"/>
          <w:highlight w:val="none"/>
          <w:lang w:eastAsia="zh-CN"/>
          <w14:textFill>
            <w14:solidFill>
              <w14:schemeClr w14:val="tx1"/>
            </w14:solidFill>
          </w14:textFill>
        </w:rPr>
      </w:pPr>
      <w:bookmarkStart w:id="383" w:name="bookmark446"/>
      <w:r>
        <w:rPr>
          <w:rFonts w:hint="eastAsia"/>
          <w:color w:val="000000" w:themeColor="text1"/>
          <w:highlight w:val="none"/>
          <w:lang w:eastAsia="zh-CN"/>
          <w14:textFill>
            <w14:solidFill>
              <w14:schemeClr w14:val="tx1"/>
            </w14:solidFill>
          </w14:textFill>
        </w:rPr>
        <w:t>3</w:t>
      </w:r>
      <w:bookmarkEnd w:id="383"/>
      <w:r>
        <w:rPr>
          <w:rFonts w:hint="eastAsia"/>
          <w:color w:val="000000" w:themeColor="text1"/>
          <w:highlight w:val="none"/>
          <w:lang w:eastAsia="zh-CN"/>
          <w14:textFill>
            <w14:solidFill>
              <w14:schemeClr w14:val="tx1"/>
            </w14:solidFill>
          </w14:textFill>
        </w:rPr>
        <w:t>、</w:t>
      </w:r>
      <w:r>
        <w:rPr>
          <w:rFonts w:hint="eastAsia"/>
          <w:color w:val="000000" w:themeColor="text1"/>
          <w:highlight w:val="none"/>
          <w:u w:val="single"/>
          <w:lang w:eastAsia="zh-CN"/>
          <w14:textFill>
            <w14:solidFill>
              <w14:schemeClr w14:val="tx1"/>
            </w14:solidFill>
          </w14:textFill>
        </w:rPr>
        <w:t>表中投标报价总计应与对应报价一览表中投标总价一致。</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pStyle w:val="39"/>
        <w:tabs>
          <w:tab w:val="left" w:pos="2951"/>
          <w:tab w:val="left" w:pos="8737"/>
        </w:tabs>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sectPr>
          <w:pgSz w:w="11900" w:h="16840"/>
          <w:pgMar w:top="1500" w:right="1403" w:bottom="1500" w:left="1344" w:header="0" w:footer="3" w:gutter="0"/>
          <w:cols w:space="720" w:num="1"/>
          <w:docGrid w:linePitch="360" w:charSpace="0"/>
        </w:sectPr>
      </w:pPr>
    </w:p>
    <w:p>
      <w:pPr>
        <w:tabs>
          <w:tab w:val="center" w:pos="7115"/>
          <w:tab w:val="right" w:pos="14230"/>
        </w:tabs>
        <w:ind w:firstLine="482"/>
        <w:rPr>
          <w:rFonts w:ascii="仿宋" w:hAnsi="仿宋" w:cs="仿宋"/>
          <w:b/>
          <w:bCs/>
          <w:color w:val="000000" w:themeColor="text1"/>
          <w:highlight w:val="none"/>
          <w:lang w:eastAsia="zh-CN"/>
          <w14:textFill>
            <w14:solidFill>
              <w14:schemeClr w14:val="tx1"/>
            </w14:solidFill>
          </w14:textFill>
        </w:rPr>
      </w:pPr>
      <w:bookmarkStart w:id="384" w:name="_Hlk69314452"/>
      <w:r>
        <w:rPr>
          <w:rFonts w:hint="eastAsia" w:ascii="仿宋" w:hAnsi="仿宋" w:cs="仿宋"/>
          <w:b/>
          <w:bCs/>
          <w:color w:val="000000" w:themeColor="text1"/>
          <w:highlight w:val="none"/>
          <w:lang w:eastAsia="zh-CN"/>
          <w14:textFill>
            <w14:solidFill>
              <w14:schemeClr w14:val="tx1"/>
            </w14:solidFill>
          </w14:textFill>
        </w:rPr>
        <w:t>附件四</w:t>
      </w:r>
      <w:bookmarkEnd w:id="384"/>
    </w:p>
    <w:p>
      <w:pPr>
        <w:tabs>
          <w:tab w:val="center" w:pos="7115"/>
          <w:tab w:val="right" w:pos="14230"/>
        </w:tabs>
        <w:ind w:firstLine="560"/>
        <w:jc w:val="center"/>
        <w:rPr>
          <w:rFonts w:ascii="仿宋" w:hAnsi="仿宋" w:cs="仿宋"/>
          <w:color w:val="000000" w:themeColor="text1"/>
          <w:sz w:val="28"/>
          <w:szCs w:val="28"/>
          <w:highlight w:val="none"/>
          <w:lang w:eastAsia="zh-CN"/>
          <w14:textFill>
            <w14:solidFill>
              <w14:schemeClr w14:val="tx1"/>
            </w14:solidFill>
          </w14:textFill>
        </w:rPr>
      </w:pPr>
      <w:r>
        <w:rPr>
          <w:rFonts w:hint="eastAsia" w:ascii="仿宋" w:hAnsi="仿宋" w:cs="仿宋"/>
          <w:color w:val="000000" w:themeColor="text1"/>
          <w:sz w:val="28"/>
          <w:szCs w:val="28"/>
          <w:highlight w:val="none"/>
          <w:lang w:eastAsia="zh-CN"/>
          <w14:textFill>
            <w14:solidFill>
              <w14:schemeClr w14:val="tx1"/>
            </w14:solidFill>
          </w14:textFill>
        </w:rPr>
        <w:t>法定代表人身份证明书</w:t>
      </w:r>
    </w:p>
    <w:p>
      <w:pPr>
        <w:shd w:val="clear" w:color="auto" w:fill="FFFFFF"/>
        <w:spacing w:line="440" w:lineRule="exact"/>
        <w:ind w:firstLine="480"/>
        <w:rPr>
          <w:rFonts w:ascii="仿宋" w:hAnsi="仿宋" w:cs="仿宋"/>
          <w:color w:val="000000" w:themeColor="text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highlight w:val="none"/>
          <w:u w:val="singl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单位名称：</w:t>
      </w:r>
    </w:p>
    <w:p>
      <w:pPr>
        <w:shd w:val="clear" w:color="auto" w:fill="FFFFFF"/>
        <w:spacing w:line="440" w:lineRule="exact"/>
        <w:ind w:firstLine="480"/>
        <w:rPr>
          <w:rFonts w:ascii="仿宋" w:hAnsi="仿宋" w:cs="仿宋"/>
          <w:color w:val="000000" w:themeColor="text1"/>
          <w:highlight w:val="none"/>
          <w:u w:val="singl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所属行业：</w:t>
      </w:r>
    </w:p>
    <w:p>
      <w:pPr>
        <w:shd w:val="clear" w:color="auto" w:fill="FFFFFF"/>
        <w:spacing w:line="440" w:lineRule="exact"/>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地址：</w:t>
      </w:r>
    </w:p>
    <w:p>
      <w:pPr>
        <w:shd w:val="clear" w:color="auto" w:fill="FFFFFF"/>
        <w:spacing w:line="440" w:lineRule="exact"/>
        <w:ind w:firstLine="480"/>
        <w:rPr>
          <w:rFonts w:ascii="仿宋" w:hAnsi="仿宋" w:cs="仿宋"/>
          <w:color w:val="000000" w:themeColor="text1"/>
          <w:highlight w:val="none"/>
          <w:u w:val="singl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营业期限：</w:t>
      </w:r>
    </w:p>
    <w:p>
      <w:pPr>
        <w:shd w:val="clear" w:color="auto" w:fill="FFFFFF"/>
        <w:spacing w:line="440" w:lineRule="exact"/>
        <w:ind w:firstLine="480"/>
        <w:rPr>
          <w:rFonts w:ascii="仿宋" w:hAnsi="仿宋" w:cs="仿宋"/>
          <w:color w:val="000000" w:themeColor="text1"/>
          <w:highlight w:val="none"/>
          <w:u w:val="singl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成立时间：</w:t>
      </w:r>
    </w:p>
    <w:p>
      <w:pPr>
        <w:shd w:val="clear" w:color="auto" w:fill="FFFFFF"/>
        <w:spacing w:line="440" w:lineRule="exact"/>
        <w:ind w:firstLine="480"/>
        <w:rPr>
          <w:rFonts w:ascii="仿宋" w:hAnsi="仿宋" w:cs="仿宋"/>
          <w:color w:val="000000" w:themeColor="text1"/>
          <w:highlight w:val="none"/>
          <w:u w:val="singl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经营范围：</w:t>
      </w:r>
    </w:p>
    <w:p>
      <w:pPr>
        <w:shd w:val="clear" w:color="auto" w:fill="FFFFFF"/>
        <w:spacing w:line="440" w:lineRule="exact"/>
        <w:ind w:firstLine="480"/>
        <w:rPr>
          <w:rFonts w:ascii="仿宋" w:hAnsi="仿宋" w:cs="仿宋"/>
          <w:color w:val="000000" w:themeColor="text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姓名：性别：年龄：职务：</w:t>
      </w:r>
    </w:p>
    <w:p>
      <w:pPr>
        <w:shd w:val="clear" w:color="auto" w:fill="FFFFFF"/>
        <w:spacing w:line="440" w:lineRule="exact"/>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系</w:t>
      </w:r>
      <w:r>
        <w:rPr>
          <w:rFonts w:hint="eastAsia" w:ascii="仿宋" w:hAnsi="仿宋" w:cs="仿宋"/>
          <w:color w:val="000000" w:themeColor="text1"/>
          <w:highlight w:val="none"/>
          <w:u w:val="single"/>
          <w:lang w:eastAsia="zh-CN"/>
          <w14:textFill>
            <w14:solidFill>
              <w14:schemeClr w14:val="tx1"/>
            </w14:solidFill>
          </w14:textFill>
        </w:rPr>
        <w:t>（供应商名称）</w:t>
      </w:r>
      <w:r>
        <w:rPr>
          <w:rFonts w:hint="eastAsia" w:ascii="仿宋" w:hAnsi="仿宋" w:cs="仿宋"/>
          <w:color w:val="000000" w:themeColor="text1"/>
          <w:highlight w:val="none"/>
          <w:lang w:eastAsia="zh-CN"/>
          <w14:textFill>
            <w14:solidFill>
              <w14:schemeClr w14:val="tx1"/>
            </w14:solidFill>
          </w14:textFill>
        </w:rPr>
        <w:t>的法定代表人。</w:t>
      </w: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r>
        <w:rPr>
          <w:rFonts w:hint="eastAsia" w:ascii="仿宋" w:hAnsi="仿宋" w:cs="仿宋"/>
          <w:color w:val="000000" w:themeColor="text1"/>
          <w:szCs w:val="2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（正面）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77696;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DsGLnWSAIAAJc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DsGLnWSAIAAJcEAAAOAAAA&#10;AAAAAAEAIAAAACkBAABkcnMvZTJvRG9jLnhtbFBLBQYAAAAABgAGAFkBAADjBQAAAAA=&#10;">
                <v:fill on="t" focussize="0,0"/>
                <v:stroke color="#000000" miterlimit="2" joinstyle="miter"/>
                <v:imagedata o:title=""/>
                <o:lock v:ext="edit" aspectratio="f"/>
                <v:textbo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（正面）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v:textbox>
              </v:shape>
            </w:pict>
          </mc:Fallback>
        </mc:AlternateContent>
      </w:r>
      <w:r>
        <w:rPr>
          <w:rFonts w:hint="eastAsia" w:ascii="仿宋" w:hAnsi="仿宋" w:cs="仿宋"/>
          <w:color w:val="000000" w:themeColor="text1"/>
          <w:szCs w:val="21"/>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（背面）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78720;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0xXDn0gCAACX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0xXDn0gCAACXBAAADgAA&#10;AAAAAAABACAAAAAqAQAAZHJzL2Uyb0RvYy54bWxQSwUGAAAAAAYABgBZAQAA5AUAAAAA&#10;">
                <v:fill on="t" focussize="0,0"/>
                <v:stroke color="#000000" miterlimit="2" joinstyle="miter"/>
                <v:imagedata o:title=""/>
                <o:lock v:ext="edit" aspectratio="f"/>
                <v:textbox>
                  <w:txbxContent>
                    <w:p>
                      <w:pPr>
                        <w:ind w:firstLine="480"/>
                      </w:pPr>
                    </w:p>
                    <w:p>
                      <w:pPr>
                        <w:ind w:firstLine="480"/>
                      </w:pPr>
                    </w:p>
                    <w:p>
                      <w:pPr>
                        <w:ind w:firstLine="480"/>
                      </w:pPr>
                    </w:p>
                    <w:p>
                      <w:pPr>
                        <w:ind w:firstLine="480"/>
                      </w:pPr>
                    </w:p>
                    <w:p>
                      <w:pPr>
                        <w:ind w:firstLine="720"/>
                        <w:jc w:val="center"/>
                        <w:rPr>
                          <w:rFonts w:ascii="仿宋" w:hAnsi="仿宋"/>
                          <w:sz w:val="36"/>
                          <w:szCs w:val="36"/>
                          <w:lang w:eastAsia="zh-CN"/>
                        </w:rPr>
                      </w:pPr>
                      <w:r>
                        <w:rPr>
                          <w:rFonts w:hint="eastAsia" w:ascii="仿宋" w:hAnsi="仿宋"/>
                          <w:sz w:val="36"/>
                          <w:szCs w:val="36"/>
                          <w:lang w:eastAsia="zh-CN"/>
                        </w:rPr>
                        <w:t>法定代表人身份证复印件</w:t>
                      </w:r>
                    </w:p>
                    <w:p>
                      <w:pPr>
                        <w:ind w:firstLine="720"/>
                        <w:jc w:val="center"/>
                        <w:rPr>
                          <w:rFonts w:ascii="仿宋" w:hAnsi="仿宋"/>
                          <w:sz w:val="36"/>
                          <w:szCs w:val="36"/>
                        </w:rPr>
                      </w:pPr>
                      <w:r>
                        <w:rPr>
                          <w:rFonts w:hint="eastAsia" w:ascii="仿宋" w:hAnsi="仿宋"/>
                          <w:sz w:val="36"/>
                          <w:szCs w:val="36"/>
                        </w:rPr>
                        <w:t>（背面）</w:t>
                      </w:r>
                    </w:p>
                    <w:p>
                      <w:pPr>
                        <w:ind w:firstLine="480"/>
                      </w:pPr>
                    </w:p>
                    <w:p>
                      <w:pPr>
                        <w:ind w:firstLine="480"/>
                      </w:pPr>
                    </w:p>
                    <w:p>
                      <w:pPr>
                        <w:ind w:firstLine="480"/>
                      </w:pPr>
                    </w:p>
                    <w:p>
                      <w:pPr>
                        <w:ind w:firstLine="480"/>
                      </w:pPr>
                    </w:p>
                    <w:p>
                      <w:pPr>
                        <w:ind w:firstLine="480"/>
                      </w:pPr>
                    </w:p>
                    <w:p>
                      <w:pPr>
                        <w:ind w:firstLine="480"/>
                      </w:pPr>
                    </w:p>
                    <w:p>
                      <w:pPr>
                        <w:ind w:firstLine="640"/>
                        <w:rPr>
                          <w:sz w:val="32"/>
                          <w:szCs w:val="32"/>
                        </w:rPr>
                      </w:pPr>
                    </w:p>
                  </w:txbxContent>
                </v:textbox>
              </v:shape>
            </w:pict>
          </mc:Fallback>
        </mc:AlternateContent>
      </w: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szCs w:val="21"/>
          <w:highlight w:val="none"/>
          <w:lang w:eastAsia="zh-CN"/>
          <w14:textFill>
            <w14:solidFill>
              <w14:schemeClr w14:val="tx1"/>
            </w14:solidFill>
          </w14:textFill>
        </w:rPr>
      </w:pPr>
    </w:p>
    <w:p>
      <w:pPr>
        <w:shd w:val="clear" w:color="auto" w:fill="FFFFFF"/>
        <w:spacing w:line="440" w:lineRule="exact"/>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特此证明。</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ind w:firstLine="482"/>
        <w:rPr>
          <w:b/>
          <w:bCs/>
          <w:color w:val="000000" w:themeColor="text1"/>
          <w:highlight w:val="none"/>
          <w:lang w:eastAsia="zh-CN"/>
          <w14:textFill>
            <w14:solidFill>
              <w14:schemeClr w14:val="tx1"/>
            </w14:solidFill>
          </w14:textFill>
        </w:rPr>
      </w:pPr>
    </w:p>
    <w:p>
      <w:pPr>
        <w:ind w:firstLine="482"/>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附件五</w:t>
      </w:r>
    </w:p>
    <w:p>
      <w:pPr>
        <w:tabs>
          <w:tab w:val="center" w:pos="7115"/>
          <w:tab w:val="right" w:pos="14230"/>
        </w:tabs>
        <w:ind w:firstLine="560"/>
        <w:jc w:val="center"/>
        <w:rPr>
          <w:rFonts w:ascii="仿宋" w:hAnsi="仿宋" w:cs="仿宋"/>
          <w:color w:val="000000" w:themeColor="text1"/>
          <w:sz w:val="28"/>
          <w:szCs w:val="28"/>
          <w:highlight w:val="none"/>
          <w:lang w:eastAsia="zh-CN"/>
          <w14:textFill>
            <w14:solidFill>
              <w14:schemeClr w14:val="tx1"/>
            </w14:solidFill>
          </w14:textFill>
        </w:rPr>
      </w:pPr>
      <w:r>
        <w:rPr>
          <w:rFonts w:hint="eastAsia" w:ascii="仿宋" w:hAnsi="仿宋" w:cs="仿宋"/>
          <w:color w:val="000000" w:themeColor="text1"/>
          <w:sz w:val="28"/>
          <w:szCs w:val="28"/>
          <w:highlight w:val="none"/>
          <w:lang w:eastAsia="zh-CN"/>
          <w14:textFill>
            <w14:solidFill>
              <w14:schemeClr w14:val="tx1"/>
            </w14:solidFill>
          </w14:textFill>
        </w:rPr>
        <w:t>法定代表人授权委托书</w:t>
      </w:r>
    </w:p>
    <w:p>
      <w:pPr>
        <w:shd w:val="clear" w:color="auto" w:fill="FFFFFF"/>
        <w:spacing w:line="440" w:lineRule="exact"/>
        <w:ind w:firstLine="482"/>
        <w:jc w:val="center"/>
        <w:rPr>
          <w:rFonts w:ascii="仿宋" w:hAnsi="仿宋" w:cs="仿宋"/>
          <w:b/>
          <w:bCs/>
          <w:color w:val="000000" w:themeColor="text1"/>
          <w:highlight w:val="none"/>
          <w:lang w:eastAsia="zh-CN"/>
          <w14:textFill>
            <w14:solidFill>
              <w14:schemeClr w14:val="tx1"/>
            </w14:solidFill>
          </w14:textFill>
        </w:rPr>
      </w:pPr>
    </w:p>
    <w:p>
      <w:pPr>
        <w:shd w:val="clear" w:color="auto" w:fill="FFFFFF"/>
        <w:spacing w:line="440" w:lineRule="exact"/>
        <w:ind w:firstLine="453" w:firstLineChars="189"/>
        <w:rPr>
          <w:rFonts w:ascii="仿宋" w:hAnsi="仿宋" w:cs="仿宋"/>
          <w:bCs/>
          <w:color w:val="000000" w:themeColor="text1"/>
          <w:highlight w:val="none"/>
          <w:u w:val="single"/>
          <w:lang w:eastAsia="zh-CN"/>
          <w14:textFill>
            <w14:solidFill>
              <w14:schemeClr w14:val="tx1"/>
            </w14:solidFill>
          </w14:textFill>
        </w:rPr>
      </w:pPr>
      <w:r>
        <w:rPr>
          <w:rFonts w:hint="eastAsia" w:ascii="仿宋" w:hAnsi="仿宋" w:cs="仿宋"/>
          <w:bCs/>
          <w:color w:val="000000" w:themeColor="text1"/>
          <w:highlight w:val="none"/>
          <w:lang w:eastAsia="zh-CN"/>
          <w14:textFill>
            <w14:solidFill>
              <w14:schemeClr w14:val="tx1"/>
            </w14:solidFill>
          </w14:textFill>
        </w:rPr>
        <w:t>本授权委托书声明：我系（供应商名称）的法定代表人，现授权委托（供应商名称）的为我的代理人，以（供应商名称）的名义参加（项目名称和项目编号）招标项目的投标活动。代理人在参加整个招标投标活动所签署的一切文件和处理与之相关的一切事物，我均予承认。</w:t>
      </w:r>
    </w:p>
    <w:p>
      <w:pPr>
        <w:shd w:val="clear" w:color="auto" w:fill="FFFFFF"/>
        <w:spacing w:line="440" w:lineRule="exact"/>
        <w:ind w:firstLine="480"/>
        <w:rPr>
          <w:rFonts w:ascii="仿宋" w:hAnsi="仿宋" w:cs="仿宋"/>
          <w:bCs/>
          <w:color w:val="000000" w:themeColor="text1"/>
          <w:highlight w:val="none"/>
          <w:u w:val="single"/>
          <w:lang w:eastAsia="zh-CN"/>
          <w14:textFill>
            <w14:solidFill>
              <w14:schemeClr w14:val="tx1"/>
            </w14:solidFill>
          </w14:textFill>
        </w:rPr>
      </w:pPr>
      <w:r>
        <w:rPr>
          <w:rFonts w:hint="eastAsia" w:ascii="仿宋" w:hAnsi="仿宋" w:cs="仿宋"/>
          <w:bCs/>
          <w:color w:val="000000" w:themeColor="text1"/>
          <w:highlight w:val="none"/>
          <w:lang w:eastAsia="zh-CN"/>
          <w14:textFill>
            <w14:solidFill>
              <w14:schemeClr w14:val="tx1"/>
            </w14:solidFill>
          </w14:textFill>
        </w:rPr>
        <w:t>代理人：性别：年龄：</w:t>
      </w:r>
    </w:p>
    <w:p>
      <w:pPr>
        <w:shd w:val="clear" w:color="auto" w:fill="FFFFFF"/>
        <w:spacing w:line="440" w:lineRule="exact"/>
        <w:ind w:firstLine="573" w:firstLineChars="239"/>
        <w:rPr>
          <w:rFonts w:ascii="仿宋" w:hAnsi="仿宋" w:cs="仿宋"/>
          <w:bCs/>
          <w:color w:val="000000" w:themeColor="text1"/>
          <w:highlight w:val="none"/>
          <w:u w:val="single"/>
          <w:lang w:eastAsia="zh-CN"/>
          <w14:textFill>
            <w14:solidFill>
              <w14:schemeClr w14:val="tx1"/>
            </w14:solidFill>
          </w14:textFill>
        </w:rPr>
      </w:pPr>
      <w:r>
        <w:rPr>
          <w:rFonts w:hint="eastAsia" w:ascii="仿宋" w:hAnsi="仿宋" w:cs="仿宋"/>
          <w:bCs/>
          <w:color w:val="000000" w:themeColor="text1"/>
          <w:highlight w:val="none"/>
          <w:lang w:eastAsia="zh-CN"/>
          <w14:textFill>
            <w14:solidFill>
              <w14:schemeClr w14:val="tx1"/>
            </w14:solidFill>
          </w14:textFill>
        </w:rPr>
        <w:t>部门：职务：</w:t>
      </w:r>
    </w:p>
    <w:p>
      <w:pPr>
        <w:shd w:val="clear" w:color="auto" w:fill="FFFFFF"/>
        <w:spacing w:line="440" w:lineRule="exact"/>
        <w:ind w:firstLine="480"/>
        <w:rPr>
          <w:rFonts w:ascii="仿宋" w:hAnsi="仿宋" w:cs="仿宋"/>
          <w:bCs/>
          <w:color w:val="000000" w:themeColor="text1"/>
          <w:szCs w:val="21"/>
          <w:highlight w:val="none"/>
          <w:lang w:eastAsia="zh-CN"/>
          <w14:textFill>
            <w14:solidFill>
              <w14:schemeClr w14:val="tx1"/>
            </w14:solidFill>
          </w14:textFill>
        </w:rPr>
      </w:pPr>
    </w:p>
    <w:tbl>
      <w:tblPr>
        <w:tblStyle w:val="24"/>
        <w:tblpPr w:leftFromText="180" w:rightFromText="180" w:vertAnchor="text" w:horzAnchor="page" w:tblpX="1585" w:tblpY="100"/>
        <w:tblOverlap w:val="never"/>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759" w:type="dxa"/>
          </w:tcPr>
          <w:p>
            <w:pPr>
              <w:ind w:firstLine="720"/>
              <w:jc w:val="center"/>
              <w:rPr>
                <w:rFonts w:ascii="仿宋" w:hAnsi="仿宋"/>
                <w:color w:val="000000" w:themeColor="text1"/>
                <w:sz w:val="36"/>
                <w:szCs w:val="36"/>
                <w:highlight w:val="none"/>
                <w:lang w:eastAsia="zh-CN"/>
                <w14:textFill>
                  <w14:solidFill>
                    <w14:schemeClr w14:val="tx1"/>
                  </w14:solidFill>
                </w14:textFill>
              </w:rPr>
            </w:pPr>
            <w:r>
              <w:rPr>
                <w:rFonts w:hint="eastAsia" w:ascii="仿宋" w:hAnsi="仿宋"/>
                <w:color w:val="000000" w:themeColor="text1"/>
                <w:sz w:val="36"/>
                <w:szCs w:val="36"/>
                <w:highlight w:val="none"/>
                <w:lang w:eastAsia="zh-CN"/>
                <w14:textFill>
                  <w14:solidFill>
                    <w14:schemeClr w14:val="tx1"/>
                  </w14:solidFill>
                </w14:textFill>
              </w:rPr>
              <w:t>法定代表人身份证复印件</w:t>
            </w:r>
          </w:p>
          <w:p>
            <w:pPr>
              <w:ind w:firstLine="720"/>
              <w:jc w:val="center"/>
              <w:rPr>
                <w:rFonts w:ascii="仿宋" w:hAnsi="仿宋"/>
                <w:color w:val="000000" w:themeColor="text1"/>
                <w:sz w:val="36"/>
                <w:szCs w:val="36"/>
                <w:highlight w:val="none"/>
                <w14:textFill>
                  <w14:solidFill>
                    <w14:schemeClr w14:val="tx1"/>
                  </w14:solidFill>
                </w14:textFill>
              </w:rPr>
            </w:pPr>
            <w:r>
              <w:rPr>
                <w:rFonts w:hint="eastAsia" w:ascii="仿宋" w:hAnsi="仿宋"/>
                <w:color w:val="000000" w:themeColor="text1"/>
                <w:sz w:val="36"/>
                <w:szCs w:val="36"/>
                <w:highlight w:val="none"/>
                <w14:textFill>
                  <w14:solidFill>
                    <w14:schemeClr w14:val="tx1"/>
                  </w14:solidFill>
                </w14:textFill>
              </w:rPr>
              <w:t>（正面）</w:t>
            </w:r>
          </w:p>
          <w:p>
            <w:pPr>
              <w:spacing w:line="440" w:lineRule="exact"/>
              <w:ind w:firstLine="480"/>
              <w:rPr>
                <w:rFonts w:ascii="仿宋" w:hAnsi="仿宋" w:cs="仿宋"/>
                <w:bCs/>
                <w:color w:val="000000" w:themeColor="text1"/>
                <w:szCs w:val="21"/>
                <w:highlight w:val="none"/>
                <w14:textFill>
                  <w14:solidFill>
                    <w14:schemeClr w14:val="tx1"/>
                  </w14:solidFill>
                </w14:textFill>
              </w:rPr>
            </w:pPr>
          </w:p>
        </w:tc>
        <w:tc>
          <w:tcPr>
            <w:tcW w:w="4760" w:type="dxa"/>
          </w:tcPr>
          <w:p>
            <w:pPr>
              <w:ind w:firstLine="720"/>
              <w:jc w:val="center"/>
              <w:rPr>
                <w:rFonts w:ascii="仿宋" w:hAnsi="仿宋"/>
                <w:color w:val="000000" w:themeColor="text1"/>
                <w:sz w:val="36"/>
                <w:szCs w:val="36"/>
                <w:highlight w:val="none"/>
                <w:lang w:eastAsia="zh-CN"/>
                <w14:textFill>
                  <w14:solidFill>
                    <w14:schemeClr w14:val="tx1"/>
                  </w14:solidFill>
                </w14:textFill>
              </w:rPr>
            </w:pPr>
            <w:r>
              <w:rPr>
                <w:rFonts w:hint="eastAsia" w:ascii="仿宋" w:hAnsi="仿宋"/>
                <w:color w:val="000000" w:themeColor="text1"/>
                <w:sz w:val="36"/>
                <w:szCs w:val="36"/>
                <w:highlight w:val="none"/>
                <w:lang w:eastAsia="zh-CN"/>
                <w14:textFill>
                  <w14:solidFill>
                    <w14:schemeClr w14:val="tx1"/>
                  </w14:solidFill>
                </w14:textFill>
              </w:rPr>
              <w:t>法定代表人身份证复印件</w:t>
            </w:r>
          </w:p>
          <w:p>
            <w:pPr>
              <w:ind w:firstLine="720"/>
              <w:jc w:val="center"/>
              <w:rPr>
                <w:rFonts w:ascii="仿宋" w:hAnsi="仿宋"/>
                <w:color w:val="000000" w:themeColor="text1"/>
                <w:sz w:val="36"/>
                <w:szCs w:val="36"/>
                <w:highlight w:val="none"/>
                <w14:textFill>
                  <w14:solidFill>
                    <w14:schemeClr w14:val="tx1"/>
                  </w14:solidFill>
                </w14:textFill>
              </w:rPr>
            </w:pPr>
            <w:r>
              <w:rPr>
                <w:rFonts w:hint="eastAsia" w:ascii="仿宋" w:hAnsi="仿宋"/>
                <w:color w:val="000000" w:themeColor="text1"/>
                <w:sz w:val="36"/>
                <w:szCs w:val="36"/>
                <w:highlight w:val="none"/>
                <w14:textFill>
                  <w14:solidFill>
                    <w14:schemeClr w14:val="tx1"/>
                  </w14:solidFill>
                </w14:textFill>
              </w:rPr>
              <w:t>（背面）</w:t>
            </w:r>
          </w:p>
          <w:p>
            <w:pPr>
              <w:spacing w:line="440" w:lineRule="exact"/>
              <w:ind w:firstLine="480"/>
              <w:rPr>
                <w:rFonts w:ascii="仿宋" w:hAnsi="仿宋" w:cs="仿宋"/>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4759" w:type="dxa"/>
          </w:tcPr>
          <w:p>
            <w:pPr>
              <w:ind w:firstLine="720"/>
              <w:jc w:val="center"/>
              <w:rPr>
                <w:rFonts w:ascii="仿宋" w:hAnsi="仿宋"/>
                <w:color w:val="000000" w:themeColor="text1"/>
                <w:sz w:val="36"/>
                <w:szCs w:val="36"/>
                <w:highlight w:val="none"/>
                <w:lang w:eastAsia="zh-CN"/>
                <w14:textFill>
                  <w14:solidFill>
                    <w14:schemeClr w14:val="tx1"/>
                  </w14:solidFill>
                </w14:textFill>
              </w:rPr>
            </w:pPr>
            <w:r>
              <w:rPr>
                <w:rFonts w:hint="eastAsia" w:ascii="仿宋" w:hAnsi="仿宋"/>
                <w:color w:val="000000" w:themeColor="text1"/>
                <w:sz w:val="36"/>
                <w:szCs w:val="36"/>
                <w:highlight w:val="none"/>
                <w:lang w:eastAsia="zh-CN"/>
                <w14:textFill>
                  <w14:solidFill>
                    <w14:schemeClr w14:val="tx1"/>
                  </w14:solidFill>
                </w14:textFill>
              </w:rPr>
              <w:t>代理人身份证复印件</w:t>
            </w:r>
          </w:p>
          <w:p>
            <w:pPr>
              <w:ind w:firstLine="720"/>
              <w:jc w:val="center"/>
              <w:rPr>
                <w:rFonts w:ascii="仿宋" w:hAnsi="仿宋"/>
                <w:color w:val="000000" w:themeColor="text1"/>
                <w:sz w:val="36"/>
                <w:szCs w:val="36"/>
                <w:highlight w:val="none"/>
                <w:lang w:eastAsia="zh-CN"/>
                <w14:textFill>
                  <w14:solidFill>
                    <w14:schemeClr w14:val="tx1"/>
                  </w14:solidFill>
                </w14:textFill>
              </w:rPr>
            </w:pPr>
            <w:r>
              <w:rPr>
                <w:rFonts w:hint="eastAsia" w:ascii="仿宋" w:hAnsi="仿宋"/>
                <w:color w:val="000000" w:themeColor="text1"/>
                <w:sz w:val="36"/>
                <w:szCs w:val="36"/>
                <w:highlight w:val="none"/>
                <w:lang w:eastAsia="zh-CN"/>
                <w14:textFill>
                  <w14:solidFill>
                    <w14:schemeClr w14:val="tx1"/>
                  </w14:solidFill>
                </w14:textFill>
              </w:rPr>
              <w:t>（正面）</w:t>
            </w:r>
          </w:p>
          <w:p>
            <w:pPr>
              <w:spacing w:line="440" w:lineRule="exact"/>
              <w:ind w:firstLine="480"/>
              <w:rPr>
                <w:rFonts w:ascii="仿宋" w:hAnsi="仿宋" w:cs="仿宋"/>
                <w:bCs/>
                <w:color w:val="000000" w:themeColor="text1"/>
                <w:szCs w:val="21"/>
                <w:highlight w:val="none"/>
                <w:lang w:eastAsia="zh-CN"/>
                <w14:textFill>
                  <w14:solidFill>
                    <w14:schemeClr w14:val="tx1"/>
                  </w14:solidFill>
                </w14:textFill>
              </w:rPr>
            </w:pPr>
          </w:p>
        </w:tc>
        <w:tc>
          <w:tcPr>
            <w:tcW w:w="4760" w:type="dxa"/>
          </w:tcPr>
          <w:p>
            <w:pPr>
              <w:ind w:firstLine="720"/>
              <w:jc w:val="center"/>
              <w:rPr>
                <w:rFonts w:ascii="仿宋" w:hAnsi="仿宋"/>
                <w:color w:val="000000" w:themeColor="text1"/>
                <w:sz w:val="36"/>
                <w:szCs w:val="36"/>
                <w:highlight w:val="none"/>
                <w:lang w:eastAsia="zh-CN"/>
                <w14:textFill>
                  <w14:solidFill>
                    <w14:schemeClr w14:val="tx1"/>
                  </w14:solidFill>
                </w14:textFill>
              </w:rPr>
            </w:pPr>
            <w:r>
              <w:rPr>
                <w:rFonts w:hint="eastAsia" w:ascii="仿宋" w:hAnsi="仿宋"/>
                <w:color w:val="000000" w:themeColor="text1"/>
                <w:sz w:val="36"/>
                <w:szCs w:val="36"/>
                <w:highlight w:val="none"/>
                <w:lang w:eastAsia="zh-CN"/>
                <w14:textFill>
                  <w14:solidFill>
                    <w14:schemeClr w14:val="tx1"/>
                  </w14:solidFill>
                </w14:textFill>
              </w:rPr>
              <w:t>代理人身份证复印件</w:t>
            </w:r>
          </w:p>
          <w:p>
            <w:pPr>
              <w:ind w:firstLine="720"/>
              <w:jc w:val="center"/>
              <w:rPr>
                <w:rFonts w:ascii="仿宋" w:hAnsi="仿宋"/>
                <w:color w:val="000000" w:themeColor="text1"/>
                <w:sz w:val="36"/>
                <w:szCs w:val="36"/>
                <w:highlight w:val="none"/>
                <w:lang w:eastAsia="zh-CN"/>
                <w14:textFill>
                  <w14:solidFill>
                    <w14:schemeClr w14:val="tx1"/>
                  </w14:solidFill>
                </w14:textFill>
              </w:rPr>
            </w:pPr>
            <w:r>
              <w:rPr>
                <w:rFonts w:hint="eastAsia" w:ascii="仿宋" w:hAnsi="仿宋"/>
                <w:color w:val="000000" w:themeColor="text1"/>
                <w:sz w:val="36"/>
                <w:szCs w:val="36"/>
                <w:highlight w:val="none"/>
                <w:lang w:eastAsia="zh-CN"/>
                <w14:textFill>
                  <w14:solidFill>
                    <w14:schemeClr w14:val="tx1"/>
                  </w14:solidFill>
                </w14:textFill>
              </w:rPr>
              <w:t>（背面）</w:t>
            </w:r>
          </w:p>
          <w:p>
            <w:pPr>
              <w:spacing w:line="440" w:lineRule="exact"/>
              <w:ind w:firstLine="480"/>
              <w:rPr>
                <w:rFonts w:ascii="仿宋" w:hAnsi="仿宋" w:cs="仿宋"/>
                <w:bCs/>
                <w:color w:val="000000" w:themeColor="text1"/>
                <w:szCs w:val="21"/>
                <w:highlight w:val="none"/>
                <w:lang w:eastAsia="zh-CN"/>
                <w14:textFill>
                  <w14:solidFill>
                    <w14:schemeClr w14:val="tx1"/>
                  </w14:solidFill>
                </w14:textFill>
              </w:rPr>
            </w:pPr>
          </w:p>
        </w:tc>
      </w:tr>
    </w:tbl>
    <w:p>
      <w:pPr>
        <w:shd w:val="clear" w:color="auto" w:fill="FFFFFF"/>
        <w:spacing w:line="440" w:lineRule="exact"/>
        <w:ind w:firstLine="480"/>
        <w:rPr>
          <w:rFonts w:ascii="仿宋" w:hAnsi="仿宋" w:cs="仿宋"/>
          <w:bCs/>
          <w:color w:val="000000" w:themeColor="text1"/>
          <w:szCs w:val="21"/>
          <w:highlight w:val="none"/>
          <w:lang w:eastAsia="zh-CN"/>
          <w14:textFill>
            <w14:solidFill>
              <w14:schemeClr w14:val="tx1"/>
            </w14:solidFill>
          </w14:textFill>
        </w:rPr>
      </w:pP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ind w:firstLine="482"/>
        <w:rPr>
          <w:rFonts w:ascii="仿宋" w:hAnsi="仿宋" w:cs="仿宋"/>
          <w:b/>
          <w:bCs/>
          <w:color w:val="000000" w:themeColor="text1"/>
          <w:highlight w:val="none"/>
          <w:lang w:eastAsia="zh-CN"/>
          <w14:textFill>
            <w14:solidFill>
              <w14:schemeClr w14:val="tx1"/>
            </w14:solidFill>
          </w14:textFill>
        </w:rPr>
      </w:pPr>
      <w:r>
        <w:rPr>
          <w:rFonts w:hint="eastAsia" w:ascii="仿宋" w:hAnsi="仿宋" w:cs="仿宋"/>
          <w:b/>
          <w:bCs/>
          <w:color w:val="000000" w:themeColor="text1"/>
          <w:highlight w:val="none"/>
          <w:lang w:eastAsia="zh-CN"/>
          <w14:textFill>
            <w14:solidFill>
              <w14:schemeClr w14:val="tx1"/>
            </w14:solidFill>
          </w14:textFill>
        </w:rPr>
        <w:br w:type="page"/>
      </w:r>
    </w:p>
    <w:p>
      <w:pPr>
        <w:pStyle w:val="39"/>
        <w:spacing w:after="0"/>
        <w:ind w:left="0" w:firstLine="482"/>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附件六</w:t>
      </w:r>
    </w:p>
    <w:p>
      <w:pPr>
        <w:pStyle w:val="39"/>
        <w:spacing w:after="0"/>
        <w:ind w:left="0" w:firstLine="480"/>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企业</w:t>
      </w:r>
      <w:r>
        <w:rPr>
          <w:rFonts w:hint="eastAsia" w:ascii="仿宋" w:hAnsi="仿宋" w:eastAsia="仿宋" w:cs="仿宋"/>
          <w:b w:val="0"/>
          <w:bCs w:val="0"/>
          <w:color w:val="000000" w:themeColor="text1"/>
          <w:sz w:val="24"/>
          <w:szCs w:val="24"/>
          <w:highlight w:val="none"/>
          <w14:textFill>
            <w14:solidFill>
              <w14:schemeClr w14:val="tx1"/>
            </w14:solidFill>
          </w14:textFill>
        </w:rPr>
        <w:t>基本情况</w:t>
      </w:r>
    </w:p>
    <w:tbl>
      <w:tblPr>
        <w:tblStyle w:val="23"/>
        <w:tblW w:w="9639" w:type="dxa"/>
        <w:jc w:val="center"/>
        <w:tblLayout w:type="fixed"/>
        <w:tblCellMar>
          <w:top w:w="0" w:type="dxa"/>
          <w:left w:w="10" w:type="dxa"/>
          <w:bottom w:w="0" w:type="dxa"/>
          <w:right w:w="10" w:type="dxa"/>
        </w:tblCellMar>
      </w:tblPr>
      <w:tblGrid>
        <w:gridCol w:w="1125"/>
        <w:gridCol w:w="2009"/>
        <w:gridCol w:w="1624"/>
        <w:gridCol w:w="1622"/>
        <w:gridCol w:w="1626"/>
        <w:gridCol w:w="1633"/>
      </w:tblGrid>
      <w:tr>
        <w:tblPrEx>
          <w:tblCellMar>
            <w:top w:w="0" w:type="dxa"/>
            <w:left w:w="10" w:type="dxa"/>
            <w:bottom w:w="0" w:type="dxa"/>
            <w:right w:w="10" w:type="dxa"/>
          </w:tblCellMar>
        </w:tblPrEx>
        <w:trPr>
          <w:trHeight w:val="325" w:hRule="exact"/>
          <w:jc w:val="center"/>
        </w:trPr>
        <w:tc>
          <w:tcPr>
            <w:tcW w:w="1125" w:type="dxa"/>
            <w:tcBorders>
              <w:top w:val="single" w:color="auto" w:sz="4" w:space="0"/>
              <w:left w:val="single" w:color="auto" w:sz="4" w:space="0"/>
            </w:tcBorders>
            <w:shd w:val="clear" w:color="auto" w:fill="FFFFFF"/>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企业名称</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356" w:hRule="exact"/>
          <w:jc w:val="center"/>
        </w:trPr>
        <w:tc>
          <w:tcPr>
            <w:tcW w:w="1125" w:type="dxa"/>
            <w:tcBorders>
              <w:top w:val="single" w:color="auto" w:sz="4" w:space="0"/>
              <w:left w:val="single" w:color="auto" w:sz="4" w:space="0"/>
            </w:tcBorders>
            <w:shd w:val="clear" w:color="auto" w:fill="FFFFFF"/>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w:t>
            </w:r>
          </w:p>
        </w:tc>
        <w:tc>
          <w:tcPr>
            <w:tcW w:w="8514" w:type="dxa"/>
            <w:gridSpan w:val="5"/>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02" w:hRule="exact"/>
          <w:jc w:val="center"/>
        </w:trPr>
        <w:tc>
          <w:tcPr>
            <w:tcW w:w="1125" w:type="dxa"/>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注册时间</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47"/>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法定代表人</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338" w:hRule="exact"/>
          <w:jc w:val="center"/>
        </w:trPr>
        <w:tc>
          <w:tcPr>
            <w:tcW w:w="1125" w:type="dxa"/>
            <w:tcBorders>
              <w:top w:val="single" w:color="auto" w:sz="4" w:space="0"/>
              <w:left w:val="single" w:color="auto" w:sz="4" w:space="0"/>
            </w:tcBorders>
            <w:shd w:val="clear" w:color="auto" w:fill="FFFFFF"/>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联系人</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联系电话</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290" w:hRule="exact"/>
          <w:jc w:val="center"/>
        </w:trPr>
        <w:tc>
          <w:tcPr>
            <w:tcW w:w="4758" w:type="dxa"/>
            <w:gridSpan w:val="3"/>
            <w:tcBorders>
              <w:top w:val="single" w:color="auto" w:sz="4" w:space="0"/>
              <w:left w:val="single" w:color="auto" w:sz="4" w:space="0"/>
            </w:tcBorders>
            <w:shd w:val="clear" w:color="auto" w:fill="FFFFFF"/>
          </w:tcPr>
          <w:p>
            <w:pPr>
              <w:pStyle w:val="47"/>
              <w:ind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近三年内经营活动中有无重大违法记录</w:t>
            </w:r>
          </w:p>
        </w:tc>
        <w:tc>
          <w:tcPr>
            <w:tcW w:w="4881"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1151" w:hRule="exact"/>
          <w:jc w:val="center"/>
        </w:trPr>
        <w:tc>
          <w:tcPr>
            <w:tcW w:w="1125" w:type="dxa"/>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是否依法</w:t>
            </w:r>
          </w:p>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缴纳税收</w:t>
            </w:r>
          </w:p>
        </w:tc>
        <w:tc>
          <w:tcPr>
            <w:tcW w:w="3633"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pStyle w:val="47"/>
              <w:ind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是否依法缴纳社会保障资金</w:t>
            </w:r>
          </w:p>
        </w:tc>
        <w:tc>
          <w:tcPr>
            <w:tcW w:w="3259" w:type="dxa"/>
            <w:gridSpan w:val="2"/>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r>
      <w:tr>
        <w:tblPrEx>
          <w:tblCellMar>
            <w:top w:w="0" w:type="dxa"/>
            <w:left w:w="10" w:type="dxa"/>
            <w:bottom w:w="0" w:type="dxa"/>
            <w:right w:w="10" w:type="dxa"/>
          </w:tblCellMar>
        </w:tblPrEx>
        <w:trPr>
          <w:trHeight w:val="435" w:hRule="exact"/>
          <w:jc w:val="center"/>
        </w:trPr>
        <w:tc>
          <w:tcPr>
            <w:tcW w:w="1125" w:type="dxa"/>
            <w:vMerge w:val="restart"/>
            <w:tcBorders>
              <w:top w:val="single" w:color="auto" w:sz="4" w:space="0"/>
              <w:left w:val="single" w:color="auto" w:sz="4" w:space="0"/>
            </w:tcBorders>
            <w:shd w:val="clear" w:color="auto" w:fill="FFFFFF"/>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单位概况</w:t>
            </w:r>
          </w:p>
        </w:tc>
        <w:tc>
          <w:tcPr>
            <w:tcW w:w="2009" w:type="dxa"/>
            <w:tcBorders>
              <w:top w:val="single" w:color="auto" w:sz="4" w:space="0"/>
              <w:left w:val="single" w:color="auto" w:sz="4" w:space="0"/>
            </w:tcBorders>
            <w:shd w:val="clear" w:color="auto" w:fill="FFFFFF"/>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注册资本</w:t>
            </w:r>
          </w:p>
        </w:tc>
        <w:tc>
          <w:tcPr>
            <w:tcW w:w="1624" w:type="dxa"/>
            <w:tcBorders>
              <w:top w:val="single" w:color="auto" w:sz="4" w:space="0"/>
              <w:left w:val="single" w:color="auto" w:sz="4" w:space="0"/>
            </w:tcBorders>
            <w:shd w:val="clear" w:color="auto" w:fill="FFFFFF"/>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22" w:type="dxa"/>
            <w:tcBorders>
              <w:top w:val="single" w:color="auto" w:sz="4" w:space="0"/>
              <w:left w:val="single" w:color="auto" w:sz="4" w:space="0"/>
            </w:tcBorders>
            <w:shd w:val="clear" w:color="auto" w:fill="FFFFFF"/>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占地面积</w:t>
            </w:r>
          </w:p>
        </w:tc>
        <w:tc>
          <w:tcPr>
            <w:tcW w:w="3259" w:type="dxa"/>
            <w:gridSpan w:val="2"/>
            <w:tcBorders>
              <w:top w:val="single" w:color="auto" w:sz="4" w:space="0"/>
              <w:left w:val="single" w:color="auto" w:sz="4" w:space="0"/>
              <w:right w:val="single" w:color="auto" w:sz="4" w:space="0"/>
            </w:tcBorders>
            <w:shd w:val="clear" w:color="auto" w:fill="FFFFFF"/>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平方米</w:t>
            </w:r>
          </w:p>
        </w:tc>
      </w:tr>
      <w:tr>
        <w:tblPrEx>
          <w:tblCellMar>
            <w:top w:w="0" w:type="dxa"/>
            <w:left w:w="10" w:type="dxa"/>
            <w:bottom w:w="0" w:type="dxa"/>
            <w:right w:w="10" w:type="dxa"/>
          </w:tblCellMar>
        </w:tblPrEx>
        <w:trPr>
          <w:trHeight w:val="44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47"/>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职工总数</w:t>
            </w:r>
          </w:p>
        </w:tc>
        <w:tc>
          <w:tcPr>
            <w:tcW w:w="1624" w:type="dxa"/>
            <w:tcBorders>
              <w:top w:val="single" w:color="auto" w:sz="4" w:space="0"/>
              <w:left w:val="single" w:color="auto" w:sz="4" w:space="0"/>
            </w:tcBorders>
            <w:shd w:val="clear" w:color="auto" w:fill="FFFFFF"/>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人</w:t>
            </w:r>
          </w:p>
        </w:tc>
        <w:tc>
          <w:tcPr>
            <w:tcW w:w="1622" w:type="dxa"/>
            <w:tcBorders>
              <w:top w:val="single" w:color="auto" w:sz="4" w:space="0"/>
              <w:left w:val="single" w:color="auto" w:sz="4" w:space="0"/>
            </w:tcBorders>
            <w:shd w:val="clear" w:color="auto" w:fill="FFFFFF"/>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建筑面积</w:t>
            </w:r>
          </w:p>
        </w:tc>
        <w:tc>
          <w:tcPr>
            <w:tcW w:w="3259" w:type="dxa"/>
            <w:gridSpan w:val="2"/>
            <w:tcBorders>
              <w:top w:val="single" w:color="auto" w:sz="4" w:space="0"/>
              <w:left w:val="single" w:color="auto" w:sz="4" w:space="0"/>
              <w:right w:val="single" w:color="auto" w:sz="4" w:space="0"/>
            </w:tcBorders>
            <w:shd w:val="clear" w:color="auto" w:fill="FFFFFF"/>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平方米</w:t>
            </w:r>
          </w:p>
        </w:tc>
      </w:tr>
      <w:tr>
        <w:tblPrEx>
          <w:tblCellMar>
            <w:top w:w="0" w:type="dxa"/>
            <w:left w:w="10" w:type="dxa"/>
            <w:bottom w:w="0" w:type="dxa"/>
            <w:right w:w="10" w:type="dxa"/>
          </w:tblCellMar>
        </w:tblPrEx>
        <w:trPr>
          <w:trHeight w:val="795"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09" w:type="dxa"/>
            <w:vMerge w:val="restart"/>
            <w:tcBorders>
              <w:top w:val="single" w:color="auto" w:sz="4" w:space="0"/>
              <w:left w:val="single" w:color="auto" w:sz="4" w:space="0"/>
            </w:tcBorders>
            <w:shd w:val="clear" w:color="auto" w:fill="FFFFFF"/>
          </w:tcPr>
          <w:p>
            <w:pPr>
              <w:pStyle w:val="47"/>
              <w:ind w:firstLine="0" w:firstLineChars="0"/>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资产情况</w:t>
            </w:r>
          </w:p>
        </w:tc>
        <w:tc>
          <w:tcPr>
            <w:tcW w:w="3246" w:type="dxa"/>
            <w:gridSpan w:val="2"/>
            <w:tcBorders>
              <w:top w:val="single" w:color="auto" w:sz="4" w:space="0"/>
              <w:left w:val="single" w:color="auto" w:sz="4" w:space="0"/>
            </w:tcBorders>
            <w:shd w:val="clear" w:color="auto" w:fill="FFFFFF"/>
          </w:tcPr>
          <w:p>
            <w:pPr>
              <w:pStyle w:val="47"/>
              <w:tabs>
                <w:tab w:val="left" w:pos="1680"/>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净资产</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万元</w:t>
            </w:r>
          </w:p>
        </w:tc>
        <w:tc>
          <w:tcPr>
            <w:tcW w:w="3259" w:type="dxa"/>
            <w:gridSpan w:val="2"/>
            <w:vMerge w:val="restart"/>
            <w:tcBorders>
              <w:top w:val="single" w:color="auto" w:sz="4" w:space="0"/>
              <w:left w:val="single" w:color="auto" w:sz="4" w:space="0"/>
              <w:right w:val="single" w:color="auto" w:sz="4" w:space="0"/>
            </w:tcBorders>
            <w:shd w:val="clear" w:color="auto" w:fill="FFFFFF"/>
          </w:tcPr>
          <w:p>
            <w:pPr>
              <w:pStyle w:val="47"/>
              <w:ind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固定资产原值：万元</w:t>
            </w:r>
          </w:p>
          <w:p>
            <w:pPr>
              <w:pStyle w:val="47"/>
              <w:ind w:firstLine="0" w:firstLineChars="0"/>
              <w:jc w:val="both"/>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固定资产净值：万元</w:t>
            </w:r>
          </w:p>
        </w:tc>
      </w:tr>
      <w:tr>
        <w:tblPrEx>
          <w:tblCellMar>
            <w:top w:w="0" w:type="dxa"/>
            <w:left w:w="10" w:type="dxa"/>
            <w:bottom w:w="0" w:type="dxa"/>
            <w:right w:w="10" w:type="dxa"/>
          </w:tblCellMar>
        </w:tblPrEx>
        <w:trPr>
          <w:trHeight w:val="836" w:hRule="exact"/>
          <w:jc w:val="center"/>
        </w:trPr>
        <w:tc>
          <w:tcPr>
            <w:tcW w:w="1125" w:type="dxa"/>
            <w:vMerge w:val="continue"/>
            <w:tcBorders>
              <w:lef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c>
          <w:tcPr>
            <w:tcW w:w="2009" w:type="dxa"/>
            <w:vMerge w:val="continue"/>
            <w:tcBorders>
              <w:left w:val="single" w:color="auto" w:sz="4" w:space="0"/>
            </w:tcBorders>
            <w:shd w:val="clear" w:color="auto" w:fill="FFFFFF"/>
          </w:tcPr>
          <w:p>
            <w:pPr>
              <w:ind w:firstLine="480"/>
              <w:rPr>
                <w:rFonts w:ascii="仿宋" w:hAnsi="仿宋" w:cs="仿宋"/>
                <w:color w:val="000000" w:themeColor="text1"/>
                <w:highlight w:val="none"/>
                <w:lang w:eastAsia="zh-CN"/>
                <w14:textFill>
                  <w14:solidFill>
                    <w14:schemeClr w14:val="tx1"/>
                  </w14:solidFill>
                </w14:textFill>
              </w:rPr>
            </w:pPr>
          </w:p>
        </w:tc>
        <w:tc>
          <w:tcPr>
            <w:tcW w:w="3246" w:type="dxa"/>
            <w:gridSpan w:val="2"/>
            <w:tcBorders>
              <w:top w:val="single" w:color="auto" w:sz="4" w:space="0"/>
              <w:left w:val="single" w:color="auto" w:sz="4" w:space="0"/>
            </w:tcBorders>
            <w:shd w:val="clear" w:color="auto" w:fill="FFFFFF"/>
          </w:tcPr>
          <w:p>
            <w:pPr>
              <w:pStyle w:val="47"/>
              <w:tabs>
                <w:tab w:val="left" w:pos="1673"/>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负债</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万元</w:t>
            </w:r>
          </w:p>
        </w:tc>
        <w:tc>
          <w:tcPr>
            <w:tcW w:w="3259" w:type="dxa"/>
            <w:gridSpan w:val="2"/>
            <w:vMerge w:val="continue"/>
            <w:tcBorders>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1285" w:hRule="exact"/>
          <w:jc w:val="center"/>
        </w:trPr>
        <w:tc>
          <w:tcPr>
            <w:tcW w:w="1125" w:type="dxa"/>
            <w:vMerge w:val="restart"/>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财务状况</w:t>
            </w:r>
          </w:p>
          <w:p>
            <w:pPr>
              <w:pStyle w:val="47"/>
              <w:ind w:firstLine="0" w:firstLineChars="0"/>
              <w:rPr>
                <w:rFonts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（最近三</w:t>
            </w:r>
          </w:p>
          <w:p>
            <w:pPr>
              <w:pStyle w:val="47"/>
              <w:ind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年）</w:t>
            </w:r>
          </w:p>
        </w:tc>
        <w:tc>
          <w:tcPr>
            <w:tcW w:w="2009"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年份</w:t>
            </w:r>
          </w:p>
        </w:tc>
        <w:tc>
          <w:tcPr>
            <w:tcW w:w="1624" w:type="dxa"/>
            <w:tcBorders>
              <w:top w:val="single" w:color="auto" w:sz="4" w:space="0"/>
              <w:left w:val="single" w:color="auto" w:sz="4" w:space="0"/>
            </w:tcBorders>
            <w:shd w:val="clear" w:color="auto" w:fill="FFFFFF"/>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主营收入（万</w:t>
            </w:r>
          </w:p>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元）</w:t>
            </w:r>
          </w:p>
        </w:tc>
        <w:tc>
          <w:tcPr>
            <w:tcW w:w="1622" w:type="dxa"/>
            <w:tcBorders>
              <w:top w:val="single" w:color="auto" w:sz="4" w:space="0"/>
              <w:left w:val="single" w:color="auto" w:sz="4" w:space="0"/>
            </w:tcBorders>
            <w:shd w:val="clear" w:color="auto" w:fill="FFFFFF"/>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收入总额</w:t>
            </w:r>
          </w:p>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26" w:type="dxa"/>
            <w:tcBorders>
              <w:top w:val="single" w:color="auto" w:sz="4" w:space="0"/>
              <w:left w:val="single" w:color="auto" w:sz="4" w:space="0"/>
            </w:tcBorders>
            <w:shd w:val="clear" w:color="auto" w:fill="FFFFFF"/>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利润总额</w:t>
            </w:r>
          </w:p>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c>
          <w:tcPr>
            <w:tcW w:w="1633" w:type="dxa"/>
            <w:tcBorders>
              <w:top w:val="single" w:color="auto" w:sz="4" w:space="0"/>
              <w:left w:val="single" w:color="auto" w:sz="4" w:space="0"/>
              <w:right w:val="single" w:color="auto" w:sz="4" w:space="0"/>
            </w:tcBorders>
            <w:shd w:val="clear" w:color="auto" w:fill="FFFFFF"/>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净利润</w:t>
            </w:r>
          </w:p>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（万元）</w:t>
            </w: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555" w:hRule="exact"/>
          <w:jc w:val="center"/>
        </w:trPr>
        <w:tc>
          <w:tcPr>
            <w:tcW w:w="1125" w:type="dxa"/>
            <w:vMerge w:val="continue"/>
            <w:tcBorders>
              <w:left w:val="single" w:color="auto" w:sz="4" w:space="0"/>
            </w:tcBorders>
            <w:shd w:val="clear" w:color="auto" w:fill="FFFFFF"/>
            <w:vAlign w:val="center"/>
          </w:tcPr>
          <w:p>
            <w:pPr>
              <w:ind w:firstLine="480"/>
              <w:rPr>
                <w:rFonts w:ascii="仿宋" w:hAnsi="仿宋" w:cs="仿宋"/>
                <w:color w:val="000000" w:themeColor="text1"/>
                <w:highlight w:val="none"/>
                <w14:textFill>
                  <w14:solidFill>
                    <w14:schemeClr w14:val="tx1"/>
                  </w14:solidFill>
                </w14:textFill>
              </w:rPr>
            </w:pPr>
          </w:p>
        </w:tc>
        <w:tc>
          <w:tcPr>
            <w:tcW w:w="2009" w:type="dxa"/>
            <w:tcBorders>
              <w:top w:val="single" w:color="auto" w:sz="4" w:space="0"/>
              <w:left w:val="single" w:color="auto" w:sz="4" w:space="0"/>
            </w:tcBorders>
            <w:shd w:val="clear" w:color="auto" w:fill="FFFFFF"/>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年</w:t>
            </w:r>
          </w:p>
        </w:tc>
        <w:tc>
          <w:tcPr>
            <w:tcW w:w="162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2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3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800" w:hRule="exact"/>
          <w:jc w:val="center"/>
        </w:trPr>
        <w:tc>
          <w:tcPr>
            <w:tcW w:w="9639" w:type="dxa"/>
            <w:gridSpan w:val="6"/>
            <w:tcBorders>
              <w:top w:val="single" w:color="auto" w:sz="4" w:space="0"/>
            </w:tcBorders>
            <w:shd w:val="clear" w:color="auto" w:fill="FFFFFF"/>
            <w:vAlign w:val="bottom"/>
          </w:tcPr>
          <w:p>
            <w:pPr>
              <w:pStyle w:val="45"/>
              <w:spacing w:after="0" w:line="360" w:lineRule="auto"/>
              <w:ind w:firstLine="0" w:firstLineChars="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上述声明中的资料和数据是真实的、正确的，我们同意如贵方要求，可以出示相关证明文件（财务报告）。</w:t>
            </w:r>
          </w:p>
          <w:p>
            <w:pPr>
              <w:pStyle w:val="47"/>
              <w:ind w:firstLine="0" w:firstLineChars="0"/>
              <w:rPr>
                <w:rFonts w:ascii="仿宋" w:hAnsi="仿宋" w:eastAsia="仿宋" w:cs="仿宋"/>
                <w:color w:val="000000" w:themeColor="text1"/>
                <w:highlight w:val="none"/>
                <w:lang w:eastAsia="zh-CN"/>
                <w14:textFill>
                  <w14:solidFill>
                    <w14:schemeClr w14:val="tx1"/>
                  </w14:solidFill>
                </w14:textFill>
              </w:rPr>
            </w:pPr>
          </w:p>
        </w:tc>
      </w:tr>
    </w:tbl>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br w:type="page"/>
      </w:r>
    </w:p>
    <w:p>
      <w:pPr>
        <w:pStyle w:val="39"/>
        <w:spacing w:after="0"/>
        <w:ind w:left="0" w:firstLine="482"/>
        <w:rPr>
          <w:rFonts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附件七、</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（后附营业执照（事业单位法人证书）、税务登记证、组织机构代码证、相应的代理资质、保证金交纳情况等企业相关资料）（附件七）；</w:t>
      </w: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jc w:val="center"/>
        <w:rPr>
          <w:rFonts w:ascii="仿宋" w:hAnsi="仿宋" w:cs="仿宋"/>
          <w:color w:val="000000" w:themeColor="text1"/>
          <w:sz w:val="24"/>
          <w:szCs w:val="24"/>
          <w:highlight w:val="none"/>
          <w:lang w:eastAsia="zh-CN"/>
          <w14:textFill>
            <w14:solidFill>
              <w14:schemeClr w14:val="tx1"/>
            </w14:solidFill>
          </w14:textFill>
        </w:rPr>
      </w:pPr>
    </w:p>
    <w:p>
      <w:pPr>
        <w:pStyle w:val="57"/>
        <w:tabs>
          <w:tab w:val="left" w:pos="-1061"/>
        </w:tabs>
        <w:spacing w:line="360" w:lineRule="auto"/>
        <w:ind w:firstLine="482"/>
        <w:rPr>
          <w:rFonts w:ascii="仿宋" w:hAnsi="仿宋" w:cs="仿宋"/>
          <w:color w:val="000000" w:themeColor="text1"/>
          <w:sz w:val="24"/>
          <w:szCs w:val="24"/>
          <w:highlight w:val="none"/>
          <w:lang w:eastAsia="zh-CN"/>
          <w14:textFill>
            <w14:solidFill>
              <w14:schemeClr w14:val="tx1"/>
            </w14:solidFill>
          </w14:textFill>
        </w:rPr>
      </w:pPr>
      <w:r>
        <w:rPr>
          <w:rFonts w:hint="eastAsia" w:ascii="仿宋" w:hAnsi="仿宋" w:cs="仿宋"/>
          <w:color w:val="000000" w:themeColor="text1"/>
          <w:sz w:val="24"/>
          <w:szCs w:val="24"/>
          <w:highlight w:val="none"/>
          <w:lang w:eastAsia="zh-CN"/>
          <w14:textFill>
            <w14:solidFill>
              <w14:schemeClr w14:val="tx1"/>
            </w14:solidFill>
          </w14:textFill>
        </w:rPr>
        <w:t>附件八:参加政府釆购活动前三年内在经营活动中没有重大违法记录的书面声明</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本单位郑重声明：</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我单位在参加采购活动前三年内在经营活动中没有《政府采购法》第二十二条第一款第（五）项所称重大违法记录，包括：</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特此声明！</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pStyle w:val="45"/>
        <w:tabs>
          <w:tab w:val="left" w:pos="2088"/>
          <w:tab w:val="left" w:pos="2808"/>
          <w:tab w:val="left" w:pos="3528"/>
        </w:tabs>
        <w:spacing w:after="0" w:line="360" w:lineRule="auto"/>
        <w:ind w:firstLine="480"/>
        <w:rPr>
          <w:rFonts w:ascii="仿宋" w:hAnsi="仿宋" w:eastAsia="仿宋" w:cs="仿宋"/>
          <w:color w:val="000000" w:themeColor="text1"/>
          <w:highlight w:val="none"/>
          <w:lang w:eastAsia="zh-CN"/>
          <w14:textFill>
            <w14:solidFill>
              <w14:schemeClr w14:val="tx1"/>
            </w14:solidFill>
          </w14:textFill>
        </w:rPr>
        <w:sectPr>
          <w:headerReference r:id="rId18" w:type="default"/>
          <w:footerReference r:id="rId19" w:type="default"/>
          <w:pgSz w:w="11900" w:h="16840"/>
          <w:pgMar w:top="1578" w:right="1134" w:bottom="3772" w:left="1577" w:header="0" w:footer="3" w:gutter="0"/>
          <w:cols w:space="720" w:num="1"/>
          <w:docGrid w:linePitch="360" w:charSpace="0"/>
        </w:sectPr>
      </w:pPr>
    </w:p>
    <w:p>
      <w:pPr>
        <w:pStyle w:val="39"/>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附件九：项目负责人及团队人员简历表</w:t>
      </w:r>
    </w:p>
    <w:tbl>
      <w:tblPr>
        <w:tblStyle w:val="23"/>
        <w:tblW w:w="0" w:type="auto"/>
        <w:jc w:val="center"/>
        <w:tblLayout w:type="fixed"/>
        <w:tblCellMar>
          <w:top w:w="0" w:type="dxa"/>
          <w:left w:w="10" w:type="dxa"/>
          <w:bottom w:w="0" w:type="dxa"/>
          <w:right w:w="10" w:type="dxa"/>
        </w:tblCellMar>
      </w:tblPr>
      <w:tblGrid>
        <w:gridCol w:w="1403"/>
        <w:gridCol w:w="1097"/>
        <w:gridCol w:w="1218"/>
        <w:gridCol w:w="2522"/>
        <w:gridCol w:w="2079"/>
      </w:tblGrid>
      <w:tr>
        <w:tblPrEx>
          <w:tblCellMar>
            <w:top w:w="0" w:type="dxa"/>
            <w:left w:w="10" w:type="dxa"/>
            <w:bottom w:w="0" w:type="dxa"/>
            <w:right w:w="10" w:type="dxa"/>
          </w:tblCellMar>
        </w:tblPrEx>
        <w:trPr>
          <w:trHeight w:val="484" w:hRule="exact"/>
          <w:jc w:val="center"/>
        </w:trPr>
        <w:tc>
          <w:tcPr>
            <w:tcW w:w="2500" w:type="dxa"/>
            <w:gridSpan w:val="2"/>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姓名</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性别</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职务</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职称</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毕业学校、专业</w:t>
            </w:r>
          </w:p>
        </w:tc>
        <w:tc>
          <w:tcPr>
            <w:tcW w:w="5819" w:type="dxa"/>
            <w:gridSpan w:val="3"/>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2500" w:type="dxa"/>
            <w:gridSpan w:val="2"/>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身份证号</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拟在本项目任职</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2500" w:type="dxa"/>
            <w:gridSpan w:val="2"/>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执业资格证</w:t>
            </w:r>
          </w:p>
        </w:tc>
        <w:tc>
          <w:tcPr>
            <w:tcW w:w="121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执业资格证书号</w:t>
            </w: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8319" w:type="dxa"/>
            <w:gridSpan w:val="5"/>
            <w:tcBorders>
              <w:top w:val="single" w:color="auto" w:sz="4" w:space="0"/>
              <w:left w:val="single" w:color="auto" w:sz="4" w:space="0"/>
              <w:right w:val="single" w:color="auto" w:sz="4" w:space="0"/>
            </w:tcBorders>
            <w:shd w:val="clear" w:color="auto" w:fill="FFFFFF"/>
            <w:vAlign w:val="center"/>
          </w:tcPr>
          <w:p>
            <w:pPr>
              <w:pStyle w:val="47"/>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近____年承担项目情况</w:t>
            </w:r>
          </w:p>
        </w:tc>
      </w:tr>
      <w:tr>
        <w:tblPrEx>
          <w:tblCellMar>
            <w:top w:w="0" w:type="dxa"/>
            <w:left w:w="10" w:type="dxa"/>
            <w:bottom w:w="0" w:type="dxa"/>
            <w:right w:w="10" w:type="dxa"/>
          </w:tblCellMar>
        </w:tblPrEx>
        <w:trPr>
          <w:trHeight w:val="790" w:hRule="exact"/>
          <w:jc w:val="center"/>
        </w:trPr>
        <w:tc>
          <w:tcPr>
            <w:tcW w:w="1403"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时间</w:t>
            </w:r>
          </w:p>
        </w:tc>
        <w:tc>
          <w:tcPr>
            <w:tcW w:w="2315" w:type="dxa"/>
            <w:gridSpan w:val="2"/>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类似项目名称</w:t>
            </w:r>
          </w:p>
        </w:tc>
        <w:tc>
          <w:tcPr>
            <w:tcW w:w="2522"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项目单位名称</w:t>
            </w:r>
          </w:p>
        </w:tc>
        <w:tc>
          <w:tcPr>
            <w:tcW w:w="2079" w:type="dxa"/>
            <w:tcBorders>
              <w:top w:val="single" w:color="auto" w:sz="4" w:space="0"/>
              <w:left w:val="single" w:color="auto" w:sz="4" w:space="0"/>
              <w:righ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w:t>
            </w: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76"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0" w:hRule="exact"/>
          <w:jc w:val="center"/>
        </w:trPr>
        <w:tc>
          <w:tcPr>
            <w:tcW w:w="1403"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84" w:hRule="exact"/>
          <w:jc w:val="center"/>
        </w:trPr>
        <w:tc>
          <w:tcPr>
            <w:tcW w:w="140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315" w:type="dxa"/>
            <w:gridSpan w:val="2"/>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52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79"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ind w:firstLine="480"/>
        <w:rPr>
          <w:rFonts w:ascii="仿宋" w:hAnsi="仿宋" w:cs="仿宋"/>
          <w:color w:val="000000" w:themeColor="text1"/>
          <w:highlight w:val="none"/>
          <w14:textFill>
            <w14:solidFill>
              <w14:schemeClr w14:val="tx1"/>
            </w14:solidFill>
          </w14:textFill>
        </w:rPr>
      </w:pP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ind w:firstLine="480"/>
        <w:jc w:val="center"/>
        <w:rPr>
          <w:rFonts w:ascii="仿宋" w:hAnsi="仿宋" w:cs="仿宋"/>
          <w:color w:val="000000" w:themeColor="text1"/>
          <w:highlight w:val="none"/>
          <w:lang w:eastAsia="zh-CN"/>
          <w14:textFill>
            <w14:solidFill>
              <w14:schemeClr w14:val="tx1"/>
            </w14:solidFill>
          </w14:textFill>
        </w:rPr>
      </w:pPr>
    </w:p>
    <w:p>
      <w:pPr>
        <w:pStyle w:val="32"/>
        <w:rPr>
          <w:color w:val="000000" w:themeColor="text1"/>
          <w:highlight w:val="none"/>
          <w:lang w:eastAsia="zh-CN"/>
          <w14:textFill>
            <w14:solidFill>
              <w14:schemeClr w14:val="tx1"/>
            </w14:solidFill>
          </w14:textFill>
        </w:rPr>
      </w:pPr>
    </w:p>
    <w:p>
      <w:pPr>
        <w:pStyle w:val="32"/>
        <w:rPr>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ascii="仿宋" w:hAnsi="仿宋" w:cs="仿宋"/>
          <w:color w:val="000000" w:themeColor="text1"/>
          <w:highlight w:val="none"/>
          <w:lang w:eastAsia="zh-CN"/>
          <w14:textFill>
            <w14:solidFill>
              <w14:schemeClr w14:val="tx1"/>
            </w14:solidFill>
          </w14:textFill>
        </w:rPr>
        <w:br w:type="page"/>
      </w:r>
    </w:p>
    <w:p>
      <w:pPr>
        <w:pStyle w:val="6"/>
        <w:ind w:firstLine="480"/>
        <w:rPr>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p>
    <w:p>
      <w:pPr>
        <w:pStyle w:val="39"/>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附件十：近</w:t>
      </w:r>
      <w:r>
        <w:rPr>
          <w:rFonts w:hint="eastAsia" w:ascii="仿宋" w:hAnsi="仿宋" w:eastAsia="仿宋" w:cs="仿宋"/>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z w:val="24"/>
          <w:szCs w:val="24"/>
          <w:highlight w:val="none"/>
          <w:lang w:eastAsia="zh-CN"/>
          <w14:textFill>
            <w14:solidFill>
              <w14:schemeClr w14:val="tx1"/>
            </w14:solidFill>
          </w14:textFill>
        </w:rPr>
        <w:t>年同类项目业绩一览表</w:t>
      </w:r>
    </w:p>
    <w:tbl>
      <w:tblPr>
        <w:tblStyle w:val="23"/>
        <w:tblW w:w="9811" w:type="dxa"/>
        <w:jc w:val="center"/>
        <w:tblLayout w:type="fixed"/>
        <w:tblCellMar>
          <w:top w:w="0" w:type="dxa"/>
          <w:left w:w="10" w:type="dxa"/>
          <w:bottom w:w="0" w:type="dxa"/>
          <w:right w:w="10" w:type="dxa"/>
        </w:tblCellMar>
      </w:tblPr>
      <w:tblGrid>
        <w:gridCol w:w="1075"/>
        <w:gridCol w:w="1212"/>
        <w:gridCol w:w="1068"/>
        <w:gridCol w:w="1032"/>
        <w:gridCol w:w="2436"/>
        <w:gridCol w:w="1435"/>
        <w:gridCol w:w="1553"/>
      </w:tblGrid>
      <w:tr>
        <w:tblPrEx>
          <w:tblCellMar>
            <w:top w:w="0" w:type="dxa"/>
            <w:left w:w="10" w:type="dxa"/>
            <w:bottom w:w="0" w:type="dxa"/>
            <w:right w:w="10" w:type="dxa"/>
          </w:tblCellMar>
        </w:tblPrEx>
        <w:trPr>
          <w:trHeight w:val="1382" w:hRule="exact"/>
          <w:jc w:val="center"/>
        </w:trPr>
        <w:tc>
          <w:tcPr>
            <w:tcW w:w="1075" w:type="dxa"/>
            <w:tcBorders>
              <w:top w:val="single" w:color="auto" w:sz="4" w:space="0"/>
              <w:left w:val="single" w:color="auto" w:sz="4" w:space="0"/>
            </w:tcBorders>
            <w:shd w:val="clear" w:color="auto" w:fill="FFFFFF"/>
          </w:tcPr>
          <w:p>
            <w:pPr>
              <w:pStyle w:val="4"/>
              <w:numPr>
                <w:ilvl w:val="0"/>
                <w:numId w:val="0"/>
              </w:numPr>
              <w:jc w:val="both"/>
              <w:rPr>
                <w:rFonts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zh-TW" w:eastAsia="zh-CN" w:bidi="zh-TW"/>
                <w14:textFill>
                  <w14:solidFill>
                    <w14:schemeClr w14:val="tx1"/>
                  </w14:solidFill>
                </w14:textFill>
              </w:rPr>
              <w:t>序号</w:t>
            </w:r>
          </w:p>
        </w:tc>
        <w:tc>
          <w:tcPr>
            <w:tcW w:w="1212" w:type="dxa"/>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1068" w:type="dxa"/>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合同金额</w:t>
            </w:r>
          </w:p>
        </w:tc>
        <w:tc>
          <w:tcPr>
            <w:tcW w:w="1032" w:type="dxa"/>
            <w:tcBorders>
              <w:top w:val="single" w:color="auto" w:sz="4" w:space="0"/>
              <w:lef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签约时间</w:t>
            </w:r>
          </w:p>
        </w:tc>
        <w:tc>
          <w:tcPr>
            <w:tcW w:w="2436" w:type="dxa"/>
            <w:tcBorders>
              <w:top w:val="single" w:color="auto" w:sz="4" w:space="0"/>
              <w:left w:val="single" w:color="auto" w:sz="4" w:space="0"/>
            </w:tcBorders>
            <w:shd w:val="clear" w:color="auto" w:fill="FFFFFF"/>
          </w:tcPr>
          <w:p>
            <w:pPr>
              <w:pStyle w:val="47"/>
              <w:ind w:firstLine="0" w:firstLineChars="0"/>
              <w:jc w:val="center"/>
              <w:rPr>
                <w:rFonts w:ascii="仿宋" w:hAnsi="仿宋" w:eastAsia="仿宋" w:cs="仿宋"/>
                <w:b/>
                <w:bCs/>
                <w:color w:val="000000" w:themeColor="text1"/>
                <w:highlight w:val="none"/>
                <w:lang w:val="en-US" w:eastAsia="zh-CN"/>
                <w14:textFill>
                  <w14:solidFill>
                    <w14:schemeClr w14:val="tx1"/>
                  </w14:solidFill>
                </w14:textFill>
              </w:rPr>
            </w:pPr>
          </w:p>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联系人、联系方式</w:t>
            </w:r>
          </w:p>
        </w:tc>
        <w:tc>
          <w:tcPr>
            <w:tcW w:w="1435" w:type="dxa"/>
            <w:tcBorders>
              <w:top w:val="single" w:color="auto" w:sz="4" w:space="0"/>
              <w:left w:val="single" w:color="auto" w:sz="4" w:space="0"/>
            </w:tcBorders>
            <w:shd w:val="clear" w:color="auto" w:fill="FFFFFF"/>
          </w:tcPr>
          <w:p>
            <w:pPr>
              <w:pStyle w:val="47"/>
              <w:ind w:firstLine="0" w:firstLineChars="0"/>
              <w:rPr>
                <w:rFonts w:ascii="仿宋" w:hAnsi="仿宋" w:eastAsia="仿宋" w:cs="仿宋"/>
                <w:b/>
                <w:bCs/>
                <w:color w:val="000000" w:themeColor="text1"/>
                <w:highlight w:val="none"/>
                <w14:textFill>
                  <w14:solidFill>
                    <w14:schemeClr w14:val="tx1"/>
                  </w14:solidFill>
                </w14:textFill>
              </w:rPr>
            </w:pPr>
          </w:p>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完成情况</w:t>
            </w:r>
          </w:p>
        </w:tc>
        <w:tc>
          <w:tcPr>
            <w:tcW w:w="1553" w:type="dxa"/>
            <w:tcBorders>
              <w:top w:val="single" w:color="auto" w:sz="4" w:space="0"/>
              <w:left w:val="single" w:color="auto" w:sz="4" w:space="0"/>
              <w:right w:val="single" w:color="auto" w:sz="4" w:space="0"/>
            </w:tcBorders>
            <w:shd w:val="clear" w:color="auto" w:fill="FFFFFF"/>
            <w:vAlign w:val="center"/>
          </w:tcPr>
          <w:p>
            <w:pPr>
              <w:pStyle w:val="47"/>
              <w:ind w:firstLine="0" w:firstLineChars="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备注</w:t>
            </w: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9"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36" w:hRule="exact"/>
          <w:jc w:val="center"/>
        </w:trPr>
        <w:tc>
          <w:tcPr>
            <w:tcW w:w="107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447" w:hRule="exact"/>
          <w:jc w:val="center"/>
        </w:trPr>
        <w:tc>
          <w:tcPr>
            <w:tcW w:w="107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1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6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032"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436"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3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553"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pStyle w:val="51"/>
        <w:ind w:firstLine="482"/>
        <w:rPr>
          <w:rFonts w:ascii="仿宋" w:hAnsi="仿宋" w:eastAsia="仿宋" w:cs="仿宋"/>
          <w:b w:val="0"/>
          <w:bCs w:val="0"/>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注：</w:t>
      </w:r>
      <w:r>
        <w:rPr>
          <w:rFonts w:hint="eastAsia" w:ascii="仿宋" w:hAnsi="仿宋" w:eastAsia="仿宋" w:cs="仿宋"/>
          <w:color w:val="000000" w:themeColor="text1"/>
          <w:highlight w:val="none"/>
          <w:lang w:val="en-US" w:eastAsia="zh-CN"/>
          <w14:textFill>
            <w14:solidFill>
              <w14:schemeClr w14:val="tx1"/>
            </w14:solidFill>
          </w14:textFill>
        </w:rPr>
        <w:t>需附证明材料</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证明材料以评审标准的要求为准</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日期：年月日</w:t>
      </w:r>
    </w:p>
    <w:p>
      <w:pPr>
        <w:pStyle w:val="39"/>
        <w:tabs>
          <w:tab w:val="left" w:pos="3082"/>
          <w:tab w:val="left" w:pos="3470"/>
        </w:tabs>
        <w:spacing w:after="0"/>
        <w:ind w:left="0" w:firstLine="482"/>
        <w:outlineLvl w:val="0"/>
        <w:rPr>
          <w:rFonts w:ascii="仿宋" w:hAnsi="仿宋" w:eastAsia="仿宋" w:cs="仿宋"/>
          <w:color w:val="000000" w:themeColor="text1"/>
          <w:sz w:val="24"/>
          <w:szCs w:val="24"/>
          <w:highlight w:val="none"/>
          <w14:textFill>
            <w14:solidFill>
              <w14:schemeClr w14:val="tx1"/>
            </w14:solidFill>
          </w14:textFill>
        </w:rPr>
        <w:sectPr>
          <w:headerReference r:id="rId20" w:type="default"/>
          <w:footerReference r:id="rId22" w:type="default"/>
          <w:headerReference r:id="rId21" w:type="even"/>
          <w:footerReference r:id="rId23" w:type="even"/>
          <w:pgSz w:w="11900" w:h="16840"/>
          <w:pgMar w:top="851" w:right="1562" w:bottom="1202" w:left="1362" w:header="0" w:footer="3" w:gutter="0"/>
          <w:cols w:space="720" w:num="1"/>
          <w:docGrid w:linePitch="360" w:charSpace="0"/>
        </w:sectPr>
      </w:pPr>
    </w:p>
    <w:p>
      <w:pPr>
        <w:pStyle w:val="39"/>
        <w:spacing w:after="0"/>
        <w:ind w:left="0" w:firstLine="0" w:firstLineChars="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附件十一：</w:t>
      </w:r>
    </w:p>
    <w:p>
      <w:pPr>
        <w:pStyle w:val="39"/>
        <w:spacing w:after="0"/>
        <w:ind w:left="0" w:firstLine="482"/>
        <w:rPr>
          <w:rFonts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服务需求偏离表</w:t>
      </w:r>
    </w:p>
    <w:tbl>
      <w:tblPr>
        <w:tblStyle w:val="23"/>
        <w:tblW w:w="0" w:type="auto"/>
        <w:jc w:val="center"/>
        <w:tblLayout w:type="fixed"/>
        <w:tblCellMar>
          <w:top w:w="0" w:type="dxa"/>
          <w:left w:w="10" w:type="dxa"/>
          <w:bottom w:w="0" w:type="dxa"/>
          <w:right w:w="10" w:type="dxa"/>
        </w:tblCellMar>
      </w:tblPr>
      <w:tblGrid>
        <w:gridCol w:w="923"/>
        <w:gridCol w:w="1278"/>
        <w:gridCol w:w="2090"/>
        <w:gridCol w:w="1754"/>
        <w:gridCol w:w="1425"/>
        <w:gridCol w:w="1602"/>
      </w:tblGrid>
      <w:tr>
        <w:tblPrEx>
          <w:tblCellMar>
            <w:top w:w="0" w:type="dxa"/>
            <w:left w:w="10" w:type="dxa"/>
            <w:bottom w:w="0" w:type="dxa"/>
            <w:right w:w="10" w:type="dxa"/>
          </w:tblCellMar>
        </w:tblPrEx>
        <w:trPr>
          <w:trHeight w:val="897" w:hRule="exact"/>
          <w:jc w:val="center"/>
        </w:trPr>
        <w:tc>
          <w:tcPr>
            <w:tcW w:w="923" w:type="dxa"/>
            <w:tcBorders>
              <w:top w:val="single" w:color="auto" w:sz="4" w:space="0"/>
              <w:left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序号</w:t>
            </w:r>
          </w:p>
        </w:tc>
        <w:tc>
          <w:tcPr>
            <w:tcW w:w="1278" w:type="dxa"/>
            <w:tcBorders>
              <w:top w:val="single" w:color="auto" w:sz="4" w:space="0"/>
              <w:left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项目名称</w:t>
            </w:r>
          </w:p>
        </w:tc>
        <w:tc>
          <w:tcPr>
            <w:tcW w:w="2090" w:type="dxa"/>
            <w:tcBorders>
              <w:top w:val="single" w:color="auto" w:sz="4" w:space="0"/>
              <w:left w:val="single" w:color="auto" w:sz="4" w:space="0"/>
            </w:tcBorders>
            <w:shd w:val="clear" w:color="auto" w:fill="FFFFFF"/>
            <w:vAlign w:val="center"/>
          </w:tcPr>
          <w:p>
            <w:pPr>
              <w:pStyle w:val="47"/>
              <w:ind w:firstLine="482"/>
              <w:jc w:val="both"/>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招标参数</w:t>
            </w:r>
          </w:p>
        </w:tc>
        <w:tc>
          <w:tcPr>
            <w:tcW w:w="1754" w:type="dxa"/>
            <w:tcBorders>
              <w:top w:val="single" w:color="auto" w:sz="4" w:space="0"/>
              <w:left w:val="single" w:color="auto" w:sz="4" w:space="0"/>
            </w:tcBorders>
            <w:shd w:val="clear" w:color="auto" w:fill="FFFFFF"/>
            <w:vAlign w:val="center"/>
          </w:tcPr>
          <w:p>
            <w:pPr>
              <w:pStyle w:val="47"/>
              <w:ind w:firstLine="482"/>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响应参数</w:t>
            </w:r>
          </w:p>
        </w:tc>
        <w:tc>
          <w:tcPr>
            <w:tcW w:w="1425" w:type="dxa"/>
            <w:tcBorders>
              <w:top w:val="single" w:color="auto" w:sz="4" w:space="0"/>
              <w:left w:val="single" w:color="auto" w:sz="4" w:space="0"/>
            </w:tcBorders>
            <w:shd w:val="clear" w:color="auto" w:fill="FFFFFF"/>
            <w:vAlign w:val="center"/>
          </w:tcPr>
          <w:p>
            <w:pPr>
              <w:pStyle w:val="47"/>
              <w:ind w:firstLine="0" w:firstLineChars="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偏离情况</w:t>
            </w:r>
          </w:p>
        </w:tc>
        <w:tc>
          <w:tcPr>
            <w:tcW w:w="1602" w:type="dxa"/>
            <w:tcBorders>
              <w:top w:val="single" w:color="auto" w:sz="4" w:space="0"/>
              <w:left w:val="single" w:color="auto" w:sz="4" w:space="0"/>
              <w:right w:val="single" w:color="auto" w:sz="4" w:space="0"/>
            </w:tcBorders>
            <w:shd w:val="clear" w:color="auto" w:fill="FFFFFF"/>
            <w:vAlign w:val="center"/>
          </w:tcPr>
          <w:p>
            <w:pPr>
              <w:pStyle w:val="47"/>
              <w:ind w:firstLine="482"/>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说明</w:t>
            </w:r>
          </w:p>
        </w:tc>
      </w:tr>
      <w:tr>
        <w:tblPrEx>
          <w:tblCellMar>
            <w:top w:w="0" w:type="dxa"/>
            <w:left w:w="10" w:type="dxa"/>
            <w:bottom w:w="0" w:type="dxa"/>
            <w:right w:w="10" w:type="dxa"/>
          </w:tblCellMar>
        </w:tblPrEx>
        <w:trPr>
          <w:trHeight w:val="620" w:hRule="exact"/>
          <w:jc w:val="center"/>
        </w:trPr>
        <w:tc>
          <w:tcPr>
            <w:tcW w:w="923"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13" w:hRule="exact"/>
          <w:jc w:val="center"/>
        </w:trPr>
        <w:tc>
          <w:tcPr>
            <w:tcW w:w="923"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24" w:hRule="exact"/>
          <w:jc w:val="center"/>
        </w:trPr>
        <w:tc>
          <w:tcPr>
            <w:tcW w:w="923" w:type="dxa"/>
            <w:tcBorders>
              <w:top w:val="single" w:color="auto" w:sz="4" w:space="0"/>
              <w:left w:val="single" w:color="auto" w:sz="4" w:space="0"/>
            </w:tcBorders>
            <w:shd w:val="clear" w:color="auto" w:fill="FFFFFF"/>
            <w:vAlign w:val="center"/>
          </w:tcPr>
          <w:p>
            <w:pPr>
              <w:pStyle w:val="47"/>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tcBorders>
            <w:shd w:val="clear" w:color="auto" w:fill="FFFFFF"/>
            <w:vAlign w:val="center"/>
          </w:tcPr>
          <w:p>
            <w:pPr>
              <w:pStyle w:val="47"/>
              <w:tabs>
                <w:tab w:val="left" w:leader="dot" w:pos="432"/>
              </w:tabs>
              <w:ind w:firstLine="480"/>
              <w:jc w:val="center"/>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en-US" w:bidi="en-US"/>
                <w14:textFill>
                  <w14:solidFill>
                    <w14:schemeClr w14:val="tx1"/>
                  </w14:solidFill>
                </w14:textFill>
              </w:rPr>
              <w:tab/>
            </w:r>
          </w:p>
        </w:tc>
        <w:tc>
          <w:tcPr>
            <w:tcW w:w="1278"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r>
        <w:tblPrEx>
          <w:tblCellMar>
            <w:top w:w="0" w:type="dxa"/>
            <w:left w:w="10" w:type="dxa"/>
            <w:bottom w:w="0" w:type="dxa"/>
            <w:right w:w="10" w:type="dxa"/>
          </w:tblCellMar>
        </w:tblPrEx>
        <w:trPr>
          <w:trHeight w:val="631" w:hRule="exact"/>
          <w:jc w:val="center"/>
        </w:trPr>
        <w:tc>
          <w:tcPr>
            <w:tcW w:w="923"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278"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2090"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754"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425" w:type="dxa"/>
            <w:tcBorders>
              <w:top w:val="single" w:color="auto" w:sz="4" w:space="0"/>
              <w:left w:val="single" w:color="auto" w:sz="4" w:space="0"/>
              <w:bottom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c>
          <w:tcPr>
            <w:tcW w:w="1602" w:type="dxa"/>
            <w:tcBorders>
              <w:top w:val="single" w:color="auto" w:sz="4" w:space="0"/>
              <w:left w:val="single" w:color="auto" w:sz="4" w:space="0"/>
              <w:bottom w:val="single" w:color="auto" w:sz="4" w:space="0"/>
              <w:right w:val="single" w:color="auto" w:sz="4" w:space="0"/>
            </w:tcBorders>
            <w:shd w:val="clear" w:color="auto" w:fill="FFFFFF"/>
          </w:tcPr>
          <w:p>
            <w:pPr>
              <w:ind w:firstLine="480"/>
              <w:rPr>
                <w:rFonts w:ascii="仿宋" w:hAnsi="仿宋" w:cs="仿宋"/>
                <w:color w:val="000000" w:themeColor="text1"/>
                <w:highlight w:val="none"/>
                <w14:textFill>
                  <w14:solidFill>
                    <w14:schemeClr w14:val="tx1"/>
                  </w14:solidFill>
                </w14:textFill>
              </w:rPr>
            </w:pPr>
          </w:p>
        </w:tc>
      </w:tr>
    </w:tbl>
    <w:p>
      <w:pPr>
        <w:pStyle w:val="51"/>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val="0"/>
          <w:bCs w:val="0"/>
          <w:color w:val="000000" w:themeColor="text1"/>
          <w:highlight w:val="none"/>
          <w:lang w:eastAsia="zh-CN"/>
          <w14:textFill>
            <w14:solidFill>
              <w14:schemeClr w14:val="tx1"/>
            </w14:solidFill>
          </w14:textFill>
        </w:rPr>
        <w:t>注：凡响应文件中服务条款（包括项目工作时限要求、采购需求）与招标文</w:t>
      </w:r>
      <w:r>
        <w:rPr>
          <w:rFonts w:hint="eastAsia" w:ascii="仿宋" w:hAnsi="仿宋" w:eastAsia="仿宋" w:cs="仿宋"/>
          <w:color w:val="000000" w:themeColor="text1"/>
          <w:highlight w:val="none"/>
          <w:lang w:eastAsia="zh-CN"/>
          <w14:textFill>
            <w14:solidFill>
              <w14:schemeClr w14:val="tx1"/>
            </w14:solidFill>
          </w14:textFill>
        </w:rPr>
        <w:t>件有偏差的，均应在此表中列出（内容较多的可以标注见响应文件第几页，偏差包括正偏差和负偏差），未在此表中列出的视同完全满足招标文件要求。</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投标人名称（电子签章）：</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法定代表人（签名</w:t>
      </w:r>
      <w:r>
        <w:rPr>
          <w:rFonts w:hint="eastAsia" w:ascii="仿宋" w:hAnsi="仿宋" w:eastAsia="仿宋" w:cs="仿宋"/>
          <w:color w:val="000000" w:themeColor="text1"/>
          <w:highlight w:val="none"/>
          <w:lang w:val="en-US" w:eastAsia="zh-CN"/>
          <w14:textFill>
            <w14:solidFill>
              <w14:schemeClr w14:val="tx1"/>
            </w14:solidFill>
          </w14:textFill>
        </w:rPr>
        <w:t>或盖章</w:t>
      </w:r>
      <w:r>
        <w:rPr>
          <w:rFonts w:hint="eastAsia" w:ascii="仿宋" w:hAnsi="仿宋" w:eastAsia="仿宋" w:cs="仿宋"/>
          <w:color w:val="000000" w:themeColor="text1"/>
          <w:highlight w:val="none"/>
          <w:lang w:eastAsia="zh-CN"/>
          <w14:textFill>
            <w14:solidFill>
              <w14:schemeClr w14:val="tx1"/>
            </w14:solidFill>
          </w14:textFill>
        </w:rPr>
        <w:t>）：</w:t>
      </w:r>
    </w:p>
    <w:p>
      <w:pPr>
        <w:pStyle w:val="45"/>
        <w:spacing w:after="0" w:line="360" w:lineRule="auto"/>
        <w:ind w:firstLine="480"/>
        <w:rPr>
          <w:rFonts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日期：年月日</w:t>
      </w:r>
    </w:p>
    <w:p>
      <w:pPr>
        <w:widowControl/>
        <w:spacing w:line="240" w:lineRule="auto"/>
        <w:ind w:firstLine="0" w:firstLineChars="0"/>
        <w:rPr>
          <w:rFonts w:ascii="仿宋" w:hAnsi="仿宋" w:cs="仿宋"/>
          <w:b/>
          <w:bCs/>
          <w:color w:val="000000" w:themeColor="text1"/>
          <w:highlight w:val="none"/>
          <w:lang w:val="zh-TW" w:eastAsia="zh-CN" w:bidi="zh-TW"/>
          <w14:textFill>
            <w14:solidFill>
              <w14:schemeClr w14:val="tx1"/>
            </w14:solidFill>
          </w14:textFill>
        </w:rPr>
      </w:pPr>
      <w:r>
        <w:rPr>
          <w:rFonts w:ascii="仿宋" w:hAnsi="仿宋" w:cs="仿宋"/>
          <w:b/>
          <w:bCs/>
          <w:color w:val="000000" w:themeColor="text1"/>
          <w:highlight w:val="none"/>
          <w:lang w:eastAsia="zh-CN"/>
          <w14:textFill>
            <w14:solidFill>
              <w14:schemeClr w14:val="tx1"/>
            </w14:solidFill>
          </w14:textFill>
        </w:rPr>
        <w:br w:type="page"/>
      </w:r>
    </w:p>
    <w:p>
      <w:pPr>
        <w:pStyle w:val="45"/>
        <w:spacing w:after="0" w:line="360" w:lineRule="auto"/>
        <w:ind w:firstLine="482"/>
        <w:rPr>
          <w:rFonts w:ascii="仿宋" w:hAnsi="仿宋" w:eastAsia="仿宋" w:cs="仿宋"/>
          <w:b/>
          <w:bCs/>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lang w:eastAsia="zh-CN"/>
          <w14:textFill>
            <w14:solidFill>
              <w14:schemeClr w14:val="tx1"/>
            </w14:solidFill>
          </w14:textFill>
        </w:rPr>
        <w:t>附件十二：其他资料（</w:t>
      </w:r>
      <w:r>
        <w:rPr>
          <w:rFonts w:hint="eastAsia" w:ascii="仿宋" w:hAnsi="仿宋" w:eastAsia="仿宋" w:cs="仿宋"/>
          <w:b/>
          <w:bCs/>
          <w:color w:val="000000" w:themeColor="text1"/>
          <w:highlight w:val="none"/>
          <w:lang w:val="en-US" w:eastAsia="zh-CN"/>
          <w14:textFill>
            <w14:solidFill>
              <w14:schemeClr w14:val="tx1"/>
            </w14:solidFill>
          </w14:textFill>
        </w:rPr>
        <w:t>投标人</w:t>
      </w:r>
      <w:r>
        <w:rPr>
          <w:rFonts w:hint="eastAsia" w:ascii="仿宋" w:hAnsi="仿宋" w:eastAsia="仿宋" w:cs="仿宋"/>
          <w:b/>
          <w:bCs/>
          <w:color w:val="000000" w:themeColor="text1"/>
          <w:highlight w:val="none"/>
          <w:lang w:eastAsia="zh-CN"/>
          <w14:textFill>
            <w14:solidFill>
              <w14:schemeClr w14:val="tx1"/>
            </w14:solidFill>
          </w14:textFill>
        </w:rPr>
        <w:t>认为有必要提供的</w:t>
      </w:r>
      <w:r>
        <w:rPr>
          <w:rFonts w:hint="eastAsia" w:ascii="仿宋" w:hAnsi="仿宋" w:eastAsia="仿宋" w:cs="仿宋"/>
          <w:b/>
          <w:bCs/>
          <w:color w:val="000000" w:themeColor="text1"/>
          <w:highlight w:val="none"/>
          <w:lang w:val="en-US" w:eastAsia="zh-CN"/>
          <w14:textFill>
            <w14:solidFill>
              <w14:schemeClr w14:val="tx1"/>
            </w14:solidFill>
          </w14:textFill>
        </w:rPr>
        <w:t>有利于自身的</w:t>
      </w:r>
      <w:r>
        <w:rPr>
          <w:rFonts w:hint="eastAsia" w:ascii="仿宋" w:hAnsi="仿宋" w:eastAsia="仿宋" w:cs="仿宋"/>
          <w:b/>
          <w:bCs/>
          <w:color w:val="000000" w:themeColor="text1"/>
          <w:highlight w:val="none"/>
          <w:lang w:eastAsia="zh-CN"/>
          <w14:textFill>
            <w14:solidFill>
              <w14:schemeClr w14:val="tx1"/>
            </w14:solidFill>
          </w14:textFill>
        </w:rPr>
        <w:t>其它材料）</w:t>
      </w:r>
    </w:p>
    <w:p>
      <w:pPr>
        <w:widowControl/>
        <w:spacing w:line="240" w:lineRule="auto"/>
        <w:ind w:firstLine="0" w:firstLineChars="0"/>
        <w:rPr>
          <w:b/>
          <w:bCs/>
          <w:color w:val="000000" w:themeColor="text1"/>
          <w:highlight w:val="none"/>
          <w:lang w:eastAsia="zh-CN"/>
          <w14:textFill>
            <w14:solidFill>
              <w14:schemeClr w14:val="tx1"/>
            </w14:solidFill>
          </w14:textFill>
        </w:rPr>
      </w:pPr>
      <w:bookmarkStart w:id="385" w:name="_Toc1212"/>
      <w:bookmarkStart w:id="386" w:name="_Toc32031"/>
      <w:bookmarkStart w:id="387" w:name="_Toc41514355"/>
      <w:bookmarkStart w:id="388" w:name="_Toc12830"/>
      <w:r>
        <w:rPr>
          <w:b/>
          <w:bCs/>
          <w:color w:val="000000" w:themeColor="text1"/>
          <w:highlight w:val="none"/>
          <w:lang w:eastAsia="zh-CN"/>
          <w14:textFill>
            <w14:solidFill>
              <w14:schemeClr w14:val="tx1"/>
            </w14:solidFill>
          </w14:textFill>
        </w:rPr>
        <w:br w:type="page"/>
      </w:r>
    </w:p>
    <w:p>
      <w:pPr>
        <w:ind w:firstLine="482"/>
        <w:rPr>
          <w:b/>
          <w:bCs/>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附件十三</w:t>
      </w:r>
    </w:p>
    <w:p>
      <w:pPr>
        <w:ind w:firstLine="643"/>
        <w:jc w:val="center"/>
        <w:rPr>
          <w:b/>
          <w:bCs/>
          <w:color w:val="000000" w:themeColor="text1"/>
          <w:sz w:val="32"/>
          <w:szCs w:val="32"/>
          <w:highlight w:val="none"/>
          <w:lang w:eastAsia="zh-CN"/>
          <w14:textFill>
            <w14:solidFill>
              <w14:schemeClr w14:val="tx1"/>
            </w14:solidFill>
          </w14:textFill>
        </w:rPr>
      </w:pPr>
      <w:r>
        <w:rPr>
          <w:rFonts w:hint="eastAsia"/>
          <w:b/>
          <w:bCs/>
          <w:color w:val="000000" w:themeColor="text1"/>
          <w:sz w:val="32"/>
          <w:szCs w:val="32"/>
          <w:highlight w:val="none"/>
          <w:lang w:eastAsia="zh-CN"/>
          <w14:textFill>
            <w14:solidFill>
              <w14:schemeClr w14:val="tx1"/>
            </w14:solidFill>
          </w14:textFill>
        </w:rPr>
        <w:t>中小微企业证明文件等（如有）</w:t>
      </w:r>
      <w:bookmarkEnd w:id="385"/>
      <w:bookmarkEnd w:id="386"/>
      <w:bookmarkEnd w:id="387"/>
      <w:bookmarkEnd w:id="388"/>
    </w:p>
    <w:p>
      <w:pPr>
        <w:ind w:firstLine="482"/>
        <w:jc w:val="center"/>
        <w:rPr>
          <w:rFonts w:ascii="仿宋" w:hAnsi="仿宋" w:cs="仿宋"/>
          <w:color w:val="000000" w:themeColor="text1"/>
          <w:highlight w:val="none"/>
          <w:lang w:eastAsia="zh-CN"/>
          <w14:textFill>
            <w14:solidFill>
              <w14:schemeClr w14:val="tx1"/>
            </w14:solidFill>
          </w14:textFill>
        </w:rPr>
      </w:pPr>
      <w:bookmarkStart w:id="389" w:name="1、中小企业声明函、监狱企业声明函（如有）"/>
      <w:bookmarkEnd w:id="389"/>
      <w:bookmarkStart w:id="390" w:name="_Toc11238"/>
      <w:bookmarkStart w:id="391" w:name="_Toc6231"/>
      <w:bookmarkStart w:id="392" w:name="_Toc29169"/>
      <w:r>
        <w:rPr>
          <w:rFonts w:hint="eastAsia"/>
          <w:b/>
          <w:bCs/>
          <w:color w:val="000000" w:themeColor="text1"/>
          <w:highlight w:val="none"/>
          <w:lang w:eastAsia="zh-CN"/>
          <w14:textFill>
            <w14:solidFill>
              <w14:schemeClr w14:val="tx1"/>
            </w14:solidFill>
          </w14:textFill>
        </w:rPr>
        <w:t>1、中小企业声明函、（如有）</w:t>
      </w:r>
      <w:bookmarkEnd w:id="390"/>
      <w:bookmarkEnd w:id="391"/>
      <w:bookmarkEnd w:id="392"/>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致：（采购人名称）：</w:t>
      </w:r>
    </w:p>
    <w:p>
      <w:pPr>
        <w:ind w:firstLine="480"/>
        <w:rPr>
          <w:rFonts w:ascii="仿宋" w:hAnsi="仿宋" w:cs="仿宋"/>
          <w:color w:val="000000" w:themeColor="text1"/>
          <w:highlight w:val="none"/>
          <w:lang w:eastAsia="zh-CN"/>
          <w14:textFill>
            <w14:solidFill>
              <w14:schemeClr w14:val="tx1"/>
            </w14:solidFill>
          </w14:textFill>
        </w:rPr>
      </w:pPr>
      <w:bookmarkStart w:id="393" w:name="_Hlk61509205"/>
      <w:r>
        <w:rPr>
          <w:rFonts w:hint="eastAsia" w:ascii="仿宋" w:hAnsi="仿宋" w:cs="仿宋"/>
          <w:color w:val="000000" w:themeColor="text1"/>
          <w:highlight w:val="none"/>
          <w:lang w:eastAsia="zh-CN"/>
          <w14:textFill>
            <w14:solidFill>
              <w14:schemeClr w14:val="tx1"/>
            </w14:solidFill>
          </w14:textFill>
        </w:rPr>
        <w:t>本公司（联合体）郑重声明，根据《政府采购促进中小企业发展管理办法》（财库〔2020〕46号）的规定，本公司（联合体）参加（单位名称）的（项目名称）的采购活动，工程的施工单位全部为符合政策要求的中小企业（或者：服务全部由符合政策要求的中小企业承接）。相关企业（含联合体中的中小企业、签订分包意向协议的中小企业）的具体情况如下：</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1.(标的名称），属于（采购文件中明确的所属行业）承建（承接）企业为（企业名称），从业人员人，营业收入为万元，资产总额为万元，属于企业（中型企业、小型企业、微型企业),</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2.(标的名称），属于（采购文件中明确的所属行业)；承建（承接）企业为（企业名称），从业人员人，营业收入为万元，资产总额为万元，属于（中型企业、小型企业、微型企业)。</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以上企业，不属于大企业的分支机构，不存在控股股东为大企业的情形，也不存在与大企业的负责人为同一人的情形。</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本公司对上述声明内容的真实性负责。如有虚假，将依法承担相应责任。</w:t>
      </w:r>
    </w:p>
    <w:bookmarkEnd w:id="393"/>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投标人名称（电子签章）：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法定代表人（签名或盖章）：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日期：年月日</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备注：</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1.填写前请认真阅读《中小企业划型标准规定》和《财政部工业和信息化部关于印发《政府采购促进中小企业发展管理办法》的通知》(财库〔2020〕46号)相关规定。本项目是专门面向中小企业采购。在响应文件中须提供本《中小企业声明函》；</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2.从业人员、营业收入、资产总额填报上一年度数据，无上一年度数据的新成立企业可不填报。</w:t>
      </w:r>
    </w:p>
    <w:p>
      <w:pPr>
        <w:ind w:firstLine="480"/>
        <w:rPr>
          <w:rFonts w:ascii="仿宋" w:hAnsi="仿宋" w:cs="仿宋"/>
          <w:color w:val="000000" w:themeColor="text1"/>
          <w:highlight w:val="none"/>
          <w:lang w:eastAsia="zh-CN"/>
          <w14:textFill>
            <w14:solidFill>
              <w14:schemeClr w14:val="tx1"/>
            </w14:solidFill>
          </w14:textFill>
        </w:rPr>
      </w:pPr>
    </w:p>
    <w:p>
      <w:pPr>
        <w:ind w:firstLine="480"/>
        <w:jc w:val="center"/>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bookmarkStart w:id="394" w:name="2_、残疾人福利性单位声明函（如有）"/>
      <w:bookmarkEnd w:id="394"/>
      <w:r>
        <w:rPr>
          <w:rFonts w:hint="eastAsia"/>
          <w:color w:val="000000" w:themeColor="text1"/>
          <w:highlight w:val="none"/>
          <w:lang w:eastAsia="zh-CN"/>
          <w14:textFill>
            <w14:solidFill>
              <w14:schemeClr w14:val="tx1"/>
            </w14:solidFill>
          </w14:textFill>
        </w:rPr>
        <w:t>（2）残疾人福利性单位声明函（如有）</w:t>
      </w: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且本单位参加_（采购人）单位的______项目采购活动，提供本单位制造的货物（由本单位承担工程/提供服务），或者提供其他残疾人福利性单位制造的货物（不包括使用非残疾人福利性单位注册商标的货物）。</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本单位知悉《关于促进残疾人就业政府采购政策的通知》（财库〔2017〕141号）的规定，承诺提供的声明函内容是真实的，如提供声明函内容不实，则依法追究相关法律责任。</w:t>
      </w:r>
    </w:p>
    <w:p>
      <w:pPr>
        <w:ind w:firstLine="480"/>
        <w:rPr>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投标人名称（电子签章）：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法定代表人（签名或盖章）：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日期：年月日</w:t>
      </w: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sectPr>
          <w:headerReference r:id="rId24" w:type="default"/>
          <w:footerReference r:id="rId26" w:type="default"/>
          <w:headerReference r:id="rId25" w:type="even"/>
          <w:footerReference r:id="rId27" w:type="even"/>
          <w:pgSz w:w="11900" w:h="16840"/>
          <w:pgMar w:top="1456" w:right="1415" w:bottom="1456" w:left="1414" w:header="0" w:footer="3" w:gutter="0"/>
          <w:cols w:space="720" w:num="1"/>
          <w:docGrid w:linePitch="360" w:charSpace="0"/>
        </w:sectPr>
      </w:pPr>
      <w:r>
        <w:rPr>
          <w:rFonts w:hint="eastAsia"/>
          <w:color w:val="000000" w:themeColor="text1"/>
          <w:highlight w:val="none"/>
          <w:lang w:eastAsia="zh-CN"/>
          <w14:textFill>
            <w14:solidFill>
              <w14:schemeClr w14:val="tx1"/>
            </w14:solidFill>
          </w14:textFill>
        </w:rPr>
        <w:t>备注：填写前请认真阅读《财政部民政部中国残疾人联合会关于促进残疾人就业政府采购政策的通知》(财库〔2017〕141号)相关规定。若符合前述相关规定所确定的残疾人福利性单位，须在响应文件中提供本《残疾人福利性单位声明函》。</w:t>
      </w:r>
    </w:p>
    <w:p>
      <w:pPr>
        <w:ind w:firstLine="480"/>
        <w:rPr>
          <w:color w:val="000000" w:themeColor="text1"/>
          <w:highlight w:val="none"/>
          <w:lang w:eastAsia="zh-CN"/>
          <w14:textFill>
            <w14:solidFill>
              <w14:schemeClr w14:val="tx1"/>
            </w14:solidFill>
          </w14:textFill>
        </w:rPr>
      </w:pPr>
    </w:p>
    <w:p>
      <w:pPr>
        <w:ind w:firstLine="480"/>
        <w:jc w:val="center"/>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（3）监狱企业证明文件（如有）</w:t>
      </w: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单位郑重声明，根据《财政部司法部关于政府采购支持监狱企业发展有关问题的通知》（财库〔2014〕68号）的规定，本单位为符合条件的监狱企业。</w:t>
      </w: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本单位对上述声明的真实性负责。如有虚假，将依法承担相应责任。</w:t>
      </w:r>
    </w:p>
    <w:p>
      <w:pPr>
        <w:ind w:firstLine="480"/>
        <w:rPr>
          <w:color w:val="000000" w:themeColor="text1"/>
          <w:highlight w:val="none"/>
          <w:lang w:eastAsia="zh-CN"/>
          <w14:textFill>
            <w14:solidFill>
              <w14:schemeClr w14:val="tx1"/>
            </w14:solidFill>
          </w14:textFill>
        </w:rPr>
      </w:pP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投标人名称（电子签章）：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法定代表人（签名或盖章）：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日期：年月日</w:t>
      </w: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附：省级以上监狱管理局、戒毒管理局（含新疆生产建设兵团）出具的监狱企业证明文件。</w:t>
      </w: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备注：填写前请认真阅读《财政部司法部关于政府采购支持监狱企业发展有关问题的通知》（财库〔2014〕68号）相关规定。若符合前述相关规定所确定的监狱企业，除了提供本《监狱企业声明函》，还需提供由省级以上监狱管理局、戒毒管理局（含新疆生产建设兵团）出具的属于监狱企业的证明文件。</w:t>
      </w:r>
    </w:p>
    <w:p>
      <w:pPr>
        <w:ind w:firstLine="0" w:firstLineChars="0"/>
        <w:rPr>
          <w:rFonts w:ascii="仿宋" w:hAnsi="仿宋" w:cs="仿宋"/>
          <w:b/>
          <w:bCs/>
          <w:color w:val="000000" w:themeColor="text1"/>
          <w:highlight w:val="none"/>
          <w:lang w:eastAsia="zh-CN"/>
          <w14:textFill>
            <w14:solidFill>
              <w14:schemeClr w14:val="tx1"/>
            </w14:solidFill>
          </w14:textFill>
        </w:rPr>
      </w:pPr>
    </w:p>
    <w:p>
      <w:pPr>
        <w:pStyle w:val="6"/>
        <w:ind w:firstLine="480"/>
        <w:rPr>
          <w:color w:val="000000" w:themeColor="text1"/>
          <w:highlight w:val="none"/>
          <w:lang w:eastAsia="zh-CN"/>
          <w14:textFill>
            <w14:solidFill>
              <w14:schemeClr w14:val="tx1"/>
            </w14:solidFill>
          </w14:textFill>
        </w:rPr>
        <w:sectPr>
          <w:pgSz w:w="11900" w:h="16840"/>
          <w:pgMar w:top="1456" w:right="1415" w:bottom="1456" w:left="1414" w:header="0" w:footer="3" w:gutter="0"/>
          <w:cols w:space="720" w:num="1"/>
          <w:docGrid w:linePitch="360" w:charSpace="0"/>
        </w:sectPr>
      </w:pPr>
    </w:p>
    <w:p>
      <w:pPr>
        <w:ind w:firstLine="482"/>
        <w:rPr>
          <w:color w:val="000000" w:themeColor="text1"/>
          <w:highlight w:val="none"/>
          <w:lang w:eastAsia="zh-CN"/>
          <w14:textFill>
            <w14:solidFill>
              <w14:schemeClr w14:val="tx1"/>
            </w14:solidFill>
          </w14:textFill>
        </w:rPr>
      </w:pPr>
      <w:r>
        <w:rPr>
          <w:rFonts w:hint="eastAsia"/>
          <w:b/>
          <w:bCs/>
          <w:color w:val="000000" w:themeColor="text1"/>
          <w:highlight w:val="none"/>
          <w:lang w:eastAsia="zh-CN"/>
          <w14:textFill>
            <w14:solidFill>
              <w14:schemeClr w14:val="tx1"/>
            </w14:solidFill>
          </w14:textFill>
        </w:rPr>
        <w:t>附件十四</w:t>
      </w:r>
    </w:p>
    <w:p>
      <w:pPr>
        <w:pStyle w:val="11"/>
        <w:ind w:firstLine="602"/>
        <w:jc w:val="center"/>
        <w:rPr>
          <w:rFonts w:hAnsi="宋体"/>
          <w:b/>
          <w:color w:val="000000" w:themeColor="text1"/>
          <w:sz w:val="30"/>
          <w:szCs w:val="30"/>
          <w:highlight w:val="none"/>
          <w:lang w:eastAsia="zh-CN"/>
          <w14:textFill>
            <w14:solidFill>
              <w14:schemeClr w14:val="tx1"/>
            </w14:solidFill>
          </w14:textFill>
        </w:rPr>
      </w:pPr>
      <w:r>
        <w:rPr>
          <w:rFonts w:hint="eastAsia" w:hAnsi="宋体"/>
          <w:b/>
          <w:color w:val="000000" w:themeColor="text1"/>
          <w:sz w:val="30"/>
          <w:szCs w:val="30"/>
          <w:highlight w:val="none"/>
          <w:lang w:eastAsia="zh-CN"/>
          <w14:textFill>
            <w14:solidFill>
              <w14:schemeClr w14:val="tx1"/>
            </w14:solidFill>
          </w14:textFill>
        </w:rPr>
        <w:t>其他证明文件</w:t>
      </w:r>
    </w:p>
    <w:p>
      <w:pPr>
        <w:ind w:firstLine="480"/>
        <w:rPr>
          <w:color w:val="000000" w:themeColor="text1"/>
          <w:highlight w:val="none"/>
          <w:lang w:eastAsia="zh-CN"/>
          <w14:textFill>
            <w14:solidFill>
              <w14:schemeClr w14:val="tx1"/>
            </w14:solidFill>
          </w14:textFill>
        </w:rPr>
      </w:pPr>
    </w:p>
    <w:p>
      <w:pPr>
        <w:ind w:firstLine="480"/>
        <w:rPr>
          <w:color w:val="000000" w:themeColor="text1"/>
          <w:highlight w:val="none"/>
          <w:lang w:eastAsia="zh-CN"/>
          <w14:textFill>
            <w14:solidFill>
              <w14:schemeClr w14:val="tx1"/>
            </w14:solidFill>
          </w14:textFill>
        </w:rPr>
      </w:pPr>
    </w:p>
    <w:p>
      <w:pPr>
        <w:ind w:firstLine="482"/>
        <w:jc w:val="center"/>
        <w:rPr>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诚信投标承诺书</w:t>
      </w:r>
    </w:p>
    <w:p>
      <w:pPr>
        <w:ind w:firstLine="480"/>
        <w:rPr>
          <w:color w:val="000000" w:themeColor="text1"/>
          <w:highlight w:val="none"/>
          <w:lang w:eastAsia="zh-CN"/>
          <w14:textFill>
            <w14:solidFill>
              <w14:schemeClr w14:val="tx1"/>
            </w14:solidFill>
          </w14:textFill>
        </w:rPr>
      </w:pP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本人以企业法定代表人的身份郑重承诺：</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1、投标响应文件中所提供的一切材料都是真实、有效、合法的。</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2、未以他人名义投标或者以其他方式弄虚作假，骗取中标。</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3、未与其他供应商互相串通投标，不排挤其他供应商的公平竞争，不损害采购人的合法权益。</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4、未与采购人或者招标代理机构串通投标，损害国家利益、社会公共利益或者他人的合法权益。</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5、不向采购人或者评审小组成员行贿以牟取中标。</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6、同意采购人的验收、计量、支付办法；投标响应文件中未提出超出采购人要求的附加条件。</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7、遵守《中华人民共和国政府采购法》、《政府采购货物和服务招标投标管理办法》（财政部87号令）、《政府采购非招标采购方式管理办法》（财政部74号令）等相关法律法规的规定，保证不进行恶意投诉。</w:t>
      </w:r>
    </w:p>
    <w:p>
      <w:pPr>
        <w:spacing w:line="400" w:lineRule="exact"/>
        <w:ind w:firstLine="480"/>
        <w:rPr>
          <w:rFonts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投标人名称（电子签章）：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法定代表人（签名或盖章）：</w:t>
      </w:r>
    </w:p>
    <w:p>
      <w:pPr>
        <w:ind w:firstLine="480"/>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eastAsia="zh-CN"/>
          <w14:textFill>
            <w14:solidFill>
              <w14:schemeClr w14:val="tx1"/>
            </w14:solidFill>
          </w14:textFill>
        </w:rPr>
        <w:t>日期：年月日</w:t>
      </w:r>
    </w:p>
    <w:p>
      <w:pPr>
        <w:pStyle w:val="6"/>
        <w:ind w:firstLine="480"/>
        <w:rPr>
          <w:rFonts w:ascii="宋体" w:hAnsi="宋体"/>
          <w:color w:val="000000" w:themeColor="text1"/>
          <w:highlight w:val="none"/>
          <w:lang w:eastAsia="zh-CN"/>
          <w14:textFill>
            <w14:solidFill>
              <w14:schemeClr w14:val="tx1"/>
            </w14:solidFill>
          </w14:textFill>
        </w:rPr>
        <w:sectPr>
          <w:pgSz w:w="11900" w:h="16840"/>
          <w:pgMar w:top="1456" w:right="1415" w:bottom="1456" w:left="1414" w:header="0" w:footer="3" w:gutter="0"/>
          <w:cols w:space="720" w:num="1"/>
          <w:docGrid w:linePitch="360" w:charSpace="0"/>
        </w:sectPr>
      </w:pPr>
    </w:p>
    <w:p>
      <w:pPr>
        <w:ind w:firstLine="480"/>
        <w:jc w:val="center"/>
        <w:rPr>
          <w:rFonts w:ascii="仿宋" w:hAnsi="仿宋" w:cs="仿宋"/>
          <w:color w:val="000000" w:themeColor="text1"/>
          <w:highlight w:val="none"/>
          <w:lang w:eastAsia="zh-CN"/>
          <w14:textFill>
            <w14:solidFill>
              <w14:schemeClr w14:val="tx1"/>
            </w14:solidFill>
          </w14:textFill>
        </w:rPr>
      </w:pPr>
      <w:r>
        <w:rPr>
          <w:rFonts w:hint="eastAsia" w:ascii="仿宋" w:hAnsi="仿宋" w:cs="仿宋"/>
          <w:color w:val="000000" w:themeColor="text1"/>
          <w:highlight w:val="none"/>
          <w:lang w:val="zh-TW" w:eastAsia="zh-TW"/>
          <w14:textFill>
            <w14:solidFill>
              <w14:schemeClr w14:val="tx1"/>
            </w14:solidFill>
          </w14:textFill>
        </w:rPr>
        <w:t>★</w:t>
      </w:r>
      <w:r>
        <w:rPr>
          <w:rFonts w:hint="eastAsia" w:ascii="仿宋" w:hAnsi="仿宋" w:cs="仿宋"/>
          <w:color w:val="000000" w:themeColor="text1"/>
          <w:highlight w:val="none"/>
          <w:lang w:eastAsia="zh-CN"/>
          <w14:textFill>
            <w14:solidFill>
              <w14:schemeClr w14:val="tx1"/>
            </w14:solidFill>
          </w14:textFill>
        </w:rPr>
        <w:t>不参与围标串标承诺书</w:t>
      </w:r>
    </w:p>
    <w:p>
      <w:pPr>
        <w:pStyle w:val="89"/>
        <w:widowControl/>
        <w:adjustRightInd w:val="0"/>
        <w:snapToGrid w:val="0"/>
        <w:spacing w:line="360" w:lineRule="auto"/>
        <w:ind w:firstLine="504" w:firstLineChars="200"/>
        <w:jc w:val="left"/>
        <w:rPr>
          <w:rFonts w:hint="eastAsia" w:ascii="仿宋" w:hAnsi="仿宋" w:eastAsia="仿宋" w:cs="仿宋"/>
          <w:color w:val="000000" w:themeColor="text1"/>
          <w:spacing w:val="6"/>
          <w:kern w:val="0"/>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项目名称：项目编号：</w:t>
      </w:r>
    </w:p>
    <w:p>
      <w:pPr>
        <w:pStyle w:val="89"/>
        <w:widowControl/>
        <w:adjustRightInd w:val="0"/>
        <w:snapToGrid w:val="0"/>
        <w:spacing w:line="360" w:lineRule="auto"/>
        <w:ind w:firstLine="504" w:firstLineChars="200"/>
        <w:jc w:val="left"/>
        <w:rPr>
          <w:rFonts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本人作为（单位名称）的法人，清楚知晓我公司本项目投标活动，对以下事项作出承诺：</w:t>
      </w:r>
    </w:p>
    <w:p>
      <w:pPr>
        <w:pStyle w:val="89"/>
        <w:widowControl/>
        <w:adjustRightInd w:val="0"/>
        <w:snapToGrid w:val="0"/>
        <w:spacing w:line="360" w:lineRule="auto"/>
        <w:jc w:val="left"/>
        <w:rPr>
          <w:rFonts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一、我单位遵循公开、公平、公正、诚实守信的原则，依法依规参与本项目竞标。</w:t>
      </w:r>
    </w:p>
    <w:p>
      <w:pPr>
        <w:pStyle w:val="89"/>
        <w:widowControl/>
        <w:adjustRightInd w:val="0"/>
        <w:snapToGrid w:val="0"/>
        <w:spacing w:line="360" w:lineRule="auto"/>
        <w:jc w:val="left"/>
        <w:rPr>
          <w:rFonts w:ascii="仿宋" w:hAnsi="仿宋" w:eastAsia="仿宋" w:cs="仿宋"/>
          <w:color w:val="000000" w:themeColor="text1"/>
          <w:spacing w:val="6"/>
          <w:kern w:val="0"/>
          <w:sz w:val="24"/>
          <w:szCs w:val="24"/>
          <w:highlight w:val="none"/>
          <w14:textFill>
            <w14:solidFill>
              <w14:schemeClr w14:val="tx1"/>
            </w14:solidFill>
          </w14:textFill>
        </w:rPr>
      </w:pPr>
      <w:bookmarkStart w:id="395" w:name="_Toc11508"/>
      <w:bookmarkStart w:id="396" w:name="_Toc17345"/>
      <w:bookmarkStart w:id="397" w:name="_Toc139"/>
      <w:r>
        <w:rPr>
          <w:rFonts w:hint="eastAsia" w:ascii="仿宋" w:hAnsi="仿宋" w:eastAsia="仿宋" w:cs="仿宋"/>
          <w:color w:val="000000" w:themeColor="text1"/>
          <w:spacing w:val="6"/>
          <w:kern w:val="0"/>
          <w:sz w:val="24"/>
          <w:szCs w:val="24"/>
          <w:highlight w:val="none"/>
          <w14:textFill>
            <w14:solidFill>
              <w14:schemeClr w14:val="tx1"/>
            </w14:solidFill>
          </w14:textFill>
        </w:rPr>
        <w:t>二、我单位在本项目招标投标活动中，未参与围标串标。</w:t>
      </w:r>
      <w:bookmarkEnd w:id="395"/>
      <w:bookmarkEnd w:id="396"/>
      <w:bookmarkEnd w:id="397"/>
    </w:p>
    <w:p>
      <w:pPr>
        <w:pStyle w:val="89"/>
        <w:widowControl/>
        <w:adjustRightInd w:val="0"/>
        <w:snapToGrid w:val="0"/>
        <w:spacing w:line="360" w:lineRule="auto"/>
        <w:jc w:val="left"/>
        <w:rPr>
          <w:rFonts w:ascii="仿宋" w:hAnsi="仿宋" w:eastAsia="仿宋" w:cs="仿宋"/>
          <w:color w:val="000000" w:themeColor="text1"/>
          <w:spacing w:val="6"/>
          <w:kern w:val="0"/>
          <w:sz w:val="24"/>
          <w:szCs w:val="24"/>
          <w:highlight w:val="none"/>
          <w14:textFill>
            <w14:solidFill>
              <w14:schemeClr w14:val="tx1"/>
            </w14:solidFill>
          </w14:textFill>
        </w:rPr>
      </w:pPr>
      <w:r>
        <w:rPr>
          <w:rFonts w:hint="eastAsia" w:ascii="仿宋" w:hAnsi="仿宋" w:eastAsia="仿宋" w:cs="仿宋"/>
          <w:color w:val="000000" w:themeColor="text1"/>
          <w:spacing w:val="6"/>
          <w:kern w:val="0"/>
          <w:sz w:val="24"/>
          <w:szCs w:val="24"/>
          <w:highlight w:val="none"/>
          <w14:textFill>
            <w14:solidFill>
              <w14:schemeClr w14:val="tx1"/>
            </w14:solidFill>
          </w14:textFill>
        </w:rPr>
        <w:t>三、我单位如被查实在本项目招标投标活动中存在围标串标的，递交响应性文件行为作为实施串通投标违法行为的关键环节，本人承担直接责任人员法律责任，接受相应行政处罚和失信惩戒。</w:t>
      </w:r>
    </w:p>
    <w:p>
      <w:pPr>
        <w:pStyle w:val="89"/>
        <w:widowControl/>
        <w:adjustRightInd w:val="0"/>
        <w:snapToGrid w:val="0"/>
        <w:spacing w:line="360" w:lineRule="auto"/>
        <w:ind w:firstLine="1386" w:firstLineChars="550"/>
        <w:jc w:val="left"/>
        <w:rPr>
          <w:rFonts w:ascii="仿宋" w:hAnsi="仿宋" w:eastAsia="仿宋" w:cs="仿宋"/>
          <w:color w:val="000000" w:themeColor="text1"/>
          <w:spacing w:val="6"/>
          <w:kern w:val="0"/>
          <w:sz w:val="24"/>
          <w:szCs w:val="24"/>
          <w:highlight w:val="none"/>
          <w14:textFill>
            <w14:solidFill>
              <w14:schemeClr w14:val="tx1"/>
            </w14:solidFill>
          </w14:textFill>
        </w:rPr>
      </w:pPr>
    </w:p>
    <w:p>
      <w:pPr>
        <w:pStyle w:val="89"/>
        <w:widowControl/>
        <w:adjustRightInd w:val="0"/>
        <w:snapToGrid w:val="0"/>
        <w:spacing w:line="360" w:lineRule="auto"/>
        <w:jc w:val="left"/>
        <w:rPr>
          <w:rFonts w:hint="eastAsia" w:ascii="仿宋" w:hAnsi="仿宋" w:eastAsia="仿宋" w:cs="仿宋"/>
          <w:color w:val="000000" w:themeColor="text1"/>
          <w:spacing w:val="6"/>
          <w:kern w:val="0"/>
          <w:sz w:val="24"/>
          <w:szCs w:val="24"/>
          <w:highlight w:val="none"/>
          <w:lang w:eastAsia="zh-CN"/>
          <w14:textFill>
            <w14:solidFill>
              <w14:schemeClr w14:val="tx1"/>
            </w14:solidFill>
          </w14:textFill>
        </w:rPr>
      </w:pPr>
    </w:p>
    <w:p>
      <w:pPr>
        <w:pStyle w:val="90"/>
        <w:spacing w:line="50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投标人名称（电子签章）：</w:t>
      </w:r>
    </w:p>
    <w:p>
      <w:pPr>
        <w:pStyle w:val="90"/>
        <w:spacing w:line="50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法定代表人（签名或盖章）：</w:t>
      </w:r>
    </w:p>
    <w:p>
      <w:pPr>
        <w:pStyle w:val="90"/>
        <w:spacing w:line="500" w:lineRule="exact"/>
        <w:rPr>
          <w:rFonts w:eastAsia="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日期：年月</w:t>
      </w:r>
      <w:r>
        <w:rPr>
          <w:rFonts w:hint="eastAsia" w:ascii="仿宋" w:hAnsi="仿宋" w:eastAsia="仿宋" w:cs="仿宋"/>
          <w:color w:val="000000" w:themeColor="text1"/>
          <w:sz w:val="24"/>
          <w:szCs w:val="24"/>
          <w:highlight w:val="none"/>
          <w:u w:val="none"/>
          <w14:textFill>
            <w14:solidFill>
              <w14:schemeClr w14:val="tx1"/>
            </w14:solidFill>
          </w14:textFill>
        </w:rPr>
        <w:t>日</w:t>
      </w:r>
    </w:p>
    <w:sectPr>
      <w:pgSz w:w="11900" w:h="16840"/>
      <w:pgMar w:top="1456" w:right="1415" w:bottom="1456" w:left="141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ongti SC Regular">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pPr>
                      <w:pStyle w:val="14"/>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46</w:t>
                    </w:r>
                    <w:r>
                      <w:rPr>
                        <w:rFonts w:hint="eastAsia" w:eastAsia="宋体"/>
                        <w:lang w:eastAsia="zh-CN"/>
                      </w:rPr>
                      <w:fldChar w:fldCharType="end"/>
                    </w:r>
                    <w:r>
                      <w:rPr>
                        <w:rFonts w:hint="eastAsia" w:eastAsia="宋体"/>
                        <w:lang w:eastAsia="zh-CN"/>
                      </w:rPr>
                      <w:t>页</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688975</wp:posOffset>
              </wp:positionH>
              <wp:positionV relativeFrom="page">
                <wp:posOffset>9945370</wp:posOffset>
              </wp:positionV>
              <wp:extent cx="5404485" cy="0"/>
              <wp:effectExtent l="0" t="0" r="0" b="0"/>
              <wp:wrapNone/>
              <wp:docPr id="346" name="Shape 346"/>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46" o:spid="_x0000_s1026" o:spt="32" type="#_x0000_t32" style="position:absolute;left:0pt;margin-left:54.25pt;margin-top:783.1pt;height:0pt;width:425.55pt;mso-position-horizontal-relative:page;mso-position-vertical-relative:page;z-index:-251651072;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3IjXrYAAAADQEA&#10;AA8AAAAAAAAAAQAgAAAAIgAAAGRycy9kb3ducmV2LnhtbFBLAQIUABQAAAAIAIdO4kA3bqXuqAEA&#10;AF4DAAAOAAAAAAAAAAEAIAAAACcBAABkcnMvZTJvRG9jLnhtbFBLBQYAAAAABgAGAFkBAABBBQAA&#10;AAA=&#10;">
              <v:fill on="f" focussize="0,0"/>
              <v:stroke weight="1pt" color="#FFFFFF" joinstyle="round"/>
              <v:imagedata o:title=""/>
              <o:lock v:ext="edit" aspectratio="f"/>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84864" behindDoc="0" locked="0" layoutInCell="1" allowOverlap="1">
              <wp:simplePos x="0" y="0"/>
              <wp:positionH relativeFrom="margin">
                <wp:posOffset>2705100</wp:posOffset>
              </wp:positionH>
              <wp:positionV relativeFrom="paragraph">
                <wp:posOffset>-612775</wp:posOffset>
              </wp:positionV>
              <wp:extent cx="721995" cy="8159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21995" cy="815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70</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pt;margin-top:-48.25pt;height:64.25pt;width:56.85pt;mso-position-horizontal-relative:margin;z-index:251684864;mso-width-relative:page;mso-height-relative:page;" filled="f" stroked="f" coordsize="21600,21600" o:gfxdata="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f4wlraAAAACgEAAA8AAAAAAAAAAQAgAAAAIgAAAGRycy9kb3ducmV2&#10;LnhtbFBLAQIUABQAAAAIAIdO4kA60CCgMwIAAFcEAAAOAAAAAAAAAAEAIAAAACkBAABkcnMvZTJv&#10;RG9jLnhtbFBLBQYAAAAABgAGAFkBAADOBQAAAAA=&#10;">
              <v:fill on="f" focussize="0,0"/>
              <v:stroke on="f" weight="0.5pt"/>
              <v:imagedata o:title=""/>
              <o:lock v:ext="edit" aspectratio="f"/>
              <v:textbox inset="0mm,0mm,0mm,0mm">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70</w:t>
                    </w:r>
                    <w:r>
                      <w:rPr>
                        <w:rFonts w:hint="eastAsia"/>
                        <w:lang w:eastAsia="zh-CN"/>
                      </w:rPr>
                      <w:fldChar w:fldCharType="end"/>
                    </w:r>
                    <w:r>
                      <w:rPr>
                        <w:rFonts w:hint="eastAsia"/>
                        <w:lang w:eastAsia="zh-CN"/>
                      </w:rPr>
                      <w:t>页</w:t>
                    </w:r>
                  </w:p>
                </w:txbxContent>
              </v:textbox>
            </v:shape>
          </w:pict>
        </mc:Fallback>
      </mc:AlternateContent>
    </w:r>
  </w:p>
  <w:p>
    <w:pPr>
      <w:spacing w:line="1" w:lineRule="exact"/>
      <w:ind w:firstLine="48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4"/>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页</w:t>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688975</wp:posOffset>
              </wp:positionH>
              <wp:positionV relativeFrom="page">
                <wp:posOffset>9945370</wp:posOffset>
              </wp:positionV>
              <wp:extent cx="5404485" cy="0"/>
              <wp:effectExtent l="0" t="0" r="0" b="0"/>
              <wp:wrapNone/>
              <wp:docPr id="358" name="Shape 358"/>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358" o:spid="_x0000_s1026" o:spt="32" type="#_x0000_t32" style="position:absolute;left:0pt;margin-left:54.25pt;margin-top:783.1pt;height:0pt;width:425.55pt;mso-position-horizontal-relative:page;mso-position-vertical-relative:page;z-index:-251648000;mso-width-relative:page;mso-height-relative:page;" filled="f" stroked="t" coordsize="21600,21600" o:gfxdata="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ciNetgAAAANAQAA&#10;DwAAAAAAAAABACAAAAAiAAAAZHJzL2Rvd25yZXYueG1sUEsBAhQAFAAAAAgAh07iQCjU1CK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v:textbox>
            </v:shape>
          </w:pict>
        </mc:Fallback>
      </mc:AlternateContent>
    </w:r>
    <w:r>
      <mc:AlternateContent>
        <mc:Choice Requires="wps">
          <w:drawing>
            <wp:anchor distT="0" distB="0" distL="0" distR="0" simplePos="0" relativeHeight="251679744" behindDoc="1" locked="0" layoutInCell="1" allowOverlap="1">
              <wp:simplePos x="0" y="0"/>
              <wp:positionH relativeFrom="page">
                <wp:posOffset>6506845</wp:posOffset>
              </wp:positionH>
              <wp:positionV relativeFrom="page">
                <wp:posOffset>9958705</wp:posOffset>
              </wp:positionV>
              <wp:extent cx="544195" cy="107950"/>
              <wp:effectExtent l="0" t="0" r="0" b="0"/>
              <wp:wrapNone/>
              <wp:docPr id="4" name="Shape 5"/>
              <wp:cNvGraphicFramePr/>
              <a:graphic xmlns:a="http://schemas.openxmlformats.org/drawingml/2006/main">
                <a:graphicData uri="http://schemas.microsoft.com/office/word/2010/wordprocessingShape">
                  <wps:wsp>
                    <wps:cNvSpPr txBox="1"/>
                    <wps:spPr>
                      <a:xfrm>
                        <a:off x="0" y="0"/>
                        <a:ext cx="544195" cy="107950"/>
                      </a:xfrm>
                      <a:prstGeom prst="rect">
                        <a:avLst/>
                      </a:prstGeom>
                      <a:noFill/>
                    </wps:spPr>
                    <wps:txbx>
                      <w:txbxContent>
                        <w:p>
                          <w:pPr>
                            <w:pStyle w:val="35"/>
                            <w:ind w:firstLine="480"/>
                            <w:rPr>
                              <w:rFonts w:eastAsia="宋体"/>
                              <w:sz w:val="24"/>
                              <w:szCs w:val="24"/>
                              <w:lang w:eastAsia="zh-CN"/>
                            </w:rPr>
                          </w:pPr>
                        </w:p>
                      </w:txbxContent>
                    </wps:txbx>
                    <wps:bodyPr wrap="none" lIns="0" tIns="0" rIns="0" bIns="0">
                      <a:spAutoFit/>
                    </wps:bodyPr>
                  </wps:wsp>
                </a:graphicData>
              </a:graphic>
            </wp:anchor>
          </w:drawing>
        </mc:Choice>
        <mc:Fallback>
          <w:pict>
            <v:shape id="Shape 5" o:spid="_x0000_s1026" o:spt="202" type="#_x0000_t202" style="position:absolute;left:0pt;margin-left:512.35pt;margin-top:784.15pt;height:8.5pt;width:42.85pt;mso-position-horizontal-relative:page;mso-position-vertical-relative:page;mso-wrap-style:none;z-index:-251636736;mso-width-relative:page;mso-height-relative:page;" filled="f" stroked="f" coordsize="21600,21600" o:gfxdata="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8Vthv&#10;2QAAAA8BAAAPAAAAAAAAAAEAIAAAACIAAABkcnMvZG93bnJldi54bWxQSwECFAAUAAAACACHTuJA&#10;koGoD64BAABvAwAADgAAAAAAAAABACAAAAAoAQAAZHJzL2Uyb0RvYy54bWxQSwUGAAAAAAYABgBZ&#10;AQAASAUAAAAA&#10;">
              <v:fill on="f" focussize="0,0"/>
              <v:stroke on="f"/>
              <v:imagedata o:title=""/>
              <o:lock v:ext="edit" aspectratio="f"/>
              <v:textbox inset="0mm,0mm,0mm,0mm" style="mso-fit-shape-to-text:t;">
                <w:txbxContent>
                  <w:p>
                    <w:pPr>
                      <w:pStyle w:val="35"/>
                      <w:ind w:firstLine="480"/>
                      <w:rPr>
                        <w:rFonts w:eastAsia="宋体"/>
                        <w:sz w:val="24"/>
                        <w:szCs w:val="24"/>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80768" behindDoc="0" locked="0" layoutInCell="1" allowOverlap="1">
              <wp:simplePos x="0" y="0"/>
              <wp:positionH relativeFrom="margin">
                <wp:posOffset>2974340</wp:posOffset>
              </wp:positionH>
              <wp:positionV relativeFrom="paragraph">
                <wp:posOffset>-198755</wp:posOffset>
              </wp:positionV>
              <wp:extent cx="724535" cy="401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24535" cy="401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4.2pt;margin-top:-15.65pt;height:31.65pt;width:57.05pt;mso-position-horizontal-relative:margin;z-index:251680768;mso-width-relative:page;mso-height-relative:page;" filled="f" stroked="f" coordsize="21600,21600" o:gfxdata="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jGbgH2gAAAAoBAAAPAAAAAAAAAAEAIAAAACIAAABkcnMvZG93bnJldi54&#10;bWxQSwECFAAUAAAACACHTuJAifoz2TECAABVBAAADgAAAAAAAAABACAAAAApAQAAZHJzL2Uyb0Rv&#10;Yy54bWxQSwUGAAAAAAYABgBZAQAAzAUAAAAA&#10;">
              <v:fill on="f" focussize="0,0"/>
              <v:stroke on="f" weight="0.5pt"/>
              <v:imagedata o:title=""/>
              <o:lock v:ext="edit" aspectratio="f"/>
              <v:textbox inset="0mm,0mm,0mm,0mm">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v:textbox>
            </v:shape>
          </w:pict>
        </mc:Fallback>
      </mc:AlternateContent>
    </w:r>
  </w:p>
  <w:p>
    <w:pPr>
      <w:pStyle w:val="8"/>
      <w:ind w:firstLine="4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81792" behindDoc="0" locked="0" layoutInCell="1" allowOverlap="1">
              <wp:simplePos x="0" y="0"/>
              <wp:positionH relativeFrom="margin">
                <wp:posOffset>2759710</wp:posOffset>
              </wp:positionH>
              <wp:positionV relativeFrom="paragraph">
                <wp:posOffset>-817880</wp:posOffset>
              </wp:positionV>
              <wp:extent cx="967105" cy="10210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67105" cy="1021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3pt;margin-top:-64.4pt;height:80.4pt;width:76.15pt;mso-position-horizontal-relative:margin;z-index:251681792;mso-width-relative:page;mso-height-relative:page;" filled="f" stroked="f" coordsize="21600,21600" o:gfxdata="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wgsX3aAAAACwEAAA8AAAAAAAAAAQAgAAAAIgAAAGRycy9kb3ducmV2Lnht&#10;bFBLAQIUABQAAAAIAIdO4kBeucDoMAIAAFYEAAAOAAAAAAAAAAEAIAAAACkBAABkcnMvZTJvRG9j&#10;LnhtbFBLBQYAAAAABgAGAFkBAADLBQAAAAA=&#10;">
              <v:fill on="f" focussize="0,0"/>
              <v:stroke on="f" weight="0.5pt"/>
              <v:imagedata o:title=""/>
              <o:lock v:ext="edit" aspectratio="f"/>
              <v:textbox inset="0mm,0mm,0mm,0mm">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页</w:t>
                    </w:r>
                  </w:p>
                </w:txbxContent>
              </v:textbox>
            </v:shape>
          </w:pict>
        </mc:Fallback>
      </mc:AlternateContent>
    </w:r>
  </w:p>
  <w:p>
    <w:pPr>
      <w:spacing w:line="1" w:lineRule="exact"/>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4"/>
                      <w:ind w:firstLine="360"/>
                      <w:rPr>
                        <w:rFonts w:eastAsia="宋体"/>
                        <w:lang w:eastAsia="zh-CN"/>
                      </w:rPr>
                    </w:pPr>
                    <w:r>
                      <w:rPr>
                        <w:rFonts w:hint="eastAsia" w:eastAsia="宋体"/>
                        <w:lang w:eastAsia="zh-CN"/>
                      </w:rPr>
                      <w:t>第</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r>
                      <w:rPr>
                        <w:rFonts w:hint="eastAsia" w:eastAsia="宋体"/>
                        <w:lang w:eastAsia="zh-CN"/>
                      </w:rPr>
                      <w:t>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689610</wp:posOffset>
              </wp:positionH>
              <wp:positionV relativeFrom="page">
                <wp:posOffset>9945370</wp:posOffset>
              </wp:positionV>
              <wp:extent cx="5404485" cy="0"/>
              <wp:effectExtent l="0" t="0" r="0" b="0"/>
              <wp:wrapNone/>
              <wp:docPr id="289" name="Shape 289"/>
              <wp:cNvGraphicFramePr/>
              <a:graphic xmlns:a="http://schemas.openxmlformats.org/drawingml/2006/main">
                <a:graphicData uri="http://schemas.microsoft.com/office/word/2010/wordprocessingShape">
                  <wps:wsp>
                    <wps:cNvCnPr/>
                    <wps:spPr>
                      <a:xfrm>
                        <a:off x="0" y="0"/>
                        <a:ext cx="5404485" cy="0"/>
                      </a:xfrm>
                      <a:prstGeom prst="straightConnector1">
                        <a:avLst/>
                      </a:prstGeom>
                      <a:ln w="12700">
                        <a:solidFill>
                          <a:srgbClr val="FFFFFF"/>
                        </a:solidFill>
                      </a:ln>
                    </wps:spPr>
                    <wps:bodyPr/>
                  </wps:wsp>
                </a:graphicData>
              </a:graphic>
            </wp:anchor>
          </w:drawing>
        </mc:Choice>
        <mc:Fallback>
          <w:pict>
            <v:shape id="Shape 289" o:spid="_x0000_s1026" o:spt="32" type="#_x0000_t32" style="position:absolute;left:0pt;margin-left:54.3pt;margin-top:783.1pt;height:0pt;width:425.55pt;mso-position-horizontal-relative:page;mso-position-vertical-relative:page;z-index:-251655168;mso-width-relative:page;mso-height-relative:page;" filled="f" stroked="t" coordsize="21600,21600" o:gfxdata="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SRYX9gAAAANAQAA&#10;DwAAAAAAAAABACAAAAAiAAAAZHJzL2Rvd25yZXYueG1sUEsBAhQAFAAAAAgAh07iQEYxsnenAQAA&#10;XgMAAA4AAAAAAAAAAQAgAAAAJwEAAGRycy9lMm9Eb2MueG1sUEsFBgAAAAAGAAYAWQEAAEAFAAAA&#10;AA==&#10;">
              <v:fill on="f" focussize="0,0"/>
              <v:stroke weight="1pt" color="#FFFFFF" joinstyle="round"/>
              <v:imagedata o:title=""/>
              <o:lock v:ext="edit" aspectratio="f"/>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82816" behindDoc="0" locked="0" layoutInCell="1" allowOverlap="1">
              <wp:simplePos x="0" y="0"/>
              <wp:positionH relativeFrom="margin">
                <wp:posOffset>2599690</wp:posOffset>
              </wp:positionH>
              <wp:positionV relativeFrom="paragraph">
                <wp:posOffset>-893445</wp:posOffset>
              </wp:positionV>
              <wp:extent cx="635000" cy="11220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35000" cy="1122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7pt;margin-top:-70.35pt;height:88.35pt;width:50pt;mso-position-horizontal-relative:margin;z-index:251682816;mso-width-relative:page;mso-height-relative:page;" filled="f" stroked="f" coordsize="21600,21600" o:gfxdata="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fmIYdgAAAALAQAADwAAAAAAAAABACAAAAAiAAAAZHJzL2Rvd25yZXYueG1sUEsB&#10;AhQAFAAAAAgAh07iQFicRb0uAgAAVgQAAA4AAAAAAAAAAQAgAAAAJwEAAGRycy9lMm9Eb2MueG1s&#10;UEsFBgAAAAAGAAYAWQEAAMcFAAAAAA==&#10;">
              <v:fill on="f" focussize="0,0"/>
              <v:stroke on="f" weight="0.5pt"/>
              <v:imagedata o:title=""/>
              <o:lock v:ext="edit" aspectratio="f"/>
              <v:textbox inset="0mm,0mm,0mm,0mm">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64</w:t>
                    </w:r>
                    <w:r>
                      <w:rPr>
                        <w:rFonts w:hint="eastAsia"/>
                        <w:lang w:eastAsia="zh-CN"/>
                      </w:rPr>
                      <w:fldChar w:fldCharType="end"/>
                    </w:r>
                    <w:r>
                      <w:rPr>
                        <w:rFonts w:hint="eastAsia"/>
                        <w:lang w:eastAsia="zh-CN"/>
                      </w:rPr>
                      <w:t>页</w:t>
                    </w:r>
                  </w:p>
                </w:txbxContent>
              </v:textbox>
            </v:shape>
          </w:pict>
        </mc:Fallback>
      </mc:AlternateContent>
    </w:r>
  </w:p>
  <w:p>
    <w:pPr>
      <w:spacing w:line="1" w:lineRule="exact"/>
      <w:ind w:firstLine="4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83840" behindDoc="0" locked="0" layoutInCell="1" allowOverlap="1">
              <wp:simplePos x="0" y="0"/>
              <wp:positionH relativeFrom="margin">
                <wp:posOffset>2532380</wp:posOffset>
              </wp:positionH>
              <wp:positionV relativeFrom="paragraph">
                <wp:posOffset>-247650</wp:posOffset>
              </wp:positionV>
              <wp:extent cx="635000" cy="47625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9.4pt;margin-top:-19.5pt;height:37.5pt;width:50pt;mso-position-horizontal-relative:margin;z-index:251683840;mso-width-relative:page;mso-height-relative:page;" filled="f" stroked="f" coordsize="21600,21600" o:gfxdata="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at/Ma1wAAAAoBAAAPAAAAAAAAAAEAIAAAACIAAABkcnMvZG93bnJldi54bWxQSwEC&#10;FAAUAAAACACHTuJAn+mUMC4CAABXBAAADgAAAAAAAAABACAAAAAmAQAAZHJzL2Uyb0RvYy54bWxQ&#10;SwUGAAAAAAYABgBZAQAAxgUAAAAA&#10;">
              <v:fill on="f" focussize="0,0"/>
              <v:stroke on="f" weight="0.5pt"/>
              <v:imagedata o:title=""/>
              <o:lock v:ext="edit" aspectratio="f"/>
              <v:textbox inset="0mm,0mm,0mm,0mm">
                <w:txbxContent>
                  <w:p>
                    <w:pPr>
                      <w:pStyle w:val="14"/>
                      <w:ind w:firstLine="360"/>
                      <w:rPr>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页</w:t>
                    </w:r>
                  </w:p>
                </w:txbxContent>
              </v:textbox>
            </v:shape>
          </w:pict>
        </mc:Fallback>
      </mc:AlternateContent>
    </w:r>
  </w:p>
  <w:p>
    <w:pPr>
      <w:spacing w:line="1" w:lineRule="exact"/>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4624"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7" name="Shape 347"/>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47" o:spid="_x0000_s1026" o:spt="202" type="#_x0000_t202" style="position:absolute;left:0pt;margin-left:185.35pt;margin-top:51.95pt;height:11.8pt;width:236.3pt;mso-position-horizontal-relative:page;mso-position-vertical-relative:page;mso-wrap-style:none;z-index:-251641856;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i&#10;HSrfrwEAAHQDAAAOAAAAAAAAAAEAIAAAACYBAABkcnMvZTJvRG9jLnhtbFBLBQYAAAAABgAGAFkB&#10;AABHBQ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9" name="Shape 349"/>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9" o:spid="_x0000_s1026" o:spt="32" type="#_x0000_t32" style="position:absolute;left:0pt;margin-left:92.85pt;margin-top:67.55pt;height:0pt;width:409.3pt;mso-position-horizontal-relative:page;mso-position-vertical-relative:page;z-index:-25164902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UiJES6cBAABe&#10;AwAADgAAAAAAAAABACAAAAAmAQAAZHJzL2Uyb0RvYy54bWxQSwUGAAAAAAYABgBZAQAAPwU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3600"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53" name="Shape 353"/>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53" o:spid="_x0000_s1026" o:spt="202" type="#_x0000_t202" style="position:absolute;left:0pt;margin-left:185.35pt;margin-top:51.95pt;height:11.8pt;width:236.3pt;mso-position-horizontal-relative:page;mso-position-vertical-relative:page;mso-wrap-style:none;z-index:-251642880;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C5AJmC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2xV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C5&#10;AJmCrwEAAHQDAAAOAAAAAAAAAAEAIAAAACYBAABkcnMvZTJvRG9jLnhtbFBLBQYAAAAABgAGAFkB&#10;AABHBQ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1179195</wp:posOffset>
              </wp:positionH>
              <wp:positionV relativeFrom="page">
                <wp:posOffset>857885</wp:posOffset>
              </wp:positionV>
              <wp:extent cx="5198110" cy="0"/>
              <wp:effectExtent l="0" t="0" r="0" b="0"/>
              <wp:wrapNone/>
              <wp:docPr id="355" name="Shape 355"/>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55" o:spid="_x0000_s1026" o:spt="32" type="#_x0000_t32" style="position:absolute;left:0pt;margin-left:92.85pt;margin-top:67.55pt;height:0pt;width:409.3pt;mso-position-horizontal-relative:page;mso-position-vertical-relative:page;z-index:-251650048;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mD0L6cBAABe&#10;AwAADgAAAAAAAAABACAAAAAmAQAAZHJzL2Uyb0RvYy54bWxQSwUGAAAAAAYABgBZAQAAPwU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69504"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78" name="Shape 278"/>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5"/>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78" o:spid="_x0000_s1026" o:spt="202" type="#_x0000_t202" style="position:absolute;left:0pt;margin-left:104.3pt;margin-top:50.45pt;height:14.75pt;width:317.35pt;mso-position-horizontal-relative:page;mso-position-vertical-relative:page;z-index:-251646976;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QsG6NcAAAALAQAA&#10;DwAAAAAAAAABACAAAAAiAAAAZHJzL2Rvd25yZXYueG1sUEsBAhQAFAAAAAgAh07iQLUFhmWoAQAA&#10;aAMAAA4AAAAAAAAAAQAgAAAAJgEAAGRycy9lMm9Eb2MueG1sUEsFBgAAAAAGAAYAWQEAAEAFAAAA&#10;AA==&#10;">
              <v:fill on="f" focussize="0,0"/>
              <v:stroke on="f"/>
              <v:imagedata o:title=""/>
              <o:lock v:ext="edit" aspectratio="f"/>
              <v:textbox inset="0mm,0mm,0mm,0mm" style="mso-fit-shape-to-text:t;">
                <w:txbxContent>
                  <w:p>
                    <w:pPr>
                      <w:pStyle w:val="55"/>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0" name="Shape 280"/>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0" o:spid="_x0000_s1026" o:spt="32" type="#_x0000_t32" style="position:absolute;left:0pt;margin-left:92.85pt;margin-top:67.55pt;height:0pt;width:409.3pt;mso-position-horizontal-relative:page;mso-position-vertical-relative:page;z-index:-251656192;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CfcmDw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114300" distR="114300" simplePos="0" relativeHeight="251659264" behindDoc="1" locked="0" layoutInCell="1" allowOverlap="1">
              <wp:simplePos x="0" y="0"/>
              <wp:positionH relativeFrom="page">
                <wp:posOffset>1179195</wp:posOffset>
              </wp:positionH>
              <wp:positionV relativeFrom="page">
                <wp:posOffset>857885</wp:posOffset>
              </wp:positionV>
              <wp:extent cx="5198110" cy="0"/>
              <wp:effectExtent l="0" t="0" r="0" b="0"/>
              <wp:wrapNone/>
              <wp:docPr id="286" name="Shape 286"/>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86" o:spid="_x0000_s1026" o:spt="32" type="#_x0000_t32" style="position:absolute;left:0pt;margin-left:92.85pt;margin-top:67.55pt;height:0pt;width:409.3pt;mso-position-horizontal-relative:page;mso-position-vertical-relative:page;z-index:-25165721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OLkCXXAAAADAEAAA8A&#10;AAAAAAAAAQAgAAAAIgAAAGRycy9kb3ducmV2LnhtbFBLAQIUABQAAAAIAIdO4kAjfVPSpgEAAF4D&#10;AAAOAAAAAAAAAAEAIAAAACYBAABkcnMvZTJvRG9jLnhtbFBLBQYAAAAABgAGAFkBAAA+BQAAAAA=&#10;">
              <v:fill on="f" focussize="0,0"/>
              <v:stroke weight="1pt" color="#FFFFFF" joinstyle="round"/>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0528" behindDoc="1" locked="0" layoutInCell="1" allowOverlap="1">
              <wp:simplePos x="0" y="0"/>
              <wp:positionH relativeFrom="page">
                <wp:posOffset>1324610</wp:posOffset>
              </wp:positionH>
              <wp:positionV relativeFrom="page">
                <wp:posOffset>640715</wp:posOffset>
              </wp:positionV>
              <wp:extent cx="4030345" cy="187325"/>
              <wp:effectExtent l="0" t="0" r="0" b="0"/>
              <wp:wrapNone/>
              <wp:docPr id="292" name="Shape 292"/>
              <wp:cNvGraphicFramePr/>
              <a:graphic xmlns:a="http://schemas.openxmlformats.org/drawingml/2006/main">
                <a:graphicData uri="http://schemas.microsoft.com/office/word/2010/wordprocessingShape">
                  <wps:wsp>
                    <wps:cNvSpPr txBox="1"/>
                    <wps:spPr>
                      <a:xfrm>
                        <a:off x="0" y="0"/>
                        <a:ext cx="4030345" cy="187325"/>
                      </a:xfrm>
                      <a:prstGeom prst="rect">
                        <a:avLst/>
                      </a:prstGeom>
                      <a:noFill/>
                    </wps:spPr>
                    <wps:txbx>
                      <w:txbxContent>
                        <w:p>
                          <w:pPr>
                            <w:pStyle w:val="55"/>
                            <w:tabs>
                              <w:tab w:val="left" w:pos="1617"/>
                            </w:tabs>
                            <w:ind w:firstLine="440"/>
                            <w:rPr>
                              <w:lang w:eastAsia="zh-CN"/>
                            </w:rPr>
                          </w:pPr>
                          <w:r>
                            <w:rPr>
                              <w:lang w:val="en-US" w:eastAsia="en-US" w:bidi="en-US"/>
                            </w:rPr>
                            <w:tab/>
                          </w:r>
                        </w:p>
                      </w:txbxContent>
                    </wps:txbx>
                    <wps:bodyPr lIns="0" tIns="0" rIns="0" bIns="0">
                      <a:spAutoFit/>
                    </wps:bodyPr>
                  </wps:wsp>
                </a:graphicData>
              </a:graphic>
            </wp:anchor>
          </w:drawing>
        </mc:Choice>
        <mc:Fallback>
          <w:pict>
            <v:shape id="Shape 292" o:spid="_x0000_s1026" o:spt="202" type="#_x0000_t202" style="position:absolute;left:0pt;margin-left:104.3pt;margin-top:50.45pt;height:14.75pt;width:317.35pt;mso-position-horizontal-relative:page;mso-position-vertical-relative:page;z-index:-251645952;mso-width-relative:page;mso-height-relative:page;" filled="f" stroked="f" coordsize="21600,21600" o:gfxdata="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kLBujXAAAACwEA&#10;AA8AAAAAAAAAAQAgAAAAIgAAAGRycy9kb3ducmV2LnhtbFBLAQIUABQAAAAIAIdO4kDbKotaqQEA&#10;AGgDAAAOAAAAAAAAAAEAIAAAACYBAABkcnMvZTJvRG9jLnhtbFBLBQYAAAAABgAGAFkBAABBBQAA&#10;AAA=&#10;">
              <v:fill on="f" focussize="0,0"/>
              <v:stroke on="f"/>
              <v:imagedata o:title=""/>
              <o:lock v:ext="edit" aspectratio="f"/>
              <v:textbox inset="0mm,0mm,0mm,0mm" style="mso-fit-shape-to-text:t;">
                <w:txbxContent>
                  <w:p>
                    <w:pPr>
                      <w:pStyle w:val="55"/>
                      <w:tabs>
                        <w:tab w:val="left" w:pos="1617"/>
                      </w:tabs>
                      <w:ind w:firstLine="440"/>
                      <w:rPr>
                        <w:lang w:eastAsia="zh-CN"/>
                      </w:rPr>
                    </w:pPr>
                    <w:r>
                      <w:rPr>
                        <w:lang w:val="en-US" w:eastAsia="en-US" w:bidi="en-US"/>
                      </w:rPr>
                      <w:tab/>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1179195</wp:posOffset>
              </wp:positionH>
              <wp:positionV relativeFrom="page">
                <wp:posOffset>857885</wp:posOffset>
              </wp:positionV>
              <wp:extent cx="5198110" cy="0"/>
              <wp:effectExtent l="0" t="0" r="0" b="0"/>
              <wp:wrapNone/>
              <wp:docPr id="294" name="Shape 294"/>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294" o:spid="_x0000_s1026" o:spt="32" type="#_x0000_t32" style="position:absolute;left:0pt;margin-left:92.85pt;margin-top:67.55pt;height:0pt;width:409.3pt;mso-position-horizontal-relative:page;mso-position-vertical-relative:page;z-index:-251654144;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RNhEWqcBAABe&#10;AwAADgAAAAAAAAABACAAAAAmAQAAZHJzL2Uyb0RvYy54bWxQSwUGAAAAAAYABgBZAQAAPwUAAAAA&#10;">
              <v:fill on="f" focussize="0,0"/>
              <v:stroke weight="1pt" color="#FFFFFF" joinstyle="round"/>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2576"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35" name="Shape 335"/>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35" o:spid="_x0000_s1026" o:spt="202" type="#_x0000_t202" style="position:absolute;left:0pt;margin-left:185.35pt;margin-top:51.95pt;height:11.8pt;width:236.3pt;mso-position-horizontal-relative:page;mso-position-vertical-relative:page;mso-wrap-style:none;z-index:-251643904;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K&#10;tDThrwEAAHQDAAAOAAAAAAAAAAEAIAAAACYBAABkcnMvZTJvRG9jLnhtbFBLBQYAAAAABgAGAFkB&#10;AABHBQ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1179195</wp:posOffset>
              </wp:positionH>
              <wp:positionV relativeFrom="page">
                <wp:posOffset>857885</wp:posOffset>
              </wp:positionV>
              <wp:extent cx="5198110" cy="0"/>
              <wp:effectExtent l="0" t="0" r="0" b="0"/>
              <wp:wrapNone/>
              <wp:docPr id="337" name="Shape 337"/>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37" o:spid="_x0000_s1026" o:spt="32" type="#_x0000_t32" style="position:absolute;left:0pt;margin-left:92.85pt;margin-top:67.55pt;height:0pt;width:409.3pt;mso-position-horizontal-relative:page;mso-position-vertical-relative:page;z-index:-251652096;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5VTARacBAABe&#10;AwAADgAAAAAAAAABACAAAAAmAQAAZHJzL2Uyb0RvYy54bWxQSwUGAAAAAAYABgBZAQAAPwU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ind w:firstLine="480"/>
    </w:pPr>
    <w:r>
      <mc:AlternateContent>
        <mc:Choice Requires="wps">
          <w:drawing>
            <wp:anchor distT="0" distB="0" distL="0" distR="0" simplePos="0" relativeHeight="251671552" behindDoc="1" locked="0" layoutInCell="1" allowOverlap="1">
              <wp:simplePos x="0" y="0"/>
              <wp:positionH relativeFrom="page">
                <wp:posOffset>2353945</wp:posOffset>
              </wp:positionH>
              <wp:positionV relativeFrom="page">
                <wp:posOffset>659765</wp:posOffset>
              </wp:positionV>
              <wp:extent cx="3001010" cy="149860"/>
              <wp:effectExtent l="0" t="0" r="0" b="0"/>
              <wp:wrapNone/>
              <wp:docPr id="341" name="Shape 341"/>
              <wp:cNvGraphicFramePr/>
              <a:graphic xmlns:a="http://schemas.openxmlformats.org/drawingml/2006/main">
                <a:graphicData uri="http://schemas.microsoft.com/office/word/2010/wordprocessingShape">
                  <wps:wsp>
                    <wps:cNvSpPr txBox="1"/>
                    <wps:spPr>
                      <a:xfrm>
                        <a:off x="0" y="0"/>
                        <a:ext cx="3001010" cy="149860"/>
                      </a:xfrm>
                      <a:prstGeom prst="rect">
                        <a:avLst/>
                      </a:prstGeom>
                      <a:noFill/>
                    </wps:spPr>
                    <wps:txbx>
                      <w:txbxContent>
                        <w:p>
                          <w:pPr>
                            <w:pStyle w:val="55"/>
                            <w:ind w:firstLine="440"/>
                            <w:rPr>
                              <w:lang w:eastAsia="zh-CN"/>
                            </w:rPr>
                          </w:pPr>
                        </w:p>
                      </w:txbxContent>
                    </wps:txbx>
                    <wps:bodyPr wrap="none" lIns="0" tIns="0" rIns="0" bIns="0">
                      <a:spAutoFit/>
                    </wps:bodyPr>
                  </wps:wsp>
                </a:graphicData>
              </a:graphic>
            </wp:anchor>
          </w:drawing>
        </mc:Choice>
        <mc:Fallback>
          <w:pict>
            <v:shape id="Shape 341" o:spid="_x0000_s1026" o:spt="202" type="#_x0000_t202" style="position:absolute;left:0pt;margin-left:185.35pt;margin-top:51.95pt;height:11.8pt;width:236.3pt;mso-position-horizontal-relative:page;mso-position-vertical-relative:page;mso-wrap-style:none;z-index:-251644928;mso-width-relative:page;mso-height-relative:page;" filled="f" stroked="f" coordsize="21600,21600" o:gfxdata="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7K2Q/X&#10;AAAACwEAAA8AAAAAAAAAAQAgAAAAIgAAAGRycy9kb3ducmV2LnhtbFBLAQIUABQAAAAIAIdO4kDA&#10;ePsfrwEAAHQDAAAOAAAAAAAAAAEAIAAAACYBAABkcnMvZTJvRG9jLnhtbFBLBQYAAAAABgAGAFkB&#10;AABHBQAAAAA=&#10;">
              <v:fill on="f" focussize="0,0"/>
              <v:stroke on="f"/>
              <v:imagedata o:title=""/>
              <o:lock v:ext="edit" aspectratio="f"/>
              <v:textbox inset="0mm,0mm,0mm,0mm" style="mso-fit-shape-to-text:t;">
                <w:txbxContent>
                  <w:p>
                    <w:pPr>
                      <w:pStyle w:val="55"/>
                      <w:ind w:firstLine="440"/>
                      <w:rPr>
                        <w:lang w:eastAsia="zh-CN"/>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1179195</wp:posOffset>
              </wp:positionH>
              <wp:positionV relativeFrom="page">
                <wp:posOffset>857885</wp:posOffset>
              </wp:positionV>
              <wp:extent cx="5198110" cy="0"/>
              <wp:effectExtent l="0" t="0" r="0" b="0"/>
              <wp:wrapNone/>
              <wp:docPr id="343" name="Shape 343"/>
              <wp:cNvGraphicFramePr/>
              <a:graphic xmlns:a="http://schemas.openxmlformats.org/drawingml/2006/main">
                <a:graphicData uri="http://schemas.microsoft.com/office/word/2010/wordprocessingShape">
                  <wps:wsp>
                    <wps:cNvCnPr/>
                    <wps:spPr>
                      <a:xfrm>
                        <a:off x="0" y="0"/>
                        <a:ext cx="5198110" cy="0"/>
                      </a:xfrm>
                      <a:prstGeom prst="straightConnector1">
                        <a:avLst/>
                      </a:prstGeom>
                      <a:ln w="12700">
                        <a:solidFill>
                          <a:srgbClr val="FFFFFF"/>
                        </a:solidFill>
                      </a:ln>
                    </wps:spPr>
                    <wps:bodyPr/>
                  </wps:wsp>
                </a:graphicData>
              </a:graphic>
            </wp:anchor>
          </w:drawing>
        </mc:Choice>
        <mc:Fallback>
          <w:pict>
            <v:shape id="Shape 343" o:spid="_x0000_s1026" o:spt="32" type="#_x0000_t32" style="position:absolute;left:0pt;margin-left:92.85pt;margin-top:67.55pt;height:0pt;width:409.3pt;mso-position-horizontal-relative:page;mso-position-vertical-relative:page;z-index:-251653120;mso-width-relative:page;mso-height-relative:page;" filled="f" stroked="t" coordsize="21600,21600" o:gfxdata="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i5Al1wAAAAwBAAAP&#10;AAAAAAAAAAEAIAAAACIAAABkcnMvZG93bnJldi54bWxQSwECFAAUAAAACACHTuJAljIRLacBAABe&#10;AwAADgAAAAAAAAABACAAAAAmAQAAZHJzL2Uyb0RvYy54bWxQSwUGAAAAAAYABgBZAQAAPwU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singleLevel"/>
    <w:tmpl w:val="91995D4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99B1836C"/>
    <w:multiLevelType w:val="singleLevel"/>
    <w:tmpl w:val="99B1836C"/>
    <w:lvl w:ilvl="0" w:tentative="0">
      <w:start w:val="1"/>
      <w:numFmt w:val="chineseCounting"/>
      <w:suff w:val="nothing"/>
      <w:lvlText w:val="（%1）"/>
      <w:lvlJc w:val="left"/>
      <w:rPr>
        <w:rFonts w:hint="eastAsia"/>
      </w:rPr>
    </w:lvl>
  </w:abstractNum>
  <w:abstractNum w:abstractNumId="2">
    <w:nsid w:val="BA9C6450"/>
    <w:multiLevelType w:val="singleLevel"/>
    <w:tmpl w:val="BA9C6450"/>
    <w:lvl w:ilvl="0" w:tentative="0">
      <w:start w:val="1"/>
      <w:numFmt w:val="chineseCounting"/>
      <w:suff w:val="nothing"/>
      <w:lvlText w:val="%1、"/>
      <w:lvlJc w:val="left"/>
      <w:pPr>
        <w:ind w:left="0" w:firstLine="420"/>
      </w:pPr>
      <w:rPr>
        <w:rFonts w:hint="eastAsia"/>
      </w:rPr>
    </w:lvl>
  </w:abstractNum>
  <w:abstractNum w:abstractNumId="3">
    <w:nsid w:val="C2D6D023"/>
    <w:multiLevelType w:val="singleLevel"/>
    <w:tmpl w:val="C2D6D023"/>
    <w:lvl w:ilvl="0" w:tentative="0">
      <w:start w:val="1"/>
      <w:numFmt w:val="decimal"/>
      <w:suff w:val="nothing"/>
      <w:lvlText w:val="%1、"/>
      <w:lvlJc w:val="left"/>
    </w:lvl>
  </w:abstractNum>
  <w:abstractNum w:abstractNumId="4">
    <w:nsid w:val="C49A6D15"/>
    <w:multiLevelType w:val="singleLevel"/>
    <w:tmpl w:val="C49A6D15"/>
    <w:lvl w:ilvl="0" w:tentative="0">
      <w:start w:val="1"/>
      <w:numFmt w:val="decimal"/>
      <w:lvlText w:val="%1."/>
      <w:lvlJc w:val="left"/>
      <w:pPr>
        <w:ind w:left="425" w:hanging="425"/>
      </w:pPr>
      <w:rPr>
        <w:rFonts w:hint="default"/>
      </w:rPr>
    </w:lvl>
  </w:abstractNum>
  <w:abstractNum w:abstractNumId="5">
    <w:nsid w:val="C54F2630"/>
    <w:multiLevelType w:val="singleLevel"/>
    <w:tmpl w:val="C54F2630"/>
    <w:lvl w:ilvl="0" w:tentative="0">
      <w:start w:val="6"/>
      <w:numFmt w:val="chineseCounting"/>
      <w:suff w:val="nothing"/>
      <w:lvlText w:val="%1、"/>
      <w:lvlJc w:val="left"/>
      <w:rPr>
        <w:rFonts w:hint="eastAsia"/>
      </w:rPr>
    </w:lvl>
  </w:abstractNum>
  <w:abstractNum w:abstractNumId="6">
    <w:nsid w:val="C5A775A5"/>
    <w:multiLevelType w:val="singleLevel"/>
    <w:tmpl w:val="C5A775A5"/>
    <w:lvl w:ilvl="0" w:tentative="0">
      <w:start w:val="1"/>
      <w:numFmt w:val="decimal"/>
      <w:lvlText w:val="%1."/>
      <w:lvlJc w:val="left"/>
      <w:pPr>
        <w:ind w:left="425" w:hanging="425"/>
      </w:pPr>
      <w:rPr>
        <w:rFonts w:hint="default"/>
      </w:rPr>
    </w:lvl>
  </w:abstractNum>
  <w:abstractNum w:abstractNumId="7">
    <w:nsid w:val="C6169F91"/>
    <w:multiLevelType w:val="singleLevel"/>
    <w:tmpl w:val="C6169F91"/>
    <w:lvl w:ilvl="0" w:tentative="0">
      <w:start w:val="1"/>
      <w:numFmt w:val="decimal"/>
      <w:lvlText w:val="%1."/>
      <w:lvlJc w:val="left"/>
      <w:pPr>
        <w:ind w:left="425" w:hanging="425"/>
      </w:pPr>
      <w:rPr>
        <w:rFonts w:hint="default"/>
      </w:rPr>
    </w:lvl>
  </w:abstractNum>
  <w:abstractNum w:abstractNumId="8">
    <w:nsid w:val="DBEE6BE0"/>
    <w:multiLevelType w:val="singleLevel"/>
    <w:tmpl w:val="DBEE6BE0"/>
    <w:lvl w:ilvl="0" w:tentative="0">
      <w:start w:val="1"/>
      <w:numFmt w:val="decimal"/>
      <w:suff w:val="nothing"/>
      <w:lvlText w:val="%1、"/>
      <w:lvlJc w:val="left"/>
    </w:lvl>
  </w:abstractNum>
  <w:abstractNum w:abstractNumId="9">
    <w:nsid w:val="EFFB94F0"/>
    <w:multiLevelType w:val="singleLevel"/>
    <w:tmpl w:val="EFFB94F0"/>
    <w:lvl w:ilvl="0" w:tentative="0">
      <w:start w:val="1"/>
      <w:numFmt w:val="decimal"/>
      <w:lvlText w:val="%1."/>
      <w:lvlJc w:val="left"/>
      <w:pPr>
        <w:tabs>
          <w:tab w:val="left" w:pos="312"/>
        </w:tabs>
      </w:pPr>
    </w:lvl>
  </w:abstractNum>
  <w:abstractNum w:abstractNumId="10">
    <w:nsid w:val="F2B1C61E"/>
    <w:multiLevelType w:val="singleLevel"/>
    <w:tmpl w:val="F2B1C61E"/>
    <w:lvl w:ilvl="0" w:tentative="0">
      <w:start w:val="1"/>
      <w:numFmt w:val="decimal"/>
      <w:lvlText w:val="%1."/>
      <w:lvlJc w:val="left"/>
      <w:pPr>
        <w:ind w:left="425" w:hanging="425"/>
      </w:pPr>
      <w:rPr>
        <w:rFonts w:hint="default"/>
      </w:rPr>
    </w:lvl>
  </w:abstractNum>
  <w:abstractNum w:abstractNumId="11">
    <w:nsid w:val="02B46955"/>
    <w:multiLevelType w:val="singleLevel"/>
    <w:tmpl w:val="02B46955"/>
    <w:lvl w:ilvl="0" w:tentative="0">
      <w:start w:val="1"/>
      <w:numFmt w:val="decimal"/>
      <w:lvlText w:val="%1、"/>
      <w:lvlJc w:val="left"/>
      <w:pPr>
        <w:ind w:left="420" w:hanging="420"/>
      </w:pPr>
    </w:lvl>
  </w:abstractNum>
  <w:abstractNum w:abstractNumId="12">
    <w:nsid w:val="04CC0A25"/>
    <w:multiLevelType w:val="singleLevel"/>
    <w:tmpl w:val="04CC0A25"/>
    <w:lvl w:ilvl="0" w:tentative="0">
      <w:start w:val="1"/>
      <w:numFmt w:val="decimal"/>
      <w:suff w:val="nothing"/>
      <w:lvlText w:val="%1、"/>
      <w:lvlJc w:val="left"/>
    </w:lvl>
  </w:abstractNum>
  <w:abstractNum w:abstractNumId="13">
    <w:nsid w:val="1654E869"/>
    <w:multiLevelType w:val="singleLevel"/>
    <w:tmpl w:val="1654E869"/>
    <w:lvl w:ilvl="0" w:tentative="0">
      <w:start w:val="2"/>
      <w:numFmt w:val="decimal"/>
      <w:suff w:val="nothing"/>
      <w:lvlText w:val="%1、"/>
      <w:lvlJc w:val="left"/>
    </w:lvl>
  </w:abstractNum>
  <w:abstractNum w:abstractNumId="14">
    <w:nsid w:val="16F31CD8"/>
    <w:multiLevelType w:val="multilevel"/>
    <w:tmpl w:val="16F31CD8"/>
    <w:lvl w:ilvl="0" w:tentative="0">
      <w:start w:val="1"/>
      <w:numFmt w:val="decimal"/>
      <w:pStyle w:val="5"/>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35D6B7C5"/>
    <w:multiLevelType w:val="singleLevel"/>
    <w:tmpl w:val="35D6B7C5"/>
    <w:lvl w:ilvl="0" w:tentative="0">
      <w:start w:val="1"/>
      <w:numFmt w:val="decimal"/>
      <w:lvlText w:val="%1."/>
      <w:lvlJc w:val="left"/>
      <w:pPr>
        <w:ind w:left="425" w:hanging="425"/>
      </w:pPr>
      <w:rPr>
        <w:rFonts w:hint="default"/>
      </w:rPr>
    </w:lvl>
  </w:abstractNum>
  <w:abstractNum w:abstractNumId="16">
    <w:nsid w:val="49771005"/>
    <w:multiLevelType w:val="multilevel"/>
    <w:tmpl w:val="49771005"/>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A07D72D"/>
    <w:multiLevelType w:val="singleLevel"/>
    <w:tmpl w:val="5A07D72D"/>
    <w:lvl w:ilvl="0" w:tentative="0">
      <w:start w:val="1"/>
      <w:numFmt w:val="decimal"/>
      <w:lvlText w:val="%1."/>
      <w:lvlJc w:val="left"/>
      <w:pPr>
        <w:ind w:left="425" w:hanging="425"/>
      </w:pPr>
      <w:rPr>
        <w:rFonts w:hint="default"/>
      </w:rPr>
    </w:lvl>
  </w:abstractNum>
  <w:abstractNum w:abstractNumId="18">
    <w:nsid w:val="6D2034C7"/>
    <w:multiLevelType w:val="multilevel"/>
    <w:tmpl w:val="6D2034C7"/>
    <w:lvl w:ilvl="0" w:tentative="0">
      <w:start w:val="1"/>
      <w:numFmt w:val="chineseCountingThousand"/>
      <w:pStyle w:val="2"/>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70523262"/>
    <w:multiLevelType w:val="singleLevel"/>
    <w:tmpl w:val="70523262"/>
    <w:lvl w:ilvl="0" w:tentative="0">
      <w:start w:val="1"/>
      <w:numFmt w:val="decimal"/>
      <w:suff w:val="nothing"/>
      <w:lvlText w:val="%1、"/>
      <w:lvlJc w:val="left"/>
    </w:lvl>
  </w:abstractNum>
  <w:num w:numId="1">
    <w:abstractNumId w:val="16"/>
  </w:num>
  <w:num w:numId="2">
    <w:abstractNumId w:val="18"/>
  </w:num>
  <w:num w:numId="3">
    <w:abstractNumId w:val="14"/>
  </w:num>
  <w:num w:numId="4">
    <w:abstractNumId w:val="5"/>
  </w:num>
  <w:num w:numId="5">
    <w:abstractNumId w:val="17"/>
  </w:num>
  <w:num w:numId="6">
    <w:abstractNumId w:val="9"/>
  </w:num>
  <w:num w:numId="7">
    <w:abstractNumId w:val="0"/>
  </w:num>
  <w:num w:numId="8">
    <w:abstractNumId w:val="8"/>
  </w:num>
  <w:num w:numId="9">
    <w:abstractNumId w:val="12"/>
  </w:num>
  <w:num w:numId="10">
    <w:abstractNumId w:val="3"/>
  </w:num>
  <w:num w:numId="11">
    <w:abstractNumId w:val="19"/>
  </w:num>
  <w:num w:numId="12">
    <w:abstractNumId w:val="13"/>
  </w:num>
  <w:num w:numId="13">
    <w:abstractNumId w:val="2"/>
  </w:num>
  <w:num w:numId="14">
    <w:abstractNumId w:val="10"/>
  </w:num>
  <w:num w:numId="15">
    <w:abstractNumId w:val="15"/>
  </w:num>
  <w:num w:numId="16">
    <w:abstractNumId w:val="7"/>
  </w:num>
  <w:num w:numId="17">
    <w:abstractNumId w:val="6"/>
  </w:num>
  <w:num w:numId="18">
    <w:abstractNumId w:val="1"/>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NTY0ZjYzMjJkN2JiZGQwMDVkNjFlOWQwODc2OTcifQ=="/>
  </w:docVars>
  <w:rsids>
    <w:rsidRoot w:val="00881F1F"/>
    <w:rsid w:val="00002466"/>
    <w:rsid w:val="00063DE8"/>
    <w:rsid w:val="000A4EF8"/>
    <w:rsid w:val="000F2C70"/>
    <w:rsid w:val="00175008"/>
    <w:rsid w:val="001F081C"/>
    <w:rsid w:val="00220590"/>
    <w:rsid w:val="0022067E"/>
    <w:rsid w:val="0022655E"/>
    <w:rsid w:val="002579AF"/>
    <w:rsid w:val="002E0A15"/>
    <w:rsid w:val="0038559E"/>
    <w:rsid w:val="004B4D4B"/>
    <w:rsid w:val="004C7293"/>
    <w:rsid w:val="00577BDE"/>
    <w:rsid w:val="00590EBA"/>
    <w:rsid w:val="005F196C"/>
    <w:rsid w:val="005F3603"/>
    <w:rsid w:val="00646C6F"/>
    <w:rsid w:val="006A27E3"/>
    <w:rsid w:val="0070178A"/>
    <w:rsid w:val="007807D1"/>
    <w:rsid w:val="00881F1F"/>
    <w:rsid w:val="00914ED6"/>
    <w:rsid w:val="00955FFD"/>
    <w:rsid w:val="00957BAD"/>
    <w:rsid w:val="0096358E"/>
    <w:rsid w:val="00975C4F"/>
    <w:rsid w:val="009B656F"/>
    <w:rsid w:val="009E65D7"/>
    <w:rsid w:val="00A93C25"/>
    <w:rsid w:val="00A9601A"/>
    <w:rsid w:val="00AC2216"/>
    <w:rsid w:val="00B00238"/>
    <w:rsid w:val="00B21ED4"/>
    <w:rsid w:val="00B302E7"/>
    <w:rsid w:val="00B35059"/>
    <w:rsid w:val="00BC4AAE"/>
    <w:rsid w:val="00BF747D"/>
    <w:rsid w:val="00C20DAD"/>
    <w:rsid w:val="00C31151"/>
    <w:rsid w:val="00C56985"/>
    <w:rsid w:val="00C71459"/>
    <w:rsid w:val="00CC024C"/>
    <w:rsid w:val="00D40C31"/>
    <w:rsid w:val="00DC2093"/>
    <w:rsid w:val="00DE3995"/>
    <w:rsid w:val="00DE5B0F"/>
    <w:rsid w:val="00E0269F"/>
    <w:rsid w:val="00E4140C"/>
    <w:rsid w:val="00EA5384"/>
    <w:rsid w:val="00ED38AE"/>
    <w:rsid w:val="00EE0718"/>
    <w:rsid w:val="00F22777"/>
    <w:rsid w:val="00F97576"/>
    <w:rsid w:val="00FA73C3"/>
    <w:rsid w:val="01450FBB"/>
    <w:rsid w:val="0160317C"/>
    <w:rsid w:val="0183453D"/>
    <w:rsid w:val="018370E4"/>
    <w:rsid w:val="01E92232"/>
    <w:rsid w:val="02276654"/>
    <w:rsid w:val="024366BA"/>
    <w:rsid w:val="026932ED"/>
    <w:rsid w:val="029D267A"/>
    <w:rsid w:val="02AD7AC3"/>
    <w:rsid w:val="03427A35"/>
    <w:rsid w:val="03990047"/>
    <w:rsid w:val="03E805B2"/>
    <w:rsid w:val="0402799B"/>
    <w:rsid w:val="04A348C2"/>
    <w:rsid w:val="04C70AA7"/>
    <w:rsid w:val="050243F5"/>
    <w:rsid w:val="051F5ACE"/>
    <w:rsid w:val="053062B2"/>
    <w:rsid w:val="057743B8"/>
    <w:rsid w:val="05AC021A"/>
    <w:rsid w:val="05AC112F"/>
    <w:rsid w:val="05B20F4D"/>
    <w:rsid w:val="05D75A15"/>
    <w:rsid w:val="05E93199"/>
    <w:rsid w:val="06110369"/>
    <w:rsid w:val="06241E1D"/>
    <w:rsid w:val="063A78C0"/>
    <w:rsid w:val="073D04FF"/>
    <w:rsid w:val="07D15F35"/>
    <w:rsid w:val="07E207C3"/>
    <w:rsid w:val="07E61381"/>
    <w:rsid w:val="081B30E7"/>
    <w:rsid w:val="090619D2"/>
    <w:rsid w:val="09274616"/>
    <w:rsid w:val="098F7F23"/>
    <w:rsid w:val="09AF273D"/>
    <w:rsid w:val="09B0442A"/>
    <w:rsid w:val="0A207CA6"/>
    <w:rsid w:val="0A326819"/>
    <w:rsid w:val="0A3B59B5"/>
    <w:rsid w:val="0A4979AA"/>
    <w:rsid w:val="0A89684E"/>
    <w:rsid w:val="0B022976"/>
    <w:rsid w:val="0B254D13"/>
    <w:rsid w:val="0B8D65BA"/>
    <w:rsid w:val="0B9B2F21"/>
    <w:rsid w:val="0B9F6417"/>
    <w:rsid w:val="0BB973F1"/>
    <w:rsid w:val="0BD72728"/>
    <w:rsid w:val="0C3645D2"/>
    <w:rsid w:val="0C497BBE"/>
    <w:rsid w:val="0C583C10"/>
    <w:rsid w:val="0C741532"/>
    <w:rsid w:val="0DBA722B"/>
    <w:rsid w:val="0E1B1AAC"/>
    <w:rsid w:val="0E346768"/>
    <w:rsid w:val="0E6261E9"/>
    <w:rsid w:val="0E732249"/>
    <w:rsid w:val="0E736A44"/>
    <w:rsid w:val="0E820056"/>
    <w:rsid w:val="0EB401A9"/>
    <w:rsid w:val="0EB417E4"/>
    <w:rsid w:val="0F1F3AF7"/>
    <w:rsid w:val="0F472AED"/>
    <w:rsid w:val="0F5762C4"/>
    <w:rsid w:val="0F7C6D63"/>
    <w:rsid w:val="0F9219F3"/>
    <w:rsid w:val="0FFA594C"/>
    <w:rsid w:val="10B47C42"/>
    <w:rsid w:val="10CB4276"/>
    <w:rsid w:val="11BD5963"/>
    <w:rsid w:val="11BD75F7"/>
    <w:rsid w:val="125F4D14"/>
    <w:rsid w:val="126405DF"/>
    <w:rsid w:val="129C2DA1"/>
    <w:rsid w:val="12AB744F"/>
    <w:rsid w:val="12B5207C"/>
    <w:rsid w:val="12DE5A77"/>
    <w:rsid w:val="12E50BB3"/>
    <w:rsid w:val="12ED0DC6"/>
    <w:rsid w:val="12F309EB"/>
    <w:rsid w:val="1329771A"/>
    <w:rsid w:val="13A02D2C"/>
    <w:rsid w:val="13B11627"/>
    <w:rsid w:val="13D5435C"/>
    <w:rsid w:val="13ED4F6F"/>
    <w:rsid w:val="13FF7A53"/>
    <w:rsid w:val="14615782"/>
    <w:rsid w:val="146239C1"/>
    <w:rsid w:val="147541B9"/>
    <w:rsid w:val="14AF0D2A"/>
    <w:rsid w:val="14E05AD6"/>
    <w:rsid w:val="14E55A80"/>
    <w:rsid w:val="14ED3D4F"/>
    <w:rsid w:val="156404B5"/>
    <w:rsid w:val="1599722C"/>
    <w:rsid w:val="15D078F9"/>
    <w:rsid w:val="15ED0DF1"/>
    <w:rsid w:val="16170089"/>
    <w:rsid w:val="1636004F"/>
    <w:rsid w:val="165E0658"/>
    <w:rsid w:val="16AF5BEC"/>
    <w:rsid w:val="16B8213B"/>
    <w:rsid w:val="1727497F"/>
    <w:rsid w:val="17563E2E"/>
    <w:rsid w:val="17566AD5"/>
    <w:rsid w:val="17BF610B"/>
    <w:rsid w:val="17D457ED"/>
    <w:rsid w:val="17F751BF"/>
    <w:rsid w:val="182B2311"/>
    <w:rsid w:val="184D571F"/>
    <w:rsid w:val="184E71FB"/>
    <w:rsid w:val="185635BF"/>
    <w:rsid w:val="189E036D"/>
    <w:rsid w:val="18DD38E5"/>
    <w:rsid w:val="192D522A"/>
    <w:rsid w:val="193C4F5F"/>
    <w:rsid w:val="195F433E"/>
    <w:rsid w:val="19821E7B"/>
    <w:rsid w:val="198B53C4"/>
    <w:rsid w:val="1AC94D4A"/>
    <w:rsid w:val="1ACE63D1"/>
    <w:rsid w:val="1B214C6B"/>
    <w:rsid w:val="1B2A6984"/>
    <w:rsid w:val="1B987146"/>
    <w:rsid w:val="1BCA7733"/>
    <w:rsid w:val="1C3821AB"/>
    <w:rsid w:val="1C872573"/>
    <w:rsid w:val="1C980C10"/>
    <w:rsid w:val="1C9E088C"/>
    <w:rsid w:val="1CB174D9"/>
    <w:rsid w:val="1CFD4E8B"/>
    <w:rsid w:val="1D361FE8"/>
    <w:rsid w:val="1DAC7CF2"/>
    <w:rsid w:val="1E1C5020"/>
    <w:rsid w:val="1E1E7BFE"/>
    <w:rsid w:val="1E9B481C"/>
    <w:rsid w:val="1E9E7754"/>
    <w:rsid w:val="1EAA2CB1"/>
    <w:rsid w:val="1EAA34F1"/>
    <w:rsid w:val="1EBA7398"/>
    <w:rsid w:val="1F574BE7"/>
    <w:rsid w:val="1F5B73D8"/>
    <w:rsid w:val="1FA61BF0"/>
    <w:rsid w:val="1FAD1B93"/>
    <w:rsid w:val="1FDB4438"/>
    <w:rsid w:val="20687705"/>
    <w:rsid w:val="21130FE1"/>
    <w:rsid w:val="21702E39"/>
    <w:rsid w:val="221108BF"/>
    <w:rsid w:val="22322E51"/>
    <w:rsid w:val="2252528C"/>
    <w:rsid w:val="22570502"/>
    <w:rsid w:val="22617B2B"/>
    <w:rsid w:val="228427CE"/>
    <w:rsid w:val="22B4535E"/>
    <w:rsid w:val="235356C5"/>
    <w:rsid w:val="236C349D"/>
    <w:rsid w:val="244858FC"/>
    <w:rsid w:val="24A501A2"/>
    <w:rsid w:val="24E522BB"/>
    <w:rsid w:val="251E410A"/>
    <w:rsid w:val="2551032A"/>
    <w:rsid w:val="258F57D1"/>
    <w:rsid w:val="25ED0053"/>
    <w:rsid w:val="2612213C"/>
    <w:rsid w:val="265B47A7"/>
    <w:rsid w:val="268151FD"/>
    <w:rsid w:val="269F01D4"/>
    <w:rsid w:val="26FF666B"/>
    <w:rsid w:val="271772F6"/>
    <w:rsid w:val="27205DE2"/>
    <w:rsid w:val="273F3AAE"/>
    <w:rsid w:val="278A18D2"/>
    <w:rsid w:val="279900C7"/>
    <w:rsid w:val="27AD7F04"/>
    <w:rsid w:val="27FE6547"/>
    <w:rsid w:val="283D68AF"/>
    <w:rsid w:val="2859400F"/>
    <w:rsid w:val="28902C50"/>
    <w:rsid w:val="28B74948"/>
    <w:rsid w:val="28DB5594"/>
    <w:rsid w:val="28DE0127"/>
    <w:rsid w:val="295D104C"/>
    <w:rsid w:val="296F5223"/>
    <w:rsid w:val="29C90114"/>
    <w:rsid w:val="29FD6E49"/>
    <w:rsid w:val="2A9E563E"/>
    <w:rsid w:val="2B2508D8"/>
    <w:rsid w:val="2B333857"/>
    <w:rsid w:val="2B82123D"/>
    <w:rsid w:val="2BCC3F56"/>
    <w:rsid w:val="2C015FA1"/>
    <w:rsid w:val="2C4E2ECE"/>
    <w:rsid w:val="2C595808"/>
    <w:rsid w:val="2CFB12A7"/>
    <w:rsid w:val="2D3B1A21"/>
    <w:rsid w:val="2DCA2A28"/>
    <w:rsid w:val="2DEE3AD6"/>
    <w:rsid w:val="2DF35860"/>
    <w:rsid w:val="2E3D17AC"/>
    <w:rsid w:val="2E7E20FE"/>
    <w:rsid w:val="2E9B7ED9"/>
    <w:rsid w:val="2EA82D1E"/>
    <w:rsid w:val="2ED22D77"/>
    <w:rsid w:val="2ED7364E"/>
    <w:rsid w:val="2FE04785"/>
    <w:rsid w:val="2FE90B64"/>
    <w:rsid w:val="3082583C"/>
    <w:rsid w:val="308621AB"/>
    <w:rsid w:val="309537C1"/>
    <w:rsid w:val="309C0EF6"/>
    <w:rsid w:val="31002595"/>
    <w:rsid w:val="3115220C"/>
    <w:rsid w:val="314F5697"/>
    <w:rsid w:val="316619F6"/>
    <w:rsid w:val="31684A32"/>
    <w:rsid w:val="31A70640"/>
    <w:rsid w:val="31BF24E1"/>
    <w:rsid w:val="31F97C3E"/>
    <w:rsid w:val="321B2166"/>
    <w:rsid w:val="323523CF"/>
    <w:rsid w:val="32901548"/>
    <w:rsid w:val="32AB108F"/>
    <w:rsid w:val="32D27188"/>
    <w:rsid w:val="32F113B0"/>
    <w:rsid w:val="336E38ED"/>
    <w:rsid w:val="33F7209D"/>
    <w:rsid w:val="34025BCD"/>
    <w:rsid w:val="3417364A"/>
    <w:rsid w:val="344352E2"/>
    <w:rsid w:val="344E24EE"/>
    <w:rsid w:val="3458140D"/>
    <w:rsid w:val="34D128EE"/>
    <w:rsid w:val="34F12121"/>
    <w:rsid w:val="35091699"/>
    <w:rsid w:val="35426A14"/>
    <w:rsid w:val="356539C4"/>
    <w:rsid w:val="367E6AA5"/>
    <w:rsid w:val="368B2604"/>
    <w:rsid w:val="36B72749"/>
    <w:rsid w:val="36EE6953"/>
    <w:rsid w:val="37080635"/>
    <w:rsid w:val="37312B8E"/>
    <w:rsid w:val="37585548"/>
    <w:rsid w:val="37773C20"/>
    <w:rsid w:val="37A172B4"/>
    <w:rsid w:val="38885F87"/>
    <w:rsid w:val="38CF05E3"/>
    <w:rsid w:val="38D66725"/>
    <w:rsid w:val="39086D4F"/>
    <w:rsid w:val="393578EF"/>
    <w:rsid w:val="3950297B"/>
    <w:rsid w:val="39885A2A"/>
    <w:rsid w:val="39B47201"/>
    <w:rsid w:val="3A093A74"/>
    <w:rsid w:val="3A0C30BD"/>
    <w:rsid w:val="3A426C86"/>
    <w:rsid w:val="3A710A89"/>
    <w:rsid w:val="3A7D77A0"/>
    <w:rsid w:val="3B6A5A38"/>
    <w:rsid w:val="3B8415F5"/>
    <w:rsid w:val="3BE9676F"/>
    <w:rsid w:val="3C130856"/>
    <w:rsid w:val="3C812369"/>
    <w:rsid w:val="3C836BC3"/>
    <w:rsid w:val="3DA60DBB"/>
    <w:rsid w:val="3E1A5306"/>
    <w:rsid w:val="3E354A6B"/>
    <w:rsid w:val="3E8107B0"/>
    <w:rsid w:val="3E8D5AD7"/>
    <w:rsid w:val="3E8F29C3"/>
    <w:rsid w:val="3EB64E4B"/>
    <w:rsid w:val="3EBE2135"/>
    <w:rsid w:val="3F111616"/>
    <w:rsid w:val="3F5B3E28"/>
    <w:rsid w:val="3FF01451"/>
    <w:rsid w:val="3FF26831"/>
    <w:rsid w:val="402B7CCF"/>
    <w:rsid w:val="403F53DD"/>
    <w:rsid w:val="40410BD6"/>
    <w:rsid w:val="40864503"/>
    <w:rsid w:val="408873B0"/>
    <w:rsid w:val="40912455"/>
    <w:rsid w:val="40996E40"/>
    <w:rsid w:val="409C7262"/>
    <w:rsid w:val="40FD5629"/>
    <w:rsid w:val="411249BA"/>
    <w:rsid w:val="4118158A"/>
    <w:rsid w:val="41273886"/>
    <w:rsid w:val="415F5854"/>
    <w:rsid w:val="423572EB"/>
    <w:rsid w:val="429A636F"/>
    <w:rsid w:val="42D514A4"/>
    <w:rsid w:val="42F76F14"/>
    <w:rsid w:val="43266A89"/>
    <w:rsid w:val="432A1CD1"/>
    <w:rsid w:val="434A21E9"/>
    <w:rsid w:val="435A78BC"/>
    <w:rsid w:val="43D55575"/>
    <w:rsid w:val="44380293"/>
    <w:rsid w:val="453D1CD0"/>
    <w:rsid w:val="453D4BE7"/>
    <w:rsid w:val="45D83BC4"/>
    <w:rsid w:val="45DD175A"/>
    <w:rsid w:val="45DD7344"/>
    <w:rsid w:val="45F823D0"/>
    <w:rsid w:val="464D43B9"/>
    <w:rsid w:val="4670640B"/>
    <w:rsid w:val="467D0B27"/>
    <w:rsid w:val="46DB5D75"/>
    <w:rsid w:val="46F47760"/>
    <w:rsid w:val="470607F2"/>
    <w:rsid w:val="478D1D95"/>
    <w:rsid w:val="47906638"/>
    <w:rsid w:val="479734BD"/>
    <w:rsid w:val="47BC13A6"/>
    <w:rsid w:val="47FF4413"/>
    <w:rsid w:val="48022B4D"/>
    <w:rsid w:val="48C03FCC"/>
    <w:rsid w:val="48E446D4"/>
    <w:rsid w:val="48F028EA"/>
    <w:rsid w:val="49632DEB"/>
    <w:rsid w:val="497A75A0"/>
    <w:rsid w:val="49EC5C06"/>
    <w:rsid w:val="49FC252C"/>
    <w:rsid w:val="4A0F1546"/>
    <w:rsid w:val="4A2E5593"/>
    <w:rsid w:val="4A7E4D36"/>
    <w:rsid w:val="4AC76741"/>
    <w:rsid w:val="4ADA20A4"/>
    <w:rsid w:val="4B06733D"/>
    <w:rsid w:val="4B190CD7"/>
    <w:rsid w:val="4B5A6BFF"/>
    <w:rsid w:val="4B656ED6"/>
    <w:rsid w:val="4B6E2167"/>
    <w:rsid w:val="4BFE49C8"/>
    <w:rsid w:val="4C556212"/>
    <w:rsid w:val="4CB875A8"/>
    <w:rsid w:val="4D907392"/>
    <w:rsid w:val="4DF0398D"/>
    <w:rsid w:val="4DF416CF"/>
    <w:rsid w:val="4E3C3076"/>
    <w:rsid w:val="4EA27E5B"/>
    <w:rsid w:val="4ED4121F"/>
    <w:rsid w:val="4EFB4CDF"/>
    <w:rsid w:val="4F793F67"/>
    <w:rsid w:val="4F7B197C"/>
    <w:rsid w:val="4F931E41"/>
    <w:rsid w:val="4FF37CF9"/>
    <w:rsid w:val="5023004A"/>
    <w:rsid w:val="5075114E"/>
    <w:rsid w:val="50B36B8A"/>
    <w:rsid w:val="50DF212F"/>
    <w:rsid w:val="50E87B0E"/>
    <w:rsid w:val="51165E00"/>
    <w:rsid w:val="513E2C61"/>
    <w:rsid w:val="51586419"/>
    <w:rsid w:val="51F768CC"/>
    <w:rsid w:val="520B348B"/>
    <w:rsid w:val="529F5982"/>
    <w:rsid w:val="52D015E5"/>
    <w:rsid w:val="534722A1"/>
    <w:rsid w:val="536B0989"/>
    <w:rsid w:val="53E064FD"/>
    <w:rsid w:val="53EE4E13"/>
    <w:rsid w:val="54077C82"/>
    <w:rsid w:val="542E16B3"/>
    <w:rsid w:val="54420CBA"/>
    <w:rsid w:val="5464636A"/>
    <w:rsid w:val="54915355"/>
    <w:rsid w:val="54AC0972"/>
    <w:rsid w:val="54FC4FFB"/>
    <w:rsid w:val="550463B8"/>
    <w:rsid w:val="55211F9F"/>
    <w:rsid w:val="55306D65"/>
    <w:rsid w:val="55315B50"/>
    <w:rsid w:val="554159B2"/>
    <w:rsid w:val="554C27A7"/>
    <w:rsid w:val="557D3117"/>
    <w:rsid w:val="55946A4D"/>
    <w:rsid w:val="55B55B9D"/>
    <w:rsid w:val="55BE1F59"/>
    <w:rsid w:val="55C91E0A"/>
    <w:rsid w:val="55F00DB4"/>
    <w:rsid w:val="55FF3307"/>
    <w:rsid w:val="56301712"/>
    <w:rsid w:val="56505911"/>
    <w:rsid w:val="56923859"/>
    <w:rsid w:val="56B15F79"/>
    <w:rsid w:val="56D03AD3"/>
    <w:rsid w:val="57415A2E"/>
    <w:rsid w:val="575F22C2"/>
    <w:rsid w:val="57980D8A"/>
    <w:rsid w:val="57B36157"/>
    <w:rsid w:val="57D9583A"/>
    <w:rsid w:val="580249E9"/>
    <w:rsid w:val="58706CEF"/>
    <w:rsid w:val="58FB76A6"/>
    <w:rsid w:val="59060509"/>
    <w:rsid w:val="59992BF2"/>
    <w:rsid w:val="5A0013FC"/>
    <w:rsid w:val="5A0D5BC5"/>
    <w:rsid w:val="5A7619C5"/>
    <w:rsid w:val="5A957D96"/>
    <w:rsid w:val="5ADE546E"/>
    <w:rsid w:val="5B182765"/>
    <w:rsid w:val="5B2D4336"/>
    <w:rsid w:val="5B3930F6"/>
    <w:rsid w:val="5C6E649B"/>
    <w:rsid w:val="5D2062A5"/>
    <w:rsid w:val="5D347D3A"/>
    <w:rsid w:val="5D4138F6"/>
    <w:rsid w:val="5D6225AF"/>
    <w:rsid w:val="5D64501B"/>
    <w:rsid w:val="5D79574D"/>
    <w:rsid w:val="5DE15132"/>
    <w:rsid w:val="5DE60909"/>
    <w:rsid w:val="5DF7033E"/>
    <w:rsid w:val="5E3A388B"/>
    <w:rsid w:val="5E3A737F"/>
    <w:rsid w:val="5E85511D"/>
    <w:rsid w:val="5E880DBC"/>
    <w:rsid w:val="5EB804F7"/>
    <w:rsid w:val="5EBB63F7"/>
    <w:rsid w:val="5F4165FC"/>
    <w:rsid w:val="5FA30E7D"/>
    <w:rsid w:val="5FDE52F1"/>
    <w:rsid w:val="5FEB6032"/>
    <w:rsid w:val="60141BE6"/>
    <w:rsid w:val="60276597"/>
    <w:rsid w:val="60336749"/>
    <w:rsid w:val="60566219"/>
    <w:rsid w:val="60600E46"/>
    <w:rsid w:val="60801752"/>
    <w:rsid w:val="60CC028A"/>
    <w:rsid w:val="6102323C"/>
    <w:rsid w:val="611669A0"/>
    <w:rsid w:val="61893568"/>
    <w:rsid w:val="619D5782"/>
    <w:rsid w:val="61F521A0"/>
    <w:rsid w:val="62015F6F"/>
    <w:rsid w:val="62397BA1"/>
    <w:rsid w:val="629235BA"/>
    <w:rsid w:val="62BC7335"/>
    <w:rsid w:val="62F30484"/>
    <w:rsid w:val="63464323"/>
    <w:rsid w:val="63471E49"/>
    <w:rsid w:val="63586960"/>
    <w:rsid w:val="639667ED"/>
    <w:rsid w:val="639B12DA"/>
    <w:rsid w:val="63C90DC6"/>
    <w:rsid w:val="63E37DC4"/>
    <w:rsid w:val="642037E7"/>
    <w:rsid w:val="642E3059"/>
    <w:rsid w:val="64F46016"/>
    <w:rsid w:val="65091AAC"/>
    <w:rsid w:val="650D5099"/>
    <w:rsid w:val="654A79CF"/>
    <w:rsid w:val="65BA6903"/>
    <w:rsid w:val="661E1587"/>
    <w:rsid w:val="66246472"/>
    <w:rsid w:val="668968B7"/>
    <w:rsid w:val="66F95B50"/>
    <w:rsid w:val="6793460E"/>
    <w:rsid w:val="67A45C8A"/>
    <w:rsid w:val="685017A0"/>
    <w:rsid w:val="68602D4E"/>
    <w:rsid w:val="68C60FB5"/>
    <w:rsid w:val="69992F01"/>
    <w:rsid w:val="69C83770"/>
    <w:rsid w:val="69CF1671"/>
    <w:rsid w:val="69E4260C"/>
    <w:rsid w:val="69FB606E"/>
    <w:rsid w:val="6A22716C"/>
    <w:rsid w:val="6A2E5B11"/>
    <w:rsid w:val="6A7119CA"/>
    <w:rsid w:val="6ADE7537"/>
    <w:rsid w:val="6B52582F"/>
    <w:rsid w:val="6B731AFE"/>
    <w:rsid w:val="6B851761"/>
    <w:rsid w:val="6B960E6A"/>
    <w:rsid w:val="6B993BFA"/>
    <w:rsid w:val="6BA83627"/>
    <w:rsid w:val="6BD10E4A"/>
    <w:rsid w:val="6C1A00FB"/>
    <w:rsid w:val="6C2076DB"/>
    <w:rsid w:val="6C240E37"/>
    <w:rsid w:val="6C613F7C"/>
    <w:rsid w:val="6C77554D"/>
    <w:rsid w:val="6CE114A6"/>
    <w:rsid w:val="6CEB0B25"/>
    <w:rsid w:val="6CEC0156"/>
    <w:rsid w:val="6D970A1C"/>
    <w:rsid w:val="6DA15631"/>
    <w:rsid w:val="6DAA40CF"/>
    <w:rsid w:val="6DAC7479"/>
    <w:rsid w:val="6DB04094"/>
    <w:rsid w:val="6DE41A41"/>
    <w:rsid w:val="6EA61C10"/>
    <w:rsid w:val="6EBC36EB"/>
    <w:rsid w:val="6EC9405A"/>
    <w:rsid w:val="6EDD42BE"/>
    <w:rsid w:val="6F46555C"/>
    <w:rsid w:val="6FAA5C3A"/>
    <w:rsid w:val="6FB27137"/>
    <w:rsid w:val="70323FE7"/>
    <w:rsid w:val="705931BC"/>
    <w:rsid w:val="706615DF"/>
    <w:rsid w:val="7086390A"/>
    <w:rsid w:val="70A628A5"/>
    <w:rsid w:val="70B825D8"/>
    <w:rsid w:val="70EB650A"/>
    <w:rsid w:val="70F65E33"/>
    <w:rsid w:val="7104332A"/>
    <w:rsid w:val="7194636C"/>
    <w:rsid w:val="72015C18"/>
    <w:rsid w:val="7242199C"/>
    <w:rsid w:val="72DF6A99"/>
    <w:rsid w:val="72F71196"/>
    <w:rsid w:val="72F83160"/>
    <w:rsid w:val="72FD2525"/>
    <w:rsid w:val="73351CBE"/>
    <w:rsid w:val="733A72D5"/>
    <w:rsid w:val="73722244"/>
    <w:rsid w:val="73DB0AB8"/>
    <w:rsid w:val="73F743C5"/>
    <w:rsid w:val="74512B28"/>
    <w:rsid w:val="745368A0"/>
    <w:rsid w:val="749858FD"/>
    <w:rsid w:val="74DF3B8A"/>
    <w:rsid w:val="752913AF"/>
    <w:rsid w:val="75512928"/>
    <w:rsid w:val="75856344"/>
    <w:rsid w:val="75AE0601"/>
    <w:rsid w:val="75C6021A"/>
    <w:rsid w:val="75F53756"/>
    <w:rsid w:val="760639CF"/>
    <w:rsid w:val="768B30F5"/>
    <w:rsid w:val="76FC1AAA"/>
    <w:rsid w:val="76FCAE0F"/>
    <w:rsid w:val="7728049A"/>
    <w:rsid w:val="775A1F6C"/>
    <w:rsid w:val="777D364D"/>
    <w:rsid w:val="778C0E27"/>
    <w:rsid w:val="77DB7A68"/>
    <w:rsid w:val="77EE3599"/>
    <w:rsid w:val="780600CD"/>
    <w:rsid w:val="78133B95"/>
    <w:rsid w:val="78236589"/>
    <w:rsid w:val="7826607A"/>
    <w:rsid w:val="78281DF2"/>
    <w:rsid w:val="782F0494"/>
    <w:rsid w:val="7850042F"/>
    <w:rsid w:val="78E65F48"/>
    <w:rsid w:val="78F120AC"/>
    <w:rsid w:val="795B52CF"/>
    <w:rsid w:val="79D4296B"/>
    <w:rsid w:val="79E770B2"/>
    <w:rsid w:val="7A005BB1"/>
    <w:rsid w:val="7A5A52C5"/>
    <w:rsid w:val="7A9518B8"/>
    <w:rsid w:val="7AC70AA1"/>
    <w:rsid w:val="7B250E0A"/>
    <w:rsid w:val="7BD64679"/>
    <w:rsid w:val="7C6E5BBE"/>
    <w:rsid w:val="7CB73CE1"/>
    <w:rsid w:val="7CEA3B1A"/>
    <w:rsid w:val="7D2435B3"/>
    <w:rsid w:val="7D6F4D6F"/>
    <w:rsid w:val="7D9A72EE"/>
    <w:rsid w:val="7DAC0DCF"/>
    <w:rsid w:val="7DBA7990"/>
    <w:rsid w:val="7DBD43E7"/>
    <w:rsid w:val="7DE77FCB"/>
    <w:rsid w:val="7E2C4AAE"/>
    <w:rsid w:val="7E776085"/>
    <w:rsid w:val="7E88183C"/>
    <w:rsid w:val="7E9148CE"/>
    <w:rsid w:val="7ECD429F"/>
    <w:rsid w:val="7F6413DB"/>
    <w:rsid w:val="7F743A1E"/>
    <w:rsid w:val="7F74591C"/>
    <w:rsid w:val="7F9C22E9"/>
    <w:rsid w:val="7FB713D3"/>
    <w:rsid w:val="7FBFCF21"/>
    <w:rsid w:val="7FD4552C"/>
    <w:rsid w:val="9FC88D7D"/>
    <w:rsid w:val="9FF7E492"/>
    <w:rsid w:val="AEFEDFEC"/>
    <w:rsid w:val="B1FB5787"/>
    <w:rsid w:val="BDDF48E5"/>
    <w:rsid w:val="D5DEC40A"/>
    <w:rsid w:val="D7F76342"/>
    <w:rsid w:val="E6D47515"/>
    <w:rsid w:val="F6B511E0"/>
    <w:rsid w:val="F79B00D0"/>
    <w:rsid w:val="F7FF3DF5"/>
    <w:rsid w:val="F8FFB622"/>
    <w:rsid w:val="FAE34001"/>
    <w:rsid w:val="FF77D0C9"/>
    <w:rsid w:val="FFF3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color w:val="000000"/>
      <w:sz w:val="24"/>
      <w:szCs w:val="24"/>
      <w:lang w:val="en-US" w:eastAsia="en-US" w:bidi="en-US"/>
    </w:rPr>
  </w:style>
  <w:style w:type="paragraph" w:styleId="3">
    <w:name w:val="heading 1"/>
    <w:basedOn w:val="1"/>
    <w:next w:val="1"/>
    <w:qFormat/>
    <w:uiPriority w:val="98"/>
    <w:pPr>
      <w:keepNext/>
      <w:keepLines/>
      <w:spacing w:before="340" w:line="578" w:lineRule="auto"/>
      <w:jc w:val="center"/>
      <w:outlineLvl w:val="0"/>
    </w:pPr>
    <w:rPr>
      <w:rFonts w:eastAsia="仿宋_GB2312"/>
      <w:b/>
      <w:bCs/>
      <w:kern w:val="44"/>
      <w:sz w:val="32"/>
      <w:szCs w:val="44"/>
    </w:rPr>
  </w:style>
  <w:style w:type="paragraph" w:styleId="4">
    <w:name w:val="heading 2"/>
    <w:basedOn w:val="1"/>
    <w:next w:val="1"/>
    <w:qFormat/>
    <w:uiPriority w:val="98"/>
    <w:pPr>
      <w:keepNext/>
      <w:keepLines/>
      <w:numPr>
        <w:ilvl w:val="0"/>
        <w:numId w:val="1"/>
      </w:numPr>
      <w:spacing w:before="260" w:after="260"/>
      <w:ind w:firstLine="0" w:firstLineChars="0"/>
      <w:jc w:val="center"/>
      <w:outlineLvl w:val="1"/>
    </w:pPr>
    <w:rPr>
      <w:rFonts w:ascii="Calibri Light" w:hAnsi="Calibri Light" w:eastAsia="仿宋_GB2312"/>
      <w:b/>
      <w:bCs/>
      <w:sz w:val="32"/>
      <w:szCs w:val="32"/>
    </w:rPr>
  </w:style>
  <w:style w:type="paragraph" w:styleId="2">
    <w:name w:val="heading 3"/>
    <w:basedOn w:val="1"/>
    <w:next w:val="1"/>
    <w:qFormat/>
    <w:uiPriority w:val="99"/>
    <w:pPr>
      <w:keepNext/>
      <w:keepLines/>
      <w:numPr>
        <w:ilvl w:val="0"/>
        <w:numId w:val="2"/>
      </w:numPr>
      <w:ind w:left="0" w:firstLine="200"/>
      <w:jc w:val="center"/>
      <w:outlineLvl w:val="2"/>
    </w:pPr>
    <w:rPr>
      <w:rFonts w:hAnsi="宋体" w:cs="宋体"/>
      <w:b/>
      <w:bCs/>
    </w:rPr>
  </w:style>
  <w:style w:type="paragraph" w:styleId="5">
    <w:name w:val="heading 4"/>
    <w:basedOn w:val="1"/>
    <w:next w:val="1"/>
    <w:qFormat/>
    <w:uiPriority w:val="98"/>
    <w:pPr>
      <w:keepNext/>
      <w:keepLines/>
      <w:numPr>
        <w:ilvl w:val="0"/>
        <w:numId w:val="3"/>
      </w:numPr>
      <w:spacing w:line="372" w:lineRule="auto"/>
      <w:ind w:left="0" w:firstLine="200"/>
      <w:outlineLvl w:val="3"/>
    </w:pPr>
    <w:rPr>
      <w:rFonts w:ascii="Arial" w:hAnsi="Arial"/>
      <w:bCs/>
      <w:szCs w:val="28"/>
      <w:lang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style>
  <w:style w:type="paragraph" w:styleId="7">
    <w:name w:val="annotation text"/>
    <w:basedOn w:val="1"/>
    <w:qFormat/>
    <w:uiPriority w:val="0"/>
  </w:style>
  <w:style w:type="paragraph" w:styleId="8">
    <w:name w:val="Body Text"/>
    <w:basedOn w:val="1"/>
    <w:next w:val="1"/>
    <w:qFormat/>
    <w:uiPriority w:val="0"/>
    <w:pPr>
      <w:spacing w:after="120"/>
    </w:pPr>
    <w:rPr>
      <w:sz w:val="20"/>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qFormat/>
    <w:uiPriority w:val="99"/>
    <w:rPr>
      <w:rFonts w:ascii="宋体" w:hAnsi="Courier New" w:cs="Courier New"/>
      <w:szCs w:val="21"/>
    </w:rPr>
  </w:style>
  <w:style w:type="paragraph" w:styleId="12">
    <w:name w:val="Body Text Indent 2"/>
    <w:basedOn w:val="1"/>
    <w:qFormat/>
    <w:uiPriority w:val="0"/>
    <w:pPr>
      <w:ind w:firstLine="630"/>
    </w:pPr>
    <w:rPr>
      <w:sz w:val="32"/>
      <w:szCs w:val="20"/>
    </w:rPr>
  </w:style>
  <w:style w:type="paragraph" w:styleId="13">
    <w:name w:val="Balloon Text"/>
    <w:basedOn w:val="1"/>
    <w:link w:val="68"/>
    <w:qFormat/>
    <w:uiPriority w:val="0"/>
    <w:rPr>
      <w:sz w:val="18"/>
      <w:szCs w:val="18"/>
    </w:rPr>
  </w:style>
  <w:style w:type="paragraph" w:styleId="14">
    <w:name w:val="footer"/>
    <w:basedOn w:val="1"/>
    <w:link w:val="63"/>
    <w:qFormat/>
    <w:uiPriority w:val="99"/>
    <w:pPr>
      <w:tabs>
        <w:tab w:val="center" w:pos="4153"/>
        <w:tab w:val="right" w:pos="8306"/>
      </w:tabs>
      <w:snapToGrid w:val="0"/>
    </w:pPr>
    <w:rPr>
      <w:sz w:val="18"/>
    </w:rPr>
  </w:style>
  <w:style w:type="paragraph" w:styleId="15">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qFormat/>
    <w:uiPriority w:val="99"/>
    <w:pPr>
      <w:snapToGrid w:val="0"/>
      <w:jc w:val="left"/>
    </w:pPr>
    <w:rPr>
      <w:sz w:val="18"/>
    </w:rPr>
  </w:style>
  <w:style w:type="paragraph" w:styleId="18">
    <w:name w:val="toc 2"/>
    <w:basedOn w:val="1"/>
    <w:next w:val="1"/>
    <w:qFormat/>
    <w:uiPriority w:val="39"/>
    <w:pPr>
      <w:ind w:left="420" w:leftChars="200"/>
    </w:pPr>
  </w:style>
  <w:style w:type="paragraph" w:styleId="19">
    <w:name w:val="HTML Preformatted"/>
    <w:basedOn w:val="1"/>
    <w:unhideWhenUsed/>
    <w:qFormat/>
    <w:uiPriority w:val="99"/>
    <w:rPr>
      <w:rFonts w:ascii="Courier New" w:hAnsi="Courier New" w:eastAsia="宋体" w:cs="Courier New"/>
      <w:sz w:val="20"/>
      <w:szCs w:val="20"/>
    </w:rPr>
  </w:style>
  <w:style w:type="paragraph" w:styleId="20">
    <w:name w:val="Normal (Web)"/>
    <w:basedOn w:val="1"/>
    <w:qFormat/>
    <w:uiPriority w:val="99"/>
    <w:pPr>
      <w:widowControl/>
    </w:pPr>
    <w:rPr>
      <w:rFonts w:ascii="宋体" w:hAnsi="宋体" w:eastAsia="宋体" w:cs="宋体"/>
      <w:color w:val="auto"/>
      <w:lang w:eastAsia="zh-CN" w:bidi="ar-SA"/>
    </w:rPr>
  </w:style>
  <w:style w:type="paragraph" w:styleId="21">
    <w:name w:val="Body Text First Indent"/>
    <w:basedOn w:val="8"/>
    <w:next w:val="22"/>
    <w:qFormat/>
    <w:uiPriority w:val="0"/>
    <w:pPr>
      <w:ind w:firstLine="420" w:firstLineChars="100"/>
    </w:pPr>
  </w:style>
  <w:style w:type="paragraph" w:styleId="22">
    <w:name w:val="Body Text First Indent 2"/>
    <w:basedOn w:val="9"/>
    <w:next w:val="21"/>
    <w:qFormat/>
    <w:uiPriority w:val="0"/>
    <w:pPr>
      <w:ind w:firstLine="420"/>
    </w:p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0"/>
    <w:rPr>
      <w:b/>
      <w:bCs/>
    </w:rPr>
  </w:style>
  <w:style w:type="character" w:styleId="27">
    <w:name w:val="FollowedHyperlink"/>
    <w:basedOn w:val="25"/>
    <w:qFormat/>
    <w:uiPriority w:val="0"/>
    <w:rPr>
      <w:color w:val="333333"/>
      <w:u w:val="none"/>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HTML Code"/>
    <w:basedOn w:val="25"/>
    <w:qFormat/>
    <w:uiPriority w:val="0"/>
    <w:rPr>
      <w:rFonts w:ascii="Courier New" w:hAnsi="Courier New"/>
      <w:sz w:val="20"/>
    </w:rPr>
  </w:style>
  <w:style w:type="character" w:styleId="30">
    <w:name w:val="annotation reference"/>
    <w:basedOn w:val="25"/>
    <w:qFormat/>
    <w:uiPriority w:val="0"/>
    <w:rPr>
      <w:sz w:val="21"/>
      <w:szCs w:val="21"/>
    </w:rPr>
  </w:style>
  <w:style w:type="character" w:styleId="31">
    <w:name w:val="HTML Sample"/>
    <w:basedOn w:val="25"/>
    <w:qFormat/>
    <w:uiPriority w:val="0"/>
    <w:rPr>
      <w:rFonts w:ascii="Courier New" w:hAnsi="Courier New"/>
    </w:rPr>
  </w:style>
  <w:style w:type="paragraph" w:customStyle="1" w:styleId="3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33">
    <w:name w:val="正文缩进1"/>
    <w:basedOn w:val="1"/>
    <w:qFormat/>
    <w:uiPriority w:val="0"/>
    <w:pPr>
      <w:ind w:firstLine="420"/>
    </w:pPr>
  </w:style>
  <w:style w:type="character" w:customStyle="1" w:styleId="34">
    <w:name w:val="Header or footer|2_"/>
    <w:basedOn w:val="25"/>
    <w:link w:val="35"/>
    <w:qFormat/>
    <w:uiPriority w:val="0"/>
    <w:rPr>
      <w:sz w:val="20"/>
      <w:szCs w:val="20"/>
      <w:u w:val="none"/>
      <w:shd w:val="clear" w:color="auto" w:fill="auto"/>
      <w:lang w:val="zh-TW" w:eastAsia="zh-TW" w:bidi="zh-TW"/>
    </w:rPr>
  </w:style>
  <w:style w:type="paragraph" w:customStyle="1" w:styleId="35">
    <w:name w:val="Header or footer|2"/>
    <w:basedOn w:val="1"/>
    <w:link w:val="34"/>
    <w:qFormat/>
    <w:uiPriority w:val="0"/>
    <w:rPr>
      <w:sz w:val="20"/>
      <w:szCs w:val="20"/>
      <w:lang w:val="zh-TW" w:eastAsia="zh-TW" w:bidi="zh-TW"/>
    </w:rPr>
  </w:style>
  <w:style w:type="character" w:customStyle="1" w:styleId="36">
    <w:name w:val="Body text|5_"/>
    <w:basedOn w:val="25"/>
    <w:link w:val="37"/>
    <w:qFormat/>
    <w:uiPriority w:val="0"/>
    <w:rPr>
      <w:rFonts w:ascii="宋体" w:hAnsi="宋体" w:eastAsia="宋体" w:cs="宋体"/>
      <w:b/>
      <w:bCs/>
      <w:sz w:val="84"/>
      <w:szCs w:val="84"/>
      <w:u w:val="none"/>
      <w:shd w:val="clear" w:color="auto" w:fill="auto"/>
      <w:lang w:val="zh-TW" w:eastAsia="zh-TW" w:bidi="zh-TW"/>
    </w:rPr>
  </w:style>
  <w:style w:type="paragraph" w:customStyle="1" w:styleId="37">
    <w:name w:val="Body text|5"/>
    <w:basedOn w:val="1"/>
    <w:link w:val="36"/>
    <w:qFormat/>
    <w:uiPriority w:val="0"/>
    <w:pPr>
      <w:spacing w:after="1180"/>
      <w:ind w:left="2060"/>
    </w:pPr>
    <w:rPr>
      <w:rFonts w:ascii="宋体" w:hAnsi="宋体" w:eastAsia="宋体" w:cs="宋体"/>
      <w:b/>
      <w:bCs/>
      <w:sz w:val="84"/>
      <w:szCs w:val="84"/>
      <w:lang w:val="zh-TW" w:eastAsia="zh-TW" w:bidi="zh-TW"/>
    </w:rPr>
  </w:style>
  <w:style w:type="character" w:customStyle="1" w:styleId="38">
    <w:name w:val="Body text|2_"/>
    <w:basedOn w:val="25"/>
    <w:link w:val="39"/>
    <w:qFormat/>
    <w:uiPriority w:val="0"/>
    <w:rPr>
      <w:rFonts w:ascii="宋体" w:hAnsi="宋体" w:eastAsia="宋体" w:cs="宋体"/>
      <w:b/>
      <w:bCs/>
      <w:sz w:val="30"/>
      <w:szCs w:val="30"/>
      <w:u w:val="none"/>
      <w:shd w:val="clear" w:color="auto" w:fill="auto"/>
      <w:lang w:val="zh-TW" w:eastAsia="zh-TW" w:bidi="zh-TW"/>
    </w:rPr>
  </w:style>
  <w:style w:type="paragraph" w:customStyle="1" w:styleId="39">
    <w:name w:val="Body text|2"/>
    <w:basedOn w:val="1"/>
    <w:link w:val="38"/>
    <w:qFormat/>
    <w:uiPriority w:val="0"/>
    <w:pPr>
      <w:spacing w:after="1070"/>
      <w:ind w:left="1030"/>
    </w:pPr>
    <w:rPr>
      <w:rFonts w:ascii="宋体" w:hAnsi="宋体" w:eastAsia="宋体" w:cs="宋体"/>
      <w:b/>
      <w:bCs/>
      <w:sz w:val="30"/>
      <w:szCs w:val="30"/>
      <w:lang w:val="zh-TW" w:eastAsia="zh-TW" w:bidi="zh-TW"/>
    </w:rPr>
  </w:style>
  <w:style w:type="character" w:customStyle="1" w:styleId="40">
    <w:name w:val="Body text|3_"/>
    <w:basedOn w:val="25"/>
    <w:link w:val="41"/>
    <w:qFormat/>
    <w:uiPriority w:val="0"/>
    <w:rPr>
      <w:rFonts w:ascii="宋体" w:hAnsi="宋体" w:eastAsia="宋体" w:cs="宋体"/>
      <w:sz w:val="20"/>
      <w:szCs w:val="20"/>
      <w:u w:val="none"/>
      <w:shd w:val="clear" w:color="auto" w:fill="auto"/>
      <w:lang w:val="zh-TW" w:eastAsia="zh-TW" w:bidi="zh-TW"/>
    </w:rPr>
  </w:style>
  <w:style w:type="paragraph" w:customStyle="1" w:styleId="41">
    <w:name w:val="Body text|3"/>
    <w:basedOn w:val="1"/>
    <w:link w:val="40"/>
    <w:qFormat/>
    <w:uiPriority w:val="0"/>
    <w:pPr>
      <w:spacing w:after="60"/>
      <w:jc w:val="center"/>
    </w:pPr>
    <w:rPr>
      <w:rFonts w:ascii="宋体" w:hAnsi="宋体" w:eastAsia="宋体" w:cs="宋体"/>
      <w:sz w:val="20"/>
      <w:szCs w:val="20"/>
      <w:lang w:val="zh-TW" w:eastAsia="zh-TW" w:bidi="zh-TW"/>
    </w:rPr>
  </w:style>
  <w:style w:type="character" w:customStyle="1" w:styleId="42">
    <w:name w:val="Table of contents|1_"/>
    <w:basedOn w:val="25"/>
    <w:link w:val="43"/>
    <w:qFormat/>
    <w:uiPriority w:val="0"/>
    <w:rPr>
      <w:rFonts w:ascii="宋体" w:hAnsi="宋体" w:eastAsia="宋体" w:cs="宋体"/>
      <w:sz w:val="20"/>
      <w:szCs w:val="20"/>
      <w:u w:val="none"/>
      <w:shd w:val="clear" w:color="auto" w:fill="auto"/>
      <w:lang w:val="zh-TW" w:eastAsia="zh-TW" w:bidi="zh-TW"/>
    </w:rPr>
  </w:style>
  <w:style w:type="paragraph" w:customStyle="1" w:styleId="43">
    <w:name w:val="Table of contents|1"/>
    <w:basedOn w:val="1"/>
    <w:link w:val="42"/>
    <w:qFormat/>
    <w:uiPriority w:val="0"/>
    <w:pPr>
      <w:spacing w:after="60"/>
      <w:jc w:val="center"/>
    </w:pPr>
    <w:rPr>
      <w:rFonts w:ascii="宋体" w:hAnsi="宋体" w:eastAsia="宋体" w:cs="宋体"/>
      <w:sz w:val="20"/>
      <w:szCs w:val="20"/>
      <w:lang w:val="zh-TW" w:eastAsia="zh-TW" w:bidi="zh-TW"/>
    </w:rPr>
  </w:style>
  <w:style w:type="character" w:customStyle="1" w:styleId="44">
    <w:name w:val="Body text|1_"/>
    <w:basedOn w:val="25"/>
    <w:link w:val="45"/>
    <w:qFormat/>
    <w:uiPriority w:val="0"/>
    <w:rPr>
      <w:rFonts w:ascii="宋体" w:hAnsi="宋体" w:eastAsia="宋体" w:cs="宋体"/>
      <w:u w:val="none"/>
      <w:shd w:val="clear" w:color="auto" w:fill="auto"/>
      <w:lang w:val="zh-TW" w:eastAsia="zh-TW" w:bidi="zh-TW"/>
    </w:rPr>
  </w:style>
  <w:style w:type="paragraph" w:customStyle="1" w:styleId="45">
    <w:name w:val="Body text|1"/>
    <w:basedOn w:val="1"/>
    <w:link w:val="44"/>
    <w:qFormat/>
    <w:uiPriority w:val="0"/>
    <w:pPr>
      <w:spacing w:after="170" w:line="410" w:lineRule="auto"/>
      <w:ind w:firstLine="400"/>
    </w:pPr>
    <w:rPr>
      <w:rFonts w:ascii="宋体" w:hAnsi="宋体" w:eastAsia="宋体" w:cs="宋体"/>
      <w:lang w:val="zh-TW" w:eastAsia="zh-TW" w:bidi="zh-TW"/>
    </w:rPr>
  </w:style>
  <w:style w:type="character" w:customStyle="1" w:styleId="46">
    <w:name w:val="Other|1_"/>
    <w:basedOn w:val="25"/>
    <w:link w:val="47"/>
    <w:qFormat/>
    <w:uiPriority w:val="0"/>
    <w:rPr>
      <w:rFonts w:ascii="宋体" w:hAnsi="宋体" w:eastAsia="宋体" w:cs="宋体"/>
      <w:u w:val="none"/>
      <w:shd w:val="clear" w:color="auto" w:fill="auto"/>
      <w:lang w:val="zh-TW" w:eastAsia="zh-TW" w:bidi="zh-TW"/>
    </w:rPr>
  </w:style>
  <w:style w:type="paragraph" w:customStyle="1" w:styleId="47">
    <w:name w:val="Other|1"/>
    <w:basedOn w:val="1"/>
    <w:link w:val="46"/>
    <w:qFormat/>
    <w:uiPriority w:val="0"/>
    <w:rPr>
      <w:rFonts w:ascii="宋体" w:hAnsi="宋体" w:eastAsia="宋体" w:cs="宋体"/>
      <w:lang w:val="zh-TW" w:eastAsia="zh-TW" w:bidi="zh-TW"/>
    </w:rPr>
  </w:style>
  <w:style w:type="character" w:customStyle="1" w:styleId="48">
    <w:name w:val="Heading #2|1_"/>
    <w:basedOn w:val="25"/>
    <w:link w:val="49"/>
    <w:qFormat/>
    <w:uiPriority w:val="0"/>
    <w:rPr>
      <w:rFonts w:ascii="宋体" w:hAnsi="宋体" w:eastAsia="宋体" w:cs="宋体"/>
      <w:b/>
      <w:bCs/>
      <w:u w:val="none"/>
      <w:shd w:val="clear" w:color="auto" w:fill="auto"/>
      <w:lang w:val="zh-TW" w:eastAsia="zh-TW" w:bidi="zh-TW"/>
    </w:rPr>
  </w:style>
  <w:style w:type="paragraph" w:customStyle="1" w:styleId="49">
    <w:name w:val="Heading #2|1"/>
    <w:basedOn w:val="1"/>
    <w:link w:val="48"/>
    <w:qFormat/>
    <w:uiPriority w:val="0"/>
    <w:pPr>
      <w:spacing w:after="160" w:line="474" w:lineRule="exact"/>
      <w:ind w:firstLine="530"/>
      <w:outlineLvl w:val="1"/>
    </w:pPr>
    <w:rPr>
      <w:rFonts w:ascii="宋体" w:hAnsi="宋体" w:eastAsia="宋体" w:cs="宋体"/>
      <w:b/>
      <w:bCs/>
      <w:lang w:val="zh-TW" w:eastAsia="zh-TW" w:bidi="zh-TW"/>
    </w:rPr>
  </w:style>
  <w:style w:type="character" w:customStyle="1" w:styleId="50">
    <w:name w:val="Table caption|1_"/>
    <w:basedOn w:val="25"/>
    <w:link w:val="51"/>
    <w:qFormat/>
    <w:uiPriority w:val="0"/>
    <w:rPr>
      <w:rFonts w:ascii="宋体" w:hAnsi="宋体" w:eastAsia="宋体" w:cs="宋体"/>
      <w:b/>
      <w:bCs/>
      <w:u w:val="none"/>
      <w:shd w:val="clear" w:color="auto" w:fill="auto"/>
      <w:lang w:val="zh-TW" w:eastAsia="zh-TW" w:bidi="zh-TW"/>
    </w:rPr>
  </w:style>
  <w:style w:type="paragraph" w:customStyle="1" w:styleId="51">
    <w:name w:val="Table caption|1"/>
    <w:basedOn w:val="1"/>
    <w:link w:val="50"/>
    <w:qFormat/>
    <w:uiPriority w:val="0"/>
    <w:rPr>
      <w:rFonts w:ascii="宋体" w:hAnsi="宋体" w:eastAsia="宋体" w:cs="宋体"/>
      <w:b/>
      <w:bCs/>
      <w:lang w:val="zh-TW" w:eastAsia="zh-TW" w:bidi="zh-TW"/>
    </w:rPr>
  </w:style>
  <w:style w:type="character" w:customStyle="1" w:styleId="52">
    <w:name w:val="Heading #1|1_"/>
    <w:basedOn w:val="25"/>
    <w:link w:val="53"/>
    <w:qFormat/>
    <w:uiPriority w:val="0"/>
    <w:rPr>
      <w:rFonts w:ascii="宋体" w:hAnsi="宋体" w:eastAsia="宋体" w:cs="宋体"/>
      <w:b/>
      <w:bCs/>
      <w:sz w:val="32"/>
      <w:szCs w:val="32"/>
      <w:u w:val="none"/>
      <w:shd w:val="clear" w:color="auto" w:fill="auto"/>
      <w:lang w:val="zh-TW" w:eastAsia="zh-TW" w:bidi="zh-TW"/>
    </w:rPr>
  </w:style>
  <w:style w:type="paragraph" w:customStyle="1" w:styleId="53">
    <w:name w:val="Heading #1|1"/>
    <w:basedOn w:val="1"/>
    <w:link w:val="52"/>
    <w:qFormat/>
    <w:uiPriority w:val="0"/>
    <w:pPr>
      <w:spacing w:after="540"/>
      <w:jc w:val="center"/>
      <w:outlineLvl w:val="0"/>
    </w:pPr>
    <w:rPr>
      <w:rFonts w:ascii="宋体" w:hAnsi="宋体" w:eastAsia="宋体" w:cs="宋体"/>
      <w:b/>
      <w:bCs/>
      <w:sz w:val="32"/>
      <w:szCs w:val="32"/>
      <w:lang w:val="zh-TW" w:eastAsia="zh-TW" w:bidi="zh-TW"/>
    </w:rPr>
  </w:style>
  <w:style w:type="character" w:customStyle="1" w:styleId="54">
    <w:name w:val="Header or footer|1_"/>
    <w:basedOn w:val="25"/>
    <w:link w:val="55"/>
    <w:qFormat/>
    <w:uiPriority w:val="0"/>
    <w:rPr>
      <w:rFonts w:ascii="宋体" w:hAnsi="宋体" w:eastAsia="宋体" w:cs="宋体"/>
      <w:color w:val="291B66"/>
      <w:sz w:val="22"/>
      <w:szCs w:val="22"/>
      <w:u w:val="none"/>
      <w:shd w:val="clear" w:color="auto" w:fill="auto"/>
      <w:lang w:val="zh-TW" w:eastAsia="zh-TW" w:bidi="zh-TW"/>
    </w:rPr>
  </w:style>
  <w:style w:type="paragraph" w:customStyle="1" w:styleId="55">
    <w:name w:val="Header or footer|1"/>
    <w:basedOn w:val="1"/>
    <w:link w:val="54"/>
    <w:qFormat/>
    <w:uiPriority w:val="0"/>
    <w:rPr>
      <w:rFonts w:ascii="宋体" w:hAnsi="宋体" w:eastAsia="宋体" w:cs="宋体"/>
      <w:color w:val="291B66"/>
      <w:sz w:val="22"/>
      <w:szCs w:val="22"/>
      <w:lang w:val="zh-TW" w:eastAsia="zh-TW" w:bidi="zh-TW"/>
    </w:rPr>
  </w:style>
  <w:style w:type="character" w:customStyle="1" w:styleId="56">
    <w:name w:val="Body text|4_"/>
    <w:basedOn w:val="25"/>
    <w:link w:val="57"/>
    <w:qFormat/>
    <w:uiPriority w:val="0"/>
    <w:rPr>
      <w:b/>
      <w:bCs/>
      <w:sz w:val="20"/>
      <w:szCs w:val="20"/>
      <w:u w:val="none"/>
      <w:shd w:val="clear" w:color="auto" w:fill="auto"/>
      <w:lang w:val="zh-CN"/>
    </w:rPr>
  </w:style>
  <w:style w:type="paragraph" w:customStyle="1" w:styleId="57">
    <w:name w:val="Body text|4"/>
    <w:basedOn w:val="1"/>
    <w:link w:val="56"/>
    <w:qFormat/>
    <w:uiPriority w:val="0"/>
    <w:pPr>
      <w:spacing w:line="214" w:lineRule="auto"/>
      <w:ind w:hanging="1300"/>
    </w:pPr>
    <w:rPr>
      <w:b/>
      <w:bCs/>
      <w:sz w:val="20"/>
      <w:szCs w:val="20"/>
      <w:lang w:val="zh-CN"/>
    </w:rPr>
  </w:style>
  <w:style w:type="character" w:customStyle="1" w:styleId="58">
    <w:name w:val="Body text|6_"/>
    <w:basedOn w:val="25"/>
    <w:link w:val="59"/>
    <w:qFormat/>
    <w:uiPriority w:val="0"/>
    <w:rPr>
      <w:sz w:val="11"/>
      <w:szCs w:val="11"/>
      <w:u w:val="none"/>
      <w:shd w:val="clear" w:color="auto" w:fill="auto"/>
      <w:lang w:val="zh-TW" w:eastAsia="zh-TW" w:bidi="zh-TW"/>
    </w:rPr>
  </w:style>
  <w:style w:type="paragraph" w:customStyle="1" w:styleId="59">
    <w:name w:val="Body text|6"/>
    <w:basedOn w:val="1"/>
    <w:link w:val="58"/>
    <w:qFormat/>
    <w:uiPriority w:val="0"/>
    <w:rPr>
      <w:sz w:val="11"/>
      <w:szCs w:val="11"/>
      <w:lang w:val="zh-TW" w:eastAsia="zh-TW" w:bidi="zh-TW"/>
    </w:rPr>
  </w:style>
  <w:style w:type="paragraph" w:styleId="60">
    <w:name w:val="List Paragraph"/>
    <w:basedOn w:val="1"/>
    <w:qFormat/>
    <w:uiPriority w:val="34"/>
    <w:pPr>
      <w:ind w:firstLine="420"/>
    </w:pPr>
  </w:style>
  <w:style w:type="paragraph" w:customStyle="1" w:styleId="61">
    <w:name w:val="Table Paragraph"/>
    <w:basedOn w:val="1"/>
    <w:qFormat/>
    <w:uiPriority w:val="1"/>
  </w:style>
  <w:style w:type="paragraph" w:customStyle="1" w:styleId="62">
    <w:name w:val="WPSOffice手动目录 1"/>
    <w:qFormat/>
    <w:uiPriority w:val="0"/>
    <w:rPr>
      <w:rFonts w:ascii="Times New Roman" w:hAnsi="Times New Roman" w:eastAsia="宋体" w:cs="Times New Roman"/>
      <w:lang w:val="en-US" w:eastAsia="zh-CN" w:bidi="ar-SA"/>
    </w:rPr>
  </w:style>
  <w:style w:type="character" w:customStyle="1" w:styleId="63">
    <w:name w:val="页脚 字符"/>
    <w:basedOn w:val="25"/>
    <w:link w:val="14"/>
    <w:qFormat/>
    <w:uiPriority w:val="99"/>
    <w:rPr>
      <w:rFonts w:eastAsia="Times New Roman"/>
      <w:color w:val="000000"/>
      <w:sz w:val="18"/>
      <w:szCs w:val="24"/>
      <w:lang w:eastAsia="en-US" w:bidi="en-US"/>
    </w:rPr>
  </w:style>
  <w:style w:type="character" w:customStyle="1" w:styleId="64">
    <w:name w:val="页眉 字符"/>
    <w:basedOn w:val="25"/>
    <w:link w:val="15"/>
    <w:qFormat/>
    <w:uiPriority w:val="99"/>
    <w:rPr>
      <w:rFonts w:eastAsia="Times New Roman"/>
      <w:color w:val="000000"/>
      <w:sz w:val="18"/>
      <w:szCs w:val="18"/>
      <w:lang w:eastAsia="en-US" w:bidi="en-US"/>
    </w:rPr>
  </w:style>
  <w:style w:type="character" w:customStyle="1" w:styleId="65">
    <w:name w:val="font41"/>
    <w:qFormat/>
    <w:uiPriority w:val="0"/>
    <w:rPr>
      <w:rFonts w:hint="eastAsia" w:ascii="宋体" w:hAnsi="宋体" w:eastAsia="宋体" w:cs="宋体"/>
      <w:color w:val="000000"/>
      <w:sz w:val="24"/>
      <w:szCs w:val="24"/>
      <w:u w:val="none"/>
    </w:rPr>
  </w:style>
  <w:style w:type="character" w:customStyle="1" w:styleId="66">
    <w:name w:val="font11"/>
    <w:basedOn w:val="25"/>
    <w:qFormat/>
    <w:uiPriority w:val="0"/>
    <w:rPr>
      <w:rFonts w:ascii="Arial" w:hAnsi="Arial" w:cs="Arial"/>
      <w:color w:val="000000"/>
      <w:sz w:val="28"/>
      <w:szCs w:val="28"/>
      <w:u w:val="none"/>
    </w:rPr>
  </w:style>
  <w:style w:type="character" w:customStyle="1" w:styleId="67">
    <w:name w:val="font21"/>
    <w:basedOn w:val="25"/>
    <w:qFormat/>
    <w:uiPriority w:val="0"/>
    <w:rPr>
      <w:rFonts w:hint="eastAsia" w:ascii="仿宋" w:hAnsi="仿宋" w:eastAsia="仿宋" w:cs="仿宋"/>
      <w:color w:val="000000"/>
      <w:sz w:val="28"/>
      <w:szCs w:val="28"/>
      <w:u w:val="none"/>
    </w:rPr>
  </w:style>
  <w:style w:type="character" w:customStyle="1" w:styleId="68">
    <w:name w:val="批注框文本 字符"/>
    <w:basedOn w:val="25"/>
    <w:link w:val="13"/>
    <w:qFormat/>
    <w:uiPriority w:val="0"/>
    <w:rPr>
      <w:rFonts w:ascii="Times New Roman" w:hAnsi="Times New Roman" w:eastAsia="Times New Roman" w:cs="Times New Roman"/>
      <w:color w:val="000000"/>
      <w:sz w:val="18"/>
      <w:szCs w:val="18"/>
      <w:lang w:eastAsia="en-US" w:bidi="en-US"/>
    </w:rPr>
  </w:style>
  <w:style w:type="paragraph" w:customStyle="1" w:styleId="69">
    <w:name w:val="修订1"/>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70">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Cs w:val="32"/>
      <w:lang w:eastAsia="zh-CN" w:bidi="ar-SA"/>
    </w:rPr>
  </w:style>
  <w:style w:type="paragraph" w:customStyle="1" w:styleId="71">
    <w:name w:val="标题 21"/>
    <w:basedOn w:val="1"/>
    <w:qFormat/>
    <w:uiPriority w:val="1"/>
    <w:pPr>
      <w:spacing w:before="41"/>
      <w:ind w:left="1702"/>
      <w:outlineLvl w:val="2"/>
    </w:pPr>
    <w:rPr>
      <w:b/>
      <w:bCs/>
    </w:rPr>
  </w:style>
  <w:style w:type="table" w:customStyle="1" w:styleId="7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7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74">
    <w:name w:val="font01"/>
    <w:basedOn w:val="25"/>
    <w:qFormat/>
    <w:uiPriority w:val="0"/>
    <w:rPr>
      <w:rFonts w:hint="eastAsia" w:ascii="宋体" w:hAnsi="宋体" w:eastAsia="宋体" w:cs="宋体"/>
      <w:color w:val="000000"/>
      <w:sz w:val="22"/>
      <w:szCs w:val="22"/>
      <w:u w:val="none"/>
    </w:rPr>
  </w:style>
  <w:style w:type="paragraph" w:customStyle="1" w:styleId="75">
    <w:name w:val="正文_1_0"/>
    <w:basedOn w:val="76"/>
    <w:next w:val="82"/>
    <w:qFormat/>
    <w:uiPriority w:val="0"/>
    <w:rPr>
      <w:szCs w:val="24"/>
    </w:rPr>
  </w:style>
  <w:style w:type="paragraph" w:customStyle="1" w:styleId="76">
    <w:name w:val="正文_2_0_0"/>
    <w:basedOn w:val="77"/>
    <w:next w:val="78"/>
    <w:qFormat/>
    <w:uiPriority w:val="0"/>
    <w:rPr>
      <w:rFonts w:ascii="Calibri" w:hAnsi="Calibri"/>
      <w:szCs w:val="22"/>
    </w:rPr>
  </w:style>
  <w:style w:type="paragraph" w:customStyle="1" w:styleId="77">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文本_0_1"/>
    <w:basedOn w:val="79"/>
    <w:qFormat/>
    <w:uiPriority w:val="0"/>
    <w:pPr>
      <w:spacing w:after="120"/>
    </w:pPr>
    <w:rPr>
      <w:rFonts w:ascii="Calibri" w:hAnsi="Calibri"/>
      <w:kern w:val="0"/>
      <w:sz w:val="20"/>
    </w:rPr>
  </w:style>
  <w:style w:type="paragraph" w:customStyle="1" w:styleId="79">
    <w:name w:val="正文_2_2"/>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首行缩进 2_0"/>
    <w:basedOn w:val="81"/>
    <w:qFormat/>
    <w:uiPriority w:val="0"/>
    <w:pPr>
      <w:ind w:firstLine="420" w:firstLineChars="200"/>
    </w:pPr>
  </w:style>
  <w:style w:type="paragraph" w:customStyle="1" w:styleId="81">
    <w:name w:val="正文文本缩进_0_1"/>
    <w:basedOn w:val="77"/>
    <w:qFormat/>
    <w:uiPriority w:val="0"/>
    <w:pPr>
      <w:spacing w:line="500" w:lineRule="exact"/>
      <w:ind w:left="1588" w:leftChars="832" w:firstLine="433" w:firstLineChars="196"/>
    </w:pPr>
    <w:rPr>
      <w:rFonts w:ascii="Calibri" w:hAnsi="Calibri"/>
      <w:sz w:val="24"/>
    </w:rPr>
  </w:style>
  <w:style w:type="paragraph" w:customStyle="1" w:styleId="82">
    <w:name w:val="正文缩进_0_0"/>
    <w:basedOn w:val="83"/>
    <w:qFormat/>
    <w:uiPriority w:val="0"/>
    <w:pPr>
      <w:ind w:firstLine="420" w:firstLineChars="200"/>
    </w:pPr>
    <w:rPr>
      <w:rFonts w:ascii="Calibri" w:hAnsi="Calibri"/>
      <w:szCs w:val="20"/>
    </w:rPr>
  </w:style>
  <w:style w:type="paragraph" w:customStyle="1" w:styleId="83">
    <w:name w:val="正文_0_1"/>
    <w:qFormat/>
    <w:uiPriority w:val="0"/>
    <w:pPr>
      <w:widowControl w:val="0"/>
      <w:jc w:val="both"/>
    </w:pPr>
    <w:rPr>
      <w:rFonts w:ascii="Times New Roman" w:hAnsi="Times New Roman" w:eastAsia="宋体" w:cs="Times New Roman"/>
      <w:szCs w:val="24"/>
      <w:lang w:val="en-US" w:eastAsia="zh-CN" w:bidi="ar-SA"/>
    </w:rPr>
  </w:style>
  <w:style w:type="paragraph" w:customStyle="1" w:styleId="8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6">
    <w:name w:val="正文_0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87">
    <w:name w:val="È±Ê¡ÎÄ±¾"/>
    <w:basedOn w:val="1"/>
    <w:qFormat/>
    <w:uiPriority w:val="0"/>
    <w:pPr>
      <w:widowControl/>
      <w:overflowPunct w:val="0"/>
      <w:autoSpaceDE w:val="0"/>
      <w:autoSpaceDN w:val="0"/>
      <w:adjustRightInd w:val="0"/>
      <w:textAlignment w:val="baseline"/>
    </w:pPr>
    <w:rPr>
      <w:szCs w:val="20"/>
    </w:rPr>
  </w:style>
  <w:style w:type="character" w:customStyle="1" w:styleId="88">
    <w:name w:val="NormalCharacter"/>
    <w:qFormat/>
    <w:uiPriority w:val="0"/>
    <w:rPr>
      <w:rFonts w:ascii="Times New Roman" w:hAnsi="Times New Roman" w:eastAsia="宋体"/>
    </w:rPr>
  </w:style>
  <w:style w:type="paragraph" w:customStyle="1" w:styleId="89">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0">
    <w:name w:val="正文_0_0_1"/>
    <w:qFormat/>
    <w:uiPriority w:val="0"/>
    <w:pPr>
      <w:widowControl w:val="0"/>
      <w:jc w:val="both"/>
    </w:pPr>
    <w:rPr>
      <w:rFonts w:ascii="等线" w:hAnsi="等线" w:eastAsia="等线" w:cs="Times New Roman"/>
      <w:kern w:val="2"/>
      <w:sz w:val="21"/>
      <w:szCs w:val="22"/>
      <w:lang w:val="en-US" w:eastAsia="zh-CN" w:bidi="ar-SA"/>
    </w:rPr>
  </w:style>
  <w:style w:type="paragraph" w:customStyle="1" w:styleId="91">
    <w:name w:val="Revision"/>
    <w:hidden/>
    <w:semiHidden/>
    <w:qFormat/>
    <w:uiPriority w:val="99"/>
    <w:rPr>
      <w:rFonts w:ascii="Times New Roman" w:hAnsi="Times New Roman" w:eastAsia="仿宋" w:cs="Times New Roman"/>
      <w:color w:val="000000"/>
      <w:sz w:val="24"/>
      <w:szCs w:val="24"/>
      <w:lang w:val="en-US" w:eastAsia="en-US" w:bidi="en-US"/>
    </w:rPr>
  </w:style>
  <w:style w:type="character" w:customStyle="1" w:styleId="92">
    <w:name w:val="layui-this4"/>
    <w:basedOn w:val="25"/>
    <w:qFormat/>
    <w:uiPriority w:val="0"/>
    <w:rPr>
      <w:bdr w:val="single" w:color="EEEEEE" w:sz="2" w:space="0"/>
      <w:shd w:val="clear" w:fill="FFFFFF"/>
    </w:rPr>
  </w:style>
  <w:style w:type="character" w:customStyle="1" w:styleId="93">
    <w:name w:val="first-child"/>
    <w:basedOn w:val="25"/>
    <w:qFormat/>
    <w:uiPriority w:val="0"/>
  </w:style>
  <w:style w:type="character" w:customStyle="1" w:styleId="94">
    <w:name w:val="layui-laypage-curr"/>
    <w:basedOn w:val="25"/>
    <w:qFormat/>
    <w:uiPriority w:val="0"/>
  </w:style>
  <w:style w:type="character" w:customStyle="1" w:styleId="95">
    <w:name w:val="llcs"/>
    <w:basedOn w:val="25"/>
    <w:qFormat/>
    <w:uiPriority w:val="0"/>
  </w:style>
  <w:style w:type="character" w:customStyle="1" w:styleId="96">
    <w:name w:val="hover14"/>
    <w:basedOn w:val="25"/>
    <w:qFormat/>
    <w:uiPriority w:val="0"/>
    <w:rPr>
      <w:color w:val="5FB878"/>
    </w:rPr>
  </w:style>
  <w:style w:type="character" w:customStyle="1" w:styleId="97">
    <w:name w:val="hover15"/>
    <w:basedOn w:val="25"/>
    <w:qFormat/>
    <w:uiPriority w:val="0"/>
    <w:rPr>
      <w:color w:val="5FB878"/>
    </w:rPr>
  </w:style>
  <w:style w:type="character" w:customStyle="1" w:styleId="98">
    <w:name w:val="hover16"/>
    <w:basedOn w:val="25"/>
    <w:qFormat/>
    <w:uiPriority w:val="0"/>
    <w:rPr>
      <w:color w:val="FFFFFF"/>
    </w:rPr>
  </w:style>
  <w:style w:type="character" w:customStyle="1" w:styleId="99">
    <w:name w:val="bg02"/>
    <w:basedOn w:val="25"/>
    <w:qFormat/>
    <w:uiPriority w:val="0"/>
  </w:style>
  <w:style w:type="character" w:customStyle="1" w:styleId="100">
    <w:name w:val="bg01"/>
    <w:basedOn w:val="25"/>
    <w:qFormat/>
    <w:uiPriority w:val="0"/>
  </w:style>
  <w:style w:type="character" w:customStyle="1" w:styleId="101">
    <w:name w:val="m01"/>
    <w:basedOn w:val="25"/>
    <w:qFormat/>
    <w:uiPriority w:val="0"/>
  </w:style>
  <w:style w:type="character" w:customStyle="1" w:styleId="102">
    <w:name w:val="m011"/>
    <w:basedOn w:val="25"/>
    <w:qFormat/>
    <w:uiPriority w:val="0"/>
  </w:style>
  <w:style w:type="character" w:customStyle="1" w:styleId="103">
    <w:name w:val="tabg"/>
    <w:basedOn w:val="25"/>
    <w:qFormat/>
    <w:uiPriority w:val="0"/>
    <w:rPr>
      <w:color w:val="FFFFFF"/>
      <w:sz w:val="10"/>
      <w:szCs w:val="10"/>
    </w:rPr>
  </w:style>
  <w:style w:type="character" w:customStyle="1" w:styleId="104">
    <w:name w:val="more4"/>
    <w:basedOn w:val="25"/>
    <w:qFormat/>
    <w:uiPriority w:val="0"/>
    <w:rPr>
      <w:color w:val="666666"/>
      <w:sz w:val="7"/>
      <w:szCs w:val="7"/>
    </w:rPr>
  </w:style>
  <w:style w:type="character" w:customStyle="1" w:styleId="105">
    <w:name w:val="font"/>
    <w:basedOn w:val="25"/>
    <w:qFormat/>
    <w:uiPriority w:val="0"/>
  </w:style>
  <w:style w:type="character" w:customStyle="1" w:styleId="106">
    <w:name w:val="font1"/>
    <w:basedOn w:val="25"/>
    <w:qFormat/>
    <w:uiPriority w:val="0"/>
  </w:style>
  <w:style w:type="character" w:customStyle="1" w:styleId="107">
    <w:name w:val="gwds_nopic"/>
    <w:basedOn w:val="25"/>
    <w:qFormat/>
    <w:uiPriority w:val="0"/>
  </w:style>
  <w:style w:type="character" w:customStyle="1" w:styleId="108">
    <w:name w:val="gwds_nopic1"/>
    <w:basedOn w:val="25"/>
    <w:qFormat/>
    <w:uiPriority w:val="0"/>
  </w:style>
  <w:style w:type="character" w:customStyle="1" w:styleId="109">
    <w:name w:val="gwds_nopic2"/>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26022</Words>
  <Characters>27147</Characters>
  <Lines>204</Lines>
  <Paragraphs>57</Paragraphs>
  <TotalTime>9</TotalTime>
  <ScaleCrop>false</ScaleCrop>
  <LinksUpToDate>false</LinksUpToDate>
  <CharactersWithSpaces>27260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2023-06-04T18:28:00Z</dcterms:created>
  <dc:creator>笨宝宝</dc:creator>
  <cp:lastModifiedBy>WPS_1648115178</cp:lastModifiedBy>
  <cp:lastPrinted>2023-08-16T07:16:00Z</cp:lastPrinted>
  <dcterms:modified xsi:type="dcterms:W3CDTF">2023-08-28T02:58:15Z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082DB3AB8BC64E51B9218588AB733B5F_13</vt:lpwstr>
  </property>
</Properties>
</file>