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仿宋" w:hAnsi="仿宋" w:eastAsia="仿宋" w:cs="仿宋"/>
          <w:b/>
          <w:bCs/>
          <w:color w:val="000000" w:themeColor="text1"/>
          <w:w w:val="90"/>
          <w:sz w:val="52"/>
          <w:szCs w:val="52"/>
          <w:lang w:eastAsia="zh-CN"/>
          <w14:textFill>
            <w14:solidFill>
              <w14:schemeClr w14:val="tx1"/>
            </w14:solidFill>
          </w14:textFill>
        </w:rPr>
      </w:pPr>
    </w:p>
    <w:p>
      <w:pPr>
        <w:spacing w:line="760" w:lineRule="exact"/>
        <w:jc w:val="center"/>
        <w:rPr>
          <w:rFonts w:ascii="仿宋" w:hAnsi="仿宋" w:eastAsia="仿宋" w:cs="仿宋"/>
          <w:b/>
          <w:bCs/>
          <w:color w:val="000000" w:themeColor="text1"/>
          <w:w w:val="90"/>
          <w:sz w:val="48"/>
          <w:szCs w:val="48"/>
          <w:lang w:eastAsia="zh-CN"/>
          <w14:textFill>
            <w14:solidFill>
              <w14:schemeClr w14:val="tx1"/>
            </w14:solidFill>
          </w14:textFill>
        </w:rPr>
      </w:pPr>
      <w:r>
        <w:rPr>
          <w:rFonts w:hint="eastAsia" w:ascii="仿宋" w:hAnsi="仿宋" w:eastAsia="仿宋" w:cs="仿宋"/>
          <w:b/>
          <w:bCs/>
          <w:color w:val="000000" w:themeColor="text1"/>
          <w:w w:val="90"/>
          <w:sz w:val="48"/>
          <w:szCs w:val="48"/>
          <w:lang w:eastAsia="zh-CN"/>
          <w14:textFill>
            <w14:solidFill>
              <w14:schemeClr w14:val="tx1"/>
            </w14:solidFill>
          </w14:textFill>
        </w:rPr>
        <w:t>哈密市伊吾县消防装备购置项目</w:t>
      </w:r>
    </w:p>
    <w:p>
      <w:pPr>
        <w:spacing w:line="760" w:lineRule="exact"/>
        <w:jc w:val="center"/>
        <w:rPr>
          <w:rFonts w:ascii="仿宋" w:hAnsi="仿宋" w:eastAsia="仿宋" w:cs="仿宋"/>
          <w:b/>
          <w:bCs/>
          <w:color w:val="000000" w:themeColor="text1"/>
          <w:sz w:val="40"/>
          <w:szCs w:val="40"/>
          <w:lang w:eastAsia="zh-CN"/>
          <w14:textFill>
            <w14:solidFill>
              <w14:schemeClr w14:val="tx1"/>
            </w14:solidFill>
          </w14:textFill>
        </w:rPr>
      </w:pPr>
    </w:p>
    <w:p>
      <w:pPr>
        <w:spacing w:line="760" w:lineRule="exact"/>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bCs/>
          <w:color w:val="000000" w:themeColor="text1"/>
          <w:sz w:val="40"/>
          <w:szCs w:val="40"/>
          <w:lang w:eastAsia="zh-CN"/>
          <w14:textFill>
            <w14:solidFill>
              <w14:schemeClr w14:val="tx1"/>
            </w14:solidFill>
          </w14:textFill>
        </w:rPr>
        <w:t>项目编号：XJDH【2023】-H049</w:t>
      </w:r>
    </w:p>
    <w:p>
      <w:pPr>
        <w:pStyle w:val="12"/>
        <w:rPr>
          <w:rFonts w:ascii="仿宋" w:hAnsi="仿宋" w:eastAsia="仿宋" w:cs="仿宋"/>
          <w:color w:val="000000" w:themeColor="text1"/>
          <w14:textFill>
            <w14:solidFill>
              <w14:schemeClr w14:val="tx1"/>
            </w14:solidFill>
          </w14:textFill>
        </w:rPr>
      </w:pPr>
    </w:p>
    <w:p>
      <w:pPr>
        <w:pStyle w:val="12"/>
        <w:rPr>
          <w:rFonts w:ascii="仿宋" w:hAnsi="仿宋" w:eastAsia="仿宋" w:cs="仿宋"/>
          <w:color w:val="000000" w:themeColor="text1"/>
          <w14:textFill>
            <w14:solidFill>
              <w14:schemeClr w14:val="tx1"/>
            </w14:solidFill>
          </w14:textFill>
        </w:rPr>
      </w:pPr>
    </w:p>
    <w:p>
      <w:pPr>
        <w:pStyle w:val="12"/>
        <w:rPr>
          <w:rFonts w:ascii="仿宋" w:hAnsi="仿宋" w:eastAsia="仿宋" w:cs="仿宋"/>
          <w:color w:val="000000" w:themeColor="text1"/>
          <w14:textFill>
            <w14:solidFill>
              <w14:schemeClr w14:val="tx1"/>
            </w14:solidFill>
          </w14:textFill>
        </w:rPr>
      </w:pPr>
    </w:p>
    <w:p>
      <w:pPr>
        <w:pStyle w:val="12"/>
        <w:jc w:val="center"/>
        <w:rPr>
          <w:rFonts w:ascii="仿宋" w:hAnsi="仿宋" w:eastAsia="仿宋" w:cs="仿宋"/>
          <w:b/>
          <w:color w:val="000000" w:themeColor="text1"/>
          <w:sz w:val="96"/>
          <w:szCs w:val="96"/>
          <w14:textFill>
            <w14:solidFill>
              <w14:schemeClr w14:val="tx1"/>
            </w14:solidFill>
          </w14:textFill>
        </w:rPr>
      </w:pPr>
      <w:r>
        <w:rPr>
          <w:rFonts w:hint="eastAsia" w:ascii="仿宋" w:hAnsi="仿宋" w:eastAsia="仿宋" w:cs="仿宋"/>
          <w:b/>
          <w:color w:val="000000" w:themeColor="text1"/>
          <w:sz w:val="96"/>
          <w:szCs w:val="96"/>
          <w14:textFill>
            <w14:solidFill>
              <w14:schemeClr w14:val="tx1"/>
            </w14:solidFill>
          </w14:textFill>
        </w:rPr>
        <w:t>招</w:t>
      </w:r>
    </w:p>
    <w:p>
      <w:pPr>
        <w:pStyle w:val="12"/>
        <w:jc w:val="center"/>
        <w:rPr>
          <w:rFonts w:ascii="仿宋" w:hAnsi="仿宋" w:eastAsia="仿宋" w:cs="仿宋"/>
          <w:b/>
          <w:bCs/>
          <w:color w:val="000000" w:themeColor="text1"/>
          <w:sz w:val="96"/>
          <w:szCs w:val="96"/>
          <w14:textFill>
            <w14:solidFill>
              <w14:schemeClr w14:val="tx1"/>
            </w14:solidFill>
          </w14:textFill>
        </w:rPr>
      </w:pPr>
      <w:r>
        <w:rPr>
          <w:rFonts w:hint="eastAsia" w:ascii="仿宋" w:hAnsi="仿宋" w:eastAsia="仿宋" w:cs="仿宋"/>
          <w:b/>
          <w:color w:val="000000" w:themeColor="text1"/>
          <w:sz w:val="96"/>
          <w:szCs w:val="96"/>
          <w14:textFill>
            <w14:solidFill>
              <w14:schemeClr w14:val="tx1"/>
            </w14:solidFill>
          </w14:textFill>
        </w:rPr>
        <w:t>标</w:t>
      </w:r>
    </w:p>
    <w:p>
      <w:pPr>
        <w:pStyle w:val="12"/>
        <w:jc w:val="center"/>
        <w:rPr>
          <w:rFonts w:ascii="仿宋" w:hAnsi="仿宋" w:eastAsia="仿宋" w:cs="仿宋"/>
          <w:b/>
          <w:bCs/>
          <w:color w:val="000000" w:themeColor="text1"/>
          <w:sz w:val="96"/>
          <w:szCs w:val="96"/>
          <w14:textFill>
            <w14:solidFill>
              <w14:schemeClr w14:val="tx1"/>
            </w14:solidFill>
          </w14:textFill>
        </w:rPr>
      </w:pPr>
      <w:r>
        <w:rPr>
          <w:rFonts w:hint="eastAsia" w:ascii="仿宋" w:hAnsi="仿宋" w:eastAsia="仿宋" w:cs="仿宋"/>
          <w:b/>
          <w:bCs/>
          <w:color w:val="000000" w:themeColor="text1"/>
          <w:sz w:val="96"/>
          <w:szCs w:val="96"/>
          <w14:textFill>
            <w14:solidFill>
              <w14:schemeClr w14:val="tx1"/>
            </w14:solidFill>
          </w14:textFill>
        </w:rPr>
        <w:t>文</w:t>
      </w:r>
    </w:p>
    <w:p>
      <w:pPr>
        <w:pStyle w:val="12"/>
        <w:jc w:val="center"/>
        <w:rPr>
          <w:rFonts w:ascii="仿宋" w:hAnsi="仿宋" w:eastAsia="仿宋" w:cs="仿宋"/>
          <w:color w:val="000000" w:themeColor="text1"/>
          <w:sz w:val="84"/>
          <w:szCs w:val="84"/>
          <w14:textFill>
            <w14:solidFill>
              <w14:schemeClr w14:val="tx1"/>
            </w14:solidFill>
          </w14:textFill>
        </w:rPr>
      </w:pPr>
      <w:r>
        <w:rPr>
          <w:rFonts w:hint="eastAsia" w:ascii="仿宋" w:hAnsi="仿宋" w:eastAsia="仿宋" w:cs="仿宋"/>
          <w:b/>
          <w:bCs/>
          <w:color w:val="000000" w:themeColor="text1"/>
          <w:sz w:val="96"/>
          <w:szCs w:val="96"/>
          <w14:textFill>
            <w14:solidFill>
              <w14:schemeClr w14:val="tx1"/>
            </w14:solidFill>
          </w14:textFill>
        </w:rPr>
        <w:t>件</w:t>
      </w:r>
    </w:p>
    <w:p>
      <w:pPr>
        <w:spacing w:line="700" w:lineRule="exact"/>
        <w:rPr>
          <w:rFonts w:ascii="仿宋" w:hAnsi="仿宋" w:eastAsia="仿宋" w:cs="仿宋"/>
          <w:color w:val="000000" w:themeColor="text1"/>
          <w:sz w:val="36"/>
          <w:szCs w:val="36"/>
          <w:lang w:eastAsia="zh-CN"/>
          <w14:textFill>
            <w14:solidFill>
              <w14:schemeClr w14:val="tx1"/>
            </w14:solidFill>
          </w14:textFill>
        </w:rPr>
      </w:pPr>
    </w:p>
    <w:p>
      <w:pPr>
        <w:spacing w:line="700" w:lineRule="exact"/>
        <w:ind w:firstLine="360" w:firstLineChars="100"/>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lang w:eastAsia="zh-CN"/>
          <w14:textFill>
            <w14:solidFill>
              <w14:schemeClr w14:val="tx1"/>
            </w14:solidFill>
          </w14:textFill>
        </w:rPr>
        <w:t>采购单位：伊吾县应急管理局</w:t>
      </w:r>
    </w:p>
    <w:p>
      <w:pPr>
        <w:spacing w:line="700" w:lineRule="exact"/>
        <w:ind w:firstLine="360" w:firstLineChars="100"/>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lang w:eastAsia="zh-CN"/>
          <w14:textFill>
            <w14:solidFill>
              <w14:schemeClr w14:val="tx1"/>
            </w14:solidFill>
          </w14:textFill>
        </w:rPr>
        <w:t>联 系 人：杨洋</w:t>
      </w:r>
    </w:p>
    <w:p>
      <w:pPr>
        <w:spacing w:line="700" w:lineRule="exact"/>
        <w:ind w:firstLine="360" w:firstLineChars="100"/>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lang w:eastAsia="zh-CN"/>
          <w14:textFill>
            <w14:solidFill>
              <w14:schemeClr w14:val="tx1"/>
            </w14:solidFill>
          </w14:textFill>
        </w:rPr>
        <w:t>联系电话：15026108769</w:t>
      </w:r>
    </w:p>
    <w:p>
      <w:pPr>
        <w:spacing w:line="700" w:lineRule="exact"/>
        <w:ind w:firstLine="360" w:firstLineChars="100"/>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lang w:eastAsia="zh-CN"/>
          <w14:textFill>
            <w14:solidFill>
              <w14:schemeClr w14:val="tx1"/>
            </w14:solidFill>
          </w14:textFill>
        </w:rPr>
        <w:t>代理机构：新疆德鸿项目管理咨询有限公司</w:t>
      </w:r>
    </w:p>
    <w:p>
      <w:pPr>
        <w:spacing w:line="700" w:lineRule="exact"/>
        <w:ind w:firstLine="360" w:firstLineChars="100"/>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lang w:eastAsia="zh-CN"/>
          <w14:textFill>
            <w14:solidFill>
              <w14:schemeClr w14:val="tx1"/>
            </w14:solidFill>
          </w14:textFill>
        </w:rPr>
        <w:t>联 系 人：李有红</w:t>
      </w:r>
    </w:p>
    <w:p>
      <w:pPr>
        <w:spacing w:line="700" w:lineRule="exact"/>
        <w:ind w:firstLine="360" w:firstLineChars="100"/>
        <w:rPr>
          <w:rFonts w:ascii="仿宋" w:hAnsi="仿宋" w:eastAsia="仿宋" w:cs="仿宋"/>
          <w:color w:val="000000" w:themeColor="text1"/>
          <w:sz w:val="44"/>
          <w:szCs w:val="44"/>
          <w:lang w:eastAsia="zh-CN"/>
          <w14:textFill>
            <w14:solidFill>
              <w14:schemeClr w14:val="tx1"/>
            </w14:solidFill>
          </w14:textFill>
        </w:rPr>
      </w:pPr>
      <w:r>
        <w:rPr>
          <w:rFonts w:hint="eastAsia" w:ascii="仿宋" w:hAnsi="仿宋" w:eastAsia="仿宋" w:cs="仿宋"/>
          <w:color w:val="000000" w:themeColor="text1"/>
          <w:sz w:val="36"/>
          <w:szCs w:val="36"/>
          <w:lang w:eastAsia="zh-CN"/>
          <w14:textFill>
            <w14:solidFill>
              <w14:schemeClr w14:val="tx1"/>
            </w14:solidFill>
          </w14:textFill>
        </w:rPr>
        <w:t>联系电话:18196915976</w:t>
      </w:r>
    </w:p>
    <w:p>
      <w:pPr>
        <w:spacing w:line="240" w:lineRule="exact"/>
        <w:rPr>
          <w:rFonts w:ascii="仿宋" w:hAnsi="仿宋" w:eastAsia="仿宋" w:cs="仿宋"/>
          <w:color w:val="000000" w:themeColor="text1"/>
          <w:sz w:val="44"/>
          <w:szCs w:val="44"/>
          <w:lang w:eastAsia="zh-CN"/>
          <w14:textFill>
            <w14:solidFill>
              <w14:schemeClr w14:val="tx1"/>
            </w14:solidFill>
          </w14:textFill>
        </w:rPr>
        <w:sectPr>
          <w:headerReference r:id="rId3" w:type="default"/>
          <w:footerReference r:id="rId4" w:type="default"/>
          <w:pgSz w:w="11906" w:h="16838"/>
          <w:pgMar w:top="1440" w:right="1080" w:bottom="1440" w:left="1080" w:header="851" w:footer="992" w:gutter="0"/>
          <w:pgNumType w:start="1"/>
          <w:cols w:space="720" w:num="1"/>
          <w:docGrid w:type="linesAndChars" w:linePitch="312" w:charSpace="0"/>
        </w:sectPr>
      </w:pPr>
    </w:p>
    <w:p>
      <w:pPr>
        <w:pStyle w:val="43"/>
        <w:spacing w:before="0" w:line="360" w:lineRule="auto"/>
        <w:jc w:val="center"/>
        <w:rPr>
          <w:rFonts w:ascii="仿宋" w:hAnsi="仿宋" w:eastAsia="仿宋" w:cs="仿宋"/>
          <w:color w:val="000000" w:themeColor="text1"/>
          <w:sz w:val="44"/>
          <w:szCs w:val="44"/>
          <w:lang w:val="zh-CN" w:eastAsia="zh-CN"/>
          <w14:textFill>
            <w14:solidFill>
              <w14:schemeClr w14:val="tx1"/>
            </w14:solidFill>
          </w14:textFill>
        </w:rPr>
      </w:pPr>
    </w:p>
    <w:p>
      <w:pPr>
        <w:pStyle w:val="43"/>
        <w:spacing w:before="0" w:line="360" w:lineRule="auto"/>
        <w:jc w:val="center"/>
        <w:rPr>
          <w:rFonts w:ascii="仿宋" w:hAnsi="仿宋" w:eastAsia="仿宋" w:cs="仿宋"/>
          <w:color w:val="000000" w:themeColor="text1"/>
          <w:sz w:val="44"/>
          <w:szCs w:val="44"/>
          <w:lang w:val="zh-CN"/>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rPr>
          <w:rFonts w:ascii="仿宋" w:hAnsi="仿宋" w:eastAsia="仿宋" w:cs="仿宋"/>
          <w:color w:val="000000" w:themeColor="text1"/>
          <w:sz w:val="30"/>
          <w:szCs w:val="30"/>
          <w:lang w:val="zh-CN"/>
          <w14:textFill>
            <w14:solidFill>
              <w14:schemeClr w14:val="tx1"/>
            </w14:solidFill>
          </w14:textFill>
        </w:rPr>
      </w:pPr>
    </w:p>
    <w:p>
      <w:pPr>
        <w:spacing w:line="360" w:lineRule="auto"/>
        <w:rPr>
          <w:rFonts w:ascii="仿宋" w:hAnsi="仿宋" w:eastAsia="仿宋" w:cs="仿宋"/>
          <w:color w:val="000000" w:themeColor="text1"/>
          <w:sz w:val="30"/>
          <w:szCs w:val="30"/>
          <w14:textFill>
            <w14:solidFill>
              <w14:schemeClr w14:val="tx1"/>
            </w14:solidFill>
          </w14:textFill>
        </w:rPr>
      </w:pPr>
    </w:p>
    <w:p>
      <w:pPr>
        <w:widowControl/>
        <w:rPr>
          <w:rFonts w:ascii="仿宋" w:hAnsi="仿宋" w:eastAsia="仿宋" w:cs="仿宋"/>
          <w:color w:val="000000" w:themeColor="text1"/>
          <w:sz w:val="30"/>
          <w:szCs w:val="30"/>
          <w14:textFill>
            <w14:solidFill>
              <w14:schemeClr w14:val="tx1"/>
            </w14:solidFill>
          </w14:textFill>
        </w:rPr>
      </w:pPr>
    </w:p>
    <w:p>
      <w:pPr>
        <w:spacing w:line="360" w:lineRule="auto"/>
        <w:ind w:firstLine="1800" w:firstLineChars="600"/>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第一部分      招标公告</w:t>
      </w:r>
    </w:p>
    <w:p>
      <w:pPr>
        <w:spacing w:line="360" w:lineRule="auto"/>
        <w:ind w:firstLine="1800" w:firstLineChars="6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第二部分      供应商须知</w:t>
      </w:r>
    </w:p>
    <w:p>
      <w:pPr>
        <w:spacing w:line="360" w:lineRule="auto"/>
        <w:ind w:firstLine="1800" w:firstLineChars="600"/>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第三部分      评标办法</w:t>
      </w:r>
    </w:p>
    <w:p>
      <w:pPr>
        <w:spacing w:line="360" w:lineRule="auto"/>
        <w:ind w:firstLine="1800" w:firstLineChars="600"/>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第四部分      技术规格数量及质量要求</w:t>
      </w:r>
    </w:p>
    <w:p>
      <w:pPr>
        <w:spacing w:line="360" w:lineRule="auto"/>
        <w:ind w:firstLine="1800" w:firstLineChars="600"/>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第五部分      合同（参考）</w:t>
      </w:r>
    </w:p>
    <w:p>
      <w:pPr>
        <w:pStyle w:val="41"/>
        <w:ind w:firstLine="1800" w:firstLineChars="6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第六部分      投标文件格式</w:t>
      </w:r>
    </w:p>
    <w:p>
      <w:pPr>
        <w:pStyle w:val="10"/>
        <w:numPr>
          <w:ilvl w:val="0"/>
          <w:numId w:val="0"/>
        </w:numPr>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6"/>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6"/>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6"/>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6"/>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44"/>
        <w:keepNext/>
        <w:keepLines/>
        <w:spacing w:before="120" w:after="300"/>
        <w:rPr>
          <w:rFonts w:ascii="仿宋" w:hAnsi="仿宋" w:eastAsia="仿宋" w:cs="仿宋"/>
          <w:b/>
          <w:bCs/>
          <w:color w:val="000000" w:themeColor="text1"/>
          <w14:textFill>
            <w14:solidFill>
              <w14:schemeClr w14:val="tx1"/>
            </w14:solidFill>
          </w14:textFill>
        </w:rPr>
        <w:sectPr>
          <w:footerReference r:id="rId5" w:type="default"/>
          <w:pgSz w:w="11906" w:h="16838"/>
          <w:pgMar w:top="1440" w:right="1080" w:bottom="1440" w:left="1080" w:header="851" w:footer="992" w:gutter="0"/>
          <w:pgNumType w:start="1"/>
          <w:cols w:space="720" w:num="1"/>
          <w:docGrid w:type="linesAndChars" w:linePitch="312" w:charSpace="0"/>
        </w:sectPr>
      </w:pPr>
    </w:p>
    <w:p>
      <w:pPr>
        <w:pStyle w:val="44"/>
        <w:keepNext/>
        <w:keepLines/>
        <w:spacing w:before="120" w:after="3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第一部分</w:t>
      </w:r>
      <w:r>
        <w:rPr>
          <w:rFonts w:hint="eastAsia" w:ascii="仿宋" w:hAnsi="仿宋" w:eastAsia="仿宋" w:cs="仿宋"/>
          <w:b/>
          <w:bCs/>
          <w:color w:val="000000" w:themeColor="text1"/>
          <w:lang w:val="en-US" w:eastAsia="zh-CN"/>
          <w14:textFill>
            <w14:solidFill>
              <w14:schemeClr w14:val="tx1"/>
            </w14:solidFill>
          </w14:textFill>
        </w:rPr>
        <w:t xml:space="preserve"> </w:t>
      </w:r>
      <w:r>
        <w:rPr>
          <w:rFonts w:hint="eastAsia" w:ascii="仿宋" w:hAnsi="仿宋" w:eastAsia="仿宋" w:cs="仿宋"/>
          <w:b/>
          <w:bCs/>
          <w:color w:val="000000" w:themeColor="text1"/>
          <w:lang w:eastAsia="zh-CN"/>
          <w14:textFill>
            <w14:solidFill>
              <w14:schemeClr w14:val="tx1"/>
            </w14:solidFill>
          </w14:textFill>
        </w:rPr>
        <w:t>招标公告</w:t>
      </w:r>
    </w:p>
    <w:p>
      <w:pPr>
        <w:widowControl/>
        <w:jc w:val="center"/>
        <w:rPr>
          <w:lang w:eastAsia="zh-CN"/>
        </w:rPr>
      </w:pPr>
      <w:r>
        <w:rPr>
          <w:rFonts w:hint="eastAsia" w:ascii="宋体" w:hAnsi="宋体" w:eastAsia="宋体" w:cs="宋体"/>
          <w:b/>
          <w:bCs/>
          <w:color w:val="333333"/>
          <w:kern w:val="2"/>
          <w:lang w:eastAsia="zh-CN" w:bidi="ar"/>
        </w:rPr>
        <w:t>哈密市伊吾县消防装备购置项目公开招标公告</w:t>
      </w:r>
    </w:p>
    <w:p>
      <w:pPr>
        <w:widowControl/>
        <w:rPr>
          <w:lang w:eastAsia="zh-CN"/>
        </w:rPr>
      </w:pPr>
      <w:r>
        <w:rPr>
          <w:rFonts w:hint="eastAsia" w:eastAsia="宋体"/>
          <w:color w:val="333333"/>
          <w:kern w:val="2"/>
          <w:sz w:val="21"/>
          <w:szCs w:val="21"/>
          <w:lang w:eastAsia="zh-CN" w:bidi="ar"/>
        </w:rPr>
        <w:t xml:space="preserve"> </w:t>
      </w:r>
    </w:p>
    <w:p>
      <w:pPr>
        <w:pBdr>
          <w:top w:val="single" w:color="auto" w:sz="4" w:space="1"/>
          <w:left w:val="single" w:color="auto" w:sz="4" w:space="4"/>
          <w:bottom w:val="single" w:color="auto" w:sz="4" w:space="1"/>
          <w:right w:val="single" w:color="auto" w:sz="4" w:space="4"/>
        </w:pBdr>
        <w:ind w:firstLine="420" w:firstLineChars="200"/>
        <w:rPr>
          <w:lang w:eastAsia="zh-CN"/>
        </w:rPr>
      </w:pPr>
      <w:r>
        <w:rPr>
          <w:rFonts w:ascii="仿宋" w:hAnsi="仿宋" w:eastAsia="仿宋" w:cs="仿宋"/>
          <w:color w:val="333333"/>
          <w:kern w:val="2"/>
          <w:sz w:val="21"/>
          <w:szCs w:val="21"/>
          <w:lang w:eastAsia="zh-CN" w:bidi="ar"/>
        </w:rPr>
        <w:t>项目概况:</w:t>
      </w:r>
      <w:r>
        <w:rPr>
          <w:rFonts w:hint="eastAsia" w:ascii="仿宋" w:hAnsi="仿宋" w:eastAsia="仿宋" w:cs="仿宋"/>
          <w:color w:val="333333"/>
          <w:kern w:val="2"/>
          <w:sz w:val="21"/>
          <w:szCs w:val="21"/>
          <w:lang w:eastAsia="zh-CN" w:bidi="ar"/>
        </w:rPr>
        <w:t>哈密市伊吾县消防装备购置项目潜在投标人应在供应商登陆政采云平台</w:t>
      </w:r>
      <w:r>
        <w:rPr>
          <w:rFonts w:hint="eastAsia" w:ascii="仿宋" w:hAnsi="仿宋" w:eastAsia="仿宋" w:cs="仿宋"/>
          <w:kern w:val="2"/>
          <w:sz w:val="21"/>
          <w:szCs w:val="21"/>
          <w:lang w:eastAsia="zh-CN" w:bidi="ar"/>
        </w:rPr>
        <w:fldChar w:fldCharType="begin"/>
      </w:r>
      <w:r>
        <w:rPr>
          <w:rFonts w:hint="eastAsia" w:ascii="仿宋" w:hAnsi="仿宋" w:eastAsia="仿宋" w:cs="仿宋"/>
          <w:kern w:val="2"/>
          <w:sz w:val="21"/>
          <w:szCs w:val="21"/>
          <w:lang w:eastAsia="zh-CN" w:bidi="ar"/>
        </w:rPr>
        <w:instrText xml:space="preserve"> HYPERLINK "http://www.zcygov.cn/" </w:instrText>
      </w:r>
      <w:r>
        <w:rPr>
          <w:rFonts w:hint="eastAsia" w:ascii="仿宋" w:hAnsi="仿宋" w:eastAsia="仿宋" w:cs="仿宋"/>
          <w:kern w:val="2"/>
          <w:sz w:val="21"/>
          <w:szCs w:val="21"/>
          <w:lang w:eastAsia="zh-CN" w:bidi="ar"/>
        </w:rPr>
        <w:fldChar w:fldCharType="separate"/>
      </w:r>
      <w:r>
        <w:rPr>
          <w:rStyle w:val="32"/>
          <w:rFonts w:hint="eastAsia" w:ascii="仿宋" w:hAnsi="仿宋" w:eastAsia="仿宋" w:cs="仿宋"/>
          <w:kern w:val="2"/>
          <w:sz w:val="21"/>
          <w:szCs w:val="21"/>
          <w:u w:val="none"/>
          <w:lang w:eastAsia="zh-CN"/>
        </w:rPr>
        <w:t>http://www.zcygov.cn/</w:t>
      </w:r>
      <w:r>
        <w:rPr>
          <w:rFonts w:hint="eastAsia" w:ascii="仿宋" w:hAnsi="仿宋" w:eastAsia="仿宋" w:cs="仿宋"/>
          <w:kern w:val="2"/>
          <w:sz w:val="21"/>
          <w:szCs w:val="21"/>
          <w:lang w:eastAsia="zh-CN" w:bidi="ar"/>
        </w:rPr>
        <w:fldChar w:fldCharType="end"/>
      </w:r>
      <w:r>
        <w:rPr>
          <w:rFonts w:hint="eastAsia" w:ascii="仿宋" w:hAnsi="仿宋" w:eastAsia="仿宋" w:cs="仿宋"/>
          <w:color w:val="333333"/>
          <w:kern w:val="2"/>
          <w:sz w:val="21"/>
          <w:szCs w:val="21"/>
          <w:lang w:eastAsia="zh-CN" w:bidi="ar"/>
        </w:rPr>
        <w:t>，在线申请获取招标文件（登录政府采购云平台 → 项目采购 → 获取招标文件→申请，下载招标文件，如有操作性问题，可与政采云在线客服进行咨询，咨询电话：95763）获取招标文件，并于</w:t>
      </w:r>
      <w:r>
        <w:rPr>
          <w:rFonts w:hint="eastAsia" w:ascii="仿宋" w:hAnsi="仿宋" w:eastAsia="仿宋" w:cs="仿宋"/>
          <w:color w:val="333333"/>
          <w:kern w:val="2"/>
          <w:sz w:val="21"/>
          <w:szCs w:val="21"/>
          <w:u w:val="single"/>
          <w:lang w:eastAsia="zh-CN" w:bidi="ar"/>
        </w:rPr>
        <w:t>2023年 9  月 25 日10点00分</w:t>
      </w:r>
      <w:r>
        <w:rPr>
          <w:rFonts w:hint="eastAsia" w:ascii="仿宋" w:hAnsi="仿宋" w:eastAsia="仿宋" w:cs="仿宋"/>
          <w:color w:val="333333"/>
          <w:kern w:val="2"/>
          <w:sz w:val="21"/>
          <w:szCs w:val="21"/>
          <w:lang w:eastAsia="zh-CN" w:bidi="ar"/>
        </w:rPr>
        <w:t>（北京时间）前（上传）电子投标文件。</w:t>
      </w:r>
      <w:r>
        <w:rPr>
          <w:rFonts w:hint="eastAsia" w:ascii="仿宋" w:hAnsi="仿宋" w:eastAsia="仿宋" w:cs="仿宋"/>
          <w:color w:val="333333"/>
          <w:kern w:val="2"/>
          <w:sz w:val="16"/>
          <w:szCs w:val="16"/>
          <w:lang w:eastAsia="zh-CN" w:bidi="ar"/>
        </w:rPr>
        <w:t xml:space="preserve">                            </w:t>
      </w:r>
    </w:p>
    <w:p>
      <w:pPr>
        <w:pStyle w:val="19"/>
        <w:spacing w:before="255" w:after="255" w:line="240" w:lineRule="exact"/>
        <w:jc w:val="both"/>
        <w:rPr>
          <w:rFonts w:ascii="微软雅黑" w:hAnsi="微软雅黑" w:eastAsia="微软雅黑" w:cs="微软雅黑"/>
          <w:color w:val="333333"/>
          <w:lang w:eastAsia="zh-CN"/>
        </w:rPr>
      </w:pPr>
      <w:r>
        <w:rPr>
          <w:rFonts w:ascii="黑体" w:eastAsia="黑体" w:cs="黑体"/>
          <w:b/>
          <w:bCs/>
          <w:color w:val="333333"/>
          <w:lang w:eastAsia="zh-CN"/>
        </w:rPr>
        <w:t>一、项目基本情况</w:t>
      </w:r>
    </w:p>
    <w:p>
      <w:pPr>
        <w:pStyle w:val="19"/>
        <w:spacing w:before="75" w:after="75" w:line="360" w:lineRule="auto"/>
        <w:ind w:firstLine="577" w:firstLineChars="275"/>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项目编号：XJDH【2023】-H049</w:t>
      </w:r>
    </w:p>
    <w:p>
      <w:pPr>
        <w:pStyle w:val="19"/>
        <w:spacing w:before="75" w:after="75" w:line="360" w:lineRule="auto"/>
        <w:ind w:firstLine="577" w:firstLineChars="275"/>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项目名称：哈密市伊吾县消防装备购置项目</w:t>
      </w:r>
    </w:p>
    <w:p>
      <w:pPr>
        <w:pStyle w:val="19"/>
        <w:spacing w:before="75" w:after="75" w:line="360" w:lineRule="auto"/>
        <w:ind w:firstLine="577" w:firstLineChars="275"/>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采购方式：公开招标</w:t>
      </w:r>
    </w:p>
    <w:p>
      <w:pPr>
        <w:pStyle w:val="19"/>
        <w:spacing w:before="75" w:after="75" w:line="360" w:lineRule="auto"/>
        <w:ind w:firstLine="577" w:firstLineChars="275"/>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预算金额（元）：4252500.00</w:t>
      </w:r>
    </w:p>
    <w:p>
      <w:pPr>
        <w:pStyle w:val="19"/>
        <w:spacing w:before="75" w:after="75" w:line="360" w:lineRule="auto"/>
        <w:ind w:firstLine="577" w:firstLineChars="275"/>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最高限价（元）：4143500.00</w:t>
      </w:r>
    </w:p>
    <w:p>
      <w:pPr>
        <w:pStyle w:val="19"/>
        <w:spacing w:before="75" w:after="75" w:line="360" w:lineRule="auto"/>
        <w:ind w:firstLine="577" w:firstLineChars="275"/>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采购需求： 购置多功能城市主战消防车(国产底盘）多功能灭火机器人(化工类火灾专用）、灭火无人机(带照明功能)等8大类1593件(套)消防专用器材装备.（具体内容详见招标文件）。</w:t>
      </w:r>
    </w:p>
    <w:p>
      <w:pPr>
        <w:pStyle w:val="19"/>
        <w:spacing w:before="75" w:after="75" w:line="360" w:lineRule="auto"/>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   标项名称:哈密市伊吾县消防装备购置项目   数量：不限</w:t>
      </w:r>
    </w:p>
    <w:p>
      <w:pPr>
        <w:pStyle w:val="19"/>
        <w:spacing w:before="75" w:after="75" w:line="360" w:lineRule="auto"/>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   预算金额（元）:4252500.00</w:t>
      </w:r>
    </w:p>
    <w:p>
      <w:pPr>
        <w:pStyle w:val="19"/>
        <w:spacing w:before="75" w:after="75" w:line="360" w:lineRule="auto"/>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  最高限价（元）：4143500.00</w:t>
      </w:r>
    </w:p>
    <w:p>
      <w:pPr>
        <w:pStyle w:val="19"/>
        <w:spacing w:before="75" w:after="75" w:line="360" w:lineRule="auto"/>
        <w:ind w:firstLine="577" w:firstLineChars="275"/>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 xml:space="preserve"> 简要规格描述或项目基本概况介绍、用途：详见招标文件。 </w:t>
      </w:r>
    </w:p>
    <w:p>
      <w:pPr>
        <w:pStyle w:val="19"/>
        <w:spacing w:before="75" w:after="75" w:line="360" w:lineRule="auto"/>
        <w:ind w:firstLine="577" w:firstLineChars="275"/>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合同履约期限：标项 1，详见招标文件</w:t>
      </w:r>
    </w:p>
    <w:p>
      <w:pPr>
        <w:pStyle w:val="19"/>
        <w:spacing w:before="75" w:after="75" w:line="360" w:lineRule="auto"/>
        <w:ind w:firstLine="630" w:firstLineChars="30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本项目（否）接受联合体投标。</w:t>
      </w:r>
    </w:p>
    <w:p>
      <w:pPr>
        <w:pStyle w:val="19"/>
        <w:spacing w:before="255" w:after="255"/>
        <w:jc w:val="both"/>
        <w:rPr>
          <w:rFonts w:ascii="黑体" w:eastAsia="黑体" w:cs="黑体"/>
          <w:b/>
          <w:bCs/>
          <w:color w:val="333333"/>
          <w:lang w:eastAsia="zh-CN"/>
        </w:rPr>
      </w:pPr>
      <w:r>
        <w:rPr>
          <w:rFonts w:hint="eastAsia" w:ascii="黑体" w:eastAsia="黑体" w:cs="黑体"/>
          <w:b/>
          <w:bCs/>
          <w:color w:val="333333"/>
          <w:lang w:eastAsia="zh-CN"/>
        </w:rPr>
        <w:t>二、申请人的资格要求：</w:t>
      </w:r>
    </w:p>
    <w:p>
      <w:pPr>
        <w:pStyle w:val="19"/>
        <w:wordWrap w:val="0"/>
        <w:spacing w:line="500" w:lineRule="atLeast"/>
        <w:ind w:firstLine="420" w:firstLineChars="20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1.满足《中华人民共和国政府采购法》第二十二条规定；</w:t>
      </w:r>
    </w:p>
    <w:p>
      <w:pPr>
        <w:pStyle w:val="19"/>
        <w:wordWrap w:val="0"/>
        <w:spacing w:line="500" w:lineRule="atLeast"/>
        <w:ind w:firstLine="420" w:firstLineChars="20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2.落实政府采购政策需满足的资格要求：本项目为非专门面向中小企业，根据《政府采购促进中小企业发展管理办法》（财库【2020】46号）的规定，评标时将给予</w:t>
      </w:r>
      <w:r>
        <w:rPr>
          <w:rFonts w:hint="eastAsia" w:ascii="仿宋" w:hAnsi="仿宋" w:eastAsia="仿宋" w:cs="仿宋"/>
          <w:color w:val="000000" w:themeColor="text1"/>
          <w:sz w:val="21"/>
          <w:szCs w:val="21"/>
          <w:lang w:eastAsia="zh-CN"/>
          <w14:textFill>
            <w14:solidFill>
              <w14:schemeClr w14:val="tx1"/>
            </w14:solidFill>
          </w14:textFill>
        </w:rPr>
        <w:t>小型和微型企业</w:t>
      </w:r>
      <w:r>
        <w:rPr>
          <w:rFonts w:hint="eastAsia" w:ascii="仿宋" w:hAnsi="仿宋" w:eastAsia="仿宋" w:cs="仿宋"/>
          <w:color w:val="333333"/>
          <w:kern w:val="2"/>
          <w:sz w:val="21"/>
          <w:szCs w:val="21"/>
          <w:lang w:eastAsia="zh-CN" w:bidi="ar"/>
        </w:rPr>
        <w:t>进行价格扣除10%的优惠，用优惠后的价格参与评审。</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3.本项目的特定资格要求：</w:t>
      </w:r>
    </w:p>
    <w:p>
      <w:pPr>
        <w:spacing w:line="440" w:lineRule="exact"/>
        <w:ind w:firstLine="308" w:firstLineChars="147"/>
        <w:rPr>
          <w:rFonts w:ascii="仿宋" w:hAnsi="仿宋" w:eastAsia="仿宋" w:cs="仿宋"/>
          <w:color w:val="000000" w:themeColor="text1"/>
          <w:kern w:val="2"/>
          <w:sz w:val="21"/>
          <w:szCs w:val="21"/>
          <w:lang w:eastAsia="zh-CN" w:bidi="ar"/>
          <w14:textFill>
            <w14:solidFill>
              <w14:schemeClr w14:val="tx1"/>
            </w14:solidFill>
          </w14:textFill>
        </w:rPr>
      </w:pPr>
      <w:r>
        <w:rPr>
          <w:rFonts w:hint="eastAsia" w:ascii="仿宋" w:hAnsi="仿宋" w:eastAsia="仿宋" w:cs="仿宋"/>
          <w:color w:val="000000" w:themeColor="text1"/>
          <w:kern w:val="2"/>
          <w:sz w:val="21"/>
          <w:szCs w:val="21"/>
          <w:lang w:eastAsia="zh-CN" w:bidi="ar"/>
          <w14:textFill>
            <w14:solidFill>
              <w14:schemeClr w14:val="tx1"/>
            </w14:solidFill>
          </w14:textFill>
        </w:rPr>
        <w:t>（1）单位负责人为同一人或者存在直接控股、管理关系的不同供应商，不得参加同一合同下的政府采购活动；</w:t>
      </w:r>
    </w:p>
    <w:p>
      <w:pPr>
        <w:spacing w:line="440" w:lineRule="exact"/>
        <w:ind w:firstLine="308" w:firstLineChars="147"/>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（2）未被列入中国执行信息公开网（http://zxgk.court.gov.cn/shixin/）失信被执行人名单、信用中国网站（www.creditchina.gov.cn）</w:t>
      </w:r>
      <w:r>
        <w:rPr>
          <w:rFonts w:hint="eastAsia" w:ascii="仿宋" w:hAnsi="仿宋" w:eastAsia="仿宋" w:cs="仿宋"/>
          <w:color w:val="333333"/>
          <w:kern w:val="2"/>
          <w:sz w:val="21"/>
          <w:szCs w:val="21"/>
          <w:lang w:val="zh-CN" w:eastAsia="zh-CN" w:bidi="ar"/>
        </w:rPr>
        <w:t>重大税收违法</w:t>
      </w:r>
      <w:r>
        <w:rPr>
          <w:rFonts w:hint="eastAsia" w:ascii="仿宋" w:hAnsi="仿宋" w:eastAsia="仿宋" w:cs="仿宋"/>
          <w:color w:val="333333"/>
          <w:kern w:val="2"/>
          <w:sz w:val="21"/>
          <w:szCs w:val="21"/>
          <w:lang w:eastAsia="zh-CN" w:bidi="ar"/>
        </w:rPr>
        <w:t>失信主体和中国政府采购网（www.ccgp.gov.cn）政府采购严重违法失信行为记录名单；</w:t>
      </w:r>
    </w:p>
    <w:p>
      <w:pPr>
        <w:spacing w:line="440" w:lineRule="exact"/>
        <w:ind w:firstLine="308" w:firstLineChars="147"/>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（3）投标单位（供应商）针对本次采购项目《反商业贿赂承诺书》的书面声明。</w:t>
      </w:r>
    </w:p>
    <w:p>
      <w:pPr>
        <w:pStyle w:val="19"/>
        <w:spacing w:before="255" w:after="255"/>
        <w:jc w:val="both"/>
        <w:rPr>
          <w:rFonts w:ascii="黑体" w:eastAsia="黑体" w:cs="黑体"/>
          <w:b/>
          <w:bCs/>
          <w:color w:val="333333"/>
          <w:lang w:eastAsia="zh-CN"/>
        </w:rPr>
      </w:pPr>
      <w:r>
        <w:rPr>
          <w:rFonts w:hint="eastAsia" w:ascii="黑体" w:eastAsia="黑体" w:cs="黑体"/>
          <w:b/>
          <w:bCs/>
          <w:color w:val="333333"/>
          <w:lang w:eastAsia="zh-CN"/>
        </w:rPr>
        <w:t>三、获取招标文件</w:t>
      </w:r>
    </w:p>
    <w:p>
      <w:pPr>
        <w:pStyle w:val="19"/>
        <w:wordWrap w:val="0"/>
        <w:spacing w:line="500" w:lineRule="atLeast"/>
        <w:ind w:firstLine="420" w:firstLineChars="200"/>
        <w:rPr>
          <w:rFonts w:ascii="仿宋" w:hAnsi="仿宋" w:eastAsia="仿宋" w:cs="仿宋"/>
          <w:color w:val="auto"/>
          <w:kern w:val="2"/>
          <w:sz w:val="21"/>
          <w:szCs w:val="21"/>
          <w:lang w:eastAsia="zh-CN" w:bidi="ar"/>
        </w:rPr>
      </w:pPr>
      <w:r>
        <w:rPr>
          <w:rFonts w:hint="eastAsia" w:ascii="仿宋" w:hAnsi="仿宋" w:eastAsia="仿宋" w:cs="仿宋"/>
          <w:color w:val="333333"/>
          <w:kern w:val="2"/>
          <w:sz w:val="21"/>
          <w:szCs w:val="21"/>
          <w:lang w:eastAsia="zh-CN" w:bidi="ar"/>
        </w:rPr>
        <w:t>时间：</w:t>
      </w:r>
      <w:r>
        <w:rPr>
          <w:rFonts w:hint="eastAsia" w:ascii="仿宋" w:hAnsi="仿宋" w:eastAsia="仿宋" w:cs="仿宋"/>
          <w:color w:val="auto"/>
          <w:kern w:val="2"/>
          <w:sz w:val="21"/>
          <w:szCs w:val="21"/>
          <w:lang w:eastAsia="zh-CN" w:bidi="ar"/>
        </w:rPr>
        <w:t>2023年 9月 4日至2023年 9 月11日</w:t>
      </w:r>
      <w:r>
        <w:rPr>
          <w:rFonts w:hint="eastAsia" w:ascii="仿宋" w:hAnsi="仿宋" w:eastAsia="仿宋" w:cs="仿宋"/>
          <w:color w:val="333333"/>
          <w:kern w:val="2"/>
          <w:sz w:val="21"/>
          <w:szCs w:val="21"/>
          <w:lang w:eastAsia="zh-CN" w:bidi="ar"/>
        </w:rPr>
        <w:t>，</w:t>
      </w:r>
      <w:r>
        <w:rPr>
          <w:rFonts w:hint="eastAsia" w:ascii="仿宋" w:hAnsi="仿宋" w:eastAsia="仿宋" w:cs="仿宋"/>
          <w:color w:val="auto"/>
          <w:kern w:val="2"/>
          <w:sz w:val="21"/>
          <w:szCs w:val="21"/>
          <w:lang w:eastAsia="zh-CN" w:bidi="ar"/>
        </w:rPr>
        <w:t>每天00:00至23:59（北京时间，法定节假日除外）</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地点：供应商登陆政采云平台http://www.zcygov.cn/，在线申请获取招标文件（登录政府采购云平台 → 项目采购 → 获取招标文件→申请，下载招标文件，如有操作性问题，可与政采云在线客服进行咨询，咨询电话：95763）</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方式：（1）线上获取（登录政府采购云平台 → 项目采购 → 获取招标文件→ 申请，下载招标文件），本次招标不提供纸质版招标文件。</w:t>
      </w:r>
    </w:p>
    <w:p>
      <w:pPr>
        <w:pStyle w:val="19"/>
        <w:spacing w:before="75" w:after="75"/>
        <w:ind w:firstLine="997" w:firstLineChars="475"/>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（2）供应商获取招标文件前应注册成为政府采购云平台正式供应商。</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售价（元）：0</w:t>
      </w:r>
    </w:p>
    <w:p>
      <w:pPr>
        <w:pStyle w:val="19"/>
        <w:spacing w:before="255" w:after="255"/>
        <w:jc w:val="both"/>
        <w:rPr>
          <w:rFonts w:ascii="黑体" w:eastAsia="黑体" w:cs="黑体"/>
          <w:b/>
          <w:bCs/>
          <w:color w:val="333333"/>
          <w:lang w:eastAsia="zh-CN"/>
        </w:rPr>
      </w:pPr>
      <w:r>
        <w:rPr>
          <w:rFonts w:hint="eastAsia" w:ascii="黑体" w:eastAsia="黑体" w:cs="黑体"/>
          <w:b/>
          <w:bCs/>
          <w:color w:val="333333"/>
          <w:lang w:eastAsia="zh-CN"/>
        </w:rPr>
        <w:t>四、提交投标文件截止时间、开标时间和地点</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提交投标文件截止时间：2023年9月 25日 10:00（北京时间）</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投标地点：政府采购云平台（www.zcygov.cn）</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开标时间：2023年9月25日 10:00（北京时间）</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开标地点：在政府采购云平台（www.zcygov.cn）上开启投标文件</w:t>
      </w:r>
    </w:p>
    <w:p>
      <w:pPr>
        <w:pStyle w:val="19"/>
        <w:spacing w:before="255" w:after="255" w:line="240" w:lineRule="exact"/>
        <w:jc w:val="both"/>
        <w:rPr>
          <w:rFonts w:ascii="黑体" w:eastAsia="黑体" w:cs="黑体"/>
          <w:b/>
          <w:bCs/>
          <w:color w:val="333333"/>
          <w:lang w:eastAsia="zh-CN"/>
        </w:rPr>
      </w:pPr>
      <w:r>
        <w:rPr>
          <w:rFonts w:hint="eastAsia" w:ascii="黑体" w:eastAsia="黑体" w:cs="黑体"/>
          <w:b/>
          <w:bCs/>
          <w:color w:val="333333"/>
          <w:lang w:eastAsia="zh-CN"/>
        </w:rPr>
        <w:t>五、公告期限</w:t>
      </w:r>
    </w:p>
    <w:p>
      <w:pPr>
        <w:pStyle w:val="19"/>
        <w:spacing w:before="75" w:after="75" w:line="240" w:lineRule="exact"/>
        <w:ind w:firstLine="420"/>
        <w:rPr>
          <w:rFonts w:ascii="仿宋" w:hAnsi="仿宋" w:eastAsia="仿宋" w:cs="仿宋"/>
          <w:lang w:eastAsia="zh-CN" w:bidi="ar"/>
        </w:rPr>
      </w:pPr>
      <w:r>
        <w:rPr>
          <w:rFonts w:hint="eastAsia" w:ascii="仿宋" w:hAnsi="仿宋" w:eastAsia="仿宋" w:cs="仿宋"/>
          <w:color w:val="333333"/>
          <w:kern w:val="2"/>
          <w:sz w:val="21"/>
          <w:szCs w:val="21"/>
          <w:lang w:eastAsia="zh-CN" w:bidi="ar"/>
        </w:rPr>
        <w:t>自本公告发布之日起5个工作日。</w:t>
      </w:r>
      <w:r>
        <w:rPr>
          <w:rFonts w:hint="eastAsia" w:ascii="仿宋" w:hAnsi="仿宋" w:eastAsia="仿宋" w:cs="仿宋"/>
          <w:lang w:eastAsia="zh-CN" w:bidi="ar"/>
        </w:rPr>
        <w:t> </w:t>
      </w:r>
    </w:p>
    <w:p>
      <w:pPr>
        <w:pStyle w:val="19"/>
        <w:spacing w:before="255" w:after="255" w:line="240" w:lineRule="exact"/>
        <w:jc w:val="both"/>
        <w:rPr>
          <w:rFonts w:ascii="黑体" w:eastAsia="黑体" w:cs="黑体"/>
          <w:b/>
          <w:bCs/>
          <w:color w:val="333333"/>
          <w:lang w:eastAsia="zh-CN"/>
        </w:rPr>
      </w:pPr>
      <w:r>
        <w:rPr>
          <w:rFonts w:hint="eastAsia" w:ascii="黑体" w:eastAsia="黑体" w:cs="黑体"/>
          <w:b/>
          <w:bCs/>
          <w:color w:val="333333"/>
          <w:lang w:eastAsia="zh-CN"/>
        </w:rPr>
        <w:t>六、其他补充事宜</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1、本项目实行网上投标，采用电子投标文件；</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4、供应商操作指南详见新疆政府采购网（http://www.ccgp-xinjiang.gov.cn）—办事指南—操作指南。</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特别提示：</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9"/>
        <w:spacing w:before="75" w:after="75"/>
        <w:ind w:firstLine="420"/>
        <w:rPr>
          <w:rFonts w:ascii="黑体" w:eastAsia="黑体" w:cs="黑体"/>
          <w:b/>
          <w:bCs/>
          <w:color w:val="333333"/>
          <w:lang w:eastAsia="zh-CN"/>
        </w:rPr>
      </w:pPr>
      <w:r>
        <w:rPr>
          <w:rFonts w:hint="eastAsia" w:ascii="黑体" w:eastAsia="黑体" w:cs="黑体"/>
          <w:b/>
          <w:bCs/>
          <w:color w:val="333333"/>
          <w:lang w:eastAsia="zh-CN"/>
        </w:rPr>
        <w:t>七、对本次采购提出询问，请按以下方式联系</w:t>
      </w:r>
    </w:p>
    <w:p>
      <w:pPr>
        <w:pStyle w:val="19"/>
        <w:spacing w:before="75" w:after="75"/>
        <w:ind w:firstLine="420"/>
        <w:rPr>
          <w:rFonts w:ascii="仿宋" w:hAnsi="仿宋" w:eastAsia="仿宋" w:cs="仿宋"/>
          <w:sz w:val="21"/>
          <w:szCs w:val="21"/>
          <w:lang w:eastAsia="zh-CN" w:bidi="ar"/>
        </w:rPr>
      </w:pPr>
      <w:r>
        <w:rPr>
          <w:rFonts w:hint="eastAsia" w:ascii="仿宋" w:hAnsi="仿宋" w:eastAsia="仿宋" w:cs="仿宋"/>
          <w:sz w:val="21"/>
          <w:szCs w:val="21"/>
          <w:lang w:eastAsia="zh-CN" w:bidi="ar"/>
        </w:rPr>
        <w:t>1.采购人信息</w:t>
      </w:r>
    </w:p>
    <w:p>
      <w:pPr>
        <w:pStyle w:val="19"/>
        <w:spacing w:before="75" w:after="75"/>
        <w:ind w:firstLine="420"/>
        <w:rPr>
          <w:rFonts w:ascii="仿宋" w:hAnsi="仿宋" w:eastAsia="仿宋" w:cs="仿宋"/>
          <w:sz w:val="21"/>
          <w:szCs w:val="21"/>
          <w:lang w:eastAsia="zh-CN" w:bidi="ar"/>
        </w:rPr>
      </w:pPr>
      <w:r>
        <w:rPr>
          <w:rFonts w:hint="eastAsia" w:ascii="仿宋" w:hAnsi="仿宋" w:eastAsia="仿宋" w:cs="仿宋"/>
          <w:sz w:val="21"/>
          <w:szCs w:val="21"/>
          <w:lang w:eastAsia="zh-CN" w:bidi="ar"/>
        </w:rPr>
        <w:t>名 称：伊吾县应急管理局</w:t>
      </w:r>
    </w:p>
    <w:p>
      <w:pPr>
        <w:pStyle w:val="19"/>
        <w:spacing w:before="75" w:after="75"/>
        <w:ind w:firstLine="420"/>
        <w:rPr>
          <w:rFonts w:ascii="仿宋" w:hAnsi="仿宋" w:eastAsia="仿宋" w:cs="仿宋"/>
          <w:sz w:val="21"/>
          <w:szCs w:val="21"/>
          <w:lang w:eastAsia="zh-CN" w:bidi="ar"/>
        </w:rPr>
      </w:pPr>
      <w:r>
        <w:rPr>
          <w:rFonts w:hint="eastAsia" w:ascii="仿宋" w:hAnsi="仿宋" w:eastAsia="仿宋" w:cs="仿宋"/>
          <w:sz w:val="21"/>
          <w:szCs w:val="21"/>
          <w:lang w:eastAsia="zh-CN" w:bidi="ar"/>
        </w:rPr>
        <w:t>地 址：伊吾县</w:t>
      </w:r>
    </w:p>
    <w:p>
      <w:pPr>
        <w:pStyle w:val="19"/>
        <w:spacing w:before="75" w:after="75"/>
        <w:ind w:firstLine="420"/>
        <w:rPr>
          <w:rFonts w:ascii="仿宋" w:hAnsi="仿宋" w:eastAsia="仿宋" w:cs="仿宋"/>
          <w:sz w:val="21"/>
          <w:szCs w:val="21"/>
          <w:lang w:eastAsia="zh-CN" w:bidi="ar"/>
        </w:rPr>
      </w:pPr>
      <w:r>
        <w:rPr>
          <w:rFonts w:hint="eastAsia" w:ascii="仿宋" w:hAnsi="仿宋" w:eastAsia="仿宋" w:cs="仿宋"/>
          <w:sz w:val="21"/>
          <w:szCs w:val="21"/>
          <w:lang w:eastAsia="zh-CN" w:bidi="ar"/>
        </w:rPr>
        <w:t>联系电话：15026108769</w:t>
      </w:r>
    </w:p>
    <w:p>
      <w:pPr>
        <w:pStyle w:val="19"/>
        <w:spacing w:before="75" w:after="75"/>
        <w:ind w:firstLine="420"/>
        <w:rPr>
          <w:rFonts w:ascii="仿宋" w:hAnsi="仿宋" w:eastAsia="仿宋" w:cs="仿宋"/>
          <w:sz w:val="21"/>
          <w:szCs w:val="21"/>
          <w:lang w:eastAsia="zh-CN" w:bidi="ar"/>
        </w:rPr>
      </w:pPr>
      <w:r>
        <w:rPr>
          <w:rFonts w:hint="eastAsia" w:ascii="仿宋" w:hAnsi="仿宋" w:eastAsia="仿宋" w:cs="仿宋"/>
          <w:sz w:val="21"/>
          <w:szCs w:val="21"/>
          <w:lang w:eastAsia="zh-CN" w:bidi="ar"/>
        </w:rPr>
        <w:t>2.采购代理机构信息</w:t>
      </w:r>
    </w:p>
    <w:p>
      <w:pPr>
        <w:pStyle w:val="19"/>
        <w:spacing w:before="75" w:after="75"/>
        <w:ind w:firstLine="420"/>
        <w:rPr>
          <w:rFonts w:ascii="仿宋" w:hAnsi="仿宋" w:eastAsia="仿宋" w:cs="仿宋"/>
          <w:sz w:val="21"/>
          <w:szCs w:val="21"/>
          <w:lang w:eastAsia="zh-CN" w:bidi="ar"/>
        </w:rPr>
      </w:pPr>
      <w:r>
        <w:rPr>
          <w:rFonts w:hint="eastAsia" w:ascii="仿宋" w:hAnsi="仿宋" w:eastAsia="仿宋" w:cs="仿宋"/>
          <w:sz w:val="21"/>
          <w:szCs w:val="21"/>
          <w:lang w:eastAsia="zh-CN" w:bidi="ar"/>
        </w:rPr>
        <w:t>名 称：新疆德鸿项目管理咨询有限公司</w:t>
      </w:r>
    </w:p>
    <w:p>
      <w:pPr>
        <w:pStyle w:val="19"/>
        <w:spacing w:before="75" w:after="75"/>
        <w:ind w:firstLine="420"/>
        <w:rPr>
          <w:rFonts w:ascii="仿宋" w:hAnsi="仿宋" w:eastAsia="仿宋" w:cs="仿宋"/>
          <w:sz w:val="21"/>
          <w:szCs w:val="21"/>
          <w:lang w:eastAsia="zh-CN" w:bidi="ar"/>
        </w:rPr>
      </w:pPr>
      <w:r>
        <w:rPr>
          <w:rFonts w:hint="eastAsia" w:ascii="仿宋" w:hAnsi="仿宋" w:eastAsia="仿宋" w:cs="仿宋"/>
          <w:sz w:val="21"/>
          <w:szCs w:val="21"/>
          <w:lang w:eastAsia="zh-CN" w:bidi="ar"/>
        </w:rPr>
        <w:t>地 址：新疆哈密市向阳东路东延源泉小区旁小二楼2-20 </w:t>
      </w:r>
    </w:p>
    <w:p>
      <w:pPr>
        <w:pStyle w:val="19"/>
        <w:spacing w:before="75" w:after="75"/>
        <w:ind w:firstLine="420"/>
        <w:rPr>
          <w:rFonts w:ascii="仿宋" w:hAnsi="仿宋" w:eastAsia="仿宋" w:cs="仿宋"/>
          <w:sz w:val="21"/>
          <w:szCs w:val="21"/>
          <w:lang w:eastAsia="zh-CN" w:bidi="ar"/>
        </w:rPr>
      </w:pPr>
      <w:r>
        <w:rPr>
          <w:rFonts w:hint="eastAsia" w:ascii="仿宋" w:hAnsi="仿宋" w:eastAsia="仿宋" w:cs="仿宋"/>
          <w:sz w:val="21"/>
          <w:szCs w:val="21"/>
          <w:lang w:eastAsia="zh-CN" w:bidi="ar"/>
        </w:rPr>
        <w:t>联系方式：李有红</w:t>
      </w:r>
    </w:p>
    <w:p>
      <w:pPr>
        <w:pStyle w:val="19"/>
        <w:spacing w:before="75" w:after="75"/>
        <w:ind w:firstLine="420"/>
        <w:rPr>
          <w:rFonts w:ascii="仿宋" w:hAnsi="仿宋" w:eastAsia="仿宋" w:cs="仿宋"/>
          <w:szCs w:val="21"/>
          <w:lang w:eastAsia="zh-CN"/>
        </w:rPr>
      </w:pPr>
      <w:r>
        <w:rPr>
          <w:rFonts w:hint="eastAsia" w:ascii="仿宋" w:hAnsi="仿宋" w:eastAsia="仿宋" w:cs="仿宋"/>
          <w:sz w:val="21"/>
          <w:szCs w:val="21"/>
          <w:lang w:eastAsia="zh-CN" w:bidi="ar"/>
        </w:rPr>
        <w:t>联系电话：18196915976</w:t>
      </w:r>
      <w:r>
        <w:rPr>
          <w:rFonts w:hint="eastAsia" w:ascii="仿宋" w:hAnsi="仿宋" w:eastAsia="仿宋" w:cs="仿宋"/>
          <w:sz w:val="21"/>
          <w:szCs w:val="21"/>
          <w:lang w:eastAsia="zh-CN"/>
        </w:rPr>
        <w:t xml:space="preserve">   </w:t>
      </w:r>
      <w:r>
        <w:rPr>
          <w:rFonts w:hint="eastAsia" w:ascii="仿宋" w:hAnsi="仿宋" w:eastAsia="仿宋" w:cs="仿宋"/>
          <w:szCs w:val="21"/>
          <w:lang w:eastAsia="zh-CN"/>
        </w:rPr>
        <w:t xml:space="preserve">      </w:t>
      </w:r>
    </w:p>
    <w:p>
      <w:pPr>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jc w:val="center"/>
        <w:rPr>
          <w:rFonts w:ascii="仿宋" w:hAnsi="仿宋" w:eastAsia="仿宋" w:cs="仿宋"/>
          <w:color w:val="000000" w:themeColor="text1"/>
          <w:sz w:val="32"/>
          <w:szCs w:val="32"/>
          <w:lang w:eastAsia="zh-CN"/>
          <w14:textFill>
            <w14:solidFill>
              <w14:schemeClr w14:val="tx1"/>
            </w14:solidFill>
          </w14:textFill>
        </w:rPr>
      </w:pPr>
    </w:p>
    <w:p>
      <w:pPr>
        <w:jc w:val="center"/>
        <w:rPr>
          <w:rFonts w:ascii="仿宋" w:hAnsi="仿宋" w:eastAsia="仿宋" w:cs="仿宋"/>
          <w:color w:val="000000" w:themeColor="text1"/>
          <w:sz w:val="32"/>
          <w:szCs w:val="32"/>
          <w:lang w:eastAsia="zh-CN"/>
          <w14:textFill>
            <w14:solidFill>
              <w14:schemeClr w14:val="tx1"/>
            </w14:solidFill>
          </w14:textFill>
        </w:rPr>
      </w:pPr>
    </w:p>
    <w:p>
      <w:pPr>
        <w:jc w:val="center"/>
        <w:rPr>
          <w:rFonts w:ascii="仿宋" w:hAnsi="仿宋" w:eastAsia="仿宋" w:cs="仿宋"/>
          <w:color w:val="000000" w:themeColor="text1"/>
          <w:sz w:val="32"/>
          <w:szCs w:val="32"/>
          <w:lang w:eastAsia="zh-CN"/>
          <w14:textFill>
            <w14:solidFill>
              <w14:schemeClr w14:val="tx1"/>
            </w14:solidFill>
          </w14:textFill>
        </w:rPr>
      </w:pPr>
    </w:p>
    <w:p>
      <w:pPr>
        <w:jc w:val="center"/>
        <w:rPr>
          <w:rFonts w:ascii="仿宋" w:hAnsi="仿宋" w:eastAsia="仿宋" w:cs="仿宋"/>
          <w:color w:val="000000" w:themeColor="text1"/>
          <w:sz w:val="32"/>
          <w:szCs w:val="32"/>
          <w:lang w:eastAsia="zh-CN"/>
          <w14:textFill>
            <w14:solidFill>
              <w14:schemeClr w14:val="tx1"/>
            </w14:solidFill>
          </w14:textFill>
        </w:rPr>
      </w:pPr>
    </w:p>
    <w:p>
      <w:pPr>
        <w:jc w:val="both"/>
        <w:rPr>
          <w:rFonts w:ascii="仿宋" w:hAnsi="仿宋" w:eastAsia="仿宋" w:cs="仿宋"/>
          <w:color w:val="000000" w:themeColor="text1"/>
          <w:sz w:val="32"/>
          <w:szCs w:val="32"/>
          <w:lang w:eastAsia="zh-CN"/>
          <w14:textFill>
            <w14:solidFill>
              <w14:schemeClr w14:val="tx1"/>
            </w14:solidFill>
          </w14:textFill>
        </w:rPr>
      </w:pPr>
    </w:p>
    <w:p>
      <w:pPr>
        <w:jc w:val="center"/>
        <w:rPr>
          <w:rFonts w:ascii="仿宋" w:hAnsi="仿宋" w:eastAsia="仿宋" w:cs="仿宋"/>
          <w:color w:val="000000" w:themeColor="text1"/>
          <w:sz w:val="32"/>
          <w:szCs w:val="32"/>
          <w:lang w:eastAsia="zh-CN"/>
          <w14:textFill>
            <w14:solidFill>
              <w14:schemeClr w14:val="tx1"/>
            </w14:solidFill>
          </w14:textFill>
        </w:rPr>
      </w:pPr>
    </w:p>
    <w:p>
      <w:pPr>
        <w:jc w:val="center"/>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第二部分  供应商须知</w:t>
      </w:r>
    </w:p>
    <w:p>
      <w:pPr>
        <w:pStyle w:val="45"/>
        <w:spacing w:after="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须知前附表</w:t>
      </w:r>
    </w:p>
    <w:tbl>
      <w:tblPr>
        <w:tblStyle w:val="23"/>
        <w:tblW w:w="9025" w:type="dxa"/>
        <w:jc w:val="center"/>
        <w:tblLayout w:type="fixed"/>
        <w:tblCellMar>
          <w:top w:w="0" w:type="dxa"/>
          <w:left w:w="108" w:type="dxa"/>
          <w:bottom w:w="0" w:type="dxa"/>
          <w:right w:w="108" w:type="dxa"/>
        </w:tblCellMar>
      </w:tblPr>
      <w:tblGrid>
        <w:gridCol w:w="712"/>
        <w:gridCol w:w="1550"/>
        <w:gridCol w:w="6763"/>
      </w:tblGrid>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 号</w:t>
            </w:r>
          </w:p>
        </w:tc>
        <w:tc>
          <w:tcPr>
            <w:tcW w:w="1550"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名  称</w:t>
            </w:r>
          </w:p>
        </w:tc>
        <w:tc>
          <w:tcPr>
            <w:tcW w:w="6763"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编  列  内  容</w:t>
            </w:r>
          </w:p>
        </w:tc>
      </w:tr>
      <w:tr>
        <w:tblPrEx>
          <w:tblCellMar>
            <w:top w:w="0" w:type="dxa"/>
            <w:left w:w="108" w:type="dxa"/>
            <w:bottom w:w="0" w:type="dxa"/>
            <w:right w:w="108" w:type="dxa"/>
          </w:tblCellMar>
        </w:tblPrEx>
        <w:trPr>
          <w:trHeight w:val="273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项目名称</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项目编号</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采购内容  </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供货及安装期</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项目名称：哈密市伊吾县消防装备购置项目</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编号：XJDH【2023】-H049</w:t>
            </w:r>
          </w:p>
          <w:p>
            <w:pPr>
              <w:pageBreakBefore/>
              <w:spacing w:line="360" w:lineRule="auto"/>
              <w:outlineLvl w:val="0"/>
              <w:rPr>
                <w:rFonts w:ascii="仿宋" w:hAnsi="仿宋" w:eastAsia="仿宋" w:cs="仿宋"/>
                <w:color w:val="000000" w:themeColor="text1"/>
                <w:sz w:val="21"/>
                <w:szCs w:val="21"/>
                <w:lang w:eastAsia="zh-CN"/>
                <w14:textFill>
                  <w14:gradFill>
                    <w14:gsLst>
                      <w14:gs w14:pos="0">
                        <w14:srgbClr w14:val="E30000"/>
                      </w14:gs>
                      <w14:gs w14:pos="100000">
                        <w14:srgbClr w14:val="760303"/>
                      </w14:gs>
                    </w14:gsLst>
                    <w14:lin w14:ang="0" w14:scaled="0"/>
                  </w14:gradFill>
                </w14:textFill>
              </w:rPr>
            </w:pPr>
            <w:r>
              <w:rPr>
                <w:rFonts w:hint="eastAsia" w:ascii="仿宋" w:hAnsi="仿宋" w:eastAsia="仿宋" w:cs="仿宋"/>
                <w:color w:val="000000" w:themeColor="text1"/>
                <w:sz w:val="21"/>
                <w:szCs w:val="21"/>
                <w:lang w:eastAsia="zh-CN"/>
                <w14:textFill>
                  <w14:solidFill>
                    <w14:schemeClr w14:val="tx1"/>
                  </w14:solidFill>
                </w14:textFill>
              </w:rPr>
              <w:t>采购内容：</w:t>
            </w:r>
            <w:r>
              <w:rPr>
                <w:rFonts w:hint="eastAsia" w:ascii="仿宋" w:hAnsi="仿宋" w:eastAsia="仿宋" w:cs="仿宋"/>
                <w:color w:val="333333"/>
                <w:kern w:val="2"/>
                <w:sz w:val="21"/>
                <w:szCs w:val="21"/>
                <w:lang w:eastAsia="zh-CN" w:bidi="ar"/>
              </w:rPr>
              <w:t>购置多功能城市主战消防车(国产底盘）多功能灭火机器人(化工类火灾专用）、灭火无人机(带照明功能)等8大类1593件(套)消防专用器材装备。</w:t>
            </w:r>
            <w:r>
              <w:rPr>
                <w:rFonts w:hint="eastAsia" w:ascii="仿宋" w:hAnsi="仿宋" w:eastAsia="仿宋" w:cs="仿宋"/>
                <w:color w:val="000000" w:themeColor="text1"/>
                <w:sz w:val="21"/>
                <w:szCs w:val="21"/>
                <w:lang w:eastAsia="zh-CN"/>
                <w14:textFill>
                  <w14:solidFill>
                    <w14:schemeClr w14:val="tx1"/>
                  </w14:solidFill>
                </w14:textFill>
              </w:rPr>
              <w:t>具体详见第四章 技术规格、数量及质量要求</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供货及安装期</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u w:val="single"/>
                <w:lang w:eastAsia="zh-CN"/>
              </w:rPr>
              <w:t xml:space="preserve"> 45</w:t>
            </w:r>
            <w:r>
              <w:rPr>
                <w:rFonts w:hint="eastAsia" w:ascii="仿宋" w:hAnsi="仿宋" w:eastAsia="仿宋" w:cs="仿宋"/>
                <w:color w:val="auto"/>
                <w:sz w:val="21"/>
                <w:szCs w:val="21"/>
                <w:lang w:eastAsia="zh-CN"/>
              </w:rPr>
              <w:t>天</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采购人信息</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名  称：伊吾县应急管理局</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联系人：杨洋      电  话：15026108769</w:t>
            </w:r>
          </w:p>
        </w:tc>
      </w:tr>
      <w:tr>
        <w:tblPrEx>
          <w:tblCellMar>
            <w:top w:w="0" w:type="dxa"/>
            <w:left w:w="108" w:type="dxa"/>
            <w:bottom w:w="0" w:type="dxa"/>
            <w:right w:w="108" w:type="dxa"/>
          </w:tblCellMar>
        </w:tblPrEx>
        <w:trPr>
          <w:trHeight w:val="87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采购代理机构</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名  称：新疆德鸿项目管理咨询有限公司</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地  址：新疆哈密市向阳东路东延源泉小区旁小二楼2-20 </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联系人：李有红       电  话：18196915976</w:t>
            </w:r>
          </w:p>
        </w:tc>
      </w:tr>
      <w:tr>
        <w:tblPrEx>
          <w:tblCellMar>
            <w:top w:w="0" w:type="dxa"/>
            <w:left w:w="108" w:type="dxa"/>
            <w:bottom w:w="0" w:type="dxa"/>
            <w:right w:w="108" w:type="dxa"/>
          </w:tblCellMar>
        </w:tblPrEx>
        <w:trPr>
          <w:trHeight w:val="14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4</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最终交货地点 </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采购单位指定地点</w:t>
            </w:r>
          </w:p>
        </w:tc>
      </w:tr>
      <w:tr>
        <w:tblPrEx>
          <w:tblCellMar>
            <w:top w:w="0" w:type="dxa"/>
            <w:left w:w="108" w:type="dxa"/>
            <w:bottom w:w="0" w:type="dxa"/>
            <w:right w:w="108" w:type="dxa"/>
          </w:tblCellMar>
        </w:tblPrEx>
        <w:trPr>
          <w:trHeight w:val="36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资格要求</w:t>
            </w:r>
          </w:p>
        </w:tc>
        <w:tc>
          <w:tcPr>
            <w:tcW w:w="6763" w:type="dxa"/>
            <w:tcBorders>
              <w:top w:val="single" w:color="auto" w:sz="4" w:space="0"/>
              <w:left w:val="single" w:color="auto" w:sz="4" w:space="0"/>
              <w:bottom w:val="single" w:color="auto" w:sz="4" w:space="0"/>
              <w:right w:val="single" w:color="auto" w:sz="4" w:space="0"/>
            </w:tcBorders>
            <w:vAlign w:val="center"/>
          </w:tcPr>
          <w:p>
            <w:pPr>
              <w:pStyle w:val="19"/>
              <w:wordWrap w:val="0"/>
              <w:spacing w:line="500" w:lineRule="atLeast"/>
              <w:ind w:firstLine="420" w:firstLineChars="20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1.满足《中华人民共和国政府采购法》第二十二条规定；</w:t>
            </w:r>
          </w:p>
          <w:p>
            <w:pPr>
              <w:pStyle w:val="19"/>
              <w:wordWrap w:val="0"/>
              <w:spacing w:line="500" w:lineRule="atLeast"/>
              <w:ind w:firstLine="420" w:firstLineChars="20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2.落实政府采购政策需满足的资格要求：本项目为非专门面向中小企业，根据《政府采购促进中小企业发展管理办法》（财库【2020】46号）的规定，评标时将给予</w:t>
            </w:r>
            <w:r>
              <w:rPr>
                <w:rFonts w:hint="eastAsia" w:ascii="仿宋" w:hAnsi="仿宋" w:eastAsia="仿宋" w:cs="仿宋"/>
                <w:color w:val="000000" w:themeColor="text1"/>
                <w:sz w:val="21"/>
                <w:szCs w:val="21"/>
                <w:lang w:eastAsia="zh-CN"/>
                <w14:textFill>
                  <w14:solidFill>
                    <w14:schemeClr w14:val="tx1"/>
                  </w14:solidFill>
                </w14:textFill>
              </w:rPr>
              <w:t>小型和微型企业</w:t>
            </w:r>
            <w:r>
              <w:rPr>
                <w:rFonts w:hint="eastAsia" w:ascii="仿宋" w:hAnsi="仿宋" w:eastAsia="仿宋" w:cs="仿宋"/>
                <w:color w:val="000000" w:themeColor="text1"/>
                <w:kern w:val="2"/>
                <w:sz w:val="21"/>
                <w:szCs w:val="21"/>
                <w:lang w:eastAsia="zh-CN" w:bidi="ar"/>
                <w14:textFill>
                  <w14:solidFill>
                    <w14:schemeClr w14:val="tx1"/>
                  </w14:solidFill>
                </w14:textFill>
              </w:rPr>
              <w:t>进</w:t>
            </w:r>
            <w:r>
              <w:rPr>
                <w:rFonts w:hint="eastAsia" w:ascii="仿宋" w:hAnsi="仿宋" w:eastAsia="仿宋" w:cs="仿宋"/>
                <w:color w:val="333333"/>
                <w:kern w:val="2"/>
                <w:sz w:val="21"/>
                <w:szCs w:val="21"/>
                <w:lang w:eastAsia="zh-CN" w:bidi="ar"/>
              </w:rPr>
              <w:t>行价格扣除10%的优惠，用优惠后的价格参与评审。</w:t>
            </w:r>
          </w:p>
          <w:p>
            <w:pPr>
              <w:pStyle w:val="19"/>
              <w:spacing w:before="75" w:after="75"/>
              <w:ind w:firstLine="42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3.本项目的特定资格要求：</w:t>
            </w:r>
          </w:p>
          <w:p>
            <w:pPr>
              <w:spacing w:line="440" w:lineRule="exact"/>
              <w:ind w:firstLine="308" w:firstLineChars="147"/>
              <w:rPr>
                <w:rFonts w:ascii="仿宋" w:hAnsi="仿宋" w:eastAsia="仿宋" w:cs="仿宋"/>
                <w:color w:val="000000" w:themeColor="text1"/>
                <w:kern w:val="2"/>
                <w:sz w:val="21"/>
                <w:szCs w:val="21"/>
                <w:lang w:eastAsia="zh-CN" w:bidi="ar"/>
                <w14:textFill>
                  <w14:solidFill>
                    <w14:schemeClr w14:val="tx1"/>
                  </w14:solidFill>
                </w14:textFill>
              </w:rPr>
            </w:pPr>
            <w:r>
              <w:rPr>
                <w:rFonts w:hint="eastAsia" w:ascii="仿宋" w:hAnsi="仿宋" w:eastAsia="仿宋" w:cs="仿宋"/>
                <w:color w:val="000000" w:themeColor="text1"/>
                <w:kern w:val="2"/>
                <w:sz w:val="21"/>
                <w:szCs w:val="21"/>
                <w:lang w:eastAsia="zh-CN" w:bidi="ar"/>
                <w14:textFill>
                  <w14:solidFill>
                    <w14:schemeClr w14:val="tx1"/>
                  </w14:solidFill>
                </w14:textFill>
              </w:rPr>
              <w:t>（1）</w:t>
            </w:r>
            <w:bookmarkStart w:id="0" w:name="_Hlk144572012"/>
            <w:r>
              <w:rPr>
                <w:rFonts w:hint="eastAsia" w:ascii="仿宋" w:hAnsi="仿宋" w:eastAsia="仿宋" w:cs="仿宋"/>
                <w:color w:val="000000" w:themeColor="text1"/>
                <w:kern w:val="2"/>
                <w:sz w:val="21"/>
                <w:szCs w:val="21"/>
                <w:lang w:eastAsia="zh-CN" w:bidi="ar"/>
                <w14:textFill>
                  <w14:solidFill>
                    <w14:schemeClr w14:val="tx1"/>
                  </w14:solidFill>
                </w14:textFill>
              </w:rPr>
              <w:t>单位负责人为同一人或者存在直接控股、管理关系的不同供应商，不得参加同一合同下的政府采购活动；</w:t>
            </w:r>
          </w:p>
          <w:bookmarkEnd w:id="0"/>
          <w:p>
            <w:pPr>
              <w:spacing w:line="440" w:lineRule="exact"/>
              <w:ind w:firstLine="308" w:firstLineChars="147"/>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（2）未被列入中国执行信息公开网（http://zxgk.court.gov.cn/shixin/）失信被执行人名单、信用中国网站（www.creditchina.gov.cn）</w:t>
            </w:r>
            <w:r>
              <w:rPr>
                <w:rFonts w:hint="eastAsia" w:ascii="仿宋" w:hAnsi="仿宋" w:eastAsia="仿宋" w:cs="仿宋"/>
                <w:color w:val="333333"/>
                <w:kern w:val="2"/>
                <w:sz w:val="21"/>
                <w:szCs w:val="21"/>
                <w:lang w:val="zh-CN" w:eastAsia="zh-CN" w:bidi="ar"/>
              </w:rPr>
              <w:t>重大税收违法</w:t>
            </w:r>
            <w:r>
              <w:rPr>
                <w:rFonts w:hint="eastAsia" w:ascii="仿宋" w:hAnsi="仿宋" w:eastAsia="仿宋" w:cs="仿宋"/>
                <w:color w:val="333333"/>
                <w:kern w:val="2"/>
                <w:sz w:val="21"/>
                <w:szCs w:val="21"/>
                <w:lang w:eastAsia="zh-CN" w:bidi="ar"/>
              </w:rPr>
              <w:t>失信主体和中国政府采购网（www.ccgp.gov.cn）政府采购严重违法失信行为记录名单；</w:t>
            </w:r>
          </w:p>
          <w:p>
            <w:pPr>
              <w:pStyle w:val="19"/>
              <w:wordWrap w:val="0"/>
              <w:spacing w:line="500" w:lineRule="atLeast"/>
              <w:ind w:firstLine="420" w:firstLineChars="200"/>
              <w:rPr>
                <w:rFonts w:ascii="仿宋" w:hAnsi="仿宋" w:eastAsia="仿宋" w:cs="仿宋"/>
                <w:color w:val="333333"/>
                <w:kern w:val="2"/>
                <w:sz w:val="21"/>
                <w:szCs w:val="21"/>
                <w:lang w:eastAsia="zh-CN" w:bidi="ar"/>
              </w:rPr>
            </w:pPr>
            <w:r>
              <w:rPr>
                <w:rFonts w:hint="eastAsia" w:ascii="仿宋" w:hAnsi="仿宋" w:eastAsia="仿宋" w:cs="仿宋"/>
                <w:color w:val="333333"/>
                <w:kern w:val="2"/>
                <w:sz w:val="21"/>
                <w:szCs w:val="21"/>
                <w:lang w:eastAsia="zh-CN" w:bidi="ar"/>
              </w:rPr>
              <w:t>（3）投标单位（供应商）针对本次采购项目《反商业贿赂承诺书》的书面声明。</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6</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资金来源</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auto"/>
                <w:sz w:val="21"/>
                <w:szCs w:val="21"/>
                <w:lang w:eastAsia="zh-CN"/>
              </w:rPr>
              <w:t>县财政资金</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7</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招标方式</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8</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供应商信用查询</w:t>
            </w:r>
          </w:p>
        </w:tc>
        <w:tc>
          <w:tcPr>
            <w:tcW w:w="6763"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rPr>
                <w:rFonts w:ascii="仿宋" w:hAnsi="仿宋" w:eastAsia="仿宋" w:cs="仿宋"/>
                <w:color w:val="333333"/>
                <w:kern w:val="2"/>
                <w:sz w:val="21"/>
                <w:szCs w:val="21"/>
                <w:lang w:eastAsia="zh-CN" w:bidi="ar"/>
              </w:rPr>
            </w:pPr>
            <w:r>
              <w:rPr>
                <w:rFonts w:hint="eastAsia" w:ascii="仿宋" w:hAnsi="仿宋" w:eastAsia="仿宋" w:cs="仿宋"/>
                <w:color w:val="000000" w:themeColor="text1"/>
                <w:sz w:val="21"/>
                <w:szCs w:val="21"/>
                <w:lang w:eastAsia="zh-CN"/>
                <w14:textFill>
                  <w14:solidFill>
                    <w14:schemeClr w14:val="tx1"/>
                  </w14:solidFill>
                </w14:textFill>
              </w:rPr>
              <w:t>查询渠道：</w:t>
            </w:r>
            <w:r>
              <w:rPr>
                <w:rFonts w:hint="eastAsia" w:ascii="仿宋" w:hAnsi="仿宋" w:eastAsia="仿宋" w:cs="仿宋"/>
                <w:color w:val="333333"/>
                <w:kern w:val="2"/>
                <w:sz w:val="21"/>
                <w:szCs w:val="21"/>
                <w:lang w:eastAsia="zh-CN" w:bidi="ar"/>
              </w:rPr>
              <w:t>中国执行信息公开（http://zxgk.court.gov.cn/shixin/）</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信用中国（网址：http://www.creditchina.gov.cn）、中国政府采购网(网址：http://www.ccgp.gov.cn）。</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2、截止时点：开标后评标前。</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3、信用信息查询记录和证据留存的具体方式：由采购组织机构在规定查询时间内打印信用信息查询记录并归入项目档案。</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ascii="仿宋" w:hAnsi="仿宋" w:eastAsia="仿宋" w:cs="仿宋"/>
                <w:color w:val="000000" w:themeColor="text1"/>
                <w:sz w:val="21"/>
                <w:szCs w:val="21"/>
                <w:lang w:eastAsia="zh-CN"/>
                <w14:textFill>
                  <w14:solidFill>
                    <w14:schemeClr w14:val="tx1"/>
                  </w14:solidFill>
                </w14:textFill>
              </w:rPr>
              <w:t>4</w:t>
            </w:r>
            <w:r>
              <w:rPr>
                <w:rFonts w:hint="eastAsia" w:ascii="仿宋" w:hAnsi="仿宋" w:eastAsia="仿宋" w:cs="仿宋"/>
                <w:color w:val="000000" w:themeColor="text1"/>
                <w:sz w:val="21"/>
                <w:szCs w:val="21"/>
                <w:lang w:eastAsia="zh-CN"/>
                <w14:textFill>
                  <w14:solidFill>
                    <w14:schemeClr w14:val="tx1"/>
                  </w14:solidFill>
                </w14:textFill>
              </w:rPr>
              <w:t>、使用规则：对列入失信被执行人、</w:t>
            </w:r>
            <w:r>
              <w:rPr>
                <w:rFonts w:hint="eastAsia" w:ascii="仿宋" w:hAnsi="仿宋" w:eastAsia="仿宋" w:cs="仿宋"/>
                <w:color w:val="333333"/>
                <w:kern w:val="2"/>
                <w:sz w:val="21"/>
                <w:szCs w:val="21"/>
                <w:lang w:val="zh-CN" w:eastAsia="zh-CN" w:bidi="ar"/>
              </w:rPr>
              <w:t>重大税收违法</w:t>
            </w:r>
            <w:r>
              <w:rPr>
                <w:rFonts w:hint="eastAsia" w:ascii="仿宋" w:hAnsi="仿宋" w:eastAsia="仿宋" w:cs="仿宋"/>
                <w:color w:val="333333"/>
                <w:kern w:val="2"/>
                <w:sz w:val="21"/>
                <w:szCs w:val="21"/>
                <w:lang w:eastAsia="zh-CN" w:bidi="ar"/>
              </w:rPr>
              <w:t>失信主体</w:t>
            </w:r>
            <w:r>
              <w:rPr>
                <w:rFonts w:hint="eastAsia" w:ascii="仿宋" w:hAnsi="仿宋" w:eastAsia="仿宋" w:cs="仿宋"/>
                <w:color w:val="000000" w:themeColor="text1"/>
                <w:sz w:val="21"/>
                <w:szCs w:val="21"/>
                <w:lang w:eastAsia="zh-CN"/>
                <w14:textFill>
                  <w14:solidFill>
                    <w14:schemeClr w14:val="tx1"/>
                  </w14:solidFill>
                </w14:textFill>
              </w:rPr>
              <w:t>、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35"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9</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是否接受联合体投标</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■不接受</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□接  受</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投标截止时间 （开标时间）</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截止时间：2023年9月 25日上午10时00分（北京时间）</w:t>
            </w:r>
          </w:p>
        </w:tc>
      </w:tr>
      <w:tr>
        <w:tblPrEx>
          <w:tblCellMar>
            <w:top w:w="0" w:type="dxa"/>
            <w:left w:w="108" w:type="dxa"/>
            <w:bottom w:w="0" w:type="dxa"/>
            <w:right w:w="108" w:type="dxa"/>
          </w:tblCellMar>
        </w:tblPrEx>
        <w:trPr>
          <w:trHeight w:val="30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11</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投标有效期</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60 天</w:t>
            </w:r>
          </w:p>
        </w:tc>
      </w:tr>
      <w:tr>
        <w:tblPrEx>
          <w:tblCellMar>
            <w:top w:w="0" w:type="dxa"/>
            <w:left w:w="108" w:type="dxa"/>
            <w:bottom w:w="0" w:type="dxa"/>
            <w:right w:w="108" w:type="dxa"/>
          </w:tblCellMar>
        </w:tblPrEx>
        <w:trPr>
          <w:trHeight w:val="63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12</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投标保证金</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投标保证金要求：</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投标保证金交纳方式：投标保证金应当以支票、汇票、本票、网上银行支付或者金融机构、担保机构出具的保函等非现金形式交纳。</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投标保证金的金额：80000元（大写：捌万元整）</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投标保证金交纳要求：</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w:t>
            </w:r>
            <w:r>
              <w:rPr>
                <w:rFonts w:hint="eastAsia" w:ascii="仿宋" w:hAnsi="仿宋" w:eastAsia="仿宋" w:cs="仿宋"/>
                <w:color w:val="auto"/>
                <w:sz w:val="21"/>
                <w:szCs w:val="21"/>
                <w:lang w:eastAsia="zh-CN"/>
              </w:rPr>
              <w:t>、投标保证金以电汇、网银等转账形式提交的，应在投标截止时间2023年 9 月 2</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lang w:eastAsia="zh-CN"/>
              </w:rPr>
              <w:t>日下午</w:t>
            </w:r>
            <w:r>
              <w:rPr>
                <w:rFonts w:ascii="仿宋" w:hAnsi="仿宋" w:eastAsia="仿宋" w:cs="仿宋"/>
                <w:color w:val="auto"/>
                <w:sz w:val="21"/>
                <w:szCs w:val="21"/>
                <w:lang w:eastAsia="zh-CN"/>
              </w:rPr>
              <w:t>20</w:t>
            </w:r>
            <w:r>
              <w:rPr>
                <w:rFonts w:hint="eastAsia" w:ascii="仿宋" w:hAnsi="仿宋" w:eastAsia="仿宋" w:cs="仿宋"/>
                <w:color w:val="auto"/>
                <w:sz w:val="21"/>
                <w:szCs w:val="21"/>
                <w:lang w:eastAsia="zh-CN"/>
              </w:rPr>
              <w:t>：</w:t>
            </w:r>
            <w:r>
              <w:rPr>
                <w:rFonts w:ascii="仿宋" w:hAnsi="仿宋" w:eastAsia="仿宋" w:cs="仿宋"/>
                <w:color w:val="auto"/>
                <w:sz w:val="21"/>
                <w:szCs w:val="21"/>
                <w:lang w:eastAsia="zh-CN"/>
              </w:rPr>
              <w:t>0</w:t>
            </w:r>
            <w:r>
              <w:rPr>
                <w:rFonts w:hint="eastAsia" w:ascii="仿宋" w:hAnsi="仿宋" w:eastAsia="仿宋" w:cs="仿宋"/>
                <w:color w:val="auto"/>
                <w:sz w:val="21"/>
                <w:szCs w:val="21"/>
                <w:lang w:eastAsia="zh-CN"/>
              </w:rPr>
              <w:t>0分（北京时间）前以总公司的基本账户一次性汇</w:t>
            </w:r>
            <w:r>
              <w:rPr>
                <w:rFonts w:hint="eastAsia" w:ascii="仿宋" w:hAnsi="仿宋" w:eastAsia="仿宋" w:cs="仿宋"/>
                <w:color w:val="000000" w:themeColor="text1"/>
                <w:sz w:val="21"/>
                <w:szCs w:val="21"/>
                <w:lang w:eastAsia="zh-CN"/>
                <w14:textFill>
                  <w14:solidFill>
                    <w14:schemeClr w14:val="tx1"/>
                  </w14:solidFill>
                </w14:textFill>
              </w:rPr>
              <w:t>入指定账户（以到账时间为准），不接受现金及任何个人汇款。</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2、其他特殊情况处理：有效投标保证金成功交纳后，截止开标时间，供应商无正当理由不参加该项目投标且不递交弃标函，投标保证金不予退还。</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开户名：新疆德鸿项目管理咨询有限公司哈密分公司</w:t>
            </w:r>
          </w:p>
          <w:p>
            <w:pPr>
              <w:pStyle w:val="64"/>
              <w:wordWrap w:val="0"/>
              <w:autoSpaceDE w:val="0"/>
              <w:adjustRightInd w:val="0"/>
              <w:snapToGrid w:val="0"/>
              <w:spacing w:line="500" w:lineRule="atLeast"/>
              <w:ind w:firstLine="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开户账号：908070100100056227</w:t>
            </w:r>
          </w:p>
          <w:p>
            <w:pPr>
              <w:pStyle w:val="64"/>
              <w:wordWrap w:val="0"/>
              <w:autoSpaceDE w:val="0"/>
              <w:adjustRightInd w:val="0"/>
              <w:snapToGrid w:val="0"/>
              <w:spacing w:line="500" w:lineRule="atLeast"/>
              <w:ind w:firstLine="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开户银行：哈密市商业银行股份有限公司广场北路支行</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行号：313 884 000 081</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联系人：李有红</w:t>
            </w:r>
          </w:p>
          <w:p>
            <w:pPr>
              <w:spacing w:line="360" w:lineRule="auto"/>
              <w:rPr>
                <w:rFonts w:hint="eastAsia" w:ascii="宋体" w:hAnsi="宋体" w:cs="宋体" w:eastAsiaTheme="minorEastAsia"/>
                <w:color w:val="000000" w:themeColor="text1"/>
                <w:highlight w:val="white"/>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电话：0902-6996999</w:t>
            </w:r>
          </w:p>
        </w:tc>
      </w:tr>
      <w:tr>
        <w:tblPrEx>
          <w:tblCellMar>
            <w:top w:w="0" w:type="dxa"/>
            <w:left w:w="108" w:type="dxa"/>
            <w:bottom w:w="0" w:type="dxa"/>
            <w:right w:w="108" w:type="dxa"/>
          </w:tblCellMar>
        </w:tblPrEx>
        <w:trPr>
          <w:trHeight w:val="545"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13</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是否允许递交备选投标方案</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■不允许</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□允  许</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14</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招标文件领取</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kern w:val="2"/>
                <w:sz w:val="21"/>
                <w:szCs w:val="21"/>
                <w:lang w:eastAsia="zh-CN" w:bidi="ar"/>
              </w:rPr>
            </w:pPr>
            <w:r>
              <w:rPr>
                <w:rFonts w:hint="eastAsia" w:ascii="仿宋" w:hAnsi="仿宋" w:eastAsia="仿宋" w:cs="仿宋"/>
                <w:color w:val="000000" w:themeColor="text1"/>
                <w:sz w:val="21"/>
                <w:szCs w:val="21"/>
                <w:lang w:eastAsia="zh-CN"/>
                <w14:textFill>
                  <w14:solidFill>
                    <w14:schemeClr w14:val="tx1"/>
                  </w14:solidFill>
                </w14:textFill>
              </w:rPr>
              <w:t>时间：</w:t>
            </w:r>
            <w:r>
              <w:rPr>
                <w:rFonts w:hint="eastAsia" w:ascii="仿宋" w:hAnsi="仿宋" w:eastAsia="仿宋" w:cs="仿宋"/>
                <w:color w:val="auto"/>
                <w:sz w:val="21"/>
                <w:szCs w:val="21"/>
                <w:lang w:eastAsia="zh-CN"/>
              </w:rPr>
              <w:t>2023年9月4日至2023年9月11日，</w:t>
            </w:r>
            <w:r>
              <w:rPr>
                <w:rFonts w:hint="eastAsia" w:ascii="仿宋" w:hAnsi="仿宋" w:eastAsia="仿宋" w:cs="仿宋"/>
                <w:color w:val="auto"/>
                <w:kern w:val="2"/>
                <w:sz w:val="21"/>
                <w:szCs w:val="21"/>
                <w:lang w:eastAsia="zh-CN" w:bidi="ar"/>
              </w:rPr>
              <w:t>每天00:00至23:59（北京时间，法定节假日除外）</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地点：供应商登陆政采云平台http://www.zcygov.cn/，在线申请获取招标文件 （登录政府采购云平台 → 项目采购 → 获取招标文件 →申请，下载招标文件 ，如有操作性问题，可与政采云在线客服进行咨询，咨询电话：95763）。</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方式：（1）线上获取（登录政府采购云平台 → 项目采购 → 获取招标文件 → 申请，下载招标文件 ）。本次招标不提供纸质版招标文件 。</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15</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投标文件形式</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电子投标文件包括“电子加密投标文件”和</w:t>
            </w:r>
            <w:r>
              <w:rPr>
                <w:rFonts w:hint="eastAsia" w:ascii="仿宋" w:hAnsi="仿宋" w:eastAsia="仿宋" w:cs="仿宋"/>
                <w:color w:val="auto"/>
                <w:sz w:val="21"/>
                <w:szCs w:val="21"/>
                <w:lang w:eastAsia="zh-CN"/>
              </w:rPr>
              <w:t>“备份投标文件”</w:t>
            </w:r>
            <w:r>
              <w:rPr>
                <w:rFonts w:hint="eastAsia" w:ascii="仿宋" w:hAnsi="仿宋" w:eastAsia="仿宋" w:cs="仿宋"/>
                <w:color w:val="000000" w:themeColor="text1"/>
                <w:sz w:val="21"/>
                <w:szCs w:val="21"/>
                <w:lang w:eastAsia="zh-CN"/>
                <w14:textFill>
                  <w14:solidFill>
                    <w14:schemeClr w14:val="tx1"/>
                  </w14:solidFill>
                </w14:textFill>
              </w:rPr>
              <w:t>，在投标文件编制完成后同时生成。</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1、“电子加密投标文件”是指通过“政采云电子交易客户端”完成投标文件编制后生成并加密的数据电文形式的投标文件。</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16</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投标文件份数及要求</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1、一份电子加密标书（“.jmbs”格式），一份备份标书文件（“.bfbs”格式）。</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2、每份电子投标文件应包括资格证明文件和商务及技术文件两部分。</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3、待开标结束后，中标企业请</w:t>
            </w:r>
            <w:r>
              <w:rPr>
                <w:rFonts w:hint="eastAsia" w:ascii="仿宋" w:hAnsi="仿宋" w:eastAsia="仿宋" w:cs="仿宋"/>
                <w:color w:val="auto"/>
                <w:sz w:val="21"/>
                <w:szCs w:val="21"/>
                <w:lang w:eastAsia="zh-CN"/>
              </w:rPr>
              <w:t>于</w:t>
            </w:r>
            <w:r>
              <w:rPr>
                <w:rFonts w:hint="eastAsia" w:ascii="仿宋" w:hAnsi="仿宋" w:eastAsia="仿宋" w:cs="仿宋"/>
                <w:color w:val="auto"/>
                <w:sz w:val="21"/>
                <w:szCs w:val="21"/>
                <w:u w:val="single"/>
                <w:lang w:eastAsia="zh-CN"/>
              </w:rPr>
              <w:t>2023年9 月28日20:00</w:t>
            </w:r>
            <w:r>
              <w:rPr>
                <w:rFonts w:hint="eastAsia" w:ascii="仿宋" w:hAnsi="仿宋" w:eastAsia="仿宋" w:cs="仿宋"/>
                <w:color w:val="auto"/>
                <w:sz w:val="21"/>
                <w:szCs w:val="21"/>
                <w:lang w:eastAsia="zh-CN"/>
              </w:rPr>
              <w:t>前</w:t>
            </w:r>
            <w:r>
              <w:rPr>
                <w:rFonts w:hint="eastAsia" w:ascii="仿宋" w:hAnsi="仿宋" w:eastAsia="仿宋" w:cs="仿宋"/>
                <w:color w:val="000000" w:themeColor="text1"/>
                <w:sz w:val="21"/>
                <w:szCs w:val="21"/>
                <w:lang w:eastAsia="zh-CN"/>
                <w14:textFill>
                  <w14:solidFill>
                    <w14:schemeClr w14:val="tx1"/>
                  </w14:solidFill>
                </w14:textFill>
              </w:rPr>
              <w:t>提供纸质投标文件叁份并承诺与电子投标文件内容一致的承诺书至新疆德鸿项目管理咨询有限公司（新疆哈密市向阳东路东延源泉小区旁小二楼2-20 ）。中标人可采用邮寄方式提供纸质版投标文件（收件地址：新疆哈密市向阳东路东延源泉小区旁小二楼2-20 ，收件人：李有红，电话：18196915976），费用自行承担。）</w:t>
            </w:r>
          </w:p>
        </w:tc>
      </w:tr>
      <w:tr>
        <w:tblPrEx>
          <w:tblCellMar>
            <w:top w:w="0" w:type="dxa"/>
            <w:left w:w="108" w:type="dxa"/>
            <w:bottom w:w="0" w:type="dxa"/>
            <w:right w:w="108" w:type="dxa"/>
          </w:tblCellMar>
        </w:tblPrEx>
        <w:trPr>
          <w:trHeight w:val="731" w:hRule="atLeast"/>
          <w:jc w:val="center"/>
        </w:trPr>
        <w:tc>
          <w:tcPr>
            <w:tcW w:w="712"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17</w:t>
            </w:r>
          </w:p>
        </w:tc>
        <w:tc>
          <w:tcPr>
            <w:tcW w:w="1550"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投标文件的上传和递交</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1.电子加密投标文件：投标文件制作完成并生成加密标书，在投标截止时间前，供应商需将加密的投标文件上传至政采云平台，在开标时间开始后，待采购组织机构发出解密通知后30分钟内解密投标文件。</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a.供应商未能在投标截止时间前成功上传电子加密投标文件的投标无效。</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712"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备份投标文件：供应商在投标截止时间前将加密的投标文件上传至政府采购云平台，还可以在投标截止时间前以电子邮件方式提供备份投标文件1份（接收人邮箱：932896845@qq.com，接收人：李有红，电话：18196915976），“备份投标文件”由供应商自愿提供，招标文件 不作强制性要求；如不提供或未按要求提供的，当电子投标文件无法解密时，将导致无备份投标文件而失去投标资格。</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18</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评标委员会的组建</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val="zh-CN" w:eastAsia="zh-CN"/>
                <w14:textFill>
                  <w14:solidFill>
                    <w14:schemeClr w14:val="tx1"/>
                  </w14:solidFill>
                </w14:textFill>
              </w:rPr>
            </w:pPr>
            <w:r>
              <w:rPr>
                <w:rFonts w:hint="eastAsia" w:ascii="仿宋" w:hAnsi="仿宋" w:eastAsia="仿宋" w:cs="仿宋"/>
                <w:color w:val="000000" w:themeColor="text1"/>
                <w:sz w:val="21"/>
                <w:szCs w:val="21"/>
                <w:lang w:val="zh-CN" w:eastAsia="zh-CN"/>
                <w14:textFill>
                  <w14:solidFill>
                    <w14:schemeClr w14:val="tx1"/>
                  </w14:solidFill>
                </w14:textFill>
              </w:rPr>
              <w:t>评标委员会由招标人依法组建，评审专家</w:t>
            </w:r>
            <w:r>
              <w:rPr>
                <w:rFonts w:hint="eastAsia" w:ascii="仿宋" w:hAnsi="仿宋" w:eastAsia="仿宋" w:cs="仿宋"/>
                <w:color w:val="000000" w:themeColor="text1"/>
                <w:sz w:val="21"/>
                <w:szCs w:val="21"/>
                <w:lang w:eastAsia="zh-CN"/>
                <w14:textFill>
                  <w14:solidFill>
                    <w14:schemeClr w14:val="tx1"/>
                  </w14:solidFill>
                </w14:textFill>
              </w:rPr>
              <w:t>5</w:t>
            </w:r>
            <w:r>
              <w:rPr>
                <w:rFonts w:hint="eastAsia" w:ascii="仿宋" w:hAnsi="仿宋" w:eastAsia="仿宋" w:cs="仿宋"/>
                <w:color w:val="000000" w:themeColor="text1"/>
                <w:sz w:val="21"/>
                <w:szCs w:val="21"/>
                <w:lang w:val="zh-CN" w:eastAsia="zh-CN"/>
                <w14:textFill>
                  <w14:solidFill>
                    <w14:schemeClr w14:val="tx1"/>
                  </w14:solidFill>
                </w14:textFill>
              </w:rPr>
              <w:t>人，共</w:t>
            </w:r>
            <w:r>
              <w:rPr>
                <w:rFonts w:hint="eastAsia" w:ascii="仿宋" w:hAnsi="仿宋" w:eastAsia="仿宋" w:cs="仿宋"/>
                <w:color w:val="000000" w:themeColor="text1"/>
                <w:sz w:val="21"/>
                <w:szCs w:val="21"/>
                <w:lang w:eastAsia="zh-CN"/>
                <w14:textFill>
                  <w14:solidFill>
                    <w14:schemeClr w14:val="tx1"/>
                  </w14:solidFill>
                </w14:textFill>
              </w:rPr>
              <w:t>5</w:t>
            </w:r>
            <w:r>
              <w:rPr>
                <w:rFonts w:hint="eastAsia" w:ascii="仿宋" w:hAnsi="仿宋" w:eastAsia="仿宋" w:cs="仿宋"/>
                <w:color w:val="000000" w:themeColor="text1"/>
                <w:sz w:val="21"/>
                <w:szCs w:val="21"/>
                <w:lang w:val="zh-CN" w:eastAsia="zh-CN"/>
                <w14:textFill>
                  <w14:solidFill>
                    <w14:schemeClr w14:val="tx1"/>
                  </w14:solidFill>
                </w14:textFill>
              </w:rPr>
              <w:t>人组成。</w:t>
            </w:r>
          </w:p>
          <w:p>
            <w:pPr>
              <w:spacing w:line="360" w:lineRule="auto"/>
              <w:rPr>
                <w:rFonts w:ascii="仿宋" w:hAnsi="仿宋" w:eastAsia="仿宋" w:cs="仿宋"/>
                <w:color w:val="000000" w:themeColor="text1"/>
                <w:sz w:val="21"/>
                <w:szCs w:val="21"/>
                <w:lang w:val="zh-CN" w:eastAsia="zh-CN"/>
                <w14:textFill>
                  <w14:solidFill>
                    <w14:schemeClr w14:val="tx1"/>
                  </w14:solidFill>
                </w14:textFill>
              </w:rPr>
            </w:pPr>
            <w:r>
              <w:rPr>
                <w:rFonts w:hint="eastAsia" w:ascii="仿宋" w:hAnsi="仿宋" w:eastAsia="仿宋" w:cs="仿宋"/>
                <w:color w:val="000000" w:themeColor="text1"/>
                <w:sz w:val="21"/>
                <w:szCs w:val="21"/>
                <w:lang w:val="zh-CN" w:eastAsia="zh-CN"/>
                <w14:textFill>
                  <w14:solidFill>
                    <w14:schemeClr w14:val="tx1"/>
                  </w14:solidFill>
                </w14:textFill>
              </w:rPr>
              <w:t>评审专家确定方式：评审专家由招标人在开标前从政采云专家库中随机抽取。</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19</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是否授权评标委员会确定中标候选人</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FF0000"/>
                <w:sz w:val="21"/>
                <w:szCs w:val="21"/>
                <w:lang w:val="zh-CN"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是，评标委员会推荐1名中标成</w:t>
            </w:r>
            <w:bookmarkStart w:id="77" w:name="_GoBack"/>
            <w:bookmarkEnd w:id="77"/>
            <w:r>
              <w:rPr>
                <w:rFonts w:hint="eastAsia" w:ascii="仿宋" w:hAnsi="仿宋" w:eastAsia="仿宋" w:cs="仿宋"/>
                <w:b w:val="0"/>
                <w:bCs w:val="0"/>
                <w:color w:val="000000" w:themeColor="text1"/>
                <w:sz w:val="21"/>
                <w:szCs w:val="21"/>
                <w:lang w:val="en-US" w:eastAsia="zh-CN"/>
                <w14:textFill>
                  <w14:solidFill>
                    <w14:schemeClr w14:val="tx1"/>
                  </w14:solidFill>
                </w14:textFill>
              </w:rPr>
              <w:t>交供应商</w:t>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lang w:val="en-US" w:eastAsia="zh-CN"/>
                <w14:textFill>
                  <w14:solidFill>
                    <w14:schemeClr w14:val="tx1"/>
                  </w14:solidFill>
                </w14:textFill>
              </w:rPr>
              <w:tab/>
            </w:r>
          </w:p>
        </w:tc>
      </w:tr>
      <w:tr>
        <w:tblPrEx>
          <w:tblCellMar>
            <w:top w:w="0" w:type="dxa"/>
            <w:left w:w="108" w:type="dxa"/>
            <w:bottom w:w="0" w:type="dxa"/>
            <w:right w:w="108" w:type="dxa"/>
          </w:tblCellMar>
        </w:tblPrEx>
        <w:trPr>
          <w:trHeight w:val="75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20</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递交投标文件地点</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投标截止时间：2023年9 月25 日上午10时00分（北京时间）</w:t>
            </w:r>
          </w:p>
          <w:p>
            <w:pPr>
              <w:spacing w:line="36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投标地点：新疆政府采购云平台（www.zcygov.cn）</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21</w:t>
            </w:r>
          </w:p>
        </w:tc>
        <w:tc>
          <w:tcPr>
            <w:tcW w:w="1550" w:type="dxa"/>
            <w:tcBorders>
              <w:top w:val="single" w:color="auto" w:sz="4" w:space="0"/>
              <w:left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开标时间和地点</w:t>
            </w:r>
          </w:p>
        </w:tc>
        <w:tc>
          <w:tcPr>
            <w:tcW w:w="6763" w:type="dxa"/>
            <w:tcBorders>
              <w:top w:val="single" w:color="auto" w:sz="4" w:space="0"/>
              <w:left w:val="single" w:color="auto" w:sz="4" w:space="0"/>
              <w:right w:val="single" w:color="auto" w:sz="4" w:space="0"/>
            </w:tcBorders>
            <w:vAlign w:val="center"/>
          </w:tcPr>
          <w:p>
            <w:pPr>
              <w:spacing w:line="36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开标时间：2023年9月25日上午10时00分（北京时间）</w:t>
            </w:r>
          </w:p>
          <w:p>
            <w:pPr>
              <w:spacing w:line="36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712"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22</w:t>
            </w:r>
          </w:p>
        </w:tc>
        <w:tc>
          <w:tcPr>
            <w:tcW w:w="1550"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重要说明</w:t>
            </w:r>
          </w:p>
        </w:tc>
        <w:tc>
          <w:tcPr>
            <w:tcW w:w="6763" w:type="dxa"/>
            <w:tcBorders>
              <w:top w:val="single" w:color="auto" w:sz="4" w:space="0"/>
              <w:left w:val="single" w:color="auto" w:sz="4" w:space="0"/>
              <w:right w:val="single" w:color="auto" w:sz="4" w:space="0"/>
            </w:tcBorders>
            <w:vAlign w:val="center"/>
          </w:tcPr>
          <w:p>
            <w:pPr>
              <w:pStyle w:val="19"/>
              <w:wordWrap w:val="0"/>
              <w:spacing w:line="500" w:lineRule="atLeas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1、本项目实行网上投标，采用电子投标文件；</w:t>
            </w:r>
          </w:p>
          <w:p>
            <w:pPr>
              <w:pStyle w:val="19"/>
              <w:wordWrap w:val="0"/>
              <w:spacing w:line="500" w:lineRule="atLeas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pStyle w:val="19"/>
              <w:wordWrap w:val="0"/>
              <w:spacing w:line="500" w:lineRule="atLeast"/>
              <w:ind w:firstLine="42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color w:val="333333"/>
                <w:kern w:val="2"/>
                <w:sz w:val="21"/>
                <w:szCs w:val="21"/>
                <w:lang w:eastAsia="zh-CN" w:bidi="ar"/>
              </w:rPr>
              <w:t>95763</w:t>
            </w:r>
            <w:r>
              <w:rPr>
                <w:rFonts w:hint="eastAsia" w:ascii="仿宋" w:hAnsi="仿宋" w:eastAsia="仿宋" w:cs="仿宋"/>
                <w:color w:val="000000" w:themeColor="text1"/>
                <w:sz w:val="21"/>
                <w:szCs w:val="21"/>
                <w:lang w:eastAsia="zh-CN"/>
                <w14:textFill>
                  <w14:solidFill>
                    <w14:schemeClr w14:val="tx1"/>
                  </w14:solidFill>
                </w14:textFill>
              </w:rPr>
              <w:t>进行咨询。如因供应商自身原因导致在规定时间内无法正常解密的（如：浏览器故障、未安装相关驱动、网络故障、加密CA与解密CA不一致等），采购中心/代理机构不予异常处理，视为供应商自动弃标。</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4、供应商操作指南详见新疆政府采购网（http://www.ccgp-xinjiang.gov.cn）—办事指南—操作指南。</w:t>
            </w:r>
          </w:p>
        </w:tc>
      </w:tr>
      <w:tr>
        <w:tblPrEx>
          <w:tblCellMar>
            <w:top w:w="0" w:type="dxa"/>
            <w:left w:w="108" w:type="dxa"/>
            <w:bottom w:w="0" w:type="dxa"/>
            <w:right w:w="108" w:type="dxa"/>
          </w:tblCellMar>
        </w:tblPrEx>
        <w:trPr>
          <w:trHeight w:val="710" w:hRule="atLeast"/>
          <w:jc w:val="center"/>
        </w:trPr>
        <w:tc>
          <w:tcPr>
            <w:tcW w:w="712"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1、电子招投标情况说明：</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（1）电子招投标：本项目以数据电文形式，依托“政府采购云平台（www.zcygov.cn）”进行招投标活动。</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（3）招标文件的获取：使用账号登录或者短信验证码或者使用CA登录政采云平台；进入“项目采购”应用，在获取招标文件菜单中选择项目，获取招标文件 。</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（4）投标文件的制作：在“政采云电子交易客户端”中完成“填写基本信息”、“导入投标文件”、“标书关联”、“标书检查”、“电子签名”、“生成电子标书”等操作。</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投标文件的传输递交：供应商在投标截止时间前将加密的投标文件上传至政府采购云平台，还可以在投标截止时间前以电子邮件方式提供备份投标文件1份（接收人邮箱：19246091@qq.com，接收人：李有红，电话：18196915976），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（7）具体操作指南：详见政采云平台“服务中心-帮助文档-项目采购-操作流程-电子招投标-政府采购项目电子交易管理操作指南-供应商”。</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（8）供应商在进行上述操作时，如遇技术问题可登录政采云（https://</w:t>
            </w:r>
            <w:r>
              <w:fldChar w:fldCharType="begin"/>
            </w:r>
            <w:r>
              <w:instrText xml:space="preserve"> HYPERLINK "http://www.zcygov.cn/" \h </w:instrText>
            </w:r>
            <w:r>
              <w:fldChar w:fldCharType="separate"/>
            </w:r>
            <w:r>
              <w:rPr>
                <w:rFonts w:hint="eastAsia" w:ascii="仿宋" w:hAnsi="仿宋" w:eastAsia="仿宋" w:cs="仿宋"/>
                <w:color w:val="000000" w:themeColor="text1"/>
                <w:sz w:val="21"/>
                <w:szCs w:val="21"/>
                <w:lang w:eastAsia="zh-CN"/>
                <w14:textFill>
                  <w14:solidFill>
                    <w14:schemeClr w14:val="tx1"/>
                  </w14:solidFill>
                </w14:textFill>
              </w:rPr>
              <w:t>www.zcygov.cn/</w:t>
            </w:r>
            <w:r>
              <w:rPr>
                <w:rFonts w:hint="eastAsia" w:ascii="仿宋" w:hAnsi="仿宋" w:eastAsia="仿宋" w:cs="仿宋"/>
                <w:color w:val="000000" w:themeColor="text1"/>
                <w:sz w:val="21"/>
                <w:szCs w:val="21"/>
                <w:lang w:eastAsia="zh-CN"/>
                <w14:textFill>
                  <w14:solidFill>
                    <w14:schemeClr w14:val="tx1"/>
                  </w14:solidFill>
                </w14:textFill>
              </w:rPr>
              <w:fldChar w:fldCharType="end"/>
            </w:r>
            <w:r>
              <w:rPr>
                <w:rFonts w:hint="eastAsia" w:ascii="仿宋" w:hAnsi="仿宋" w:eastAsia="仿宋" w:cs="仿宋"/>
                <w:color w:val="000000" w:themeColor="text1"/>
                <w:sz w:val="21"/>
                <w:szCs w:val="21"/>
                <w:lang w:eastAsia="zh-CN"/>
                <w14:textFill>
                  <w14:solidFill>
                    <w14:schemeClr w14:val="tx1"/>
                  </w14:solidFill>
                </w14:textFill>
              </w:rPr>
              <w:t>），点击右侧咨询小采，获取采小蜜智能服务管家帮助，或拨打政采云服务热线 95763 获取热线服务帮助。</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温馨提醒：供应商应提前上传，以便在上传时遇到技术问题，有充足的时间请教平台的技术人员。</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2、供应商认为招标文件使自己的权益受到损害的，可以自收到招标文件 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质疑答复最终以财政部94号文为准</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23</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中标候选人公示媒介</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新疆政府采购网（www.zjzfcg.gov.cn），公示期为一个工作日。</w:t>
            </w:r>
          </w:p>
        </w:tc>
      </w:tr>
      <w:tr>
        <w:tblPrEx>
          <w:tblCellMar>
            <w:top w:w="0" w:type="dxa"/>
            <w:left w:w="108" w:type="dxa"/>
            <w:bottom w:w="0" w:type="dxa"/>
            <w:right w:w="108" w:type="dxa"/>
          </w:tblCellMar>
        </w:tblPrEx>
        <w:trPr>
          <w:trHeight w:val="41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24</w:t>
            </w:r>
          </w:p>
        </w:tc>
        <w:tc>
          <w:tcPr>
            <w:tcW w:w="831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655"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831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收费标准：中标单位在领取本采购项目中标通知书时，按照《国家计委关于印发招标代理服务收费管理暂行办法的通知（计价格[2002]1980号）中规定收费基准支付代理费及《招标代理服务收费有关问题》（发改价格[2015]299号）中规定收取代理费；</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招标代理服务收费标准( 费 率)</w:t>
            </w:r>
          </w:p>
          <w:tbl>
            <w:tblPr>
              <w:tblStyle w:val="23"/>
              <w:tblpPr w:leftFromText="180" w:rightFromText="180" w:vertAnchor="text" w:horzAnchor="page" w:tblpXSpec="center" w:tblpY="19"/>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33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61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费率中标金额</w:t>
                  </w:r>
                </w:p>
              </w:tc>
              <w:tc>
                <w:tcPr>
                  <w:tcW w:w="1530"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货物招标</w:t>
                  </w:r>
                </w:p>
              </w:tc>
              <w:tc>
                <w:tcPr>
                  <w:tcW w:w="1335"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服务招标</w:t>
                  </w:r>
                </w:p>
              </w:tc>
              <w:tc>
                <w:tcPr>
                  <w:tcW w:w="299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100万元以下</w:t>
                  </w:r>
                </w:p>
              </w:tc>
              <w:tc>
                <w:tcPr>
                  <w:tcW w:w="1530"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1.5%</w:t>
                  </w:r>
                </w:p>
              </w:tc>
              <w:tc>
                <w:tcPr>
                  <w:tcW w:w="1335"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1.5%</w:t>
                  </w:r>
                </w:p>
              </w:tc>
              <w:tc>
                <w:tcPr>
                  <w:tcW w:w="299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100～500万元</w:t>
                  </w:r>
                </w:p>
              </w:tc>
              <w:tc>
                <w:tcPr>
                  <w:tcW w:w="1530"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1.1%</w:t>
                  </w:r>
                </w:p>
              </w:tc>
              <w:tc>
                <w:tcPr>
                  <w:tcW w:w="1335"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0.8%</w:t>
                  </w:r>
                </w:p>
              </w:tc>
              <w:tc>
                <w:tcPr>
                  <w:tcW w:w="299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jc w:val="center"/>
              </w:trPr>
              <w:tc>
                <w:tcPr>
                  <w:tcW w:w="261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500～1000万元</w:t>
                  </w:r>
                </w:p>
              </w:tc>
              <w:tc>
                <w:tcPr>
                  <w:tcW w:w="1530"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0.8%</w:t>
                  </w:r>
                </w:p>
              </w:tc>
              <w:tc>
                <w:tcPr>
                  <w:tcW w:w="1335"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0.45%</w:t>
                  </w:r>
                </w:p>
              </w:tc>
              <w:tc>
                <w:tcPr>
                  <w:tcW w:w="299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61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1000～5000万元</w:t>
                  </w:r>
                </w:p>
              </w:tc>
              <w:tc>
                <w:tcPr>
                  <w:tcW w:w="1530"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0.5%</w:t>
                  </w:r>
                </w:p>
              </w:tc>
              <w:tc>
                <w:tcPr>
                  <w:tcW w:w="1335"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0.25%</w:t>
                  </w:r>
                </w:p>
              </w:tc>
              <w:tc>
                <w:tcPr>
                  <w:tcW w:w="299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1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5000万元～1亿元</w:t>
                  </w:r>
                </w:p>
              </w:tc>
              <w:tc>
                <w:tcPr>
                  <w:tcW w:w="1530"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0.25%</w:t>
                  </w:r>
                </w:p>
              </w:tc>
              <w:tc>
                <w:tcPr>
                  <w:tcW w:w="1335"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0.1%</w:t>
                  </w:r>
                </w:p>
              </w:tc>
              <w:tc>
                <w:tcPr>
                  <w:tcW w:w="299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w:t>
                  </w:r>
                  <w:r>
                    <w:rPr>
                      <w:rFonts w:hint="eastAsia" w:ascii="仿宋" w:hAnsi="仿宋" w:eastAsia="仿宋" w:cs="仿宋"/>
                      <w:color w:val="000000" w:themeColor="text1"/>
                      <w:sz w:val="21"/>
                      <w:szCs w:val="21"/>
                      <w:lang w:eastAsia="zh-CN"/>
                      <w14:textFill>
                        <w14:solidFill>
                          <w14:schemeClr w14:val="tx1"/>
                        </w14:solidFill>
                      </w14:textFill>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1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1～5亿元</w:t>
                  </w:r>
                </w:p>
              </w:tc>
              <w:tc>
                <w:tcPr>
                  <w:tcW w:w="1530"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0.05%</w:t>
                  </w:r>
                </w:p>
              </w:tc>
              <w:tc>
                <w:tcPr>
                  <w:tcW w:w="1335"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0.05%</w:t>
                  </w:r>
                </w:p>
              </w:tc>
              <w:tc>
                <w:tcPr>
                  <w:tcW w:w="299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w:t>
                  </w:r>
                  <w:r>
                    <w:rPr>
                      <w:rFonts w:hint="eastAsia" w:ascii="仿宋" w:hAnsi="仿宋" w:eastAsia="仿宋" w:cs="仿宋"/>
                      <w:color w:val="000000" w:themeColor="text1"/>
                      <w:sz w:val="21"/>
                      <w:szCs w:val="21"/>
                      <w:lang w:eastAsia="zh-CN"/>
                      <w14:textFill>
                        <w14:solidFill>
                          <w14:schemeClr w14:val="tx1"/>
                        </w14:solidFill>
                      </w14:textFill>
                    </w:rPr>
                    <w:cr/>
                  </w:r>
                  <w:r>
                    <w:rPr>
                      <w:rFonts w:hint="eastAsia" w:ascii="仿宋" w:hAnsi="仿宋" w:eastAsia="仿宋" w:cs="仿宋"/>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61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5～10亿元</w:t>
                  </w:r>
                </w:p>
              </w:tc>
              <w:tc>
                <w:tcPr>
                  <w:tcW w:w="1530"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0.035%</w:t>
                  </w:r>
                </w:p>
              </w:tc>
              <w:tc>
                <w:tcPr>
                  <w:tcW w:w="1335"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0.035%</w:t>
                  </w:r>
                </w:p>
              </w:tc>
              <w:tc>
                <w:tcPr>
                  <w:tcW w:w="299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1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10～50亿元</w:t>
                  </w:r>
                </w:p>
              </w:tc>
              <w:tc>
                <w:tcPr>
                  <w:tcW w:w="1530"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0.008%</w:t>
                  </w:r>
                </w:p>
              </w:tc>
              <w:tc>
                <w:tcPr>
                  <w:tcW w:w="1335"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0.008%</w:t>
                  </w:r>
                </w:p>
              </w:tc>
              <w:tc>
                <w:tcPr>
                  <w:tcW w:w="299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50～100亿元</w:t>
                  </w:r>
                </w:p>
              </w:tc>
              <w:tc>
                <w:tcPr>
                  <w:tcW w:w="1530"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0.006%</w:t>
                  </w:r>
                </w:p>
              </w:tc>
              <w:tc>
                <w:tcPr>
                  <w:tcW w:w="1335"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0.006%</w:t>
                  </w:r>
                </w:p>
              </w:tc>
              <w:tc>
                <w:tcPr>
                  <w:tcW w:w="299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1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100亿以上</w:t>
                  </w:r>
                </w:p>
              </w:tc>
              <w:tc>
                <w:tcPr>
                  <w:tcW w:w="1530"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0.004%</w:t>
                  </w:r>
                </w:p>
              </w:tc>
              <w:tc>
                <w:tcPr>
                  <w:tcW w:w="1335"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0.004%</w:t>
                  </w:r>
                </w:p>
              </w:tc>
              <w:tc>
                <w:tcPr>
                  <w:tcW w:w="2996" w:type="dxa"/>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0.004%</w:t>
                  </w:r>
                </w:p>
              </w:tc>
            </w:tr>
          </w:tbl>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注：</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1、按本表费率计算的收费为招标代理服务全过程的收费基准价格，单独提供编制招标文件（有标底的含标底）服务的，可按规定标准的30％计收。</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2、招标代理服务收费按差额定率累进法计算。例如：某工程招标代理业务中标金额为6000万元，计算招标代理服务费额如下：</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100万元×1.0％＝1万元</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（500－100）万元×0.7％＝2.8万元</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（1000－500）万元×0.55％＝2.75万元</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（5000－1000）万元×0.35％＝14万元</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（6000－5000）万元×0.2％＝2万元</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合计收费＝1＋2.8＋2.75＋14＋2＝22.55(万元)</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25</w:t>
            </w:r>
          </w:p>
        </w:tc>
        <w:tc>
          <w:tcPr>
            <w:tcW w:w="831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评标办法：本项目采用综合评分法</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26</w:t>
            </w:r>
          </w:p>
        </w:tc>
        <w:tc>
          <w:tcPr>
            <w:tcW w:w="831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27</w:t>
            </w:r>
          </w:p>
        </w:tc>
        <w:tc>
          <w:tcPr>
            <w:tcW w:w="8313" w:type="dxa"/>
            <w:gridSpan w:val="2"/>
            <w:tcBorders>
              <w:top w:val="single" w:color="auto" w:sz="4" w:space="0"/>
              <w:left w:val="single" w:color="auto" w:sz="4" w:space="0"/>
              <w:bottom w:val="single" w:color="auto" w:sz="4" w:space="0"/>
              <w:right w:val="single" w:color="auto" w:sz="4" w:space="0"/>
            </w:tcBorders>
            <w:vAlign w:val="center"/>
          </w:tcPr>
          <w:p>
            <w:pPr>
              <w:pStyle w:val="19"/>
              <w:spacing w:before="75" w:after="75" w:line="240" w:lineRule="exact"/>
              <w:ind w:firstLine="42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本次招标最高限价：</w:t>
            </w:r>
            <w:r>
              <w:rPr>
                <w:rFonts w:hint="eastAsia" w:ascii="仿宋" w:hAnsi="仿宋" w:eastAsia="仿宋" w:cs="仿宋"/>
                <w:color w:val="333333"/>
                <w:kern w:val="2"/>
                <w:sz w:val="21"/>
                <w:szCs w:val="21"/>
                <w:lang w:eastAsia="zh-CN" w:bidi="ar"/>
              </w:rPr>
              <w:t>4143500.00</w:t>
            </w:r>
          </w:p>
        </w:tc>
      </w:tr>
      <w:tr>
        <w:tblPrEx>
          <w:tblCellMar>
            <w:top w:w="0" w:type="dxa"/>
            <w:left w:w="108" w:type="dxa"/>
            <w:bottom w:w="0" w:type="dxa"/>
            <w:right w:w="108" w:type="dxa"/>
          </w:tblCellMar>
        </w:tblPrEx>
        <w:trPr>
          <w:trHeight w:val="84" w:hRule="atLeast"/>
          <w:jc w:val="center"/>
        </w:trPr>
        <w:tc>
          <w:tcPr>
            <w:tcW w:w="712"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28</w:t>
            </w:r>
          </w:p>
        </w:tc>
        <w:tc>
          <w:tcPr>
            <w:tcW w:w="1550"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中小微企业政策文件</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zh-CN" w:eastAsia="zh-CN"/>
                <w14:textFill>
                  <w14:solidFill>
                    <w14:schemeClr w14:val="tx1"/>
                  </w14:solidFill>
                </w14:textFill>
              </w:rPr>
              <w:t>（1）根据财政部《政府采购促进中小企业发展管理办法》（财库[2020]46号）、《关于进一步加大政府采购支持中小企业力度的通知》(财库[2022]19号)、新财购（2022）22号文件《关于落实好政府采购支持中小企业发展的通知》，投标人及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p>
        </w:tc>
        <w:tc>
          <w:tcPr>
            <w:tcW w:w="1550" w:type="dxa"/>
            <w:vMerge w:val="continue"/>
            <w:tcBorders>
              <w:left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2020" w:hRule="atLeast"/>
          <w:jc w:val="center"/>
        </w:trPr>
        <w:tc>
          <w:tcPr>
            <w:tcW w:w="712"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29</w:t>
            </w:r>
          </w:p>
        </w:tc>
        <w:tc>
          <w:tcPr>
            <w:tcW w:w="1550"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中小微企业政策文件说明</w:t>
            </w: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支持中小企业发展：给予小型和微型企业产品的价格10%-20%的扣除，用扣除后的价格参与评审，本项目具体扣除比例为10%。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721" w:hRule="atLeast"/>
          <w:jc w:val="center"/>
        </w:trPr>
        <w:tc>
          <w:tcPr>
            <w:tcW w:w="712"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（2）不符合上述适用情形的投标人无需提供上述声明函件。</w:t>
            </w:r>
          </w:p>
        </w:tc>
      </w:tr>
      <w:tr>
        <w:tblPrEx>
          <w:tblCellMar>
            <w:top w:w="0" w:type="dxa"/>
            <w:left w:w="108" w:type="dxa"/>
            <w:bottom w:w="0" w:type="dxa"/>
            <w:right w:w="108" w:type="dxa"/>
          </w:tblCellMar>
        </w:tblPrEx>
        <w:trPr>
          <w:trHeight w:val="90" w:hRule="atLeast"/>
          <w:jc w:val="center"/>
        </w:trPr>
        <w:tc>
          <w:tcPr>
            <w:tcW w:w="712" w:type="dxa"/>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30</w:t>
            </w:r>
          </w:p>
        </w:tc>
        <w:tc>
          <w:tcPr>
            <w:tcW w:w="1550" w:type="dxa"/>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履约保证金</w:t>
            </w:r>
          </w:p>
          <w:p>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zh-CN" w:eastAsia="zh-CN"/>
                <w14:textFill>
                  <w14:solidFill>
                    <w14:schemeClr w14:val="tx1"/>
                  </w14:solidFill>
                </w14:textFill>
              </w:rPr>
              <w:t>成交人</w:t>
            </w:r>
            <w:r>
              <w:rPr>
                <w:rFonts w:hint="eastAsia" w:ascii="仿宋" w:hAnsi="仿宋" w:eastAsia="仿宋" w:cs="仿宋"/>
                <w:color w:val="000000" w:themeColor="text1"/>
                <w:sz w:val="21"/>
                <w:szCs w:val="21"/>
                <w:lang w:eastAsia="zh-CN"/>
                <w14:textFill>
                  <w14:solidFill>
                    <w14:schemeClr w14:val="tx1"/>
                  </w14:solidFill>
                </w14:textFill>
              </w:rPr>
              <w:t>应在领取《</w:t>
            </w:r>
            <w:r>
              <w:rPr>
                <w:rFonts w:hint="eastAsia" w:ascii="仿宋" w:hAnsi="仿宋" w:eastAsia="仿宋" w:cs="仿宋"/>
                <w:color w:val="000000" w:themeColor="text1"/>
                <w:sz w:val="21"/>
                <w:szCs w:val="21"/>
                <w:lang w:val="zh-CN" w:eastAsia="zh-CN"/>
                <w14:textFill>
                  <w14:solidFill>
                    <w14:schemeClr w14:val="tx1"/>
                  </w14:solidFill>
                </w14:textFill>
              </w:rPr>
              <w:t>成交通知书</w:t>
            </w:r>
            <w:r>
              <w:rPr>
                <w:rFonts w:hint="eastAsia" w:ascii="仿宋" w:hAnsi="仿宋" w:eastAsia="仿宋" w:cs="仿宋"/>
                <w:color w:val="000000" w:themeColor="text1"/>
                <w:sz w:val="21"/>
                <w:szCs w:val="21"/>
                <w:lang w:eastAsia="zh-CN"/>
                <w14:textFill>
                  <w14:solidFill>
                    <w14:schemeClr w14:val="tx1"/>
                  </w14:solidFill>
                </w14:textFill>
              </w:rPr>
              <w:t>》后的十个日历日内，办理履约保证金（支持银行保函），</w:t>
            </w:r>
            <w:r>
              <w:rPr>
                <w:rFonts w:hint="eastAsia" w:ascii="仿宋" w:hAnsi="仿宋" w:eastAsia="仿宋" w:cs="仿宋"/>
                <w:color w:val="000000" w:themeColor="text1"/>
                <w:sz w:val="21"/>
                <w:szCs w:val="21"/>
                <w:lang w:val="zh-CN" w:eastAsia="zh-CN"/>
                <w14:textFill>
                  <w14:solidFill>
                    <w14:schemeClr w14:val="tx1"/>
                  </w14:solidFill>
                </w14:textFill>
              </w:rPr>
              <w:t>金额不超过合同总价的10%，</w:t>
            </w:r>
            <w:r>
              <w:rPr>
                <w:rFonts w:hint="eastAsia" w:ascii="仿宋" w:hAnsi="仿宋" w:eastAsia="仿宋" w:cs="仿宋"/>
                <w:color w:val="000000" w:themeColor="text1"/>
                <w:sz w:val="21"/>
                <w:szCs w:val="21"/>
                <w:lang w:eastAsia="zh-CN"/>
                <w14:textFill>
                  <w14:solidFill>
                    <w14:schemeClr w14:val="tx1"/>
                  </w14:solidFill>
                </w14:textFill>
              </w:rPr>
              <w:t>否则招标人可取消</w:t>
            </w:r>
            <w:r>
              <w:rPr>
                <w:rFonts w:hint="eastAsia" w:ascii="仿宋" w:hAnsi="仿宋" w:eastAsia="仿宋" w:cs="仿宋"/>
                <w:color w:val="000000" w:themeColor="text1"/>
                <w:sz w:val="21"/>
                <w:szCs w:val="21"/>
                <w:lang w:val="zh-CN" w:eastAsia="zh-CN"/>
                <w14:textFill>
                  <w14:solidFill>
                    <w14:schemeClr w14:val="tx1"/>
                  </w14:solidFill>
                </w14:textFill>
              </w:rPr>
              <w:t>成交人</w:t>
            </w:r>
            <w:r>
              <w:rPr>
                <w:rFonts w:hint="eastAsia" w:ascii="仿宋" w:hAnsi="仿宋" w:eastAsia="仿宋" w:cs="仿宋"/>
                <w:color w:val="000000" w:themeColor="text1"/>
                <w:sz w:val="21"/>
                <w:szCs w:val="21"/>
                <w:lang w:eastAsia="zh-CN"/>
                <w14:textFill>
                  <w14:solidFill>
                    <w14:schemeClr w14:val="tx1"/>
                  </w14:solidFill>
                </w14:textFill>
              </w:rPr>
              <w:t>的</w:t>
            </w:r>
            <w:r>
              <w:rPr>
                <w:rFonts w:hint="eastAsia" w:ascii="仿宋" w:hAnsi="仿宋" w:eastAsia="仿宋" w:cs="仿宋"/>
                <w:color w:val="000000" w:themeColor="text1"/>
                <w:sz w:val="21"/>
                <w:szCs w:val="21"/>
                <w:lang w:val="zh-CN" w:eastAsia="zh-CN"/>
                <w14:textFill>
                  <w14:solidFill>
                    <w14:schemeClr w14:val="tx1"/>
                  </w14:solidFill>
                </w14:textFill>
              </w:rPr>
              <w:t>成交</w:t>
            </w:r>
            <w:r>
              <w:rPr>
                <w:rFonts w:hint="eastAsia" w:ascii="仿宋" w:hAnsi="仿宋" w:eastAsia="仿宋" w:cs="仿宋"/>
                <w:color w:val="000000" w:themeColor="text1"/>
                <w:sz w:val="21"/>
                <w:szCs w:val="21"/>
                <w:lang w:eastAsia="zh-CN"/>
                <w14:textFill>
                  <w14:solidFill>
                    <w14:schemeClr w14:val="tx1"/>
                  </w14:solidFill>
                </w14:textFill>
              </w:rPr>
              <w:t>资格，并没收其投标保证金。</w:t>
            </w:r>
          </w:p>
        </w:tc>
      </w:tr>
      <w:tr>
        <w:tblPrEx>
          <w:tblCellMar>
            <w:top w:w="0" w:type="dxa"/>
            <w:left w:w="108" w:type="dxa"/>
            <w:bottom w:w="0" w:type="dxa"/>
            <w:right w:w="108" w:type="dxa"/>
          </w:tblCellMar>
        </w:tblPrEx>
        <w:trPr>
          <w:trHeight w:val="84" w:hRule="atLeast"/>
          <w:jc w:val="center"/>
        </w:trPr>
        <w:tc>
          <w:tcPr>
            <w:tcW w:w="2262"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备注</w:t>
            </w:r>
          </w:p>
        </w:tc>
        <w:tc>
          <w:tcPr>
            <w:tcW w:w="67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1、着重提醒各投标人注意，并认真查看招标文件中的每一个条款及要求，因误读招标文件而造成的后果，招标人概不负责。</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2、投标人使用相同IP地址的，一经发现，相关部门将进一步核实，查实后按串通投标处理。</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3、为保证本项目质量，良好的售后服务，最低报价不作为中标的唯一依据。</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4、采购人若发现成交候选供应商在投标过程中提供虚假证明文件，故意隐瞒公司不良信誉和财务状况，以及其他可能对合同圆满履行造成风险的因素等，则按规定取消其成交资格，监管部门依法进行处理。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5、其它：</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（1）投标企业严格遵守国家的法律法规及招标纪律，无违法违纪及商业贿赂行为。</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（2）不管投标结果如何，供应商均应自行承担投标所需一切费用。</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（3）供应商应以书面形式保证中标后由本公司组织实施，不得以任何理由将项目转包给其他机构。</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（4）招标文件中如出现前后不一致情况，均以前附表内容为准。</w:t>
            </w:r>
          </w:p>
        </w:tc>
      </w:tr>
      <w:tr>
        <w:tblPrEx>
          <w:tblCellMar>
            <w:top w:w="0" w:type="dxa"/>
            <w:left w:w="108" w:type="dxa"/>
            <w:bottom w:w="0" w:type="dxa"/>
            <w:right w:w="108" w:type="dxa"/>
          </w:tblCellMar>
        </w:tblPrEx>
        <w:trPr>
          <w:trHeight w:val="84" w:hRule="atLeast"/>
          <w:jc w:val="center"/>
        </w:trPr>
        <w:tc>
          <w:tcPr>
            <w:tcW w:w="2262"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color w:val="000000" w:themeColor="text1"/>
                <w:sz w:val="21"/>
                <w:szCs w:val="21"/>
                <w:lang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1:本次招标所有标的均属于</w:t>
            </w:r>
            <w:r>
              <w:rPr>
                <w:rFonts w:hint="eastAsia" w:ascii="仿宋" w:hAnsi="仿宋" w:eastAsia="仿宋" w:cs="仿宋"/>
                <w:color w:val="auto"/>
                <w:sz w:val="21"/>
                <w:szCs w:val="21"/>
                <w:u w:val="single"/>
                <w:lang w:eastAsia="zh-CN"/>
              </w:rPr>
              <w:t>工业</w:t>
            </w:r>
            <w:r>
              <w:rPr>
                <w:rFonts w:hint="eastAsia" w:ascii="仿宋" w:hAnsi="仿宋" w:eastAsia="仿宋" w:cs="仿宋"/>
                <w:color w:val="auto"/>
                <w:sz w:val="21"/>
                <w:szCs w:val="21"/>
                <w:lang w:eastAsia="zh-CN"/>
              </w:rPr>
              <w:t>行业</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auto"/>
                <w:sz w:val="21"/>
                <w:szCs w:val="21"/>
                <w:lang w:eastAsia="zh-CN"/>
              </w:rPr>
              <w:t>2: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bl>
    <w:p>
      <w:pPr>
        <w:pageBreakBefore/>
        <w:spacing w:before="312" w:beforeLines="100" w:after="312" w:afterLines="100" w:line="440" w:lineRule="exact"/>
        <w:jc w:val="center"/>
        <w:outlineLvl w:val="1"/>
        <w:rPr>
          <w:rFonts w:ascii="仿宋" w:hAnsi="仿宋" w:eastAsia="仿宋" w:cs="仿宋"/>
          <w:b/>
          <w:color w:val="000000" w:themeColor="text1"/>
          <w:sz w:val="28"/>
          <w:szCs w:val="32"/>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二、投标人须知</w:t>
      </w:r>
    </w:p>
    <w:p>
      <w:pPr>
        <w:spacing w:line="440" w:lineRule="exact"/>
        <w:jc w:val="center"/>
        <w:outlineLvl w:val="2"/>
        <w:rPr>
          <w:rFonts w:ascii="仿宋" w:hAnsi="仿宋" w:eastAsia="仿宋" w:cs="仿宋"/>
          <w:color w:val="000000" w:themeColor="text1"/>
          <w:sz w:val="28"/>
          <w:szCs w:val="28"/>
          <w:lang w:eastAsia="zh-CN"/>
          <w14:textFill>
            <w14:solidFill>
              <w14:schemeClr w14:val="tx1"/>
            </w14:solidFill>
          </w14:textFill>
        </w:rPr>
      </w:pPr>
      <w:bookmarkStart w:id="1" w:name="_Toc469495724"/>
      <w:r>
        <w:rPr>
          <w:rFonts w:hint="eastAsia" w:ascii="仿宋" w:hAnsi="仿宋" w:eastAsia="仿宋" w:cs="仿宋"/>
          <w:b/>
          <w:color w:val="000000" w:themeColor="text1"/>
          <w:sz w:val="28"/>
          <w:szCs w:val="28"/>
          <w:lang w:eastAsia="zh-CN"/>
          <w14:textFill>
            <w14:solidFill>
              <w14:schemeClr w14:val="tx1"/>
            </w14:solidFill>
          </w14:textFill>
        </w:rPr>
        <w:t>（一）</w:t>
      </w:r>
      <w:r>
        <w:rPr>
          <w:rFonts w:hint="eastAsia" w:ascii="仿宋" w:hAnsi="仿宋" w:eastAsia="仿宋" w:cs="仿宋"/>
          <w:b/>
          <w:color w:val="000000" w:themeColor="text1"/>
          <w:sz w:val="28"/>
          <w:szCs w:val="32"/>
          <w:lang w:eastAsia="zh-CN"/>
          <w14:textFill>
            <w14:solidFill>
              <w14:schemeClr w14:val="tx1"/>
            </w14:solidFill>
          </w14:textFill>
        </w:rPr>
        <w:t>总  则</w:t>
      </w:r>
      <w:bookmarkEnd w:id="1"/>
    </w:p>
    <w:p>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1.项目概况</w:t>
      </w:r>
    </w:p>
    <w:p>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1.1本次招标采购项目名称：见投标人须知前附表。</w:t>
      </w:r>
    </w:p>
    <w:p>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项目编号：见投标人须知前附表。</w:t>
      </w:r>
    </w:p>
    <w:p>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招标人：见投标人须知前附表。</w:t>
      </w:r>
    </w:p>
    <w:p>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供货及安装期：见投标人须知前附表。</w:t>
      </w:r>
    </w:p>
    <w:p>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供货地点：见投标人须知前附表。</w:t>
      </w:r>
    </w:p>
    <w:p>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1.2招标人及联系人: 见投标人须知前附表。</w:t>
      </w:r>
    </w:p>
    <w:p>
      <w:pPr>
        <w:snapToGrid w:val="0"/>
        <w:spacing w:line="440" w:lineRule="exact"/>
        <w:ind w:firstLine="600" w:firstLineChars="25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代理机构及联系人: 见投标人须知前附表。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1.3资金来源：见投标人须知前附表。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1.4本项目预算：见投标人须知前附表。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1.5本项目控制价：见投标人须知前附表。</w:t>
      </w:r>
    </w:p>
    <w:p>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2.招标范围：</w:t>
      </w:r>
    </w:p>
    <w:p>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2.1 采购内容：见投标人须知前附表。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 技术要求：详见采购文件第四章采购内容及技术要求。</w:t>
      </w:r>
    </w:p>
    <w:p>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3.标包划分：</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3.1本项目划分：</w:t>
      </w:r>
      <w:r>
        <w:rPr>
          <w:rFonts w:hint="eastAsia" w:ascii="仿宋" w:hAnsi="仿宋" w:eastAsia="仿宋" w:cs="仿宋"/>
          <w:color w:val="000000" w:themeColor="text1"/>
          <w:szCs w:val="21"/>
          <w:u w:val="single"/>
          <w:lang w:eastAsia="zh-CN"/>
          <w14:textFill>
            <w14:solidFill>
              <w14:schemeClr w14:val="tx1"/>
            </w14:solidFill>
          </w14:textFill>
        </w:rPr>
        <w:t xml:space="preserve"> 1</w:t>
      </w:r>
      <w:r>
        <w:rPr>
          <w:rFonts w:hint="eastAsia" w:ascii="仿宋" w:hAnsi="仿宋" w:eastAsia="仿宋" w:cs="仿宋"/>
          <w:color w:val="000000" w:themeColor="text1"/>
          <w:szCs w:val="21"/>
          <w:lang w:eastAsia="zh-CN"/>
          <w14:textFill>
            <w14:solidFill>
              <w14:schemeClr w14:val="tx1"/>
            </w14:solidFill>
          </w14:textFill>
        </w:rPr>
        <w:t>个包。</w:t>
      </w:r>
    </w:p>
    <w:p>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4.招标方式：</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4.1本项目招标方式：见投标人须知前附表。</w:t>
      </w:r>
    </w:p>
    <w:p>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5.计价方式：</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5.1本次招标项目合同采用</w:t>
      </w:r>
      <w:r>
        <w:rPr>
          <w:rFonts w:hint="eastAsia" w:ascii="仿宋" w:hAnsi="仿宋" w:eastAsia="仿宋" w:cs="仿宋"/>
          <w:color w:val="000000" w:themeColor="text1"/>
          <w:szCs w:val="21"/>
          <w:u w:val="single"/>
          <w:lang w:eastAsia="zh-CN"/>
          <w14:textFill>
            <w14:solidFill>
              <w14:schemeClr w14:val="tx1"/>
            </w14:solidFill>
          </w14:textFill>
        </w:rPr>
        <w:t xml:space="preserve"> </w:t>
      </w:r>
      <w:r>
        <w:rPr>
          <w:rFonts w:hint="eastAsia" w:ascii="仿宋" w:hAnsi="仿宋" w:eastAsia="仿宋" w:cs="仿宋"/>
          <w:color w:val="auto"/>
          <w:szCs w:val="21"/>
          <w:u w:val="single"/>
          <w:lang w:eastAsia="zh-CN"/>
        </w:rPr>
        <w:t xml:space="preserve"> 固定总价</w:t>
      </w:r>
      <w:r>
        <w:rPr>
          <w:rFonts w:hint="eastAsia" w:ascii="仿宋" w:hAnsi="仿宋" w:eastAsia="仿宋" w:cs="仿宋"/>
          <w:color w:val="000000" w:themeColor="text1"/>
          <w:szCs w:val="21"/>
          <w:u w:val="single"/>
          <w:lang w:eastAsia="zh-CN"/>
          <w14:textFill>
            <w14:solidFill>
              <w14:schemeClr w14:val="tx1"/>
            </w14:solidFill>
          </w14:textFill>
        </w:rPr>
        <w:t>。</w:t>
      </w:r>
    </w:p>
    <w:p>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6.评标办法：</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6.1本次招标评标采用</w:t>
      </w:r>
      <w:r>
        <w:rPr>
          <w:rFonts w:hint="eastAsia" w:ascii="仿宋" w:hAnsi="仿宋" w:eastAsia="仿宋" w:cs="仿宋"/>
          <w:color w:val="000000" w:themeColor="text1"/>
          <w:szCs w:val="21"/>
          <w:u w:val="single"/>
          <w:lang w:eastAsia="zh-CN"/>
          <w14:textFill>
            <w14:solidFill>
              <w14:schemeClr w14:val="tx1"/>
            </w14:solidFill>
          </w14:textFill>
        </w:rPr>
        <w:t xml:space="preserve">  综合评分法 </w:t>
      </w:r>
      <w:r>
        <w:rPr>
          <w:rFonts w:hint="eastAsia" w:ascii="仿宋" w:hAnsi="仿宋" w:eastAsia="仿宋" w:cs="仿宋"/>
          <w:color w:val="000000" w:themeColor="text1"/>
          <w:szCs w:val="21"/>
          <w:lang w:eastAsia="zh-CN"/>
          <w14:textFill>
            <w14:solidFill>
              <w14:schemeClr w14:val="tx1"/>
            </w14:solidFill>
          </w14:textFill>
        </w:rPr>
        <w:t>（详见第三章评标办法）</w:t>
      </w:r>
    </w:p>
    <w:p>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7.投标人资格：</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7.1参与采购活动的投标人必须是满足《中华人民共和国政府采购法》规定条件的法人、其他组织或者自然人：</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7.2由于政府采购项目的差异性，投标人在参与具体政府采购项目活动时，应仔细阅读该项目的资质要求,具体见投标人须知前附表。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8. 投标费用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8.1投标人准备和参加投标活动发生的费用自理。</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9.</w:t>
      </w:r>
      <w:bookmarkStart w:id="2" w:name="_Toc296602429"/>
      <w:bookmarkStart w:id="3" w:name="_Toc247592876"/>
      <w:bookmarkStart w:id="4" w:name="_Toc247513962"/>
      <w:bookmarkStart w:id="5" w:name="_Toc152042315"/>
      <w:bookmarkStart w:id="6" w:name="_Toc152045539"/>
      <w:bookmarkStart w:id="7" w:name="_Toc144974507"/>
      <w:bookmarkStart w:id="8" w:name="_Toc247527563"/>
      <w:r>
        <w:rPr>
          <w:rFonts w:hint="eastAsia" w:ascii="仿宋" w:hAnsi="仿宋" w:eastAsia="仿宋" w:cs="仿宋"/>
          <w:b/>
          <w:color w:val="000000" w:themeColor="text1"/>
          <w:szCs w:val="21"/>
          <w:lang w:eastAsia="zh-CN"/>
          <w14:textFill>
            <w14:solidFill>
              <w14:schemeClr w14:val="tx1"/>
            </w14:solidFill>
          </w14:textFill>
        </w:rPr>
        <w:t xml:space="preserve"> 踏勘现场</w:t>
      </w:r>
      <w:bookmarkEnd w:id="2"/>
      <w:bookmarkEnd w:id="3"/>
      <w:bookmarkEnd w:id="4"/>
      <w:bookmarkEnd w:id="5"/>
      <w:bookmarkEnd w:id="6"/>
      <w:bookmarkEnd w:id="7"/>
      <w:bookmarkEnd w:id="8"/>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9.1 投标人须知前附表规定组织踏勘现场的，招标人按投标人须知前附表规定的时间、地点组织投标人踏勘项目现场。如需踏勘现场，</w:t>
      </w:r>
      <w:r>
        <w:rPr>
          <w:rFonts w:hint="eastAsia" w:ascii="仿宋" w:hAnsi="仿宋" w:eastAsia="仿宋" w:cs="仿宋"/>
          <w:color w:val="000000" w:themeColor="text1"/>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szCs w:val="21"/>
          <w:lang w:eastAsia="zh-CN"/>
          <w14:textFill>
            <w14:solidFill>
              <w14:schemeClr w14:val="tx1"/>
            </w14:solidFill>
          </w14:textFill>
        </w:rPr>
        <w:t xml:space="preserve"> </w:t>
      </w:r>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9.2 投标人踏勘现场发生的费用自理。</w:t>
      </w:r>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9.3 除招标人的原因外，投标人自行负责在踏勘现场中所发生的人员伤亡和财产损失。</w:t>
      </w:r>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9" w:name="_Toc247592877"/>
      <w:bookmarkStart w:id="10" w:name="_Toc247513963"/>
      <w:bookmarkStart w:id="11" w:name="_Toc152045540"/>
      <w:bookmarkStart w:id="12" w:name="_Toc144974508"/>
      <w:bookmarkStart w:id="13" w:name="_Toc296602430"/>
      <w:bookmarkStart w:id="14" w:name="_Toc152042316"/>
      <w:bookmarkStart w:id="15" w:name="_Toc247527564"/>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10. 投标预备会</w:t>
      </w:r>
      <w:bookmarkEnd w:id="9"/>
      <w:bookmarkEnd w:id="10"/>
      <w:bookmarkEnd w:id="11"/>
      <w:bookmarkEnd w:id="12"/>
      <w:bookmarkEnd w:id="13"/>
      <w:bookmarkEnd w:id="14"/>
      <w:bookmarkEnd w:id="15"/>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10.1投标人须知前附表规定召开投标预备会的，招标人按投标人须知前附表规定的时间和地点召开投标预备会，澄清投标人提出的问题。</w:t>
      </w:r>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10.2投标人应在投标人须知前附表规定的时间前，将提出的问题送达招标人，以便招标人澄清。</w:t>
      </w:r>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10.3招标人在投标人须知前附表规定的时间，将对投标人所提的问题进行澄清。该澄清内容为采购文件的组成部分。</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11. 联合投标</w:t>
      </w:r>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pacing w:line="40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pacing w:line="400" w:lineRule="exact"/>
        <w:ind w:firstLine="470" w:firstLineChars="196"/>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11.3 联合体应当确定其中一个单位为投标的全权代表，负责参加投标的一切事务，并承担投标及履约中应承担的全部责任与义务。</w:t>
      </w:r>
    </w:p>
    <w:p>
      <w:pPr>
        <w:pStyle w:val="11"/>
        <w:spacing w:after="0" w:line="400" w:lineRule="exact"/>
        <w:ind w:left="0" w:leftChars="0" w:firstLine="484" w:firstLineChars="20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11.4 联合体各方应当共同与招标人签订采购合同，就采购合同约定的事项对招标人承担连带责任。</w:t>
      </w:r>
    </w:p>
    <w:p>
      <w:pPr>
        <w:spacing w:line="440" w:lineRule="exact"/>
        <w:ind w:firstLine="470" w:firstLineChars="196"/>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12.招标代理费</w:t>
      </w:r>
    </w:p>
    <w:p>
      <w:pPr>
        <w:spacing w:line="440" w:lineRule="exact"/>
        <w:ind w:firstLine="48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12.1中标单位在领取本项目中标通知书时，按照《国家计委关于印发招标代理服务收费管理暂行办法的通知（计价格[2002]1980号）及《招标代理服务收费有关问题》（发改价格[2015]299号）中规定由中标单位向招标代理机构支付本项目代理费。收费标准如下：</w:t>
      </w:r>
    </w:p>
    <w:p>
      <w:pPr>
        <w:spacing w:line="360" w:lineRule="auto"/>
        <w:ind w:firstLine="480" w:firstLineChars="200"/>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招标代理服务收费标准</w:t>
      </w:r>
    </w:p>
    <w:tbl>
      <w:tblPr>
        <w:tblStyle w:val="23"/>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中标</w:t>
            </w:r>
            <w:r>
              <w:rPr>
                <w:rFonts w:hint="eastAsia" w:ascii="仿宋" w:hAnsi="仿宋" w:eastAsia="仿宋" w:cs="仿宋"/>
                <w:color w:val="000000" w:themeColor="text1"/>
                <w:sz w:val="21"/>
                <w:szCs w:val="21"/>
                <w14:textFill>
                  <w14:solidFill>
                    <w14:schemeClr w14:val="tx1"/>
                  </w14:solidFill>
                </w14:textFill>
              </w:rPr>
              <w:t>金额（万元）</w:t>
            </w:r>
          </w:p>
        </w:tc>
        <w:tc>
          <w:tcPr>
            <w:tcW w:w="2146" w:type="dxa"/>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货物招标</w:t>
            </w:r>
          </w:p>
        </w:tc>
        <w:tc>
          <w:tcPr>
            <w:tcW w:w="2146" w:type="dxa"/>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服务招标</w:t>
            </w:r>
          </w:p>
        </w:tc>
        <w:tc>
          <w:tcPr>
            <w:tcW w:w="1841" w:type="dxa"/>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vAlign w:val="center"/>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100以下</w:t>
            </w:r>
          </w:p>
        </w:tc>
        <w:tc>
          <w:tcPr>
            <w:tcW w:w="2146" w:type="dxa"/>
            <w:vAlign w:val="center"/>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1.50%</w:t>
            </w:r>
          </w:p>
        </w:tc>
        <w:tc>
          <w:tcPr>
            <w:tcW w:w="2146" w:type="dxa"/>
            <w:vAlign w:val="center"/>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1.50%</w:t>
            </w:r>
          </w:p>
        </w:tc>
        <w:tc>
          <w:tcPr>
            <w:tcW w:w="1841" w:type="dxa"/>
          </w:tcPr>
          <w:p>
            <w:pPr>
              <w:spacing w:line="300" w:lineRule="exact"/>
              <w:jc w:val="center"/>
              <w:rPr>
                <w:rFonts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vAlign w:val="center"/>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100-500</w:t>
            </w:r>
          </w:p>
        </w:tc>
        <w:tc>
          <w:tcPr>
            <w:tcW w:w="2146" w:type="dxa"/>
            <w:vAlign w:val="center"/>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1.10%</w:t>
            </w:r>
          </w:p>
        </w:tc>
        <w:tc>
          <w:tcPr>
            <w:tcW w:w="2146" w:type="dxa"/>
            <w:vAlign w:val="center"/>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0.80</w:t>
            </w:r>
            <w:r>
              <w:rPr>
                <w:rFonts w:hint="eastAsia" w:ascii="仿宋" w:hAnsi="仿宋" w:eastAsia="仿宋" w:cs="仿宋"/>
                <w:color w:val="000000" w:themeColor="text1"/>
                <w:sz w:val="21"/>
                <w:szCs w:val="21"/>
                <w14:textFill>
                  <w14:solidFill>
                    <w14:schemeClr w14:val="tx1"/>
                  </w14:solidFill>
                </w14:textFill>
              </w:rPr>
              <w:t>%</w:t>
            </w:r>
          </w:p>
        </w:tc>
        <w:tc>
          <w:tcPr>
            <w:tcW w:w="1841" w:type="dxa"/>
          </w:tcPr>
          <w:p>
            <w:pPr>
              <w:spacing w:line="300" w:lineRule="exact"/>
              <w:jc w:val="center"/>
              <w:rPr>
                <w:rFonts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vAlign w:val="center"/>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500-1000</w:t>
            </w:r>
          </w:p>
        </w:tc>
        <w:tc>
          <w:tcPr>
            <w:tcW w:w="2146" w:type="dxa"/>
            <w:vAlign w:val="center"/>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0.80%</w:t>
            </w:r>
          </w:p>
        </w:tc>
        <w:tc>
          <w:tcPr>
            <w:tcW w:w="2146" w:type="dxa"/>
            <w:vAlign w:val="center"/>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eastAsia="zh-CN"/>
                <w14:textFill>
                  <w14:solidFill>
                    <w14:schemeClr w14:val="tx1"/>
                  </w14:solidFill>
                </w14:textFill>
              </w:rPr>
              <w:t>45</w:t>
            </w:r>
            <w:r>
              <w:rPr>
                <w:rFonts w:hint="eastAsia" w:ascii="仿宋" w:hAnsi="仿宋" w:eastAsia="仿宋" w:cs="仿宋"/>
                <w:color w:val="000000" w:themeColor="text1"/>
                <w:sz w:val="21"/>
                <w:szCs w:val="21"/>
                <w14:textFill>
                  <w14:solidFill>
                    <w14:schemeClr w14:val="tx1"/>
                  </w14:solidFill>
                </w14:textFill>
              </w:rPr>
              <w:t>%</w:t>
            </w:r>
          </w:p>
        </w:tc>
        <w:tc>
          <w:tcPr>
            <w:tcW w:w="1841" w:type="dxa"/>
          </w:tcPr>
          <w:p>
            <w:pPr>
              <w:spacing w:line="300" w:lineRule="exact"/>
              <w:jc w:val="center"/>
              <w:rPr>
                <w:rFonts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vAlign w:val="center"/>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1000-5000</w:t>
            </w:r>
          </w:p>
        </w:tc>
        <w:tc>
          <w:tcPr>
            <w:tcW w:w="2146" w:type="dxa"/>
            <w:vAlign w:val="center"/>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0.50%</w:t>
            </w:r>
          </w:p>
        </w:tc>
        <w:tc>
          <w:tcPr>
            <w:tcW w:w="2146" w:type="dxa"/>
            <w:vAlign w:val="center"/>
          </w:tcPr>
          <w:p>
            <w:pPr>
              <w:spacing w:line="3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w:t>
            </w:r>
          </w:p>
        </w:tc>
        <w:tc>
          <w:tcPr>
            <w:tcW w:w="1841" w:type="dxa"/>
          </w:tcPr>
          <w:p>
            <w:pPr>
              <w:spacing w:line="300" w:lineRule="exact"/>
              <w:jc w:val="center"/>
              <w:rPr>
                <w:rFonts w:ascii="仿宋" w:hAnsi="仿宋" w:eastAsia="仿宋" w:cs="仿宋"/>
                <w:color w:val="000000" w:themeColor="text1"/>
                <w:sz w:val="21"/>
                <w:szCs w:val="21"/>
                <w14:textFill>
                  <w14:solidFill>
                    <w14:schemeClr w14:val="tx1"/>
                  </w14:solidFill>
                </w14:textFill>
              </w:rPr>
            </w:pPr>
          </w:p>
        </w:tc>
      </w:tr>
    </w:tbl>
    <w:p>
      <w:pPr>
        <w:spacing w:line="360" w:lineRule="auto"/>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招标代理服务收费按差额定率累进法计算。例如：某项目招标代理业务中标金额为2000万元，计算招标代理服务收费额如下：</w:t>
      </w:r>
    </w:p>
    <w:p>
      <w:pPr>
        <w:spacing w:line="360" w:lineRule="auto"/>
        <w:ind w:firstLine="48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100万元×1.50%=1.5（万元）；</w:t>
      </w:r>
    </w:p>
    <w:p>
      <w:pPr>
        <w:spacing w:line="360" w:lineRule="auto"/>
        <w:ind w:firstLine="48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（500-100）万元×1.10%=4.4（万元）</w:t>
      </w:r>
    </w:p>
    <w:p>
      <w:pPr>
        <w:spacing w:line="360" w:lineRule="auto"/>
        <w:ind w:firstLine="48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（1000-500）万元×0.80%=4.0（万元）</w:t>
      </w:r>
    </w:p>
    <w:p>
      <w:pPr>
        <w:spacing w:line="360" w:lineRule="auto"/>
        <w:ind w:firstLine="48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（2000-1000）万元×0.50%=5.0（万元）</w:t>
      </w:r>
    </w:p>
    <w:p>
      <w:pPr>
        <w:spacing w:line="360" w:lineRule="auto"/>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合计收费=1.5+4.4+4.0+5.0=14.9(万元)</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13.投标人应注意的事项</w:t>
      </w:r>
    </w:p>
    <w:p>
      <w:pPr>
        <w:spacing w:line="440" w:lineRule="exact"/>
        <w:ind w:firstLine="480" w:firstLineChars="2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pPr>
        <w:spacing w:line="440" w:lineRule="exact"/>
        <w:ind w:firstLine="480" w:firstLineChars="2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13.2 投标人对采购内容中规定的技术参数、规格等要求必须完全响应或优于采购文件中的要求。</w:t>
      </w:r>
    </w:p>
    <w:p>
      <w:pPr>
        <w:spacing w:line="440" w:lineRule="exact"/>
        <w:ind w:firstLine="470" w:firstLineChars="196"/>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13.3所有投标人的投标保证金都应在采购文件规定的投标保证金缴纳截止日期前缴纳。</w:t>
      </w:r>
    </w:p>
    <w:p>
      <w:pPr>
        <w:spacing w:line="440" w:lineRule="exact"/>
        <w:ind w:firstLine="470" w:firstLineChars="196"/>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13.4单位负责人为同一人或者存在直接控股、管理关系的不同供应商，不得参加同一合同项下的政府采购活动。</w:t>
      </w:r>
      <w:r>
        <w:rPr>
          <w:rFonts w:hint="eastAsia" w:ascii="仿宋" w:hAnsi="仿宋" w:eastAsia="仿宋" w:cs="仿宋"/>
          <w:color w:val="000000" w:themeColor="text1"/>
          <w:szCs w:val="21"/>
          <w:lang w:eastAsia="zh-CN"/>
          <w14:textFill>
            <w14:solidFill>
              <w14:schemeClr w14:val="tx1"/>
            </w14:solidFill>
          </w14:textFill>
        </w:rPr>
        <w:t>为采购项目提供整体设计、规范编制或者项目管理、监理、检测等服务的供应商，不得再参加该采购项目的其他采购活动。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13.5本项目只接受</w:t>
      </w:r>
      <w:r>
        <w:rPr>
          <w:rFonts w:hint="eastAsia" w:ascii="仿宋" w:hAnsi="仿宋" w:eastAsia="仿宋" w:cs="仿宋"/>
          <w:color w:val="000000" w:themeColor="text1"/>
          <w:szCs w:val="21"/>
          <w:lang w:eastAsia="zh-CN"/>
          <w14:textFill>
            <w14:solidFill>
              <w14:schemeClr w14:val="tx1"/>
            </w14:solidFill>
          </w14:textFill>
        </w:rPr>
        <w:t>成为新疆维吾尔自治区政府采购网正式注册入库并完成CA数字证书申领供应商参与投标（已在政采云平台其他省份入驻的供应商无须重复注册）。因未注册入库、未办理CA数字证书等原因造成无法投标或投标失败等后果由供应商自行承担。</w:t>
      </w:r>
    </w:p>
    <w:p>
      <w:pPr>
        <w:wordWrap w:val="0"/>
        <w:spacing w:line="440" w:lineRule="exact"/>
        <w:ind w:firstLine="480" w:firstLineChars="2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13.6 投标人被视为充分熟悉本招标项目所在地的与履行合同有关的各种情况，包括但不限于：</w:t>
      </w:r>
    </w:p>
    <w:p>
      <w:pPr>
        <w:spacing w:line="400" w:lineRule="exact"/>
        <w:ind w:firstLine="360" w:firstLineChars="15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（1）国家对本次投标货物和服务的生产、安装调试、验收、维修等有关法律、法规及行业管理标准；</w:t>
      </w:r>
    </w:p>
    <w:p>
      <w:pPr>
        <w:spacing w:line="400" w:lineRule="exact"/>
        <w:ind w:firstLine="360" w:firstLineChars="15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（2）本地区有关管理部门的相关规定；</w:t>
      </w:r>
    </w:p>
    <w:p>
      <w:pPr>
        <w:spacing w:line="400" w:lineRule="exact"/>
        <w:ind w:firstLine="360" w:firstLineChars="15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（3）招标人的相关场地情况、基础建设、热力供应情况及相关设计标准。</w:t>
      </w:r>
    </w:p>
    <w:p>
      <w:pPr>
        <w:spacing w:line="400" w:lineRule="exact"/>
        <w:ind w:firstLine="360" w:firstLineChars="15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本采购文件不再对上述情况进行描述。</w:t>
      </w:r>
    </w:p>
    <w:p>
      <w:pPr>
        <w:spacing w:before="312" w:beforeLines="100" w:after="312" w:afterLines="100" w:line="440" w:lineRule="exact"/>
        <w:jc w:val="center"/>
        <w:outlineLvl w:val="2"/>
        <w:rPr>
          <w:rFonts w:ascii="仿宋" w:hAnsi="仿宋" w:eastAsia="仿宋" w:cs="仿宋"/>
          <w:b/>
          <w:color w:val="000000" w:themeColor="text1"/>
          <w:sz w:val="28"/>
          <w:szCs w:val="28"/>
          <w:lang w:eastAsia="zh-CN"/>
          <w14:textFill>
            <w14:solidFill>
              <w14:schemeClr w14:val="tx1"/>
            </w14:solidFill>
          </w14:textFill>
        </w:rPr>
      </w:pPr>
      <w:bookmarkStart w:id="16" w:name="_Toc469495725"/>
      <w:r>
        <w:rPr>
          <w:rFonts w:hint="eastAsia" w:ascii="仿宋" w:hAnsi="仿宋" w:eastAsia="仿宋" w:cs="仿宋"/>
          <w:b/>
          <w:color w:val="000000" w:themeColor="text1"/>
          <w:sz w:val="28"/>
          <w:szCs w:val="28"/>
          <w:lang w:eastAsia="zh-CN"/>
          <w14:textFill>
            <w14:solidFill>
              <w14:schemeClr w14:val="tx1"/>
            </w14:solidFill>
          </w14:textFill>
        </w:rPr>
        <w:t>（二）</w:t>
      </w:r>
      <w:bookmarkEnd w:id="16"/>
      <w:r>
        <w:rPr>
          <w:rFonts w:hint="eastAsia" w:ascii="仿宋" w:hAnsi="仿宋" w:eastAsia="仿宋" w:cs="仿宋"/>
          <w:b/>
          <w:color w:val="000000" w:themeColor="text1"/>
          <w:sz w:val="28"/>
          <w:szCs w:val="28"/>
          <w:lang w:eastAsia="zh-CN"/>
          <w14:textFill>
            <w14:solidFill>
              <w14:schemeClr w14:val="tx1"/>
            </w14:solidFill>
          </w14:textFill>
        </w:rPr>
        <w:t>招标文件</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15. 采购文件的编制依据</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根据《中华人民共和国政府采购法》、《政府采购货物和服务招标投标管理办法》和《民法典》</w:t>
      </w:r>
      <w:r>
        <w:rPr>
          <w:rFonts w:hint="eastAsia" w:ascii="仿宋" w:hAnsi="仿宋" w:eastAsia="仿宋" w:cs="仿宋"/>
          <w:color w:val="000000" w:themeColor="text1"/>
          <w:spacing w:val="-2"/>
          <w:szCs w:val="21"/>
          <w:lang w:eastAsia="zh-CN"/>
          <w14:textFill>
            <w14:solidFill>
              <w14:schemeClr w14:val="tx1"/>
            </w14:solidFill>
          </w14:textFill>
        </w:rPr>
        <w:t>等相关法律法规和规章及部、省、市级规范性文件的规定，编制本采购文件。</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16. 采购文件的组成</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16.1 采购文件包括内容：</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第一章  招标公告</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第二章  投标须知</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第三章  评标办法</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第四章  采购内容及技术要求</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第五章  合同条款及格式</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第六章  投标文件格式文本</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第七章  招标单位、招标代理机构对本文件的确认</w:t>
      </w:r>
    </w:p>
    <w:p>
      <w:pPr>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16.2 除16.1内容外，招标答疑亦为采购文件的组成部分，对招标人和投标人起约束作用。</w:t>
      </w:r>
    </w:p>
    <w:p>
      <w:pPr>
        <w:pStyle w:val="13"/>
        <w:wordWrap w:val="0"/>
        <w:spacing w:line="4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16.3投标人应仔细阅读和检查采购文件的全部内容。如发现缺页或附件不全，应及时向招标人提出，以便补齐。如有疑问，投标人应在以书面形式一次性向采购人和采购代理机构提出同一环节的质疑。</w:t>
      </w:r>
    </w:p>
    <w:p>
      <w:pPr>
        <w:wordWrap w:val="0"/>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pPr>
        <w:spacing w:line="440" w:lineRule="exact"/>
        <w:ind w:firstLine="480" w:firstLineChars="2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17. 采购文件的修改、补充、解释</w:t>
      </w:r>
    </w:p>
    <w:p>
      <w:pPr>
        <w:wordWrap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17.1采购文件发出后，招标人在规定的投标截止时间前可对采购文件进行必要的修改和补充，并以更正公告形式在政采云平台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pPr>
        <w:wordWrap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wordWrap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 xml:space="preserve">17.3 </w:t>
      </w:r>
      <w:r>
        <w:rPr>
          <w:rFonts w:hint="eastAsia" w:ascii="仿宋" w:hAnsi="仿宋" w:eastAsia="仿宋" w:cs="仿宋"/>
          <w:color w:val="000000" w:themeColor="text1"/>
          <w:szCs w:val="21"/>
          <w:lang w:eastAsia="zh-CN"/>
          <w14:textFill>
            <w14:solidFill>
              <w14:schemeClr w14:val="tx1"/>
            </w14:solidFill>
          </w14:textFill>
        </w:rPr>
        <w:t>供应商在规定的时间内未对采购文件提出疑问、质疑或要求澄清的，将视其为无异议。</w:t>
      </w:r>
    </w:p>
    <w:p>
      <w:pPr>
        <w:spacing w:line="400" w:lineRule="exact"/>
        <w:ind w:firstLine="480" w:firstLineChars="2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17.4 采购文件的解释</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本采购文件由招标人（或其委托的招标代理机构）负责解释。</w:t>
      </w:r>
      <w:bookmarkStart w:id="17" w:name="_Toc469495726"/>
    </w:p>
    <w:p>
      <w:pPr>
        <w:spacing w:before="312" w:beforeLines="100" w:after="312" w:afterLines="100" w:line="440" w:lineRule="exact"/>
        <w:jc w:val="center"/>
        <w:outlineLvl w:val="2"/>
        <w:rPr>
          <w:rFonts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（三）投标文件的编制</w:t>
      </w:r>
      <w:bookmarkEnd w:id="17"/>
    </w:p>
    <w:p>
      <w:pPr>
        <w:spacing w:line="440" w:lineRule="exact"/>
        <w:ind w:firstLine="348" w:firstLineChars="145"/>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20. 投标的语言及度量衡单位</w:t>
      </w:r>
    </w:p>
    <w:p>
      <w:pPr>
        <w:spacing w:line="440" w:lineRule="exact"/>
        <w:ind w:firstLine="324" w:firstLineChars="13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pacing w:line="440" w:lineRule="exact"/>
        <w:ind w:firstLine="324" w:firstLineChars="13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20.2除采购文件中另有规定外，投标书所使用的度量衡均须采用法定计量单位。</w:t>
      </w:r>
    </w:p>
    <w:p>
      <w:pPr>
        <w:spacing w:line="400" w:lineRule="exact"/>
        <w:ind w:firstLine="235" w:firstLineChars="98"/>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21. 投标文件的组成</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资格证明文件和商务及技术文件两部分。</w:t>
      </w:r>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21.1资格证明文件（包括但不限于）</w:t>
      </w:r>
    </w:p>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资格证明文件是证明投标人有资格参加投标和中标后有能力履行合同的文件，这些文件应能满足招标的要求，否则作无效投标处理。</w:t>
      </w:r>
    </w:p>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1、法定代表人投标需提供法定代表人资格证明书，委托代理人投标需提供法定代表人授权委托书；</w:t>
      </w:r>
    </w:p>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2、满足《中华人民共和国政府采购法》第二十二条规定；</w:t>
      </w:r>
    </w:p>
    <w:p>
      <w:pPr>
        <w:spacing w:line="440" w:lineRule="exact"/>
        <w:ind w:firstLine="592"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（1）具有独立承担民事责任的能力的投标人；（</w:t>
      </w:r>
      <w:r>
        <w:rPr>
          <w:rFonts w:hint="eastAsia" w:ascii="仿宋" w:hAnsi="仿宋" w:eastAsia="仿宋" w:cs="仿宋"/>
          <w:color w:val="000000" w:themeColor="text1"/>
          <w:szCs w:val="21"/>
          <w:lang w:val="zh-CN" w:eastAsia="zh-CN"/>
          <w14:textFill>
            <w14:solidFill>
              <w14:schemeClr w14:val="tx1"/>
            </w14:solidFill>
          </w14:textFill>
        </w:rPr>
        <w:t>具有有效的营业执照、组织机构代码证、税务登记证副本（或三证合一证件）</w:t>
      </w:r>
    </w:p>
    <w:p>
      <w:pPr>
        <w:spacing w:line="440" w:lineRule="exact"/>
        <w:ind w:firstLine="592"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（2）具有良好的商业信誉和健全的财务会计制度；（</w:t>
      </w:r>
      <w:r>
        <w:rPr>
          <w:rFonts w:hint="eastAsia" w:ascii="仿宋" w:hAnsi="仿宋" w:eastAsia="仿宋" w:cs="仿宋"/>
          <w:color w:val="000000" w:themeColor="text1"/>
          <w:szCs w:val="21"/>
          <w:lang w:val="zh-CN" w:eastAsia="zh-CN"/>
          <w14:textFill>
            <w14:solidFill>
              <w14:schemeClr w14:val="tx1"/>
            </w14:solidFill>
          </w14:textFill>
        </w:rPr>
        <w:t>提供2022年度的财务审计报告（新注册企业未满一年的可不提供但需</w:t>
      </w:r>
      <w:r>
        <w:rPr>
          <w:rFonts w:hint="eastAsia" w:ascii="仿宋" w:hAnsi="仿宋" w:eastAsia="仿宋" w:cs="仿宋"/>
          <w:color w:val="000000" w:themeColor="text1"/>
          <w:szCs w:val="21"/>
          <w:lang w:eastAsia="zh-CN"/>
          <w14:textFill>
            <w14:solidFill>
              <w14:schemeClr w14:val="tx1"/>
            </w14:solidFill>
          </w14:textFill>
        </w:rPr>
        <w:t>自行承诺</w:t>
      </w:r>
      <w:r>
        <w:rPr>
          <w:rFonts w:hint="eastAsia" w:ascii="仿宋" w:hAnsi="仿宋" w:eastAsia="仿宋" w:cs="仿宋"/>
          <w:color w:val="000000" w:themeColor="text1"/>
          <w:szCs w:val="21"/>
          <w:lang w:val="zh-CN" w:eastAsia="zh-CN"/>
          <w14:textFill>
            <w14:solidFill>
              <w14:schemeClr w14:val="tx1"/>
            </w14:solidFill>
          </w14:textFill>
        </w:rPr>
        <w:t>）；</w:t>
      </w:r>
    </w:p>
    <w:p>
      <w:pPr>
        <w:spacing w:line="440" w:lineRule="exact"/>
        <w:ind w:firstLine="592"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（3）具有履行合同所必需的设备和专业技术能力（自行承诺）；</w:t>
      </w:r>
    </w:p>
    <w:p>
      <w:pPr>
        <w:spacing w:line="440" w:lineRule="exact"/>
        <w:ind w:firstLine="592"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（4）有依法缴纳税收和社会保障资金的良好记录；有依法缴纳税收和社会保障资金的良好记录（提供（2022年10月及以后）任意3个月的纳税证明及社保证明）；</w:t>
      </w:r>
    </w:p>
    <w:p>
      <w:pPr>
        <w:spacing w:line="440" w:lineRule="exact"/>
        <w:ind w:firstLine="592"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（5）参加本次采购活动前三年内，在经营活动中没有重大违法记录（提供书面声明）；</w:t>
      </w:r>
    </w:p>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3、未被列入中国执行信息公开网（http://zxgk.court.gov.cn/shixin/）失信被执行人名单、信用中国网站（www.creditchina.gov.cn）</w:t>
      </w:r>
      <w:r>
        <w:rPr>
          <w:rFonts w:hint="eastAsia" w:ascii="仿宋" w:hAnsi="仿宋" w:eastAsia="仿宋" w:cs="仿宋"/>
          <w:color w:val="000000" w:themeColor="text1"/>
          <w:szCs w:val="21"/>
          <w:lang w:val="zh-CN" w:eastAsia="zh-CN"/>
          <w14:textFill>
            <w14:solidFill>
              <w14:schemeClr w14:val="tx1"/>
            </w14:solidFill>
          </w14:textFill>
        </w:rPr>
        <w:t>重大税收违法</w:t>
      </w:r>
      <w:r>
        <w:rPr>
          <w:rFonts w:hint="eastAsia" w:ascii="仿宋" w:hAnsi="仿宋" w:eastAsia="仿宋" w:cs="仿宋"/>
          <w:color w:val="000000" w:themeColor="text1"/>
          <w:szCs w:val="21"/>
          <w:lang w:eastAsia="zh-CN"/>
          <w14:textFill>
            <w14:solidFill>
              <w14:schemeClr w14:val="tx1"/>
            </w14:solidFill>
          </w14:textFill>
        </w:rPr>
        <w:t>失信主体和中国政府采购网（www.ccgp.gov.cn）政府采购严重违法失信行为记录名单；</w:t>
      </w:r>
    </w:p>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bookmarkStart w:id="18" w:name="_Hlk144572232"/>
      <w:bookmarkStart w:id="19" w:name="_Hlk144571937"/>
      <w:r>
        <w:rPr>
          <w:rFonts w:hint="eastAsia" w:ascii="仿宋" w:hAnsi="仿宋" w:eastAsia="仿宋" w:cs="仿宋"/>
          <w:color w:val="000000" w:themeColor="text1"/>
          <w:szCs w:val="21"/>
          <w:lang w:eastAsia="zh-CN"/>
          <w14:textFill>
            <w14:solidFill>
              <w14:schemeClr w14:val="tx1"/>
            </w14:solidFill>
          </w14:textFill>
        </w:rPr>
        <w:t>4、单位负责人为同一人或者存在直接控股、管理关系的不同供应商，不得参加同一合同下的政府采购活动（提供书面声明）。</w:t>
      </w:r>
    </w:p>
    <w:bookmarkEnd w:id="18"/>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ascii="仿宋" w:hAnsi="仿宋" w:eastAsia="仿宋" w:cs="仿宋"/>
          <w:color w:val="000000" w:themeColor="text1"/>
          <w:szCs w:val="21"/>
          <w:lang w:eastAsia="zh-CN"/>
          <w14:textFill>
            <w14:solidFill>
              <w14:schemeClr w14:val="tx1"/>
            </w14:solidFill>
          </w14:textFill>
        </w:rPr>
        <w:t>5</w:t>
      </w:r>
      <w:r>
        <w:rPr>
          <w:rFonts w:hint="eastAsia" w:ascii="仿宋" w:hAnsi="仿宋" w:eastAsia="仿宋" w:cs="仿宋"/>
          <w:color w:val="000000" w:themeColor="text1"/>
          <w:szCs w:val="21"/>
          <w:lang w:eastAsia="zh-CN"/>
          <w14:textFill>
            <w14:solidFill>
              <w14:schemeClr w14:val="tx1"/>
            </w14:solidFill>
          </w14:textFill>
        </w:rPr>
        <w:t>、投标单位（供应商）针对本次采购项目《反商业贿赂承诺书》的书面声明。</w:t>
      </w:r>
    </w:p>
    <w:bookmarkEnd w:id="19"/>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ascii="仿宋" w:hAnsi="仿宋" w:eastAsia="仿宋" w:cs="仿宋"/>
          <w:color w:val="000000" w:themeColor="text1"/>
          <w:szCs w:val="21"/>
          <w:lang w:eastAsia="zh-CN"/>
          <w14:textFill>
            <w14:solidFill>
              <w14:schemeClr w14:val="tx1"/>
            </w14:solidFill>
          </w14:textFill>
        </w:rPr>
        <w:t>6</w:t>
      </w:r>
      <w:r>
        <w:rPr>
          <w:rFonts w:hint="eastAsia" w:ascii="仿宋" w:hAnsi="仿宋" w:eastAsia="仿宋" w:cs="仿宋"/>
          <w:color w:val="000000" w:themeColor="text1"/>
          <w:szCs w:val="21"/>
          <w:lang w:eastAsia="zh-CN"/>
          <w14:textFill>
            <w14:solidFill>
              <w14:schemeClr w14:val="tx1"/>
            </w14:solidFill>
          </w14:textFill>
        </w:rPr>
        <w:t>、缴纳保证金凭证或保函等票据。</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21.2 商务及技术文件（包括但不限于）</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1、投标函</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2、开标一览表</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3、货物说明一览表</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4、投标分项报价表</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5、技术规格偏离表</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6、商务条款偏离表</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7、投标人基本情况表</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8、类似项目业绩表</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9、中小企业声明函(货物)</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10、《残疾人福利性单位声明函》</w:t>
      </w:r>
    </w:p>
    <w:p>
      <w:pPr>
        <w:pStyle w:val="13"/>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w:t>
      </w:r>
      <w:r>
        <w:rPr>
          <w:rFonts w:ascii="仿宋" w:hAnsi="仿宋" w:eastAsia="仿宋" w:cs="仿宋"/>
          <w:color w:val="000000" w:themeColor="text1"/>
          <w:lang w:eastAsia="zh-CN"/>
          <w14:textFill>
            <w14:solidFill>
              <w14:schemeClr w14:val="tx1"/>
            </w14:solidFill>
          </w14:textFill>
        </w:rPr>
        <w:t>1</w:t>
      </w:r>
      <w:r>
        <w:rPr>
          <w:rFonts w:hint="eastAsia" w:ascii="仿宋" w:hAnsi="仿宋" w:eastAsia="仿宋" w:cs="仿宋"/>
          <w:color w:val="000000" w:themeColor="text1"/>
          <w:lang w:eastAsia="zh-CN"/>
          <w14:textFill>
            <w14:solidFill>
              <w14:schemeClr w14:val="tx1"/>
            </w14:solidFill>
          </w14:textFill>
        </w:rPr>
        <w:t>、《监狱企业声明函》</w:t>
      </w:r>
    </w:p>
    <w:p>
      <w:pPr>
        <w:pStyle w:val="13"/>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ascii="仿宋" w:hAnsi="仿宋" w:eastAsia="仿宋" w:cs="仿宋"/>
          <w:color w:val="auto"/>
          <w:lang w:eastAsia="zh-CN"/>
        </w:rPr>
        <w:t>2</w:t>
      </w:r>
      <w:r>
        <w:rPr>
          <w:rFonts w:hint="eastAsia" w:ascii="仿宋" w:hAnsi="仿宋" w:eastAsia="仿宋" w:cs="仿宋"/>
          <w:color w:val="auto"/>
          <w:lang w:eastAsia="zh-CN"/>
        </w:rPr>
        <w:t>、评分标准和细则中商务部分证明材料（格式自拟）</w:t>
      </w:r>
    </w:p>
    <w:p>
      <w:pPr>
        <w:pStyle w:val="13"/>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ascii="仿宋" w:hAnsi="仿宋" w:eastAsia="仿宋" w:cs="仿宋"/>
          <w:color w:val="auto"/>
          <w:lang w:eastAsia="zh-CN"/>
        </w:rPr>
        <w:t>3</w:t>
      </w:r>
      <w:r>
        <w:rPr>
          <w:rFonts w:hint="eastAsia" w:ascii="仿宋" w:hAnsi="仿宋" w:eastAsia="仿宋" w:cs="仿宋"/>
          <w:color w:val="auto"/>
          <w:lang w:eastAsia="zh-CN"/>
        </w:rPr>
        <w:t>、评分标准和细则中技术部分证明材料（格式自拟）</w:t>
      </w:r>
    </w:p>
    <w:p>
      <w:pPr>
        <w:pStyle w:val="13"/>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ascii="仿宋" w:hAnsi="仿宋" w:eastAsia="仿宋" w:cs="仿宋"/>
          <w:color w:val="auto"/>
          <w:lang w:eastAsia="zh-CN"/>
        </w:rPr>
        <w:t>4</w:t>
      </w:r>
      <w:r>
        <w:rPr>
          <w:rFonts w:hint="eastAsia" w:ascii="仿宋" w:hAnsi="仿宋" w:eastAsia="仿宋" w:cs="仿宋"/>
          <w:color w:val="auto"/>
          <w:lang w:eastAsia="zh-CN"/>
        </w:rPr>
        <w:t>、投标人认为有必要提供的其他证明材料（格式自拟）</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u w:val="single"/>
          <w:lang w:eastAsia="zh-CN"/>
          <w14:textFill>
            <w14:solidFill>
              <w14:schemeClr w14:val="tx1"/>
            </w14:solidFill>
          </w14:textFill>
        </w:rPr>
        <w:t>注：以上材料须逐页加盖单位公章。</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21.3投标文件的要求</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（2）投标文件格式应按本采购文件第六章格式要求编制，不得对采购文件格式进行增删更改，否则按无效标处理。</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（3）对采购文件格式可更改的例外情况：采购文件第六章附件格式要求中明确规定表格中行数不够用时可按相同格式增加行数，其他一切内容和格式不得更改。 </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（4）投标文件为电子投标文件，电子投标文件按“政采云供应商项目采购-电子招投标操作指南”及本采购文件要求制作、加密传输。</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（5）投标文件未在投标截止时间前完成传输的，视为投标文件撤回；投标文件未按时解密也未提供备份投标文件的，亦视为投标文件撤回。</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22</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b/>
          <w:color w:val="000000" w:themeColor="text1"/>
          <w:szCs w:val="21"/>
          <w:lang w:eastAsia="zh-CN"/>
          <w14:textFill>
            <w14:solidFill>
              <w14:schemeClr w14:val="tx1"/>
            </w14:solidFill>
          </w14:textFill>
        </w:rPr>
        <w:t>投标报价</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22.1投标报价文件中的单价和总价全部采用人民币表示。</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22.2投标报价表上应清楚地标明投标人拟提供货物的名称、型号、生产厂家、数量、单价和总价。</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22.3投标人只允许有一个方案、一个报价。</w:t>
      </w:r>
    </w:p>
    <w:p>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000000" w:themeColor="text1"/>
          <w:szCs w:val="21"/>
          <w:lang w:eastAsia="zh-CN"/>
          <w14:textFill>
            <w14:solidFill>
              <w14:schemeClr w14:val="tx1"/>
            </w14:solidFill>
          </w14:textFill>
        </w:rPr>
        <w:t>22.4投标人应按“采购内容及技术参数要求”所列货物逐项进行单价报价，并最终按货物总量乘以货物单价报总价，不得采用总价下浮的方式进行报价。</w:t>
      </w:r>
      <w:r>
        <w:rPr>
          <w:rFonts w:hint="eastAsia" w:ascii="仿宋" w:hAnsi="仿宋" w:eastAsia="仿宋" w:cs="仿宋"/>
          <w:color w:val="auto"/>
          <w:szCs w:val="21"/>
          <w:lang w:eastAsia="zh-CN"/>
        </w:rPr>
        <w:t>综合单价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综合单价今后将不作任何调整。</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22.5投标报价的价格是货物交货地验收价格，其总价即为履行合同的固定总价。</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22.6技术要求中规定的安装、调试和培训费用应包括在投标价格中。投标文件报价为含税价等直至交付使用的一切费用，招标人不再为此次招标支付任何费用。</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22.7投标报价应由法定代表人或被授权人签署。</w:t>
      </w:r>
    </w:p>
    <w:p>
      <w:pPr>
        <w:spacing w:line="440" w:lineRule="exact"/>
        <w:ind w:firstLine="480" w:firstLineChars="200"/>
        <w:rPr>
          <w:rFonts w:ascii="仿宋" w:hAnsi="仿宋" w:eastAsia="仿宋" w:cs="仿宋"/>
          <w:bCs/>
          <w:color w:val="FF0000"/>
          <w:szCs w:val="21"/>
          <w:lang w:eastAsia="zh-CN"/>
        </w:rPr>
      </w:pPr>
      <w:r>
        <w:rPr>
          <w:rFonts w:hint="eastAsia" w:ascii="仿宋" w:hAnsi="仿宋" w:eastAsia="仿宋" w:cs="仿宋"/>
          <w:bCs/>
          <w:color w:val="FF0000"/>
          <w:szCs w:val="21"/>
          <w:lang w:eastAsia="zh-CN"/>
        </w:rPr>
        <w:t>22.8</w:t>
      </w:r>
      <w:r>
        <w:rPr>
          <w:rFonts w:hint="eastAsia" w:ascii="仿宋" w:hAnsi="仿宋" w:eastAsia="仿宋" w:cs="仿宋"/>
          <w:b/>
          <w:color w:val="FF0000"/>
          <w:szCs w:val="21"/>
          <w:lang w:eastAsia="zh-CN"/>
        </w:rPr>
        <w:t>投标人投标总报价和各分项单价报价，不得高于本次招标设置的最高限价和各分项单价控制价，</w:t>
      </w:r>
      <w:r>
        <w:rPr>
          <w:rFonts w:hint="eastAsia" w:ascii="仿宋" w:hAnsi="仿宋" w:eastAsia="仿宋" w:cs="仿宋"/>
          <w:b/>
          <w:bCs/>
          <w:color w:val="FF0000"/>
          <w:szCs w:val="21"/>
          <w:lang w:eastAsia="zh-CN"/>
        </w:rPr>
        <w:t>否则将作为无效投标处理。</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22.9如投标文件中未列明全面实现投标货物功能而必须配置的配套或辅助设施及相应技术措施的费用，这些费用将被视为已包含在总投标价中。</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22.10总投标价中不得包含采购文件要求以外的内容，否则，在评标时不予核减，但在授予合同时，招标人有权将这部分价格从其中标价格中扣除。</w:t>
      </w:r>
    </w:p>
    <w:p>
      <w:pPr>
        <w:spacing w:line="440" w:lineRule="exact"/>
        <w:ind w:firstLine="460" w:firstLineChars="19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spacing w:line="440" w:lineRule="exact"/>
        <w:ind w:firstLine="460" w:firstLineChars="19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22.12投标人不得对从第三方采购货物的随机备品、备件另行收费，否则在计算评标价时这部分费用将不予扣除，在授予合同时将从中标价格中扣除该部分费用。</w:t>
      </w:r>
    </w:p>
    <w:p>
      <w:pPr>
        <w:spacing w:line="440" w:lineRule="exact"/>
        <w:ind w:firstLine="460" w:firstLineChars="19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23. 投标有效期</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23.1 除投标人须知前附表另有规定外，投标有效期为60天。</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23.2在投标有效期内，投标人撤销或修改其投标文件的，应承担采购文件和法律规定的责任。</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40" w:lineRule="exact"/>
        <w:ind w:firstLine="460" w:firstLineChars="192"/>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24. 投标保证金</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24.2自中标通知书发出之日起5个工作日内退还未中标投标人的投标保证金，自政府采购合同签订之日起5个工作日内退还中标人的投标保证金。</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24.3有下列情形之一的，投标保证金将不予退还： </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（1）投标人在规定的投标有效期内撤回或修改其投标文件；</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（2）中标通知书发出后三十天内，中标人无正当理由拒签合同协议书或未按采购文件规定提交履约担保。</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（3）提供虚假材料谋取中标的；</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（4）经查实属于陪标、串通投标的等。</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bookmarkStart w:id="20" w:name="_Toc469495727"/>
      <w:r>
        <w:rPr>
          <w:rFonts w:hint="eastAsia" w:ascii="仿宋" w:hAnsi="仿宋" w:eastAsia="仿宋" w:cs="仿宋"/>
          <w:color w:val="000000" w:themeColor="text1"/>
          <w:szCs w:val="21"/>
          <w:lang w:eastAsia="zh-CN"/>
          <w14:textFill>
            <w14:solidFill>
              <w14:schemeClr w14:val="tx1"/>
            </w14:solidFill>
          </w14:textFill>
        </w:rPr>
        <w:t>24.4投标保证金按投标人须知前附表第24条规定执行。</w:t>
      </w:r>
    </w:p>
    <w:p>
      <w:pPr>
        <w:pStyle w:val="4"/>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（四）</w:t>
      </w:r>
      <w:bookmarkEnd w:id="20"/>
      <w:r>
        <w:rPr>
          <w:rFonts w:hint="eastAsia" w:ascii="仿宋" w:hAnsi="仿宋" w:eastAsia="仿宋" w:cs="仿宋"/>
          <w:color w:val="000000" w:themeColor="text1"/>
          <w:sz w:val="28"/>
          <w:szCs w:val="28"/>
          <w:lang w:eastAsia="zh-CN"/>
          <w14:textFill>
            <w14:solidFill>
              <w14:schemeClr w14:val="tx1"/>
            </w14:solidFill>
          </w14:textFill>
        </w:rPr>
        <w:t>投标文件的制作、上传及递交要求</w:t>
      </w:r>
    </w:p>
    <w:p>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25.投标文件的制作要求</w:t>
      </w:r>
    </w:p>
    <w:p>
      <w:pPr>
        <w:pStyle w:val="7"/>
        <w:snapToGrid w:val="0"/>
        <w:spacing w:line="360" w:lineRule="auto"/>
        <w:rPr>
          <w:rFonts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7"/>
        <w:snapToGrid w:val="0"/>
        <w:spacing w:line="360" w:lineRule="auto"/>
        <w:ind w:firstLine="480" w:firstLineChars="200"/>
        <w:rPr>
          <w:rFonts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7"/>
        <w:snapToGrid w:val="0"/>
        <w:spacing w:line="360" w:lineRule="auto"/>
        <w:ind w:firstLine="480" w:firstLineChars="20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备份电子投标文件：通过“政采云”平台电子投标工具制作投标文件所产生的备份文件。</w:t>
      </w:r>
    </w:p>
    <w:p>
      <w:pPr>
        <w:pStyle w:val="7"/>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（2）供应商应对所提供的全部资料的真实性、有效性承担法律责任，电子投标文件中所须加盖公章部分均采用CA签章。</w:t>
      </w:r>
    </w:p>
    <w:p>
      <w:pPr>
        <w:pStyle w:val="7"/>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（3）投标文件以及供应商与采购组织机构就有关投标事宜的所有来往函电，均应以中文汉语书写。除签章、盖章、专用名称等特殊情形外，以中文汉语以外的文字表述的投标文件视同未提供。</w:t>
      </w:r>
    </w:p>
    <w:p>
      <w:pPr>
        <w:pStyle w:val="7"/>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（4）投标计量单位，采购文件已有明确规定的，使用采购文件规定的计量单位；采购文件没有规定的，应采用中华人民共和国法定计量单位（货币单位：人民币元）。</w:t>
      </w:r>
    </w:p>
    <w:p>
      <w:pPr>
        <w:pStyle w:val="7"/>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（5）若供应商不按采购文件的要求提供资格审查材料，其风险由供应商自行承担。</w:t>
      </w:r>
    </w:p>
    <w:p>
      <w:pPr>
        <w:pStyle w:val="7"/>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（6）与本次投标无关的内容请不要制作在内，确保投标文件有针对性、简洁明了。</w:t>
      </w:r>
    </w:p>
    <w:p>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26.投标文件的上传</w:t>
      </w:r>
    </w:p>
    <w:p>
      <w:pPr>
        <w:pStyle w:val="7"/>
        <w:snapToGrid w:val="0"/>
        <w:spacing w:line="360" w:lineRule="auto"/>
        <w:rPr>
          <w:rFonts w:ascii="仿宋" w:hAnsi="仿宋" w:eastAsia="仿宋" w:cs="仿宋"/>
          <w:b/>
          <w:bCs/>
          <w:color w:val="000000" w:themeColor="text1"/>
          <w:szCs w:val="24"/>
          <w:lang w:eastAsia="zh-CN"/>
          <w14:textFill>
            <w14:solidFill>
              <w14:schemeClr w14:val="tx1"/>
            </w14:solidFill>
          </w14:textFill>
        </w:rPr>
      </w:pPr>
      <w:r>
        <w:rPr>
          <w:rFonts w:hint="eastAsia" w:ascii="仿宋" w:hAnsi="仿宋" w:eastAsia="仿宋" w:cs="仿宋"/>
          <w:b/>
          <w:bCs/>
          <w:color w:val="000000" w:themeColor="text1"/>
          <w:szCs w:val="24"/>
          <w:lang w:eastAsia="zh-CN"/>
          <w14:textFill>
            <w14:solidFill>
              <w14:schemeClr w14:val="tx1"/>
            </w14:solidFill>
          </w14:textFill>
        </w:rPr>
        <w:t>（1）</w:t>
      </w:r>
      <w:r>
        <w:rPr>
          <w:rFonts w:hint="eastAsia" w:ascii="仿宋" w:hAnsi="仿宋" w:eastAsia="仿宋" w:cs="仿宋"/>
          <w:b/>
          <w:bCs/>
          <w:color w:val="000000" w:themeColor="text1"/>
          <w:szCs w:val="24"/>
          <w:lang w:eastAsia="zh-CN" w:bidi="zh-CN"/>
          <w14:textFill>
            <w14:solidFill>
              <w14:schemeClr w14:val="tx1"/>
            </w14:solidFill>
          </w14:textFill>
        </w:rPr>
        <w:t>电子加密投标文件（“.jmbs”格式）</w:t>
      </w:r>
      <w:r>
        <w:rPr>
          <w:rFonts w:hint="eastAsia" w:ascii="仿宋" w:hAnsi="仿宋" w:eastAsia="仿宋" w:cs="仿宋"/>
          <w:b/>
          <w:bCs/>
          <w:color w:val="000000" w:themeColor="text1"/>
          <w:szCs w:val="24"/>
          <w:lang w:eastAsia="zh-CN"/>
          <w14:textFill>
            <w14:solidFill>
              <w14:schemeClr w14:val="tx1"/>
            </w14:solidFill>
          </w14:textFill>
        </w:rPr>
        <w:t>：</w:t>
      </w:r>
    </w:p>
    <w:p>
      <w:pPr>
        <w:pStyle w:val="7"/>
        <w:snapToGrid w:val="0"/>
        <w:spacing w:line="360" w:lineRule="auto"/>
        <w:ind w:firstLine="600" w:firstLineChars="250"/>
        <w:rPr>
          <w:rFonts w:ascii="仿宋" w:hAnsi="仿宋" w:eastAsia="仿宋" w:cs="仿宋"/>
          <w:bCs/>
          <w:color w:val="000000" w:themeColor="text1"/>
          <w:szCs w:val="24"/>
          <w:lang w:eastAsia="zh-CN" w:bidi="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a.</w:t>
      </w:r>
      <w:r>
        <w:rPr>
          <w:rFonts w:hint="eastAsia" w:ascii="仿宋" w:hAnsi="仿宋" w:eastAsia="仿宋" w:cs="仿宋"/>
          <w:bCs/>
          <w:color w:val="000000" w:themeColor="text1"/>
          <w:szCs w:val="24"/>
          <w:lang w:eastAsia="zh-CN"/>
          <w14:textFill>
            <w14:solidFill>
              <w14:schemeClr w14:val="tx1"/>
            </w14:solidFill>
          </w14:textFill>
        </w:rPr>
        <w:t xml:space="preserve"> </w:t>
      </w:r>
      <w:r>
        <w:rPr>
          <w:rFonts w:hint="eastAsia" w:ascii="仿宋" w:hAnsi="仿宋" w:eastAsia="仿宋" w:cs="仿宋"/>
          <w:bCs/>
          <w:color w:val="000000" w:themeColor="text1"/>
          <w:szCs w:val="24"/>
          <w:lang w:eastAsia="zh-CN" w:bidi="zh-CN"/>
          <w14:textFill>
            <w14:solidFill>
              <w14:schemeClr w14:val="tx1"/>
            </w14:solidFill>
          </w14:textFill>
        </w:rPr>
        <w:t>供应商应在投标截止时间前将电子加密投标文件成功上传递交至新疆政府采购云平台，否则投标无效；</w:t>
      </w:r>
    </w:p>
    <w:p>
      <w:pPr>
        <w:pStyle w:val="7"/>
        <w:snapToGrid w:val="0"/>
        <w:spacing w:line="360" w:lineRule="auto"/>
        <w:ind w:firstLine="600" w:firstLineChars="25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b.供应商成功上传电子加密投标文件后，可自行打印投标文件接收回执。</w:t>
      </w:r>
    </w:p>
    <w:p>
      <w:pPr>
        <w:pStyle w:val="7"/>
        <w:snapToGrid w:val="0"/>
        <w:spacing w:line="360" w:lineRule="auto"/>
        <w:rPr>
          <w:rFonts w:ascii="仿宋" w:hAnsi="仿宋" w:eastAsia="仿宋" w:cs="仿宋"/>
          <w:b/>
          <w:bCs/>
          <w:color w:val="000000" w:themeColor="text1"/>
          <w:szCs w:val="24"/>
          <w:lang w:eastAsia="zh-CN" w:bidi="zh-CN"/>
          <w14:textFill>
            <w14:solidFill>
              <w14:schemeClr w14:val="tx1"/>
            </w14:solidFill>
          </w14:textFill>
        </w:rPr>
      </w:pPr>
      <w:r>
        <w:rPr>
          <w:rFonts w:hint="eastAsia" w:ascii="仿宋" w:hAnsi="仿宋" w:eastAsia="仿宋" w:cs="仿宋"/>
          <w:b/>
          <w:bCs/>
          <w:color w:val="000000" w:themeColor="text1"/>
          <w:szCs w:val="24"/>
          <w:lang w:eastAsia="zh-CN"/>
          <w14:textFill>
            <w14:solidFill>
              <w14:schemeClr w14:val="tx1"/>
            </w14:solidFill>
          </w14:textFill>
        </w:rPr>
        <w:t>（2）</w:t>
      </w:r>
      <w:r>
        <w:rPr>
          <w:rFonts w:hint="eastAsia" w:ascii="仿宋" w:hAnsi="仿宋" w:eastAsia="仿宋" w:cs="仿宋"/>
          <w:b/>
          <w:bCs/>
          <w:color w:val="000000" w:themeColor="text1"/>
          <w:szCs w:val="24"/>
          <w:lang w:eastAsia="zh-CN" w:bidi="zh-CN"/>
          <w14:textFill>
            <w14:solidFill>
              <w14:schemeClr w14:val="tx1"/>
            </w14:solidFill>
          </w14:textFill>
        </w:rPr>
        <w:t>备份投标文件（“.bfbs”格式）：</w:t>
      </w:r>
    </w:p>
    <w:p>
      <w:pPr>
        <w:pStyle w:val="7"/>
        <w:snapToGrid w:val="0"/>
        <w:spacing w:line="360" w:lineRule="auto"/>
        <w:ind w:firstLine="600" w:firstLineChars="250"/>
        <w:rPr>
          <w:rFonts w:ascii="仿宋" w:hAnsi="仿宋" w:eastAsia="仿宋" w:cs="仿宋"/>
          <w:color w:val="000000" w:themeColor="text1"/>
          <w:szCs w:val="24"/>
          <w:lang w:eastAsia="zh-CN" w:bidi="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Cs w:val="24"/>
          <w:lang w:eastAsia="zh-CN" w:bidi="zh-CN"/>
          <w14:textFill>
            <w14:solidFill>
              <w14:schemeClr w14:val="tx1"/>
            </w14:solidFill>
          </w14:textFill>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000000" w:themeColor="text1"/>
          <w:szCs w:val="24"/>
          <w:u w:val="single"/>
          <w:lang w:eastAsia="zh-CN" w:bidi="zh-CN"/>
          <w14:textFill>
            <w14:solidFill>
              <w14:schemeClr w14:val="tx1"/>
            </w14:solidFill>
          </w14:textFill>
        </w:rPr>
        <w:t>18196915976</w:t>
      </w:r>
      <w:r>
        <w:rPr>
          <w:rFonts w:hint="eastAsia" w:ascii="仿宋" w:hAnsi="仿宋" w:eastAsia="仿宋" w:cs="仿宋"/>
          <w:color w:val="000000" w:themeColor="text1"/>
          <w:szCs w:val="24"/>
          <w:lang w:eastAsia="zh-CN" w:bidi="zh-CN"/>
          <w14:textFill>
            <w14:solidFill>
              <w14:schemeClr w14:val="tx1"/>
            </w14:solidFill>
          </w14:textFill>
        </w:rPr>
        <w:t>）；</w:t>
      </w:r>
    </w:p>
    <w:p>
      <w:pPr>
        <w:pStyle w:val="7"/>
        <w:snapToGrid w:val="0"/>
        <w:spacing w:line="360" w:lineRule="auto"/>
        <w:ind w:firstLine="600" w:firstLineChars="250"/>
        <w:rPr>
          <w:rFonts w:ascii="仿宋" w:hAnsi="仿宋" w:eastAsia="仿宋" w:cs="仿宋"/>
          <w:bCs/>
          <w:color w:val="000000" w:themeColor="text1"/>
          <w:szCs w:val="24"/>
          <w:lang w:eastAsia="zh-CN" w:bidi="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27.</w:t>
      </w:r>
      <w:r>
        <w:rPr>
          <w:rFonts w:hint="eastAsia" w:ascii="仿宋" w:hAnsi="仿宋" w:eastAsia="仿宋" w:cs="仿宋"/>
          <w:b/>
          <w:color w:val="000000" w:themeColor="text1"/>
          <w:lang w:eastAsia="zh-CN"/>
          <w14:textFill>
            <w14:solidFill>
              <w14:schemeClr w14:val="tx1"/>
            </w14:solidFill>
          </w14:textFill>
        </w:rPr>
        <w:t>投标文件的递交要求</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（3）如有特殊情况，采购组织机构延长截止时间和开标时间，采购组织机构和供应商的权利和义务将受到新的截止时间和开标时间的约束。</w:t>
      </w:r>
    </w:p>
    <w:p>
      <w:pPr>
        <w:snapToGrid w:val="0"/>
        <w:spacing w:line="360" w:lineRule="auto"/>
        <w:ind w:firstLine="480"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28．投标文件的补充、修改与撤回</w:t>
      </w:r>
    </w:p>
    <w:p>
      <w:pPr>
        <w:tabs>
          <w:tab w:val="left" w:pos="960"/>
          <w:tab w:val="left" w:pos="1418"/>
        </w:tabs>
        <w:autoSpaceDE w:val="0"/>
        <w:autoSpaceDN w:val="0"/>
        <w:adjustRightInd w:val="0"/>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spacing w:before="312" w:beforeLines="100" w:after="312" w:afterLines="100" w:line="440" w:lineRule="exact"/>
        <w:jc w:val="center"/>
        <w:outlineLvl w:val="2"/>
        <w:rPr>
          <w:rFonts w:ascii="仿宋" w:hAnsi="仿宋" w:eastAsia="仿宋" w:cs="仿宋"/>
          <w:b/>
          <w:bCs/>
          <w:color w:val="000000" w:themeColor="text1"/>
          <w:sz w:val="28"/>
          <w:szCs w:val="28"/>
          <w:lang w:eastAsia="zh-CN"/>
          <w14:textFill>
            <w14:solidFill>
              <w14:schemeClr w14:val="tx1"/>
            </w14:solidFill>
          </w14:textFill>
        </w:rPr>
      </w:pPr>
      <w:bookmarkStart w:id="21" w:name="_Toc469495728"/>
      <w:r>
        <w:rPr>
          <w:rFonts w:hint="eastAsia" w:ascii="仿宋" w:hAnsi="仿宋" w:eastAsia="仿宋" w:cs="仿宋"/>
          <w:b/>
          <w:bCs/>
          <w:color w:val="000000" w:themeColor="text1"/>
          <w:sz w:val="28"/>
          <w:szCs w:val="28"/>
          <w:lang w:eastAsia="zh-CN"/>
          <w14:textFill>
            <w14:solidFill>
              <w14:schemeClr w14:val="tx1"/>
            </w14:solidFill>
          </w14:textFill>
        </w:rPr>
        <w:t>（五）开标、评标和定标</w:t>
      </w:r>
      <w:bookmarkEnd w:id="21"/>
    </w:p>
    <w:p>
      <w:pPr>
        <w:snapToGrid w:val="0"/>
        <w:spacing w:line="360" w:lineRule="auto"/>
        <w:ind w:firstLine="480"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29. 开标</w:t>
      </w:r>
    </w:p>
    <w:p>
      <w:pPr>
        <w:snapToGrid w:val="0"/>
        <w:spacing w:line="360" w:lineRule="auto"/>
        <w:ind w:firstLine="480" w:firstLineChars="200"/>
        <w:rPr>
          <w:rFonts w:ascii="仿宋" w:hAnsi="仿宋" w:eastAsia="仿宋" w:cs="仿宋"/>
          <w:b/>
          <w:bCs/>
          <w:color w:val="000000" w:themeColor="text1"/>
          <w:lang w:eastAsia="zh-CN"/>
          <w14:textFill>
            <w14:solidFill>
              <w14:schemeClr w14:val="tx1"/>
            </w14:solidFill>
          </w14:textFill>
        </w:rPr>
      </w:pPr>
      <w:bookmarkStart w:id="22" w:name="_Toc73975822"/>
      <w:r>
        <w:rPr>
          <w:rFonts w:hint="eastAsia" w:ascii="仿宋" w:hAnsi="仿宋" w:eastAsia="仿宋" w:cs="仿宋"/>
          <w:b/>
          <w:bCs/>
          <w:color w:val="000000" w:themeColor="text1"/>
          <w:lang w:eastAsia="zh-CN"/>
          <w14:textFill>
            <w14:solidFill>
              <w14:schemeClr w14:val="tx1"/>
            </w14:solidFill>
          </w14:textFill>
        </w:rPr>
        <w:t>29.1开标邀请</w:t>
      </w:r>
      <w:bookmarkEnd w:id="22"/>
    </w:p>
    <w:p>
      <w:pPr>
        <w:pStyle w:val="13"/>
        <w:snapToGrid w:val="0"/>
        <w:spacing w:line="360" w:lineRule="auto"/>
        <w:ind w:firstLine="480" w:firstLineChars="20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（1）开标准备：本项目开标的准备工作由采购组织机构负责落实，开标过程由采购组织机构负责记录；</w:t>
      </w:r>
    </w:p>
    <w:p>
      <w:pPr>
        <w:pStyle w:val="13"/>
        <w:snapToGrid w:val="0"/>
        <w:spacing w:line="360" w:lineRule="auto"/>
        <w:ind w:firstLine="480" w:firstLineChars="20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（2）开标主持：本项目开标由采购人或者采购代理机构主持；</w:t>
      </w:r>
    </w:p>
    <w:p>
      <w:pPr>
        <w:pStyle w:val="13"/>
        <w:snapToGrid w:val="0"/>
        <w:spacing w:line="360" w:lineRule="auto"/>
        <w:ind w:firstLine="480" w:firstLineChars="20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（3）</w:t>
      </w:r>
      <w:r>
        <w:rPr>
          <w:rFonts w:hint="eastAsia" w:ascii="仿宋" w:hAnsi="仿宋" w:eastAsia="仿宋" w:cs="仿宋"/>
          <w:color w:val="000000" w:themeColor="text1"/>
          <w:szCs w:val="24"/>
          <w14:textFill>
            <w14:solidFill>
              <w14:schemeClr w14:val="tx1"/>
            </w14:solidFill>
          </w14:textFill>
        </w:rPr>
        <w:t>开标邀请：本项目采用电子交易，采购组织机构将按照采购文件规定的时间通过“</w:t>
      </w:r>
      <w:r>
        <w:rPr>
          <w:rFonts w:hint="eastAsia" w:ascii="仿宋" w:hAnsi="仿宋" w:eastAsia="仿宋" w:cs="仿宋"/>
          <w:color w:val="000000" w:themeColor="text1"/>
          <w:szCs w:val="24"/>
          <w:lang w:eastAsia="zh-CN"/>
          <w14:textFill>
            <w14:solidFill>
              <w14:schemeClr w14:val="tx1"/>
            </w14:solidFill>
          </w14:textFill>
        </w:rPr>
        <w:t>新疆</w:t>
      </w:r>
      <w:r>
        <w:rPr>
          <w:rFonts w:hint="eastAsia" w:ascii="仿宋" w:hAnsi="仿宋" w:eastAsia="仿宋" w:cs="仿宋"/>
          <w:color w:val="000000" w:themeColor="text1"/>
          <w:szCs w:val="24"/>
          <w14:textFill>
            <w14:solidFill>
              <w14:schemeClr w14:val="tx1"/>
            </w14:solidFill>
          </w14:textFill>
        </w:rPr>
        <w:t>政府采购云平台，网址：</w:t>
      </w:r>
      <w:r>
        <w:fldChar w:fldCharType="begin"/>
      </w:r>
      <w:r>
        <w:instrText xml:space="preserve"> HYPERLINK "http://www.zcygov.cn" </w:instrText>
      </w:r>
      <w:r>
        <w:fldChar w:fldCharType="separate"/>
      </w:r>
      <w:r>
        <w:rPr>
          <w:rStyle w:val="32"/>
          <w:rFonts w:hint="eastAsia" w:ascii="仿宋" w:hAnsi="仿宋" w:eastAsia="仿宋" w:cs="仿宋"/>
          <w:color w:val="000000" w:themeColor="text1"/>
          <w:szCs w:val="24"/>
          <w:u w:val="none"/>
          <w14:textFill>
            <w14:solidFill>
              <w14:schemeClr w14:val="tx1"/>
            </w14:solidFill>
          </w14:textFill>
        </w:rPr>
        <w:t>www.zcygov.cn</w:t>
      </w:r>
      <w:r>
        <w:rPr>
          <w:rStyle w:val="32"/>
          <w:rFonts w:hint="eastAsia" w:ascii="仿宋" w:hAnsi="仿宋" w:eastAsia="仿宋" w:cs="仿宋"/>
          <w:color w:val="000000" w:themeColor="text1"/>
          <w:szCs w:val="24"/>
          <w:u w:val="none"/>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t>”组织开标、开启投标响应文件，所有供应商均应当准时在线参加。</w:t>
      </w:r>
    </w:p>
    <w:p>
      <w:pPr>
        <w:pStyle w:val="13"/>
        <w:snapToGrid w:val="0"/>
        <w:spacing w:line="360" w:lineRule="auto"/>
        <w:ind w:firstLine="480" w:firstLineChars="200"/>
        <w:rPr>
          <w:rFonts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80" w:firstLineChars="200"/>
        <w:outlineLvl w:val="2"/>
        <w:rPr>
          <w:rFonts w:ascii="仿宋" w:hAnsi="仿宋" w:eastAsia="仿宋" w:cs="仿宋"/>
          <w:b/>
          <w:color w:val="000000" w:themeColor="text1"/>
          <w:lang w:eastAsia="zh-CN"/>
          <w14:textFill>
            <w14:solidFill>
              <w14:schemeClr w14:val="tx1"/>
            </w14:solidFill>
          </w14:textFill>
        </w:rPr>
      </w:pPr>
      <w:bookmarkStart w:id="23" w:name="_Toc73975823"/>
      <w:r>
        <w:rPr>
          <w:rFonts w:hint="eastAsia" w:ascii="仿宋" w:hAnsi="仿宋" w:eastAsia="仿宋" w:cs="仿宋"/>
          <w:b/>
          <w:color w:val="000000" w:themeColor="text1"/>
          <w:lang w:eastAsia="zh-CN"/>
          <w14:textFill>
            <w14:solidFill>
              <w14:schemeClr w14:val="tx1"/>
            </w14:solidFill>
          </w14:textFill>
        </w:rPr>
        <w:t>29.2</w:t>
      </w:r>
      <w:r>
        <w:rPr>
          <w:rFonts w:hint="eastAsia" w:ascii="仿宋" w:hAnsi="仿宋" w:eastAsia="仿宋" w:cs="仿宋"/>
          <w:b/>
          <w:bCs/>
          <w:color w:val="000000" w:themeColor="text1"/>
          <w:lang w:eastAsia="zh-CN"/>
          <w14:textFill>
            <w14:solidFill>
              <w14:schemeClr w14:val="tx1"/>
            </w14:solidFill>
          </w14:textFill>
        </w:rPr>
        <w:t>开标程序</w:t>
      </w:r>
      <w:bookmarkEnd w:id="23"/>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（1）开标时间到后，主持人宣布开标会议开始。</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（2）投标文件解密（</w:t>
      </w:r>
      <w:r>
        <w:rPr>
          <w:rFonts w:hint="eastAsia" w:ascii="仿宋" w:hAnsi="仿宋" w:eastAsia="仿宋" w:cs="仿宋"/>
          <w:b/>
          <w:color w:val="000000" w:themeColor="text1"/>
          <w:lang w:eastAsia="zh-CN"/>
          <w14:textFill>
            <w14:solidFill>
              <w14:schemeClr w14:val="tx1"/>
            </w14:solidFill>
          </w14:textFill>
        </w:rPr>
        <w:t>解密规定见《供应商须知前附表》</w:t>
      </w:r>
      <w:r>
        <w:rPr>
          <w:rFonts w:hint="eastAsia" w:ascii="仿宋" w:hAnsi="仿宋" w:eastAsia="仿宋" w:cs="仿宋"/>
          <w:color w:val="000000" w:themeColor="text1"/>
          <w:lang w:eastAsia="zh-CN"/>
          <w14:textFill>
            <w14:solidFill>
              <w14:schemeClr w14:val="tx1"/>
            </w14:solidFill>
          </w14:textFill>
        </w:rPr>
        <w:t>）。</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（3）投标文件解密异常情况处理（</w:t>
      </w:r>
      <w:r>
        <w:rPr>
          <w:rFonts w:hint="eastAsia" w:ascii="仿宋" w:hAnsi="仿宋" w:eastAsia="仿宋" w:cs="仿宋"/>
          <w:b/>
          <w:color w:val="000000" w:themeColor="text1"/>
          <w:lang w:eastAsia="zh-CN"/>
          <w14:textFill>
            <w14:solidFill>
              <w14:schemeClr w14:val="tx1"/>
            </w14:solidFill>
          </w14:textFill>
        </w:rPr>
        <w:t>处理办法见《供应商须知前附表》</w:t>
      </w:r>
      <w:r>
        <w:rPr>
          <w:rFonts w:hint="eastAsia" w:ascii="仿宋" w:hAnsi="仿宋" w:eastAsia="仿宋" w:cs="仿宋"/>
          <w:color w:val="000000" w:themeColor="text1"/>
          <w:lang w:eastAsia="zh-CN"/>
          <w14:textFill>
            <w14:solidFill>
              <w14:schemeClr w14:val="tx1"/>
            </w14:solidFill>
          </w14:textFill>
        </w:rPr>
        <w:t>）。</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（4）公布投标文件解密情况（投标文件成功解密的供应商名单等信息），</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（5）开启标书信息（资格证明文件、商务技术文件）。标书信息开启后，首先由采购人或采购代理机构组依法对投标供应商的资格证明文件进行审查（具体见本章“29.3 投标供应商资格审查”）， 审查结束公布投标供应商的资格符合情况。资格审查未获通过的供应商，其商务技术文件及报价文件不再进入评审。</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（6）商务技术评审结束后，主持人公布商务技术评审无效投标供应商名单和商务技术评审有效投标供应商名单及其商务技术得分情况。商务技术评审无效的供应商，其报价不再进入评审。</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（7）评审结束后，采购代理机构在系统上公布评审结果。</w:t>
      </w:r>
    </w:p>
    <w:p>
      <w:pPr>
        <w:snapToGrid w:val="0"/>
        <w:spacing w:line="360" w:lineRule="auto"/>
        <w:ind w:left="48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特别情况说明：</w:t>
      </w:r>
    </w:p>
    <w:p>
      <w:pPr>
        <w:snapToGrid w:val="0"/>
        <w:spacing w:line="360" w:lineRule="auto"/>
        <w:ind w:firstLine="424" w:firstLineChars="177"/>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（1）本项目采用电子交易，如遇“新疆政府采购云平台”电子化开标或评审程序调整的，按调整后程序执行。</w:t>
      </w:r>
    </w:p>
    <w:p>
      <w:pPr>
        <w:snapToGrid w:val="0"/>
        <w:spacing w:line="360" w:lineRule="auto"/>
        <w:ind w:firstLine="424" w:firstLineChars="177"/>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000000" w:themeColor="text1"/>
          <w:u w:val="single"/>
          <w:lang w:eastAsia="zh-CN"/>
          <w14:textFill>
            <w14:solidFill>
              <w14:schemeClr w14:val="tx1"/>
            </w14:solidFill>
          </w14:textFill>
        </w:rPr>
        <w:t>请供应商保证办理投标事宜人员电话畅通、网络在线，签章或盖章确认的时间为20分钟。如未及时签章或盖章确认的，视为无异议</w:t>
      </w:r>
      <w:r>
        <w:rPr>
          <w:rFonts w:hint="eastAsia" w:ascii="仿宋" w:hAnsi="仿宋" w:eastAsia="仿宋" w:cs="仿宋"/>
          <w:b/>
          <w:color w:val="000000" w:themeColor="text1"/>
          <w:lang w:eastAsia="zh-CN"/>
          <w14:textFill>
            <w14:solidFill>
              <w14:schemeClr w14:val="tx1"/>
            </w14:solidFill>
          </w14:textFill>
        </w:rPr>
        <w:t>。</w:t>
      </w:r>
    </w:p>
    <w:p>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29.3 投标供应商资格审查：</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w:t>
      </w:r>
      <w:r>
        <w:rPr>
          <w:rFonts w:hint="eastAsia" w:ascii="仿宋" w:hAnsi="仿宋" w:eastAsia="仿宋" w:cs="仿宋"/>
          <w:bCs/>
          <w:color w:val="000000" w:themeColor="text1"/>
          <w:lang w:eastAsia="zh-CN"/>
          <w14:textFill>
            <w14:solidFill>
              <w14:schemeClr w14:val="tx1"/>
            </w14:solidFill>
          </w14:textFill>
        </w:rPr>
        <w:t>开标（标书信息开启）后，采购人或采购代理机构首先依法对投标供应商的资格文件进行审查，审查各投标供应商的资格符合情况。</w:t>
      </w:r>
      <w:r>
        <w:rPr>
          <w:rFonts w:hint="eastAsia" w:ascii="仿宋" w:hAnsi="仿宋" w:eastAsia="仿宋" w:cs="仿宋"/>
          <w:color w:val="000000" w:themeColor="text1"/>
          <w:lang w:eastAsia="zh-CN"/>
          <w14:textFill>
            <w14:solidFill>
              <w14:schemeClr w14:val="tx1"/>
            </w14:solidFill>
          </w14:textFill>
        </w:rPr>
        <w:t>采购人或采购代理机构对投标供应商所提交的资格证明材料仅负审核的责任。如发现投标供应商所提交的资格证明材料不合法或与事实不符，采购人可取消其中标资格并追究投标供应商的法律责任。</w:t>
      </w:r>
    </w:p>
    <w:p>
      <w:pPr>
        <w:pStyle w:val="7"/>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7"/>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（3）供应商信用记录查询与使用：见《供应商须知前附表》。</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30.评审工作的组织</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31. 评标委员会的组建</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31.1评标委员会由采购人或采购代理机构依法组建，成员由采购人代表和评审专家组成，成员人数为五人或以上单数，其中评审专家不少于成员总数的三分之二。</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31.2评审专家从新疆政府采购云平台专家库中通过随机方式抽取产生。评标委员会成员名单在采购结果公告前保密。</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32.评标委员会的职责</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32.1审查、评价投标文件是否符合采购文件的商务、技术等实质性要求。</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32.2要求供应商对投标文件有关事项作出澄清或者说明。</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32.3对投标文件进行比较和评价。</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32.4确定中标候选人名单，以及根据采购人委托直接确定中标人。</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32.5向采购人、采购代理机构或者有关部门报告评审中发现的违法行为。</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 评标原则</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33.1评标委员会将遵循公平、公正、科学的原则，对供应商提交的投标文件进行综合评审，评标委员会按照采购文件规定的评标细则进行评分。</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33.2客观公正对待所有供应商，对所有投标评价均采用相同的程序和标准。 </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33.3评标委员会成员对需要共同认定的事项存在争议的，按照少数服从多数的原则作出结论。持不同意见的评标委员会成员应当在评审报告上签署不同意见及理由，否则视为同意评审报告。</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34. 评委纪律</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新疆省政府采购活动现场组织管理办法中规定的其他禁止行为。</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35.评标程序</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35.1 在评审专家中推选评标委员会组长，采购人代表不得担任评标委员会组长。</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35.3 评审人员对符合资格的供应商的投标文件的有效性、符合性、完整性和响应程度进行审查，确定是否对采购文件作出实质性响应。</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35.4 评审人员按采购文件规定的评审方法和评审标准，依法独立对供应商投标文件进行评估、比较，并给予评价或打分，不受任何单位和个人的干预。</w:t>
      </w:r>
    </w:p>
    <w:p>
      <w:pPr>
        <w:widowControl/>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综合评分法货物项目的价格分值占总分值的比重(即权值)为</w:t>
      </w:r>
      <w:r>
        <w:rPr>
          <w:rFonts w:hint="eastAsia" w:ascii="仿宋" w:hAnsi="仿宋" w:eastAsia="仿宋" w:cs="仿宋"/>
          <w:color w:val="FF0000"/>
          <w:szCs w:val="21"/>
          <w:lang w:eastAsia="zh-CN"/>
        </w:rPr>
        <w:t>30％</w:t>
      </w:r>
      <w:r>
        <w:rPr>
          <w:rFonts w:hint="eastAsia" w:ascii="仿宋" w:hAnsi="仿宋" w:eastAsia="仿宋" w:cs="仿宋"/>
          <w:color w:val="000000" w:themeColor="text1"/>
          <w:szCs w:val="21"/>
          <w:lang w:eastAsia="zh-CN"/>
          <w14:textFill>
            <w14:solidFill>
              <w14:schemeClr w14:val="tx1"/>
            </w14:solidFill>
          </w14:textFill>
        </w:rPr>
        <w:t>，采购项目中含不同采购对象的，以占项目资金比例最高的采购对象确定其项目属性。其价格不列为评分因素，有特殊情况需要在上述规定范围外设定价格分权重的。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综合评分法中的价格分统一采用低价优先法计算，即满足招标文件要求且最后报价最低的供应商的价格为招标基准价，其价格分为满分。其他供应商的价格分统一按照下列公式计算：</w:t>
      </w:r>
    </w:p>
    <w:p>
      <w:pPr>
        <w:widowControl/>
        <w:spacing w:line="440" w:lineRule="exact"/>
        <w:ind w:firstLine="48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投标报价得分=（基准价/投标报价）×价格权值×100</w:t>
      </w:r>
    </w:p>
    <w:p>
      <w:pPr>
        <w:widowControl/>
        <w:spacing w:line="440" w:lineRule="exact"/>
        <w:ind w:firstLine="48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项目评审过程中，不得去掉最后报价中的最高报价和最低报价。</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35.7 评标委员会根据评审汇总情况和采购文件规定确定中标候选供应商排序名单。</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35.8 起草评审报告，所有评审人员须在评审报告上签章确认，对自己的评审意见承担法律责任。 </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35.9 采购组织机构对评标委员会评审专家进行评价。</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35.10 修改评审结果</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评标结果汇总完成后，除下列情形外，任何人不得修改评标结果：</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（1）分值汇总计算错误的；</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（2）分项评分超出评分标准范围的；</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（3）评标委员会成员对客观评审因素评分不一致的；</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（4）经评标委员会认定评分畸高、畸低的。</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36．澄清、说明或补正的形式</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lang w:eastAsia="zh-CN"/>
          <w14:textFill>
            <w14:solidFill>
              <w14:schemeClr w14:val="tx1"/>
            </w14:solidFill>
          </w14:textFill>
        </w:rPr>
        <w:t>投标供应商澄清、说明或补正时间为20分钟</w:t>
      </w:r>
      <w:r>
        <w:rPr>
          <w:rFonts w:hint="eastAsia" w:ascii="仿宋" w:hAnsi="仿宋" w:eastAsia="仿宋" w:cs="仿宋"/>
          <w:color w:val="000000" w:themeColor="text1"/>
          <w:szCs w:val="21"/>
          <w:lang w:eastAsia="zh-CN"/>
          <w14:textFill>
            <w14:solidFill>
              <w14:schemeClr w14:val="tx1"/>
            </w14:solidFill>
          </w14:textFill>
        </w:rPr>
        <w:t>。</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37．错误修正的原则</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投标文件报价出现前后不一致的，除采购文件另有规定外，按照下列规定修正：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37.1 投标函中表述的内容与报价表中不一致的，以报价表为准；报价表中的内容与报价明细表不一致的，以报价表为准；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37.2 投标文件中的大写金额和小写金额不一致的，以大写金额为准；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37.3 单价金额小数点或者百分比有明显错位的，以开标一览表的总价为准，并修改单价；</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37.4 总价金额与按单价汇总金额不一致的，以单价金额计算结果为准；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37.5 若用文字表示的数值与用数字表示的数值不一致，以文字表示的数值为准；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37.7 对不同文字文本投标文件的解释发生异议的，以中文文本为准；</w:t>
      </w:r>
    </w:p>
    <w:p>
      <w:pPr>
        <w:spacing w:line="440" w:lineRule="exact"/>
        <w:ind w:firstLine="240" w:firstLineChars="1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lang w:eastAsia="zh-CN"/>
          <w14:textFill>
            <w14:solidFill>
              <w14:schemeClr w14:val="tx1"/>
            </w14:solidFill>
          </w14:textFill>
        </w:rPr>
        <w:t>修正应当采用电子询标的形式，并加盖公章（电子印章）。</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38．无效投标文件</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有下列情形之一的，投标文件按无效标处理：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 报名的投标人与参加投标的投标人发生实质性变更的且未提供有效证明的；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38.2投标人提交两份或两份以上内容不同的投标文件，未声明哪一份有效的；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38.3 投标文件非投标人法定代表人签署的，未提供或提供无效的法定代表人授权书；</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38.4 未按招标文件规定装订；</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38.5 投标文件内容未按招标文件规定签章或盖章的；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38.7 投标人未按招标文件变更通知更改投标文件的；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38.8 《开标一览表》和《投标分项报价表》内容不完整且不接受修正意见或字迹不能辨认的或未提供；</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38.9 标项投标报价超过招标文件规定的预算金额或最高限价</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38.10 因投标人原因编制错误造成经评标委员会修正后的报价达到或超过投标报价的0.5%；</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38.12 未实质性响应招标文件中条款要求的投标文件；</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38.13 不符合招标范围、技术规格、技术标准的要求无法满足采购人使用要求；</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38.14 投标文件附有采购人不能接受的条款；</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38.15 投标文件中提供了赠品或者与本项目采购无关的其他商品、服务；</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38.16 投标文件中承诺的投标有效期少于招标文件中载明的投标有效期；</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38.17投标人串通投标，妨碍其他投标人的竞争行为，损害采购人或者其他投标人的合法权益；</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38.18违反国家及政府部门相关法律、法规、文件规定或经评标委员会认定的其他属于重大偏离；</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39．废标</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39.1 符合招标文件规定废标情形的；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39.2 出现影响采购公正的违法、违规行为的；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39.3 供应商的报价均超过了采购预算（或最高限价），采购人不能支付的;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39.4 因重大变故，采购任务取消的。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40．突发情况处理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（1）电子交易平台发生故障而无法登录访问的； </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（2）电子交易平台应用或数据库出现错误，不能进行正常操作的；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（3）电子交易平台发现严重安全漏洞，有潜在泄密危险的；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（4）病毒发作导致不能进行正常操作的； </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（5）其他无法保证电子交易的公平、公正和安全的情况。</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（1）短时间内能消除不可抗力因素的，采购代理机构或评审小组在消除不可抗力因素后继续组织电子交易活动； </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napToGrid w:val="0"/>
        <w:spacing w:line="360" w:lineRule="exact"/>
        <w:ind w:firstLine="421"/>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41. 定标</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w:t>
      </w:r>
      <w:bookmarkStart w:id="24" w:name="_Toc469495729"/>
      <w:r>
        <w:rPr>
          <w:rFonts w:hint="eastAsia" w:ascii="仿宋" w:hAnsi="仿宋" w:eastAsia="仿宋" w:cs="仿宋"/>
          <w:color w:val="000000" w:themeColor="text1"/>
          <w:szCs w:val="21"/>
          <w:lang w:eastAsia="zh-CN"/>
          <w14:textFill>
            <w14:solidFill>
              <w14:schemeClr w14:val="tx1"/>
            </w14:solidFill>
          </w14:textFill>
        </w:rPr>
        <w:t>41.1采购结果确认（确定中标供应商）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（1）采购代理机构将在评审结束后2个工作日内将评审报告送采购人。</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pacing w:line="440" w:lineRule="exact"/>
        <w:ind w:firstLine="240" w:firstLineChars="1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lang w:eastAsia="zh-CN"/>
          <w14:textFill>
            <w14:solidFill>
              <w14:schemeClr w14:val="tx1"/>
            </w14:solidFill>
          </w14:textFill>
        </w:rPr>
        <w:t>新疆政府采购网（www.zjzfcg.gov.cn）上公告采购结果，中标公告期限为1个工作日。</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 中标通知书</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42.1在中标通知书发出前，招标人将中标侯选人的情况在新疆政府采购网予以公示，</w:t>
      </w:r>
      <w:r>
        <w:rPr>
          <w:rFonts w:hint="eastAsia" w:ascii="仿宋" w:hAnsi="仿宋" w:eastAsia="仿宋" w:cs="仿宋"/>
          <w:b/>
          <w:bCs/>
          <w:color w:val="000000" w:themeColor="text1"/>
          <w:szCs w:val="21"/>
          <w:lang w:eastAsia="zh-CN"/>
          <w14:textFill>
            <w14:solidFill>
              <w14:schemeClr w14:val="tx1"/>
            </w14:solidFill>
          </w14:textFill>
        </w:rPr>
        <w:t>公示期为一个工作日。待公示期结束后，</w:t>
      </w:r>
      <w:r>
        <w:rPr>
          <w:rFonts w:hint="eastAsia" w:ascii="仿宋" w:hAnsi="仿宋" w:eastAsia="仿宋" w:cs="仿宋"/>
          <w:color w:val="000000" w:themeColor="text1"/>
          <w:szCs w:val="21"/>
          <w:lang w:eastAsia="zh-CN"/>
          <w14:textFill>
            <w14:solidFill>
              <w14:schemeClr w14:val="tx1"/>
            </w14:solidFill>
          </w14:textFill>
        </w:rPr>
        <w:t>采购组织机构向中标人发出中标通知书。</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pacing w:before="156" w:beforeLines="50" w:line="440" w:lineRule="exact"/>
        <w:jc w:val="center"/>
        <w:outlineLvl w:val="2"/>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（六）合同的授予</w:t>
      </w:r>
      <w:bookmarkEnd w:id="24"/>
    </w:p>
    <w:p>
      <w:pPr>
        <w:spacing w:line="440" w:lineRule="exact"/>
        <w:ind w:firstLine="240" w:firstLineChars="100"/>
        <w:rPr>
          <w:rFonts w:ascii="仿宋" w:hAnsi="仿宋" w:eastAsia="仿宋" w:cs="仿宋"/>
          <w:color w:val="auto"/>
          <w:szCs w:val="21"/>
          <w:lang w:eastAsia="zh-CN"/>
        </w:rPr>
      </w:pPr>
      <w:bookmarkStart w:id="25" w:name="_Toc73975842"/>
      <w:bookmarkStart w:id="26" w:name="_Toc469495730"/>
      <w:r>
        <w:rPr>
          <w:rFonts w:hint="eastAsia" w:ascii="仿宋" w:hAnsi="仿宋" w:eastAsia="仿宋" w:cs="仿宋"/>
          <w:color w:val="auto"/>
          <w:szCs w:val="21"/>
          <w:lang w:eastAsia="zh-CN"/>
        </w:rPr>
        <w:t>43．履约保证金</w:t>
      </w:r>
      <w:bookmarkEnd w:id="25"/>
    </w:p>
    <w:p>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43.1 中标供应商在签订合同后5个工作日内向采购人交纳不超过中标价10%的履约保证金（鼓励以银行、保险公司出具的履约保函形式提交；若以电汇、银行转账方式提交的，必须转到采购人的指定账户）。</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43.2 签订合同后，如中标供应商不按合同约定履约的，履约保证金不予退还，履约保证金不足以赔偿损失的，按实际损失赔偿。</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bookmarkStart w:id="27" w:name="_Toc73975843"/>
      <w:r>
        <w:rPr>
          <w:rFonts w:hint="eastAsia" w:ascii="仿宋" w:hAnsi="仿宋" w:eastAsia="仿宋" w:cs="仿宋"/>
          <w:color w:val="000000" w:themeColor="text1"/>
          <w:szCs w:val="21"/>
          <w:lang w:eastAsia="zh-CN"/>
          <w14:textFill>
            <w14:solidFill>
              <w14:schemeClr w14:val="tx1"/>
            </w14:solidFill>
          </w14:textFill>
        </w:rPr>
        <w:t>44．签订合同及公告</w:t>
      </w:r>
      <w:bookmarkEnd w:id="27"/>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44.1采购人在中标通知书发出之日起30日内与中标供应商签订合同。</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44.2中标供应商拖延、拒签合同的,取消中标资格。</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44.4采购人应当自政府采购合同签订之日起2个工作日内，在省级以上财政部门指定的政府采购信息发布媒体及相关网站上公告。</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44.5采购人应当自政府采购合同签订之日起7个工作日内，将政府采购合同副本报同级人民政府财政部门备案以及采购代理机构存档。</w:t>
      </w:r>
    </w:p>
    <w:p>
      <w:pPr>
        <w:adjustRightInd w:val="0"/>
        <w:snapToGrid w:val="0"/>
        <w:spacing w:line="440" w:lineRule="exact"/>
        <w:jc w:val="center"/>
        <w:outlineLvl w:val="2"/>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（七）纪律和监督</w:t>
      </w:r>
      <w:bookmarkEnd w:id="26"/>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45. 对招标人的纪律要求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 xml:space="preserve">45.1招标人不得泄漏招标投标活动中应当保密的情况和资料，不得与投标人串通损害国家利益，社会公共利益或者他人合法权益。 </w:t>
      </w:r>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46. 对投标人的纪律要求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46.1投标人不得相互串通投标或者与招标人串通投标，不得向招标人或者评标委员会成员行贿谋取中标，不得以他人名义投标或者以其他方式弄虚作假骗取中标；投标人不得以任何方式干扰、影响评标工作。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47. 对评标委员会成员的纪律要求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47.1评标委员会成员不得收受他人的财物或者其他好处，不得向他人透漏对投标文件的评审和比较、中标候选人的推荐情况以及评标有关的其他情况。</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 xml:space="preserve">47.2在评标活动中，评标委员会成员不得擅离职守，影响评标程序正常进行，不得使用第三章“评标办法”没有规定的评审因素和标准进行评标。 </w:t>
      </w:r>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48. 对与评标活动有关的工作人员的纪律要求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156" w:beforeLines="50" w:after="156" w:afterLines="50" w:line="500" w:lineRule="exact"/>
        <w:ind w:firstLine="840" w:firstLineChars="300"/>
        <w:jc w:val="center"/>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（八）质疑与投诉</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49．质疑和投诉</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（一）对可以质疑的采购文件提出质疑的，为收到采购文件之日或者采购文件公告期限届满之日；</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（二）对采购过程提出质疑的，为各采购程序环节结束之日；</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（三）对中标或者成交结果提出质疑的，为中标或者成交结果公告期限届满之日。</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49.5供应商有下列情形之一的，采购代理机构上报伊吾县财政局，将其列入不良行为记录名单：</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（一）一年内三次以上质疑均查无实据的；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（二）捏造事实或者提供虚假质疑材料的。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（三）以非法手段取得证明材料。证据来源的合法性存在明显疑问，质疑人无法证明其取得方式合法的，视为以非法手段取得证明材料。</w:t>
      </w:r>
    </w:p>
    <w:p>
      <w:pPr>
        <w:spacing w:line="360" w:lineRule="exact"/>
        <w:jc w:val="center"/>
        <w:rPr>
          <w:rFonts w:ascii="仿宋" w:hAnsi="仿宋" w:eastAsia="仿宋" w:cs="仿宋"/>
          <w:color w:val="000000" w:themeColor="text1"/>
          <w:sz w:val="30"/>
          <w:szCs w:val="30"/>
          <w:lang w:eastAsia="zh-CN"/>
          <w14:textFill>
            <w14:solidFill>
              <w14:schemeClr w14:val="tx1"/>
            </w14:solidFill>
          </w14:textFill>
        </w:rPr>
      </w:pPr>
    </w:p>
    <w:p>
      <w:pPr>
        <w:pStyle w:val="41"/>
        <w:rPr>
          <w:rFonts w:ascii="仿宋" w:hAnsi="仿宋" w:eastAsia="仿宋" w:cs="仿宋"/>
          <w:color w:val="000000" w:themeColor="text1"/>
          <w:sz w:val="30"/>
          <w:szCs w:val="30"/>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pStyle w:val="6"/>
        <w:rPr>
          <w:rFonts w:ascii="仿宋" w:hAnsi="仿宋" w:eastAsia="仿宋" w:cs="仿宋"/>
          <w:color w:val="000000" w:themeColor="text1"/>
          <w:sz w:val="21"/>
          <w:szCs w:val="21"/>
          <w:lang w:eastAsia="zh-CN"/>
          <w14:textFill>
            <w14:solidFill>
              <w14:schemeClr w14:val="tx1"/>
            </w14:solidFill>
          </w14:textFill>
        </w:rPr>
      </w:pPr>
    </w:p>
    <w:p>
      <w:pPr>
        <w:rPr>
          <w:lang w:eastAsia="zh-CN"/>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p>
    <w:p>
      <w:pPr>
        <w:rPr>
          <w:rFonts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附件：</w:t>
      </w:r>
    </w:p>
    <w:p>
      <w:pPr>
        <w:jc w:val="center"/>
        <w:rPr>
          <w:rFonts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政府采购投诉书（范本）、质疑函范本</w:t>
      </w:r>
    </w:p>
    <w:p>
      <w:pPr>
        <w:spacing w:line="400" w:lineRule="exact"/>
        <w:jc w:val="center"/>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政府采购投诉书（范本）</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投诉人：</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法定代表人：</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地址：</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电话：</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委托代理人姓名：</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职务：</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住址：</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联系电话：</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被投诉人：</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      法定代表人：</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p>
    <w:p>
      <w:pPr>
        <w:spacing w:line="400" w:lineRule="exact"/>
        <w:rPr>
          <w:rFonts w:ascii="仿宋" w:hAnsi="仿宋" w:eastAsia="仿宋" w:cs="仿宋"/>
          <w:color w:val="000000" w:themeColor="text1"/>
          <w:sz w:val="21"/>
          <w:szCs w:val="21"/>
          <w:u w:val="single"/>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地址：</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电话：</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p>
    <w:p>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p>
    <w:p>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我公司参加了</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 xml:space="preserve">年 </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月</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日被投诉人组织的</w:t>
      </w:r>
      <w:r>
        <w:rPr>
          <w:rFonts w:hint="eastAsia" w:ascii="仿宋" w:hAnsi="仿宋" w:eastAsia="仿宋" w:cs="仿宋"/>
          <w:color w:val="000000" w:themeColor="text1"/>
          <w:sz w:val="21"/>
          <w:szCs w:val="21"/>
          <w:u w:val="single"/>
          <w:lang w:eastAsia="zh-CN"/>
          <w14:textFill>
            <w14:solidFill>
              <w14:schemeClr w14:val="tx1"/>
            </w14:solidFill>
          </w14:textFill>
        </w:rPr>
        <w:t>（采购人）（项目名称）（项目编号）</w:t>
      </w:r>
      <w:r>
        <w:rPr>
          <w:rFonts w:hint="eastAsia" w:ascii="仿宋" w:hAnsi="仿宋" w:eastAsia="仿宋" w:cs="仿宋"/>
          <w:color w:val="000000" w:themeColor="text1"/>
          <w:sz w:val="21"/>
          <w:szCs w:val="21"/>
          <w:lang w:eastAsia="zh-CN"/>
          <w14:textFill>
            <w14:solidFill>
              <w14:schemeClr w14:val="tx1"/>
            </w14:solidFill>
          </w14:textFill>
        </w:rPr>
        <w:t>的采购活动，我公司认为该项目的</w:t>
      </w:r>
      <w:r>
        <w:rPr>
          <w:rFonts w:hint="eastAsia" w:ascii="仿宋" w:hAnsi="仿宋" w:eastAsia="仿宋" w:cs="仿宋"/>
          <w:color w:val="000000" w:themeColor="text1"/>
          <w:sz w:val="21"/>
          <w:szCs w:val="21"/>
          <w:u w:val="single"/>
          <w:lang w:eastAsia="zh-CN"/>
          <w14:textFill>
            <w14:solidFill>
              <w14:schemeClr w14:val="tx1"/>
            </w14:solidFill>
          </w14:textFill>
        </w:rPr>
        <w:t>（采购文件/采购过程/中标（中标）结果）</w:t>
      </w:r>
      <w:r>
        <w:rPr>
          <w:rFonts w:hint="eastAsia" w:ascii="仿宋" w:hAnsi="仿宋" w:eastAsia="仿宋" w:cs="仿宋"/>
          <w:color w:val="000000" w:themeColor="text1"/>
          <w:sz w:val="21"/>
          <w:szCs w:val="21"/>
          <w:lang w:eastAsia="zh-CN"/>
          <w14:textFill>
            <w14:solidFill>
              <w14:schemeClr w14:val="tx1"/>
            </w14:solidFill>
          </w14:textFill>
        </w:rPr>
        <w:t>损害了我公司权益，对此，我公司于</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年</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月</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日向</w:t>
      </w:r>
      <w:r>
        <w:rPr>
          <w:rFonts w:hint="eastAsia" w:ascii="仿宋" w:hAnsi="仿宋" w:eastAsia="仿宋" w:cs="仿宋"/>
          <w:color w:val="000000" w:themeColor="text1"/>
          <w:sz w:val="21"/>
          <w:szCs w:val="21"/>
          <w:u w:val="single"/>
          <w:lang w:eastAsia="zh-CN"/>
          <w14:textFill>
            <w14:solidFill>
              <w14:schemeClr w14:val="tx1"/>
            </w14:solidFill>
          </w14:textFill>
        </w:rPr>
        <w:t>（采购人或者政府采购代理机构）</w:t>
      </w:r>
      <w:r>
        <w:rPr>
          <w:rFonts w:hint="eastAsia" w:ascii="仿宋" w:hAnsi="仿宋" w:eastAsia="仿宋" w:cs="仿宋"/>
          <w:color w:val="000000" w:themeColor="text1"/>
          <w:sz w:val="21"/>
          <w:szCs w:val="21"/>
          <w:lang w:eastAsia="zh-CN"/>
          <w14:textFill>
            <w14:solidFill>
              <w14:schemeClr w14:val="tx1"/>
            </w14:solidFill>
          </w14:textFill>
        </w:rPr>
        <w:t>提出了质疑，</w:t>
      </w:r>
      <w:r>
        <w:rPr>
          <w:rFonts w:hint="eastAsia" w:ascii="仿宋" w:hAnsi="仿宋" w:eastAsia="仿宋" w:cs="仿宋"/>
          <w:color w:val="000000" w:themeColor="text1"/>
          <w:sz w:val="21"/>
          <w:szCs w:val="21"/>
          <w:u w:val="single"/>
          <w:lang w:eastAsia="zh-CN"/>
          <w14:textFill>
            <w14:solidFill>
              <w14:schemeClr w14:val="tx1"/>
            </w14:solidFill>
          </w14:textFill>
        </w:rPr>
        <w:t>（其于    年  月  日作出书面答复，因对其作出的答复不满意）/（被质疑人未在法定期内予以答复，按照政府采购有关规定）</w:t>
      </w:r>
      <w:r>
        <w:rPr>
          <w:rFonts w:hint="eastAsia" w:ascii="仿宋" w:hAnsi="仿宋" w:eastAsia="仿宋" w:cs="仿宋"/>
          <w:color w:val="000000" w:themeColor="text1"/>
          <w:sz w:val="21"/>
          <w:szCs w:val="21"/>
          <w:lang w:eastAsia="zh-CN"/>
          <w14:textFill>
            <w14:solidFill>
              <w14:schemeClr w14:val="tx1"/>
            </w14:solidFill>
          </w14:textFill>
        </w:rPr>
        <w:t>，现向贵机关提起投诉：</w:t>
      </w:r>
    </w:p>
    <w:p>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w:t>
      </w:r>
      <w:r>
        <w:rPr>
          <w:rFonts w:hint="eastAsia" w:ascii="仿宋" w:hAnsi="仿宋" w:eastAsia="仿宋" w:cs="仿宋"/>
          <w:color w:val="000000" w:themeColor="text1"/>
          <w:sz w:val="21"/>
          <w:szCs w:val="21"/>
          <w:u w:val="single"/>
          <w:lang w:eastAsia="zh-CN"/>
          <w14:textFill>
            <w14:solidFill>
              <w14:schemeClr w14:val="tx1"/>
            </w14:solidFill>
          </w14:textFill>
        </w:rPr>
        <w:t>具体的投诉事项及事实依据；</w:t>
      </w:r>
    </w:p>
    <w:p>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w:t>
      </w:r>
      <w:r>
        <w:rPr>
          <w:rFonts w:hint="eastAsia" w:ascii="仿宋" w:hAnsi="仿宋" w:eastAsia="仿宋" w:cs="仿宋"/>
          <w:color w:val="000000" w:themeColor="text1"/>
          <w:sz w:val="21"/>
          <w:szCs w:val="21"/>
          <w:u w:val="single"/>
          <w:lang w:eastAsia="zh-CN"/>
          <w14:textFill>
            <w14:solidFill>
              <w14:schemeClr w14:val="tx1"/>
            </w14:solidFill>
          </w14:textFill>
        </w:rPr>
        <w:t>质疑和质疑答复情况简要描述；</w:t>
      </w:r>
    </w:p>
    <w:p>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w:t>
      </w:r>
      <w:r>
        <w:rPr>
          <w:rFonts w:hint="eastAsia" w:ascii="仿宋" w:hAnsi="仿宋" w:eastAsia="仿宋" w:cs="仿宋"/>
          <w:color w:val="000000" w:themeColor="text1"/>
          <w:sz w:val="21"/>
          <w:szCs w:val="21"/>
          <w:u w:val="single"/>
          <w:lang w:eastAsia="zh-CN"/>
          <w14:textFill>
            <w14:solidFill>
              <w14:schemeClr w14:val="tx1"/>
            </w14:solidFill>
          </w14:textFill>
        </w:rPr>
        <w:t>投诉请求。</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附件：</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1.质疑书和质疑答复书；</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2.证据材料（需注明证据来源），证人的姓名、住址和联系方式等；</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3.营业执照；</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4.法定代表人身份证明函</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5.法定代表人授权委托书（包含法定代表人和委托代理人的身份证复印件）；</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6.政府采购监管部门认为应当提供的其它材料。</w:t>
      </w:r>
    </w:p>
    <w:p>
      <w:pPr>
        <w:spacing w:line="400" w:lineRule="exact"/>
        <w:jc w:val="righ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投诉供应商：（盖章）</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法定代表人（或主要负责人）：（签章）</w:t>
      </w:r>
    </w:p>
    <w:p>
      <w:pPr>
        <w:spacing w:line="400" w:lineRule="exact"/>
        <w:ind w:firstLine="3360" w:firstLineChars="16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年</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月</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日</w:t>
      </w:r>
    </w:p>
    <w:p>
      <w:pPr>
        <w:spacing w:line="400" w:lineRule="exact"/>
        <w:rPr>
          <w:rFonts w:ascii="仿宋" w:hAnsi="仿宋" w:eastAsia="仿宋" w:cs="仿宋"/>
          <w:color w:val="000000" w:themeColor="text1"/>
          <w:sz w:val="21"/>
          <w:szCs w:val="21"/>
          <w:lang w:eastAsia="zh-CN"/>
          <w14:textFill>
            <w14:solidFill>
              <w14:schemeClr w14:val="tx1"/>
            </w14:solidFill>
          </w14:textFill>
        </w:rPr>
      </w:pPr>
    </w:p>
    <w:p>
      <w:pPr>
        <w:spacing w:line="400" w:lineRule="exact"/>
        <w:jc w:val="righ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本投诉书正本叁份，副本</w:t>
      </w:r>
      <w:r>
        <w:rPr>
          <w:rFonts w:hint="eastAsia" w:ascii="仿宋" w:hAnsi="仿宋" w:eastAsia="仿宋" w:cs="仿宋"/>
          <w:color w:val="000000" w:themeColor="text1"/>
          <w:sz w:val="21"/>
          <w:szCs w:val="21"/>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份并附电子文档。</w:t>
      </w:r>
    </w:p>
    <w:p>
      <w:pPr>
        <w:ind w:left="7951" w:hanging="7920" w:hangingChars="1800"/>
        <w:jc w:val="center"/>
        <w:rPr>
          <w:rFonts w:ascii="仿宋" w:hAnsi="仿宋" w:eastAsia="仿宋" w:cs="仿宋"/>
          <w:b/>
          <w:bCs/>
          <w:color w:val="000000" w:themeColor="text1"/>
          <w:sz w:val="44"/>
          <w:szCs w:val="44"/>
          <w:lang w:eastAsia="zh-CN"/>
          <w14:textFill>
            <w14:solidFill>
              <w14:schemeClr w14:val="tx1"/>
            </w14:solidFill>
          </w14:textFill>
        </w:rPr>
      </w:pPr>
    </w:p>
    <w:p>
      <w:pPr>
        <w:ind w:left="7951" w:hanging="7920" w:hangingChars="1800"/>
        <w:jc w:val="center"/>
        <w:rPr>
          <w:rFonts w:ascii="仿宋" w:hAnsi="仿宋" w:eastAsia="仿宋" w:cs="仿宋"/>
          <w:b/>
          <w:bCs/>
          <w:color w:val="000000" w:themeColor="text1"/>
          <w:sz w:val="44"/>
          <w:szCs w:val="44"/>
          <w:lang w:eastAsia="zh-CN"/>
          <w14:textFill>
            <w14:solidFill>
              <w14:schemeClr w14:val="tx1"/>
            </w14:solidFill>
          </w14:textFill>
        </w:rPr>
      </w:pPr>
    </w:p>
    <w:p>
      <w:pPr>
        <w:ind w:left="5783" w:hanging="5760" w:hangingChars="1800"/>
        <w:jc w:val="center"/>
        <w:outlineLvl w:val="0"/>
        <w:rPr>
          <w:rFonts w:ascii="仿宋" w:hAnsi="仿宋" w:eastAsia="仿宋" w:cs="仿宋"/>
          <w:b/>
          <w:bCs/>
          <w:color w:val="000000" w:themeColor="text1"/>
          <w:sz w:val="32"/>
          <w:szCs w:val="32"/>
          <w:lang w:eastAsia="zh-CN"/>
          <w14:textFill>
            <w14:solidFill>
              <w14:schemeClr w14:val="tx1"/>
            </w14:solidFill>
          </w14:textFill>
        </w:rPr>
      </w:pPr>
      <w:bookmarkStart w:id="28" w:name="_Toc17515"/>
    </w:p>
    <w:p>
      <w:pPr>
        <w:ind w:left="5783" w:hanging="5760" w:hangingChars="1800"/>
        <w:jc w:val="center"/>
        <w:outlineLvl w:val="0"/>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投诉相关说明</w:t>
      </w:r>
      <w:bookmarkEnd w:id="28"/>
    </w:p>
    <w:p>
      <w:pPr>
        <w:widowControl/>
        <w:spacing w:line="400" w:lineRule="exact"/>
        <w:ind w:firstLine="42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投诉人应当满足《政府采购法》、《政府采购法实施条例》和《政府采购供应商投诉处理办法》的相关规定。</w:t>
      </w:r>
    </w:p>
    <w:p>
      <w:pPr>
        <w:numPr>
          <w:ilvl w:val="0"/>
          <w:numId w:val="5"/>
        </w:numPr>
        <w:spacing w:line="400" w:lineRule="exact"/>
        <w:ind w:left="4089" w:leftChars="304" w:hanging="3360" w:hangingChars="1600"/>
        <w:outlineLvl w:val="0"/>
        <w:rPr>
          <w:rFonts w:ascii="仿宋" w:hAnsi="仿宋" w:eastAsia="仿宋" w:cs="仿宋"/>
          <w:b/>
          <w:bCs/>
          <w:color w:val="000000" w:themeColor="text1"/>
          <w:sz w:val="21"/>
          <w:szCs w:val="21"/>
          <w14:textFill>
            <w14:solidFill>
              <w14:schemeClr w14:val="tx1"/>
            </w14:solidFill>
          </w14:textFill>
        </w:rPr>
      </w:pPr>
      <w:bookmarkStart w:id="29" w:name="_Toc11499"/>
      <w:r>
        <w:rPr>
          <w:rFonts w:hint="eastAsia" w:ascii="仿宋" w:hAnsi="仿宋" w:eastAsia="仿宋" w:cs="仿宋"/>
          <w:b/>
          <w:bCs/>
          <w:color w:val="000000" w:themeColor="text1"/>
          <w:sz w:val="21"/>
          <w:szCs w:val="21"/>
          <w14:textFill>
            <w14:solidFill>
              <w14:schemeClr w14:val="tx1"/>
            </w14:solidFill>
          </w14:textFill>
        </w:rPr>
        <w:t>质疑前置及时间要求</w:t>
      </w:r>
      <w:bookmarkEnd w:id="29"/>
    </w:p>
    <w:p>
      <w:pPr>
        <w:widowControl/>
        <w:spacing w:line="400" w:lineRule="exact"/>
        <w:ind w:firstLine="420"/>
        <w:rPr>
          <w:rFonts w:ascii="仿宋" w:hAnsi="仿宋" w:eastAsia="仿宋" w:cs="仿宋"/>
          <w:color w:val="000000" w:themeColor="text1"/>
          <w:sz w:val="21"/>
          <w:szCs w:val="21"/>
          <w:shd w:val="clear" w:color="auto" w:fill="FFFFFF"/>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《中华人民共和国政府采购法》</w:t>
      </w: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第五十一条：供应商对政府采购活动事项有疑问的，可以向采购人提出询问，采购人应当及时作出答复，但答复的内容不得涉及商业秘密。</w:t>
      </w:r>
    </w:p>
    <w:p>
      <w:pPr>
        <w:widowControl/>
        <w:spacing w:line="400" w:lineRule="exact"/>
        <w:ind w:firstLine="42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 xml:space="preserve"> 第五十二条：供应商认为采购文件、采购过程和中标、中标结果使自己的权益受到损害的，可以在知道或者应知其权益受到损害之日起七个工作日内，以书面形式向采购人提出质疑。</w:t>
      </w:r>
    </w:p>
    <w:p>
      <w:pPr>
        <w:widowControl/>
        <w:spacing w:line="400" w:lineRule="exact"/>
        <w:ind w:firstLine="420"/>
        <w:rPr>
          <w:rFonts w:ascii="仿宋" w:hAnsi="仿宋" w:eastAsia="仿宋" w:cs="仿宋"/>
          <w:color w:val="000000" w:themeColor="text1"/>
          <w:sz w:val="21"/>
          <w:szCs w:val="21"/>
          <w:shd w:val="clear" w:color="auto" w:fill="FFFFFF"/>
          <w:lang w:eastAsia="zh-CN"/>
          <w14:textFill>
            <w14:solidFill>
              <w14:schemeClr w14:val="tx1"/>
            </w14:solidFill>
          </w14:textFill>
        </w:rPr>
      </w:pP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widowControl/>
        <w:spacing w:line="400" w:lineRule="exact"/>
        <w:ind w:firstLine="420"/>
        <w:rPr>
          <w:rFonts w:ascii="仿宋" w:hAnsi="仿宋" w:eastAsia="仿宋" w:cs="仿宋"/>
          <w:color w:val="000000" w:themeColor="text1"/>
          <w:sz w:val="21"/>
          <w:szCs w:val="21"/>
          <w:shd w:val="clear" w:color="auto" w:fill="FFFFFF"/>
          <w:lang w:eastAsia="zh-CN"/>
          <w14:textFill>
            <w14:solidFill>
              <w14:schemeClr w14:val="tx1"/>
            </w14:solidFill>
          </w14:textFill>
        </w:rPr>
      </w:pP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pacing w:line="400" w:lineRule="exact"/>
        <w:ind w:firstLine="420"/>
        <w:rPr>
          <w:rFonts w:ascii="仿宋" w:hAnsi="仿宋" w:eastAsia="仿宋" w:cs="仿宋"/>
          <w:color w:val="000000" w:themeColor="text1"/>
          <w:sz w:val="21"/>
          <w:szCs w:val="21"/>
          <w:shd w:val="clear" w:color="auto" w:fill="FFFFFF"/>
          <w:lang w:eastAsia="zh-CN"/>
          <w14:textFill>
            <w14:solidFill>
              <w14:schemeClr w14:val="tx1"/>
            </w14:solidFill>
          </w14:textFill>
        </w:rPr>
      </w:pP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spacing w:line="400" w:lineRule="exact"/>
        <w:rPr>
          <w:rFonts w:ascii="仿宋" w:hAnsi="仿宋" w:eastAsia="仿宋" w:cs="仿宋"/>
          <w:color w:val="000000" w:themeColor="text1"/>
          <w:sz w:val="21"/>
          <w:szCs w:val="21"/>
          <w:lang w:eastAsia="zh-CN"/>
          <w14:textFill>
            <w14:solidFill>
              <w14:schemeClr w14:val="tx1"/>
            </w14:solidFill>
          </w14:textFill>
        </w:rPr>
      </w:pPr>
    </w:p>
    <w:p>
      <w:pPr>
        <w:spacing w:line="400" w:lineRule="exact"/>
        <w:ind w:left="3780" w:hanging="3780" w:hangingChars="1800"/>
        <w:outlineLvl w:val="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w:t>
      </w:r>
      <w:r>
        <w:rPr>
          <w:rFonts w:hint="eastAsia" w:ascii="仿宋" w:hAnsi="仿宋" w:eastAsia="仿宋" w:cs="仿宋"/>
          <w:b/>
          <w:bCs/>
          <w:color w:val="000000" w:themeColor="text1"/>
          <w:sz w:val="21"/>
          <w:szCs w:val="21"/>
          <w:lang w:eastAsia="zh-CN"/>
          <w14:textFill>
            <w14:solidFill>
              <w14:schemeClr w14:val="tx1"/>
            </w14:solidFill>
          </w14:textFill>
        </w:rPr>
        <w:t xml:space="preserve">   </w:t>
      </w:r>
      <w:bookmarkStart w:id="30" w:name="_Toc13508"/>
      <w:r>
        <w:rPr>
          <w:rFonts w:hint="eastAsia" w:ascii="仿宋" w:hAnsi="仿宋" w:eastAsia="仿宋" w:cs="仿宋"/>
          <w:b/>
          <w:bCs/>
          <w:color w:val="000000" w:themeColor="text1"/>
          <w:sz w:val="21"/>
          <w:szCs w:val="21"/>
          <w:lang w:eastAsia="zh-CN"/>
          <w14:textFill>
            <w14:solidFill>
              <w14:schemeClr w14:val="tx1"/>
            </w14:solidFill>
          </w14:textFill>
        </w:rPr>
        <w:t>二、书面方式</w:t>
      </w:r>
      <w:bookmarkEnd w:id="30"/>
    </w:p>
    <w:p>
      <w:pPr>
        <w:spacing w:line="400" w:lineRule="exact"/>
        <w:ind w:left="3780" w:hanging="3780" w:hangingChars="18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《政府采购供应商投诉处理办法》第八条：投诉人投诉</w:t>
      </w:r>
    </w:p>
    <w:p>
      <w:p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时，应当提交投诉书，并按照被投诉人以及与投诉事项有关的供应商数量提供投诉书的副本。</w:t>
      </w:r>
    </w:p>
    <w:p>
      <w:pPr>
        <w:spacing w:line="400" w:lineRule="exact"/>
        <w:ind w:left="3780" w:hanging="3780" w:hangingChars="18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投诉书应当包括下列主要内容：</w:t>
      </w:r>
    </w:p>
    <w:p>
      <w:pPr>
        <w:numPr>
          <w:ilvl w:val="0"/>
          <w:numId w:val="6"/>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投诉人和被投诉人的名称、地址、电话等；</w:t>
      </w:r>
    </w:p>
    <w:p>
      <w:pPr>
        <w:numPr>
          <w:ilvl w:val="0"/>
          <w:numId w:val="6"/>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具体的投诉事项及事实依据；</w:t>
      </w:r>
    </w:p>
    <w:p>
      <w:pPr>
        <w:numPr>
          <w:ilvl w:val="0"/>
          <w:numId w:val="6"/>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质疑和质疑答复情况及相关证明材料；</w:t>
      </w:r>
    </w:p>
    <w:p>
      <w:pPr>
        <w:numPr>
          <w:ilvl w:val="0"/>
          <w:numId w:val="6"/>
        </w:numPr>
        <w:spacing w:line="400" w:lineRule="exact"/>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提起投诉的日期。</w:t>
      </w:r>
    </w:p>
    <w:p>
      <w:pPr>
        <w:spacing w:line="400" w:lineRule="exact"/>
        <w:ind w:firstLine="64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投诉书应当署名。投诉人为自然人，应当由本人签章；投诉人为法人或者其他组织的，应当由法定代表人或者主要负责人签章并加盖公章。</w:t>
      </w:r>
    </w:p>
    <w:p>
      <w:pPr>
        <w:spacing w:line="400" w:lineRule="exact"/>
        <w:ind w:firstLine="64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00" w:lineRule="exact"/>
        <w:ind w:firstLine="64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《政府采购供应商投诉处理办法》第十条：投诉人提起投诉应当符合下列条件：</w:t>
      </w:r>
    </w:p>
    <w:p>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投诉人是参与所投诉政府采购活动的供应商；</w:t>
      </w:r>
    </w:p>
    <w:p>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提起投诉诉前已依法进行质疑；</w:t>
      </w:r>
    </w:p>
    <w:p>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投诉书内容符合本办法的规定；</w:t>
      </w:r>
    </w:p>
    <w:p>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在投诉有效期内提起投诉；</w:t>
      </w:r>
    </w:p>
    <w:p>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属于本级财政部门管辖；</w:t>
      </w:r>
    </w:p>
    <w:p>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同一投诉事项未经财政部门投诉处理；</w:t>
      </w:r>
    </w:p>
    <w:p>
      <w:pPr>
        <w:numPr>
          <w:ilvl w:val="0"/>
          <w:numId w:val="7"/>
        </w:numPr>
        <w:spacing w:line="400" w:lineRule="exact"/>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国务院财政部门规定的其他条件。</w:t>
      </w:r>
    </w:p>
    <w:p>
      <w:pPr>
        <w:spacing w:line="400" w:lineRule="exact"/>
        <w:ind w:left="3780" w:hanging="3780" w:hangingChars="18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w:t>
      </w:r>
    </w:p>
    <w:p>
      <w:pPr>
        <w:outlineLvl w:val="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w:t>
      </w:r>
      <w:r>
        <w:rPr>
          <w:rFonts w:hint="eastAsia" w:ascii="仿宋" w:hAnsi="仿宋" w:eastAsia="仿宋" w:cs="仿宋"/>
          <w:b/>
          <w:bCs/>
          <w:color w:val="000000" w:themeColor="text1"/>
          <w:sz w:val="21"/>
          <w:szCs w:val="21"/>
          <w:lang w:eastAsia="zh-CN"/>
          <w14:textFill>
            <w14:solidFill>
              <w14:schemeClr w14:val="tx1"/>
            </w14:solidFill>
          </w14:textFill>
        </w:rPr>
        <w:t xml:space="preserve">   </w:t>
      </w:r>
      <w:bookmarkStart w:id="31" w:name="_Toc5978"/>
      <w:r>
        <w:rPr>
          <w:rFonts w:hint="eastAsia" w:ascii="仿宋" w:hAnsi="仿宋" w:eastAsia="仿宋" w:cs="仿宋"/>
          <w:b/>
          <w:bCs/>
          <w:color w:val="000000" w:themeColor="text1"/>
          <w:sz w:val="21"/>
          <w:szCs w:val="21"/>
          <w:lang w:eastAsia="zh-CN"/>
          <w14:textFill>
            <w14:solidFill>
              <w14:schemeClr w14:val="tx1"/>
            </w14:solidFill>
          </w14:textFill>
        </w:rPr>
        <w:t>三、虚假、恶意投诉法律责任</w:t>
      </w:r>
      <w:bookmarkEnd w:id="31"/>
    </w:p>
    <w:p>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（一）1年内3次以上投诉均查无实据的；</w:t>
      </w:r>
    </w:p>
    <w:p>
      <w:pPr>
        <w:spacing w:line="40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（二）捏造事实或者提供虚假投诉材料的。</w:t>
      </w:r>
    </w:p>
    <w:p>
      <w:pPr>
        <w:spacing w:line="400" w:lineRule="exact"/>
        <w:rPr>
          <w:rFonts w:ascii="仿宋" w:hAnsi="仿宋" w:eastAsia="仿宋" w:cs="仿宋"/>
          <w:color w:val="000000" w:themeColor="text1"/>
          <w:sz w:val="21"/>
          <w:szCs w:val="21"/>
          <w:lang w:eastAsia="zh-CN"/>
          <w14:textFill>
            <w14:solidFill>
              <w14:schemeClr w14:val="tx1"/>
            </w14:solidFill>
          </w14:textFill>
        </w:rPr>
      </w:pPr>
    </w:p>
    <w:p>
      <w:pPr>
        <w:spacing w:line="400" w:lineRule="exact"/>
        <w:rPr>
          <w:rFonts w:ascii="仿宋" w:hAnsi="仿宋" w:eastAsia="仿宋" w:cs="仿宋"/>
          <w:color w:val="000000" w:themeColor="text1"/>
          <w:sz w:val="21"/>
          <w:szCs w:val="21"/>
          <w:lang w:eastAsia="zh-CN"/>
          <w14:textFill>
            <w14:solidFill>
              <w14:schemeClr w14:val="tx1"/>
            </w14:solidFill>
          </w14:textFill>
        </w:rPr>
      </w:pPr>
    </w:p>
    <w:p>
      <w:pPr>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递交投诉书地址：伊吾县政府采购办监管办公室</w:t>
      </w:r>
    </w:p>
    <w:p>
      <w:pPr>
        <w:jc w:val="right"/>
        <w:rPr>
          <w:rFonts w:ascii="仿宋" w:hAnsi="仿宋" w:eastAsia="仿宋" w:cs="仿宋"/>
          <w:color w:val="000000" w:themeColor="text1"/>
          <w:sz w:val="32"/>
          <w:szCs w:val="32"/>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pStyle w:val="38"/>
        <w:rPr>
          <w:lang w:eastAsia="zh-CN"/>
        </w:rPr>
      </w:pPr>
    </w:p>
    <w:p>
      <w:pPr>
        <w:spacing w:line="540" w:lineRule="exact"/>
        <w:jc w:val="both"/>
        <w:outlineLvl w:val="0"/>
        <w:rPr>
          <w:rFonts w:ascii="仿宋" w:hAnsi="仿宋" w:eastAsia="仿宋" w:cs="仿宋"/>
          <w:b/>
          <w:bCs/>
          <w:color w:val="000000" w:themeColor="text1"/>
          <w:sz w:val="44"/>
          <w:szCs w:val="44"/>
          <w:lang w:eastAsia="zh-CN"/>
          <w14:textFill>
            <w14:solidFill>
              <w14:schemeClr w14:val="tx1"/>
            </w14:solidFill>
          </w14:textFill>
        </w:rPr>
      </w:pPr>
      <w:bookmarkStart w:id="32" w:name="_Toc1697"/>
    </w:p>
    <w:p>
      <w:pPr>
        <w:spacing w:line="540" w:lineRule="exact"/>
        <w:jc w:val="center"/>
        <w:outlineLvl w:val="0"/>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outlineLvl w:val="0"/>
        <w:rPr>
          <w:rFonts w:ascii="仿宋" w:hAnsi="仿宋" w:eastAsia="仿宋" w:cs="仿宋"/>
          <w:b/>
          <w:bCs/>
          <w:color w:val="000000" w:themeColor="text1"/>
          <w:sz w:val="32"/>
          <w:szCs w:val="32"/>
          <w:lang w:eastAsia="zh-CN"/>
          <w14:textFill>
            <w14:solidFill>
              <w14:schemeClr w14:val="tx1"/>
            </w14:solidFill>
          </w14:textFill>
        </w:rPr>
      </w:pPr>
    </w:p>
    <w:p>
      <w:pPr>
        <w:spacing w:line="540" w:lineRule="exact"/>
        <w:jc w:val="center"/>
        <w:outlineLvl w:val="0"/>
        <w:rPr>
          <w:rFonts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质疑函范本</w:t>
      </w:r>
      <w:bookmarkEnd w:id="32"/>
    </w:p>
    <w:p>
      <w:pPr>
        <w:adjustRightInd w:val="0"/>
        <w:snapToGrid w:val="0"/>
        <w:spacing w:before="312" w:beforeLines="100" w:line="540" w:lineRule="exact"/>
        <w:ind w:firstLine="420" w:firstLineChars="200"/>
        <w:outlineLvl w:val="0"/>
        <w:rPr>
          <w:rFonts w:ascii="仿宋" w:hAnsi="仿宋" w:eastAsia="仿宋" w:cs="仿宋"/>
          <w:bCs/>
          <w:color w:val="000000" w:themeColor="text1"/>
          <w:sz w:val="21"/>
          <w:szCs w:val="21"/>
          <w:lang w:eastAsia="zh-CN"/>
          <w14:textFill>
            <w14:solidFill>
              <w14:schemeClr w14:val="tx1"/>
            </w14:solidFill>
          </w14:textFill>
        </w:rPr>
      </w:pPr>
      <w:bookmarkStart w:id="33" w:name="_Toc9061"/>
      <w:r>
        <w:rPr>
          <w:rFonts w:hint="eastAsia" w:ascii="仿宋" w:hAnsi="仿宋" w:eastAsia="仿宋" w:cs="仿宋"/>
          <w:bCs/>
          <w:color w:val="000000" w:themeColor="text1"/>
          <w:sz w:val="21"/>
          <w:szCs w:val="21"/>
          <w:lang w:eastAsia="zh-CN"/>
          <w14:textFill>
            <w14:solidFill>
              <w14:schemeClr w14:val="tx1"/>
            </w14:solidFill>
          </w14:textFill>
        </w:rPr>
        <w:t>一、质疑供应商基本信息</w:t>
      </w:r>
      <w:bookmarkEnd w:id="33"/>
    </w:p>
    <w:p>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质疑供应商：</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地址：</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邮编：</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联系人：</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联系电话：</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授权代表：</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联系电话：</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地址： </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邮编：</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adjustRightInd w:val="0"/>
        <w:snapToGrid w:val="0"/>
        <w:spacing w:line="540" w:lineRule="exact"/>
        <w:ind w:firstLine="420" w:firstLineChars="200"/>
        <w:outlineLvl w:val="0"/>
        <w:rPr>
          <w:rFonts w:ascii="仿宋" w:hAnsi="仿宋" w:eastAsia="仿宋" w:cs="仿宋"/>
          <w:bCs/>
          <w:color w:val="000000" w:themeColor="text1"/>
          <w:sz w:val="21"/>
          <w:szCs w:val="21"/>
          <w:lang w:eastAsia="zh-CN"/>
          <w14:textFill>
            <w14:solidFill>
              <w14:schemeClr w14:val="tx1"/>
            </w14:solidFill>
          </w14:textFill>
        </w:rPr>
      </w:pPr>
      <w:bookmarkStart w:id="34" w:name="_Toc15938"/>
      <w:r>
        <w:rPr>
          <w:rFonts w:hint="eastAsia" w:ascii="仿宋" w:hAnsi="仿宋" w:eastAsia="仿宋" w:cs="仿宋"/>
          <w:bCs/>
          <w:color w:val="000000" w:themeColor="text1"/>
          <w:sz w:val="21"/>
          <w:szCs w:val="21"/>
          <w:lang w:eastAsia="zh-CN"/>
          <w14:textFill>
            <w14:solidFill>
              <w14:schemeClr w14:val="tx1"/>
            </w14:solidFill>
          </w14:textFill>
        </w:rPr>
        <w:t>二、质疑项目基本情况</w:t>
      </w:r>
      <w:bookmarkEnd w:id="34"/>
    </w:p>
    <w:p>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质疑项目的名称：</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质疑项目的编号：</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包号：</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采购人名称：</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采购文件获取日期：</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adjustRightInd w:val="0"/>
        <w:snapToGrid w:val="0"/>
        <w:spacing w:line="540" w:lineRule="exact"/>
        <w:ind w:firstLine="420" w:firstLineChars="200"/>
        <w:outlineLvl w:val="0"/>
        <w:rPr>
          <w:rFonts w:ascii="仿宋" w:hAnsi="仿宋" w:eastAsia="仿宋" w:cs="仿宋"/>
          <w:bCs/>
          <w:color w:val="000000" w:themeColor="text1"/>
          <w:sz w:val="21"/>
          <w:szCs w:val="21"/>
          <w:lang w:eastAsia="zh-CN"/>
          <w14:textFill>
            <w14:solidFill>
              <w14:schemeClr w14:val="tx1"/>
            </w14:solidFill>
          </w14:textFill>
        </w:rPr>
      </w:pPr>
      <w:bookmarkStart w:id="35" w:name="_Toc18271"/>
      <w:r>
        <w:rPr>
          <w:rFonts w:hint="eastAsia" w:ascii="仿宋" w:hAnsi="仿宋" w:eastAsia="仿宋" w:cs="仿宋"/>
          <w:bCs/>
          <w:color w:val="000000" w:themeColor="text1"/>
          <w:sz w:val="21"/>
          <w:szCs w:val="21"/>
          <w:lang w:eastAsia="zh-CN"/>
          <w14:textFill>
            <w14:solidFill>
              <w14:schemeClr w14:val="tx1"/>
            </w14:solidFill>
          </w14:textFill>
        </w:rPr>
        <w:t>三、质疑事项具体内容</w:t>
      </w:r>
      <w:bookmarkEnd w:id="35"/>
    </w:p>
    <w:p>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质疑事项1：</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事实依据：</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法律依据：</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质疑事项2</w:t>
      </w:r>
    </w:p>
    <w:p>
      <w:pPr>
        <w:adjustRightInd w:val="0"/>
        <w:snapToGrid w:val="0"/>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p>
    <w:p>
      <w:pPr>
        <w:adjustRightInd w:val="0"/>
        <w:snapToGrid w:val="0"/>
        <w:spacing w:line="540" w:lineRule="exact"/>
        <w:ind w:firstLine="420" w:firstLineChars="200"/>
        <w:outlineLvl w:val="0"/>
        <w:rPr>
          <w:rFonts w:ascii="仿宋" w:hAnsi="仿宋" w:eastAsia="仿宋" w:cs="仿宋"/>
          <w:bCs/>
          <w:color w:val="000000" w:themeColor="text1"/>
          <w:sz w:val="21"/>
          <w:szCs w:val="21"/>
          <w:lang w:eastAsia="zh-CN"/>
          <w14:textFill>
            <w14:solidFill>
              <w14:schemeClr w14:val="tx1"/>
            </w14:solidFill>
          </w14:textFill>
        </w:rPr>
      </w:pPr>
      <w:bookmarkStart w:id="36" w:name="_Toc22365"/>
      <w:r>
        <w:rPr>
          <w:rFonts w:hint="eastAsia" w:ascii="仿宋" w:hAnsi="仿宋" w:eastAsia="仿宋" w:cs="仿宋"/>
          <w:bCs/>
          <w:color w:val="000000" w:themeColor="text1"/>
          <w:sz w:val="21"/>
          <w:szCs w:val="21"/>
          <w:lang w:eastAsia="zh-CN"/>
          <w14:textFill>
            <w14:solidFill>
              <w14:schemeClr w14:val="tx1"/>
            </w14:solidFill>
          </w14:textFill>
        </w:rPr>
        <w:t>四、与质疑事项相关的质疑请求</w:t>
      </w:r>
      <w:bookmarkEnd w:id="36"/>
    </w:p>
    <w:p>
      <w:pPr>
        <w:adjustRightInd w:val="0"/>
        <w:snapToGrid w:val="0"/>
        <w:spacing w:line="540" w:lineRule="exact"/>
        <w:ind w:firstLine="420" w:firstLineChars="200"/>
        <w:rPr>
          <w:rFonts w:ascii="仿宋" w:hAnsi="仿宋" w:eastAsia="仿宋" w:cs="仿宋"/>
          <w:color w:val="000000" w:themeColor="text1"/>
          <w:sz w:val="21"/>
          <w:szCs w:val="21"/>
          <w:u w:val="dotted"/>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请求：</w:t>
      </w:r>
      <w:r>
        <w:rPr>
          <w:rFonts w:hint="eastAsia" w:ascii="仿宋" w:hAnsi="仿宋" w:eastAsia="仿宋" w:cs="仿宋"/>
          <w:color w:val="000000" w:themeColor="text1"/>
          <w:sz w:val="21"/>
          <w:szCs w:val="21"/>
          <w:u w:val="dotted"/>
          <w:lang w:eastAsia="zh-CN"/>
          <w14:textFill>
            <w14:solidFill>
              <w14:schemeClr w14:val="tx1"/>
            </w14:solidFill>
          </w14:textFill>
        </w:rPr>
        <w:t xml:space="preserve">                                               </w:t>
      </w:r>
    </w:p>
    <w:p>
      <w:pPr>
        <w:spacing w:line="540" w:lineRule="exact"/>
        <w:ind w:firstLine="420" w:firstLineChars="20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签章(签章)：                   公章：                      </w:t>
      </w:r>
    </w:p>
    <w:p>
      <w:pPr>
        <w:spacing w:line="540" w:lineRule="exact"/>
        <w:ind w:firstLine="420" w:firstLineChars="200"/>
        <w:rPr>
          <w:rFonts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日期：    </w:t>
      </w:r>
    </w:p>
    <w:p>
      <w:pPr>
        <w:spacing w:line="540" w:lineRule="exact"/>
        <w:ind w:firstLine="420" w:firstLineChars="200"/>
        <w:rPr>
          <w:rFonts w:ascii="仿宋" w:hAnsi="仿宋" w:eastAsia="仿宋" w:cs="仿宋"/>
          <w:b/>
          <w:bCs/>
          <w:color w:val="000000" w:themeColor="text1"/>
          <w:sz w:val="21"/>
          <w:szCs w:val="21"/>
          <w:lang w:eastAsia="zh-CN"/>
          <w14:textFill>
            <w14:solidFill>
              <w14:schemeClr w14:val="tx1"/>
            </w14:solidFill>
          </w14:textFill>
        </w:rPr>
      </w:pPr>
    </w:p>
    <w:p>
      <w:pPr>
        <w:pageBreakBefore/>
        <w:spacing w:line="440" w:lineRule="exact"/>
        <w:jc w:val="center"/>
        <w:outlineLvl w:val="0"/>
        <w:rPr>
          <w:rFonts w:ascii="仿宋" w:hAnsi="仿宋" w:eastAsia="仿宋" w:cs="仿宋"/>
          <w:color w:val="000000" w:themeColor="text1"/>
          <w:sz w:val="30"/>
          <w:szCs w:val="30"/>
          <w:lang w:eastAsia="zh-CN"/>
          <w14:textFill>
            <w14:solidFill>
              <w14:schemeClr w14:val="tx1"/>
            </w14:solidFill>
          </w14:textFill>
        </w:rPr>
      </w:pPr>
      <w:bookmarkStart w:id="37" w:name="_Toc469495731"/>
      <w:r>
        <w:rPr>
          <w:rFonts w:hint="eastAsia" w:ascii="仿宋" w:hAnsi="仿宋" w:eastAsia="仿宋" w:cs="仿宋"/>
          <w:color w:val="000000" w:themeColor="text1"/>
          <w:sz w:val="30"/>
          <w:szCs w:val="30"/>
          <w:lang w:eastAsia="zh-CN"/>
          <w14:textFill>
            <w14:solidFill>
              <w14:schemeClr w14:val="tx1"/>
            </w14:solidFill>
          </w14:textFill>
        </w:rPr>
        <w:t>第三章  评标办法</w:t>
      </w:r>
      <w:bookmarkEnd w:id="37"/>
    </w:p>
    <w:p>
      <w:pPr>
        <w:jc w:val="center"/>
        <w:outlineLvl w:val="1"/>
        <w:rPr>
          <w:rFonts w:ascii="仿宋" w:hAnsi="仿宋" w:eastAsia="仿宋" w:cs="仿宋"/>
          <w:b/>
          <w:color w:val="000000" w:themeColor="text1"/>
          <w:sz w:val="28"/>
          <w:szCs w:val="28"/>
          <w:lang w:eastAsia="zh-CN"/>
          <w14:textFill>
            <w14:solidFill>
              <w14:schemeClr w14:val="tx1"/>
            </w14:solidFill>
          </w14:textFill>
        </w:rPr>
      </w:pPr>
      <w:bookmarkStart w:id="38" w:name="_Toc362983802"/>
      <w:bookmarkStart w:id="39" w:name="_Toc469495733"/>
      <w:bookmarkStart w:id="40" w:name="_Toc267320058"/>
      <w:bookmarkStart w:id="41" w:name="_Toc363135205"/>
      <w:r>
        <w:rPr>
          <w:rFonts w:hint="eastAsia" w:ascii="仿宋" w:hAnsi="仿宋" w:eastAsia="仿宋" w:cs="仿宋"/>
          <w:b/>
          <w:color w:val="000000" w:themeColor="text1"/>
          <w:sz w:val="28"/>
          <w:szCs w:val="28"/>
          <w:lang w:eastAsia="zh-CN"/>
          <w14:textFill>
            <w14:solidFill>
              <w14:schemeClr w14:val="tx1"/>
            </w14:solidFill>
          </w14:textFill>
        </w:rPr>
        <w:t>一  总  则</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1、一般规定</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1.1本项目的招标按照《中华人民共和国政府采购法》、《政府采购货物和服务招标投标管理办法》及政府采购的有关规定进行。</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1.2评标必须遵循邀请、公平、公正、诚实信用的原则。</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1.3招标代理机构组织招标、开标、评标工作，全过程接受政府采购有关部门的监督、管理和指导。</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1.4评标按照招标文件规定的内容进行，采取符合招标文件要求的综合评分法；</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1.5本办法的评标对象是指投标人按照招标文件要求提供的有效投标文件，包括投标人应评标委员会要求对原投标文件作出的正式书面澄清文件。</w:t>
      </w:r>
    </w:p>
    <w:p>
      <w:pPr>
        <w:tabs>
          <w:tab w:val="left" w:pos="567"/>
          <w:tab w:val="left" w:pos="1145"/>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2、评标组织机构的组成</w:t>
      </w:r>
    </w:p>
    <w:p>
      <w:pPr>
        <w:widowControl/>
        <w:spacing w:line="440" w:lineRule="exact"/>
        <w:ind w:firstLine="48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2.1</w:t>
      </w:r>
      <w:r>
        <w:rPr>
          <w:rFonts w:hint="eastAsia" w:ascii="仿宋" w:hAnsi="仿宋" w:eastAsia="仿宋" w:cs="仿宋"/>
          <w:color w:val="000000" w:themeColor="text1"/>
          <w:spacing w:val="-2"/>
          <w:lang w:eastAsia="zh-CN"/>
          <w14:textFill>
            <w14:solidFill>
              <w14:schemeClr w14:val="tx1"/>
            </w14:solidFill>
          </w14:textFill>
        </w:rPr>
        <w:t xml:space="preserve"> </w:t>
      </w:r>
      <w:r>
        <w:rPr>
          <w:rFonts w:hint="eastAsia" w:ascii="仿宋" w:hAnsi="仿宋" w:eastAsia="仿宋" w:cs="仿宋"/>
          <w:color w:val="000000" w:themeColor="text1"/>
          <w:szCs w:val="21"/>
          <w:lang w:eastAsia="zh-CN" w:bidi="ar-SA"/>
          <w14:textFill>
            <w14:solidFill>
              <w14:schemeClr w14:val="tx1"/>
            </w14:solidFill>
          </w14:textFill>
        </w:rPr>
        <w:t>评标委员会由采购人代表和有关技术、经济等方面的专家组成，成员人数应当为5人或5人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tabs>
          <w:tab w:val="left" w:pos="567"/>
          <w:tab w:val="left" w:pos="1145"/>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2.2评标工作组由招标人及有关专家组成，由评标委员会确认，并接受其领导。</w:t>
      </w:r>
    </w:p>
    <w:p>
      <w:pPr>
        <w:tabs>
          <w:tab w:val="left" w:pos="567"/>
          <w:tab w:val="left" w:pos="1145"/>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2.3评标委员会应相对独立工作，负责评标、撰写技术、商务评标报告。采购代理机构负责评标过程中资料的保管、发放、回收，整理、汇总评标资料。</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3、评标委员会职责</w:t>
      </w:r>
    </w:p>
    <w:p>
      <w:pPr>
        <w:pStyle w:val="50"/>
        <w:spacing w:before="0" w:beforeAutospacing="0" w:after="0" w:afterAutospacing="0" w:line="440" w:lineRule="exact"/>
        <w:ind w:firstLine="535" w:firstLineChars="25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3.1审查投标文件是否符合招标文件要求，并作出评价；</w:t>
      </w:r>
    </w:p>
    <w:p>
      <w:pPr>
        <w:pStyle w:val="50"/>
        <w:spacing w:before="0" w:beforeAutospacing="0" w:after="0" w:afterAutospacing="0" w:line="440" w:lineRule="exact"/>
        <w:ind w:firstLine="535" w:firstLineChars="25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3.2要求投标人对投标文件有关事项作出解释或者澄清；</w:t>
      </w:r>
    </w:p>
    <w:p>
      <w:pPr>
        <w:pStyle w:val="50"/>
        <w:spacing w:before="0" w:beforeAutospacing="0" w:after="0" w:afterAutospacing="0" w:line="440" w:lineRule="exact"/>
        <w:ind w:firstLine="535" w:firstLineChars="25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3.3推荐中标候选人名单；</w:t>
      </w:r>
    </w:p>
    <w:p>
      <w:pPr>
        <w:pStyle w:val="50"/>
        <w:spacing w:before="0" w:beforeAutospacing="0" w:after="0" w:afterAutospacing="0" w:line="440" w:lineRule="exact"/>
        <w:ind w:firstLine="535" w:firstLineChars="255"/>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3.4向招标人、招标代理机构或者有关部门报告非法干预评标工作的行为。</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4、评标委员会义务</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4.1遵纪守法，客观、公正、廉洁地履行职责；</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4.2按照招标文件规定的评标方法和评标标准进行评标，对评审意见承担个人责任；</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4.3对评标过程和结果，以及投标人的商业秘密保密；</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4.4参与评标报告的起草；</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4.5配合有关部门的投诉处理工作；</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4.6配合招标人、招标代理机构答复投标供应商提出的质疑。</w:t>
      </w:r>
    </w:p>
    <w:p>
      <w:pPr>
        <w:tabs>
          <w:tab w:val="left" w:pos="1547"/>
        </w:tabs>
        <w:spacing w:line="440" w:lineRule="exact"/>
        <w:ind w:firstLine="612" w:firstLineChars="255"/>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 评标程序</w:t>
      </w:r>
    </w:p>
    <w:p>
      <w:pPr>
        <w:pStyle w:val="18"/>
        <w:tabs>
          <w:tab w:val="left" w:pos="720"/>
          <w:tab w:val="clear" w:pos="0"/>
        </w:tabs>
        <w:spacing w:line="440" w:lineRule="exact"/>
        <w:ind w:firstLine="612" w:firstLineChars="255"/>
        <w:rPr>
          <w:rFonts w:ascii="仿宋" w:hAnsi="仿宋" w:eastAsia="仿宋" w:cs="仿宋"/>
          <w:bCs/>
          <w:color w:val="000000" w:themeColor="text1"/>
          <w:szCs w:val="21"/>
          <w:lang w:eastAsia="zh-CN" w:bidi="ar-SA"/>
          <w14:textFill>
            <w14:solidFill>
              <w14:schemeClr w14:val="tx1"/>
            </w14:solidFill>
          </w14:textFill>
        </w:rPr>
      </w:pPr>
      <w:r>
        <w:rPr>
          <w:rFonts w:hint="eastAsia" w:ascii="仿宋" w:hAnsi="仿宋" w:eastAsia="仿宋" w:cs="仿宋"/>
          <w:bCs/>
          <w:color w:val="000000" w:themeColor="text1"/>
          <w:szCs w:val="21"/>
          <w:lang w:eastAsia="zh-CN" w:bidi="ar-SA"/>
          <w14:textFill>
            <w14:solidFill>
              <w14:schemeClr w14:val="tx1"/>
            </w14:solidFill>
          </w14:textFill>
        </w:rPr>
        <w:t>5.1本次评标首先由评标委员会对投标人的投标文件进行初审，对未能通过初审的投标文件作无效标处理；</w:t>
      </w:r>
    </w:p>
    <w:p>
      <w:pPr>
        <w:tabs>
          <w:tab w:val="left" w:pos="720"/>
        </w:tabs>
        <w:spacing w:line="440" w:lineRule="exact"/>
        <w:ind w:firstLine="612" w:firstLineChars="255"/>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5.2对通过初审的投标人的投标文件进行详细的比较和评价。如需要，进行必要的澄清工作；</w:t>
      </w:r>
    </w:p>
    <w:p>
      <w:pPr>
        <w:widowControl/>
        <w:spacing w:line="360" w:lineRule="exact"/>
        <w:ind w:firstLine="482"/>
        <w:rPr>
          <w:rFonts w:ascii="仿宋" w:hAnsi="仿宋" w:eastAsia="仿宋" w:cs="仿宋"/>
          <w:b/>
          <w:bCs/>
          <w:color w:val="000000" w:themeColor="text1"/>
          <w:sz w:val="36"/>
          <w:szCs w:val="36"/>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5.3依据评分标准以及各项权值，各位评委单独就每个投标人的投标文件进行价格、技术、</w:t>
      </w:r>
      <w:r>
        <w:fldChar w:fldCharType="begin"/>
      </w:r>
      <w:r>
        <w:instrText xml:space="preserve"> HYPERLINK "http://zhidao.baidu.com/search?word=%E8%B4%A2%E5%8A%A1%E7%8A%B6%E5%86%B5&amp;fr=qb_search_exp&amp;ie=utf8&amp;eid_gfrom=151" </w:instrText>
      </w:r>
      <w:r>
        <w:fldChar w:fldCharType="separate"/>
      </w:r>
      <w:r>
        <w:rPr>
          <w:rFonts w:hint="eastAsia" w:ascii="仿宋" w:hAnsi="仿宋" w:eastAsia="仿宋" w:cs="仿宋"/>
          <w:color w:val="000000" w:themeColor="text1"/>
          <w:szCs w:val="21"/>
          <w:lang w:eastAsia="zh-CN" w:bidi="ar-SA"/>
          <w14:textFill>
            <w14:solidFill>
              <w14:schemeClr w14:val="tx1"/>
            </w14:solidFill>
          </w14:textFill>
        </w:rPr>
        <w:t>财务状况</w:t>
      </w:r>
      <w:r>
        <w:rPr>
          <w:rFonts w:hint="eastAsia" w:ascii="仿宋" w:hAnsi="仿宋" w:eastAsia="仿宋" w:cs="仿宋"/>
          <w:color w:val="000000" w:themeColor="text1"/>
          <w:szCs w:val="21"/>
          <w:lang w:eastAsia="zh-CN" w:bidi="ar-SA"/>
          <w14:textFill>
            <w14:solidFill>
              <w14:schemeClr w14:val="tx1"/>
            </w14:solidFill>
          </w14:textFill>
        </w:rPr>
        <w:fldChar w:fldCharType="end"/>
      </w:r>
      <w:r>
        <w:rPr>
          <w:rFonts w:hint="eastAsia" w:ascii="仿宋" w:hAnsi="仿宋" w:eastAsia="仿宋" w:cs="仿宋"/>
          <w:color w:val="000000" w:themeColor="text1"/>
          <w:szCs w:val="21"/>
          <w:lang w:eastAsia="zh-CN"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、信誉、业绩、服务、对招标文件的响应程度，以及相应的比重或者权值等各项因素进行综合评审后，按最终综合得分由高向低排序，由评标委员会推荐综合得分最高的投标人为第一中标候选人。</w:t>
      </w:r>
    </w:p>
    <w:p>
      <w:pPr>
        <w:jc w:val="center"/>
        <w:outlineLvl w:val="1"/>
        <w:rPr>
          <w:rFonts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二  投标文件初审</w:t>
      </w:r>
      <w:bookmarkEnd w:id="38"/>
      <w:bookmarkEnd w:id="39"/>
    </w:p>
    <w:p>
      <w:pPr>
        <w:spacing w:line="40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6.资格性审查:</w:t>
      </w:r>
    </w:p>
    <w:p>
      <w:pPr>
        <w:spacing w:line="400" w:lineRule="exact"/>
        <w:ind w:firstLine="352" w:firstLineChars="147"/>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w:t>
      </w:r>
      <w:r>
        <w:rPr>
          <w:rFonts w:hint="eastAsia" w:ascii="仿宋" w:hAnsi="仿宋" w:eastAsia="仿宋" w:cs="仿宋"/>
          <w:color w:val="000000" w:themeColor="text1"/>
          <w:szCs w:val="21"/>
          <w14:textFill>
            <w14:solidFill>
              <w14:schemeClr w14:val="tx1"/>
            </w14:solidFill>
          </w14:textFill>
        </w:rPr>
        <w:t>.1评审细则</w:t>
      </w:r>
    </w:p>
    <w:tbl>
      <w:tblPr>
        <w:tblStyle w:val="23"/>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7100"/>
        <w:gridCol w:w="56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项目</w:t>
            </w:r>
          </w:p>
        </w:tc>
        <w:tc>
          <w:tcPr>
            <w:tcW w:w="7647" w:type="dxa"/>
            <w:gridSpan w:val="2"/>
            <w:vMerge w:val="restart"/>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评审内容</w:t>
            </w:r>
          </w:p>
        </w:tc>
        <w:tc>
          <w:tcPr>
            <w:tcW w:w="1178" w:type="dxa"/>
            <w:gridSpan w:val="2"/>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vAlign w:val="center"/>
          </w:tcPr>
          <w:p>
            <w:pPr>
              <w:rPr>
                <w:rFonts w:ascii="仿宋" w:hAnsi="仿宋" w:eastAsia="仿宋" w:cs="仿宋"/>
                <w:color w:val="000000" w:themeColor="text1"/>
                <w:sz w:val="18"/>
                <w:szCs w:val="21"/>
                <w14:textFill>
                  <w14:solidFill>
                    <w14:schemeClr w14:val="tx1"/>
                  </w14:solidFill>
                </w14:textFill>
              </w:rPr>
            </w:pPr>
          </w:p>
        </w:tc>
        <w:tc>
          <w:tcPr>
            <w:tcW w:w="7647" w:type="dxa"/>
            <w:gridSpan w:val="2"/>
            <w:vMerge w:val="continue"/>
          </w:tcPr>
          <w:p>
            <w:pPr>
              <w:rPr>
                <w:rFonts w:ascii="仿宋" w:hAnsi="仿宋" w:eastAsia="仿宋" w:cs="仿宋"/>
                <w:color w:val="000000" w:themeColor="text1"/>
                <w:sz w:val="18"/>
                <w:szCs w:val="21"/>
                <w14:textFill>
                  <w14:solidFill>
                    <w14:schemeClr w14:val="tx1"/>
                  </w14:solidFill>
                </w14:textFill>
              </w:rPr>
            </w:pPr>
          </w:p>
        </w:tc>
        <w:tc>
          <w:tcPr>
            <w:tcW w:w="563" w:type="dxa"/>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是</w:t>
            </w:r>
          </w:p>
        </w:tc>
        <w:tc>
          <w:tcPr>
            <w:tcW w:w="615" w:type="dxa"/>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81" w:type="dxa"/>
            <w:vMerge w:val="restart"/>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审</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查</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标</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准</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(适</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用</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于</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资</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格</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后</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审)</w:t>
            </w:r>
          </w:p>
        </w:tc>
        <w:tc>
          <w:tcPr>
            <w:tcW w:w="547"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7100" w:type="dxa"/>
            <w:vAlign w:val="center"/>
          </w:tcPr>
          <w:p>
            <w:pP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法定代表人投标需提供法定代表人资格证明书，委托代理人投标需提供法定代表人授权委托书；</w:t>
            </w:r>
          </w:p>
        </w:tc>
        <w:tc>
          <w:tcPr>
            <w:tcW w:w="563" w:type="dxa"/>
          </w:tcPr>
          <w:p>
            <w:pPr>
              <w:rPr>
                <w:rFonts w:ascii="仿宋" w:hAnsi="仿宋" w:eastAsia="仿宋" w:cs="仿宋"/>
                <w:color w:val="000000" w:themeColor="text1"/>
                <w:szCs w:val="21"/>
                <w:lang w:eastAsia="zh-CN"/>
                <w14:textFill>
                  <w14:solidFill>
                    <w14:schemeClr w14:val="tx1"/>
                  </w14:solidFill>
                </w14:textFill>
              </w:rPr>
            </w:pPr>
          </w:p>
        </w:tc>
        <w:tc>
          <w:tcPr>
            <w:tcW w:w="615"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47" w:type="dxa"/>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w:t>
            </w:r>
          </w:p>
        </w:tc>
        <w:tc>
          <w:tcPr>
            <w:tcW w:w="7100" w:type="dxa"/>
            <w:vAlign w:val="center"/>
          </w:tcPr>
          <w:p>
            <w:pP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满足《中华人民共和国政府采购法》第二十二条规定；</w:t>
            </w:r>
          </w:p>
        </w:tc>
        <w:tc>
          <w:tcPr>
            <w:tcW w:w="563" w:type="dxa"/>
          </w:tcPr>
          <w:p>
            <w:pPr>
              <w:rPr>
                <w:rFonts w:ascii="仿宋" w:hAnsi="仿宋" w:eastAsia="仿宋" w:cs="仿宋"/>
                <w:color w:val="000000" w:themeColor="text1"/>
                <w:szCs w:val="21"/>
                <w:lang w:eastAsia="zh-CN"/>
                <w14:textFill>
                  <w14:solidFill>
                    <w14:schemeClr w14:val="tx1"/>
                  </w14:solidFill>
                </w14:textFill>
              </w:rPr>
            </w:pPr>
          </w:p>
        </w:tc>
        <w:tc>
          <w:tcPr>
            <w:tcW w:w="615"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47" w:type="dxa"/>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w:t>
            </w:r>
          </w:p>
        </w:tc>
        <w:tc>
          <w:tcPr>
            <w:tcW w:w="710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未被列入中国执行信息公开网（http://zxgk.court.gov.cn/shixin/）失信被执行人名单、信用中国网站（www.creditchina.gov.cn）</w:t>
            </w:r>
            <w:r>
              <w:rPr>
                <w:rFonts w:hint="eastAsia" w:ascii="仿宋" w:hAnsi="仿宋" w:eastAsia="仿宋" w:cs="仿宋"/>
                <w:color w:val="000000" w:themeColor="text1"/>
                <w:szCs w:val="21"/>
                <w:lang w:val="zh-CN" w:eastAsia="zh-CN"/>
                <w14:textFill>
                  <w14:solidFill>
                    <w14:schemeClr w14:val="tx1"/>
                  </w14:solidFill>
                </w14:textFill>
              </w:rPr>
              <w:t>重大税收违法</w:t>
            </w:r>
            <w:r>
              <w:rPr>
                <w:rFonts w:hint="eastAsia" w:ascii="仿宋" w:hAnsi="仿宋" w:eastAsia="仿宋" w:cs="仿宋"/>
                <w:color w:val="000000" w:themeColor="text1"/>
                <w:szCs w:val="21"/>
                <w:lang w:eastAsia="zh-CN"/>
                <w14:textFill>
                  <w14:solidFill>
                    <w14:schemeClr w14:val="tx1"/>
                  </w14:solidFill>
                </w14:textFill>
              </w:rPr>
              <w:t>失信主体和中国政府采购网（www.ccgp.gov.cn）政府采购严重违法失信行为记录名单；</w:t>
            </w:r>
          </w:p>
        </w:tc>
        <w:tc>
          <w:tcPr>
            <w:tcW w:w="563" w:type="dxa"/>
          </w:tcPr>
          <w:p>
            <w:pPr>
              <w:rPr>
                <w:rFonts w:ascii="仿宋" w:hAnsi="仿宋" w:eastAsia="仿宋" w:cs="仿宋"/>
                <w:color w:val="000000" w:themeColor="text1"/>
                <w:szCs w:val="21"/>
                <w14:textFill>
                  <w14:solidFill>
                    <w14:schemeClr w14:val="tx1"/>
                  </w14:solidFill>
                </w14:textFill>
              </w:rPr>
            </w:pPr>
          </w:p>
        </w:tc>
        <w:tc>
          <w:tcPr>
            <w:tcW w:w="615" w:type="dxa"/>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81" w:type="dxa"/>
            <w:vMerge w:val="continue"/>
            <w:vAlign w:val="center"/>
          </w:tcPr>
          <w:p>
            <w:pPr>
              <w:rPr>
                <w:rFonts w:ascii="仿宋" w:hAnsi="仿宋" w:eastAsia="仿宋" w:cs="仿宋"/>
                <w:color w:val="000000" w:themeColor="text1"/>
                <w14:textFill>
                  <w14:solidFill>
                    <w14:schemeClr w14:val="tx1"/>
                  </w14:solidFill>
                </w14:textFill>
              </w:rPr>
            </w:pPr>
          </w:p>
        </w:tc>
        <w:tc>
          <w:tcPr>
            <w:tcW w:w="547" w:type="dxa"/>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w:t>
            </w:r>
          </w:p>
        </w:tc>
        <w:tc>
          <w:tcPr>
            <w:tcW w:w="7100" w:type="dxa"/>
            <w:vAlign w:val="center"/>
          </w:tcPr>
          <w:p>
            <w:pP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单位负责人为同一人或者存在直接控股、管理关系的不同供应商，不得参加同一合同下的政府采购活动的书面声明；</w:t>
            </w:r>
          </w:p>
        </w:tc>
        <w:tc>
          <w:tcPr>
            <w:tcW w:w="563" w:type="dxa"/>
          </w:tcPr>
          <w:p>
            <w:pPr>
              <w:rPr>
                <w:rFonts w:ascii="仿宋" w:hAnsi="仿宋" w:eastAsia="仿宋" w:cs="仿宋"/>
                <w:color w:val="000000" w:themeColor="text1"/>
                <w:szCs w:val="21"/>
                <w:lang w:eastAsia="zh-CN"/>
                <w14:textFill>
                  <w14:solidFill>
                    <w14:schemeClr w14:val="tx1"/>
                  </w14:solidFill>
                </w14:textFill>
              </w:rPr>
            </w:pPr>
          </w:p>
        </w:tc>
        <w:tc>
          <w:tcPr>
            <w:tcW w:w="615"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81"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47" w:type="dxa"/>
            <w:vAlign w:val="center"/>
          </w:tcPr>
          <w:p>
            <w:pPr>
              <w:jc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w:t>
            </w:r>
          </w:p>
        </w:tc>
        <w:tc>
          <w:tcPr>
            <w:tcW w:w="7100" w:type="dxa"/>
            <w:vAlign w:val="center"/>
          </w:tcPr>
          <w:p>
            <w:pP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投标单位（供应商）针对本次采购项目《反商业贿赂承诺书》的书</w:t>
            </w:r>
          </w:p>
          <w:p>
            <w:pP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面声明；</w:t>
            </w:r>
          </w:p>
        </w:tc>
        <w:tc>
          <w:tcPr>
            <w:tcW w:w="563" w:type="dxa"/>
          </w:tcPr>
          <w:p>
            <w:pPr>
              <w:rPr>
                <w:rFonts w:ascii="仿宋" w:hAnsi="仿宋" w:eastAsia="仿宋" w:cs="仿宋"/>
                <w:color w:val="000000" w:themeColor="text1"/>
                <w:szCs w:val="21"/>
                <w:lang w:eastAsia="zh-CN"/>
                <w14:textFill>
                  <w14:solidFill>
                    <w14:schemeClr w14:val="tx1"/>
                  </w14:solidFill>
                </w14:textFill>
              </w:rPr>
            </w:pPr>
          </w:p>
        </w:tc>
        <w:tc>
          <w:tcPr>
            <w:tcW w:w="615"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81"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47" w:type="dxa"/>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ascii="仿宋" w:hAnsi="仿宋" w:eastAsia="仿宋" w:cs="仿宋"/>
                <w:color w:val="000000" w:themeColor="text1"/>
                <w:szCs w:val="21"/>
                <w:lang w:eastAsia="zh-CN"/>
                <w14:textFill>
                  <w14:solidFill>
                    <w14:schemeClr w14:val="tx1"/>
                  </w14:solidFill>
                </w14:textFill>
              </w:rPr>
              <w:t>6</w:t>
            </w:r>
          </w:p>
        </w:tc>
        <w:tc>
          <w:tcPr>
            <w:tcW w:w="7100" w:type="dxa"/>
            <w:vAlign w:val="center"/>
          </w:tcPr>
          <w:p>
            <w:pP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缴纳保证金凭证或保函等票据；</w:t>
            </w:r>
          </w:p>
        </w:tc>
        <w:tc>
          <w:tcPr>
            <w:tcW w:w="563" w:type="dxa"/>
          </w:tcPr>
          <w:p>
            <w:pPr>
              <w:rPr>
                <w:rFonts w:ascii="仿宋" w:hAnsi="仿宋" w:eastAsia="仿宋" w:cs="仿宋"/>
                <w:color w:val="000000" w:themeColor="text1"/>
                <w:szCs w:val="21"/>
                <w:lang w:eastAsia="zh-CN"/>
                <w14:textFill>
                  <w14:solidFill>
                    <w14:schemeClr w14:val="tx1"/>
                  </w14:solidFill>
                </w14:textFill>
              </w:rPr>
            </w:pPr>
          </w:p>
        </w:tc>
        <w:tc>
          <w:tcPr>
            <w:tcW w:w="615"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81"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47" w:type="dxa"/>
            <w:vAlign w:val="center"/>
          </w:tcPr>
          <w:p>
            <w:pPr>
              <w:jc w:val="center"/>
              <w:rPr>
                <w:rFonts w:ascii="仿宋" w:hAnsi="仿宋" w:eastAsia="仿宋" w:cs="仿宋"/>
                <w:color w:val="000000" w:themeColor="text1"/>
                <w:szCs w:val="21"/>
                <w:lang w:eastAsia="zh-CN"/>
                <w14:textFill>
                  <w14:solidFill>
                    <w14:schemeClr w14:val="tx1"/>
                  </w14:solidFill>
                </w14:textFill>
              </w:rPr>
            </w:pPr>
          </w:p>
        </w:tc>
        <w:tc>
          <w:tcPr>
            <w:tcW w:w="7100" w:type="dxa"/>
          </w:tcPr>
          <w:p>
            <w:pP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结论：是否通过评审（须填写通过或不通过）</w:t>
            </w:r>
          </w:p>
          <w:p>
            <w:pP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注：如有一项不合格，作废标处理。</w:t>
            </w:r>
          </w:p>
        </w:tc>
        <w:tc>
          <w:tcPr>
            <w:tcW w:w="563" w:type="dxa"/>
          </w:tcPr>
          <w:p>
            <w:pPr>
              <w:rPr>
                <w:rFonts w:ascii="仿宋" w:hAnsi="仿宋" w:eastAsia="仿宋" w:cs="仿宋"/>
                <w:color w:val="000000" w:themeColor="text1"/>
                <w:szCs w:val="21"/>
                <w:lang w:eastAsia="zh-CN"/>
                <w14:textFill>
                  <w14:solidFill>
                    <w14:schemeClr w14:val="tx1"/>
                  </w14:solidFill>
                </w14:textFill>
              </w:rPr>
            </w:pPr>
          </w:p>
        </w:tc>
        <w:tc>
          <w:tcPr>
            <w:tcW w:w="615"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vAlign w:val="center"/>
          </w:tcPr>
          <w:p>
            <w:pPr>
              <w:jc w:val="center"/>
              <w:rPr>
                <w:rFonts w:ascii="仿宋" w:hAnsi="仿宋" w:eastAsia="仿宋" w:cs="仿宋"/>
                <w:color w:val="000000" w:themeColor="text1"/>
                <w:szCs w:val="21"/>
                <w:lang w:eastAsia="zh-CN"/>
                <w14:textFill>
                  <w14:solidFill>
                    <w14:schemeClr w14:val="tx1"/>
                  </w14:solidFill>
                </w14:textFill>
              </w:rPr>
            </w:pPr>
          </w:p>
        </w:tc>
        <w:tc>
          <w:tcPr>
            <w:tcW w:w="547" w:type="dxa"/>
          </w:tcPr>
          <w:p>
            <w:pPr>
              <w:spacing w:line="440" w:lineRule="exact"/>
              <w:rPr>
                <w:rFonts w:ascii="仿宋" w:hAnsi="仿宋" w:eastAsia="仿宋" w:cs="仿宋"/>
                <w:color w:val="000000" w:themeColor="text1"/>
                <w:szCs w:val="21"/>
                <w:lang w:eastAsia="zh-CN"/>
                <w14:textFill>
                  <w14:solidFill>
                    <w14:schemeClr w14:val="tx1"/>
                  </w14:solidFill>
                </w14:textFill>
              </w:rPr>
            </w:pPr>
          </w:p>
        </w:tc>
        <w:tc>
          <w:tcPr>
            <w:tcW w:w="7100" w:type="dxa"/>
          </w:tcPr>
          <w:p>
            <w:pPr>
              <w:rPr>
                <w:rFonts w:ascii="仿宋" w:hAnsi="仿宋" w:eastAsia="仿宋" w:cs="仿宋"/>
                <w:color w:val="000000" w:themeColor="text1"/>
                <w:sz w:val="20"/>
                <w:szCs w:val="22"/>
                <w:lang w:eastAsia="zh-CN"/>
                <w14:textFill>
                  <w14:solidFill>
                    <w14:schemeClr w14:val="tx1"/>
                  </w14:solidFill>
                </w14:textFill>
              </w:rPr>
            </w:pPr>
          </w:p>
        </w:tc>
        <w:tc>
          <w:tcPr>
            <w:tcW w:w="1178" w:type="dxa"/>
            <w:gridSpan w:val="2"/>
          </w:tcPr>
          <w:p>
            <w:pPr>
              <w:rPr>
                <w:rFonts w:ascii="仿宋" w:hAnsi="仿宋" w:eastAsia="仿宋" w:cs="仿宋"/>
                <w:color w:val="000000" w:themeColor="text1"/>
                <w:szCs w:val="21"/>
                <w:lang w:eastAsia="zh-CN"/>
                <w14:textFill>
                  <w14:solidFill>
                    <w14:schemeClr w14:val="tx1"/>
                  </w14:solidFill>
                </w14:textFill>
              </w:rPr>
            </w:pPr>
          </w:p>
        </w:tc>
      </w:tr>
    </w:tbl>
    <w:p>
      <w:pPr>
        <w:spacing w:line="400" w:lineRule="exact"/>
        <w:ind w:firstLine="578" w:firstLineChars="241"/>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6.2如评标专家在检验电子标书过程中，如果由于投标人自身原因导致评标专家无法查看并检验电子标书中以上相关资料的，否决其投标。即使投标单位将原件携带至现场的，同样按无效投标处理。</w:t>
      </w:r>
    </w:p>
    <w:p>
      <w:pPr>
        <w:spacing w:before="156" w:beforeLines="50" w:line="440" w:lineRule="exact"/>
        <w:ind w:firstLine="240" w:firstLineChars="100"/>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7</w:t>
      </w:r>
      <w:r>
        <w:rPr>
          <w:rFonts w:hint="eastAsia" w:ascii="仿宋" w:hAnsi="仿宋" w:eastAsia="仿宋" w:cs="仿宋"/>
          <w:b/>
          <w:color w:val="000000" w:themeColor="text1"/>
          <w:szCs w:val="21"/>
          <w14:textFill>
            <w14:solidFill>
              <w14:schemeClr w14:val="tx1"/>
            </w14:solidFill>
          </w14:textFill>
        </w:rPr>
        <w:t>.符合性审查</w:t>
      </w:r>
    </w:p>
    <w:p>
      <w:pPr>
        <w:spacing w:line="440" w:lineRule="exact"/>
        <w:ind w:firstLine="360" w:firstLineChars="1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w:t>
      </w:r>
      <w:r>
        <w:rPr>
          <w:rFonts w:hint="eastAsia" w:ascii="仿宋" w:hAnsi="仿宋" w:eastAsia="仿宋" w:cs="仿宋"/>
          <w:color w:val="000000" w:themeColor="text1"/>
          <w:szCs w:val="21"/>
          <w14:textFill>
            <w14:solidFill>
              <w14:schemeClr w14:val="tx1"/>
            </w14:solidFill>
          </w14:textFill>
        </w:rPr>
        <w:t>．1评审细则</w:t>
      </w:r>
    </w:p>
    <w:tbl>
      <w:tblPr>
        <w:tblStyle w:val="23"/>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项目</w:t>
            </w:r>
          </w:p>
        </w:tc>
        <w:tc>
          <w:tcPr>
            <w:tcW w:w="6832" w:type="dxa"/>
            <w:gridSpan w:val="2"/>
            <w:tcBorders>
              <w:top w:val="single" w:color="auto" w:sz="4" w:space="0"/>
            </w:tcBorders>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评审内容</w:t>
            </w:r>
          </w:p>
        </w:tc>
        <w:tc>
          <w:tcPr>
            <w:tcW w:w="1366" w:type="dxa"/>
            <w:gridSpan w:val="2"/>
            <w:tcBorders>
              <w:top w:val="single" w:color="auto" w:sz="4" w:space="0"/>
              <w:right w:val="single" w:color="auto" w:sz="4" w:space="0"/>
            </w:tcBorders>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vAlign w:val="center"/>
          </w:tcPr>
          <w:p>
            <w:pPr>
              <w:rPr>
                <w:rFonts w:ascii="仿宋" w:hAnsi="仿宋" w:eastAsia="仿宋" w:cs="仿宋"/>
                <w:color w:val="000000" w:themeColor="text1"/>
                <w14:textFill>
                  <w14:solidFill>
                    <w14:schemeClr w14:val="tx1"/>
                  </w14:solidFill>
                </w14:textFill>
              </w:rPr>
            </w:pPr>
          </w:p>
        </w:tc>
        <w:tc>
          <w:tcPr>
            <w:tcW w:w="6832" w:type="dxa"/>
            <w:gridSpan w:val="2"/>
            <w:tcBorders>
              <w:bottom w:val="single" w:color="auto" w:sz="4" w:space="0"/>
            </w:tcBorders>
          </w:tcPr>
          <w:p>
            <w:pPr>
              <w:rPr>
                <w:rFonts w:ascii="仿宋" w:hAnsi="仿宋" w:eastAsia="仿宋" w:cs="仿宋"/>
                <w:color w:val="000000" w:themeColor="text1"/>
                <w14:textFill>
                  <w14:solidFill>
                    <w14:schemeClr w14:val="tx1"/>
                  </w14:solidFill>
                </w14:textFill>
              </w:rPr>
            </w:pPr>
          </w:p>
        </w:tc>
        <w:tc>
          <w:tcPr>
            <w:tcW w:w="482" w:type="dxa"/>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是</w:t>
            </w:r>
          </w:p>
        </w:tc>
        <w:tc>
          <w:tcPr>
            <w:tcW w:w="884" w:type="dxa"/>
            <w:tcBorders>
              <w:right w:val="single" w:color="auto" w:sz="4" w:space="0"/>
            </w:tcBorders>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审</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查</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标</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准</w:t>
            </w:r>
          </w:p>
        </w:tc>
        <w:tc>
          <w:tcPr>
            <w:tcW w:w="454"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w:t>
            </w:r>
          </w:p>
        </w:tc>
        <w:tc>
          <w:tcPr>
            <w:tcW w:w="6378" w:type="dxa"/>
            <w:tcBorders>
              <w:top w:val="single" w:color="auto" w:sz="4" w:space="0"/>
              <w:left w:val="single" w:color="auto" w:sz="4" w:space="0"/>
              <w:right w:val="single" w:color="auto" w:sz="4" w:space="0"/>
            </w:tcBorders>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bidi="ar"/>
                <w14:textFill>
                  <w14:solidFill>
                    <w14:schemeClr w14:val="tx1"/>
                  </w14:solidFill>
                </w14:textFill>
              </w:rPr>
              <w:t>投标报价高于最高限价的；</w:t>
            </w:r>
          </w:p>
        </w:tc>
        <w:tc>
          <w:tcPr>
            <w:tcW w:w="482" w:type="dxa"/>
            <w:tcBorders>
              <w:left w:val="single" w:color="auto" w:sz="4" w:space="0"/>
              <w:right w:val="single" w:color="auto" w:sz="4" w:space="0"/>
            </w:tcBorders>
          </w:tcPr>
          <w:p>
            <w:pPr>
              <w:jc w:val="center"/>
              <w:rPr>
                <w:rFonts w:ascii="仿宋" w:hAnsi="仿宋" w:eastAsia="仿宋" w:cs="仿宋"/>
                <w:b/>
                <w:color w:val="000000" w:themeColor="text1"/>
                <w:szCs w:val="21"/>
                <w:lang w:eastAsia="zh-CN"/>
                <w14:textFill>
                  <w14:solidFill>
                    <w14:schemeClr w14:val="tx1"/>
                  </w14:solidFill>
                </w14:textFill>
              </w:rPr>
            </w:pPr>
          </w:p>
        </w:tc>
        <w:tc>
          <w:tcPr>
            <w:tcW w:w="884" w:type="dxa"/>
            <w:tcBorders>
              <w:left w:val="single" w:color="auto" w:sz="4" w:space="0"/>
              <w:right w:val="single" w:color="auto" w:sz="4" w:space="0"/>
            </w:tcBorders>
          </w:tcPr>
          <w:p>
            <w:pPr>
              <w:jc w:val="center"/>
              <w:rPr>
                <w:rFonts w:ascii="仿宋" w:hAnsi="仿宋" w:eastAsia="仿宋" w:cs="仿宋"/>
                <w:b/>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bidi="ar"/>
                <w14:textFill>
                  <w14:solidFill>
                    <w14:schemeClr w14:val="tx1"/>
                  </w14:solidFill>
                </w14:textFill>
              </w:rPr>
              <w:t>法定代表人身份证明及授权委托书有效。</w:t>
            </w:r>
          </w:p>
        </w:tc>
        <w:tc>
          <w:tcPr>
            <w:tcW w:w="482"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884"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454"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3</w:t>
            </w:r>
          </w:p>
        </w:tc>
        <w:tc>
          <w:tcPr>
            <w:tcW w:w="6378" w:type="dxa"/>
            <w:tcBorders>
              <w:top w:val="single" w:color="auto" w:sz="4" w:space="0"/>
              <w:left w:val="single" w:color="auto" w:sz="4" w:space="0"/>
              <w:right w:val="single" w:color="auto" w:sz="4" w:space="0"/>
            </w:tcBorders>
            <w:vAlign w:val="center"/>
          </w:tcPr>
          <w:p>
            <w:pPr>
              <w:widowControl/>
              <w:textAlignment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只有一个方案投标。</w:t>
            </w:r>
          </w:p>
        </w:tc>
        <w:tc>
          <w:tcPr>
            <w:tcW w:w="482" w:type="dxa"/>
            <w:tcBorders>
              <w:left w:val="single" w:color="auto" w:sz="4" w:space="0"/>
            </w:tcBorders>
          </w:tcPr>
          <w:p>
            <w:pPr>
              <w:rPr>
                <w:rFonts w:ascii="仿宋" w:hAnsi="仿宋" w:eastAsia="仿宋" w:cs="仿宋"/>
                <w:color w:val="000000" w:themeColor="text1"/>
                <w:szCs w:val="21"/>
                <w14:textFill>
                  <w14:solidFill>
                    <w14:schemeClr w14:val="tx1"/>
                  </w14:solidFill>
                </w14:textFill>
              </w:rPr>
            </w:pPr>
          </w:p>
        </w:tc>
        <w:tc>
          <w:tcPr>
            <w:tcW w:w="884" w:type="dxa"/>
            <w:tcBorders>
              <w:right w:val="single" w:color="auto" w:sz="4" w:space="0"/>
            </w:tcBorders>
          </w:tcPr>
          <w:p>
            <w:pP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6" w:hRule="atLeast"/>
        </w:trPr>
        <w:tc>
          <w:tcPr>
            <w:tcW w:w="1237" w:type="dxa"/>
            <w:vMerge w:val="continue"/>
            <w:tcBorders>
              <w:left w:val="single" w:color="auto" w:sz="4" w:space="0"/>
              <w:right w:val="single" w:color="auto" w:sz="4" w:space="0"/>
            </w:tcBorders>
            <w:vAlign w:val="center"/>
          </w:tcPr>
          <w:p>
            <w:pPr>
              <w:rPr>
                <w:rFonts w:ascii="仿宋" w:hAnsi="仿宋" w:eastAsia="仿宋" w:cs="仿宋"/>
                <w:color w:val="000000" w:themeColor="text1"/>
                <w14:textFill>
                  <w14:solidFill>
                    <w14:schemeClr w14:val="tx1"/>
                  </w14:solidFill>
                </w14:textFill>
              </w:rPr>
            </w:pPr>
          </w:p>
        </w:tc>
        <w:tc>
          <w:tcPr>
            <w:tcW w:w="454" w:type="dxa"/>
            <w:tcBorders>
              <w:lef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4</w:t>
            </w:r>
          </w:p>
        </w:tc>
        <w:tc>
          <w:tcPr>
            <w:tcW w:w="6378" w:type="dxa"/>
            <w:tcBorders>
              <w:right w:val="single" w:color="auto" w:sz="4" w:space="0"/>
            </w:tcBorders>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bidi="ar"/>
                <w14:textFill>
                  <w14:solidFill>
                    <w14:schemeClr w14:val="tx1"/>
                  </w14:solidFill>
                </w14:textFill>
              </w:rPr>
              <w:t>投标文件内容齐全、无遗漏。</w:t>
            </w:r>
          </w:p>
        </w:tc>
        <w:tc>
          <w:tcPr>
            <w:tcW w:w="482"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884"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trPr>
        <w:tc>
          <w:tcPr>
            <w:tcW w:w="1237"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454" w:type="dxa"/>
            <w:tcBorders>
              <w:left w:val="single" w:color="auto" w:sz="4" w:space="0"/>
              <w:bottom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5</w:t>
            </w:r>
          </w:p>
        </w:tc>
        <w:tc>
          <w:tcPr>
            <w:tcW w:w="6378" w:type="dxa"/>
            <w:tcBorders>
              <w:bottom w:val="single" w:color="auto" w:sz="4" w:space="0"/>
              <w:right w:val="single" w:color="auto" w:sz="4" w:space="0"/>
            </w:tcBorders>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bidi="ar"/>
                <w14:textFill>
                  <w14:solidFill>
                    <w14:schemeClr w14:val="tx1"/>
                  </w14:solidFill>
                </w14:textFill>
              </w:rPr>
              <w:t>对招标文件规定的招标内容全部作出响应。</w:t>
            </w:r>
          </w:p>
        </w:tc>
        <w:tc>
          <w:tcPr>
            <w:tcW w:w="482" w:type="dxa"/>
            <w:tcBorders>
              <w:left w:val="single" w:color="auto" w:sz="4" w:space="0"/>
              <w:bottom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884" w:type="dxa"/>
            <w:tcBorders>
              <w:bottom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6</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bidi="ar"/>
                <w14:textFill>
                  <w14:solidFill>
                    <w14:schemeClr w14:val="tx1"/>
                  </w14:solidFill>
                </w14:textFill>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454" w:type="dxa"/>
            <w:tcBorders>
              <w:top w:val="single" w:color="auto" w:sz="4" w:space="0"/>
              <w:lef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7</w:t>
            </w:r>
          </w:p>
        </w:tc>
        <w:tc>
          <w:tcPr>
            <w:tcW w:w="6378" w:type="dxa"/>
            <w:tcBorders>
              <w:top w:val="single" w:color="auto" w:sz="4" w:space="0"/>
              <w:right w:val="single" w:color="auto" w:sz="4" w:space="0"/>
            </w:tcBorders>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bidi="ar"/>
                <w14:textFill>
                  <w14:solidFill>
                    <w14:schemeClr w14:val="tx1"/>
                  </w14:solidFill>
                </w14:textFill>
              </w:rPr>
              <w:t>完成期限满足招标文件要求。</w:t>
            </w:r>
          </w:p>
        </w:tc>
        <w:tc>
          <w:tcPr>
            <w:tcW w:w="482" w:type="dxa"/>
            <w:tcBorders>
              <w:top w:val="single" w:color="auto" w:sz="4" w:space="0"/>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884" w:type="dxa"/>
            <w:tcBorders>
              <w:top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454" w:type="dxa"/>
            <w:tcBorders>
              <w:left w:val="single" w:color="auto" w:sz="4" w:space="0"/>
            </w:tcBorders>
            <w:vAlign w:val="center"/>
          </w:tcPr>
          <w:p>
            <w:pPr>
              <w:jc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8</w:t>
            </w:r>
          </w:p>
        </w:tc>
        <w:tc>
          <w:tcPr>
            <w:tcW w:w="6378" w:type="dxa"/>
            <w:tcBorders>
              <w:right w:val="single" w:color="auto" w:sz="4" w:space="0"/>
            </w:tcBorders>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bidi="ar"/>
                <w14:textFill>
                  <w14:solidFill>
                    <w14:schemeClr w14:val="tx1"/>
                  </w14:solidFill>
                </w14:textFill>
              </w:rPr>
              <w:t>投标有效期满足招标文件要求。</w:t>
            </w:r>
          </w:p>
        </w:tc>
        <w:tc>
          <w:tcPr>
            <w:tcW w:w="482"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884"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454" w:type="dxa"/>
            <w:tcBorders>
              <w:left w:val="single" w:color="auto" w:sz="4" w:space="0"/>
            </w:tcBorders>
            <w:vAlign w:val="center"/>
          </w:tcPr>
          <w:p>
            <w:pPr>
              <w:jc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9</w:t>
            </w:r>
          </w:p>
        </w:tc>
        <w:tc>
          <w:tcPr>
            <w:tcW w:w="6378" w:type="dxa"/>
            <w:tcBorders>
              <w:right w:val="single" w:color="auto" w:sz="4" w:space="0"/>
            </w:tcBorders>
            <w:vAlign w:val="center"/>
          </w:tcPr>
          <w:p>
            <w:pPr>
              <w:widowControl/>
              <w:textAlignment w:val="cente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b/>
                <w:bCs/>
                <w:color w:val="000000" w:themeColor="text1"/>
                <w:sz w:val="20"/>
                <w:szCs w:val="20"/>
                <w:lang w:eastAsia="zh-CN" w:bidi="ar"/>
                <w14:textFill>
                  <w14:solidFill>
                    <w14:schemeClr w14:val="tx1"/>
                  </w14:solidFill>
                </w14:textFill>
              </w:rPr>
              <w:t>投标人详细地址、联系人、电话</w:t>
            </w:r>
          </w:p>
        </w:tc>
        <w:tc>
          <w:tcPr>
            <w:tcW w:w="482"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884"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lang w:eastAsia="zh-CN"/>
                <w14:textFill>
                  <w14:solidFill>
                    <w14:schemeClr w14:val="tx1"/>
                  </w14:solidFill>
                </w14:textFill>
              </w:rPr>
            </w:pPr>
          </w:p>
        </w:tc>
        <w:tc>
          <w:tcPr>
            <w:tcW w:w="6832" w:type="dxa"/>
            <w:gridSpan w:val="2"/>
            <w:tcBorders>
              <w:left w:val="single" w:color="auto" w:sz="4" w:space="0"/>
              <w:bottom w:val="single" w:color="auto" w:sz="4" w:space="0"/>
              <w:right w:val="single" w:color="auto" w:sz="4" w:space="0"/>
            </w:tcBorders>
          </w:tcPr>
          <w:p>
            <w:pP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结论：是否通过评审（须填写通过或不通过）</w:t>
            </w:r>
          </w:p>
          <w:p>
            <w:pPr>
              <w:rPr>
                <w:rFonts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注：如有一项不合格，作废标处理。</w:t>
            </w:r>
          </w:p>
        </w:tc>
        <w:tc>
          <w:tcPr>
            <w:tcW w:w="1366" w:type="dxa"/>
            <w:gridSpan w:val="2"/>
            <w:tcBorders>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bl>
    <w:p>
      <w:pPr>
        <w:rPr>
          <w:rFonts w:ascii="仿宋" w:hAnsi="仿宋" w:eastAsia="仿宋" w:cs="仿宋"/>
          <w:color w:val="000000" w:themeColor="text1"/>
          <w:lang w:eastAsia="zh-CN"/>
          <w14:textFill>
            <w14:solidFill>
              <w14:schemeClr w14:val="tx1"/>
            </w14:solidFill>
          </w14:textFill>
        </w:rPr>
      </w:pPr>
    </w:p>
    <w:p>
      <w:pPr>
        <w:spacing w:line="400" w:lineRule="exact"/>
        <w:ind w:firstLine="578" w:firstLineChars="241"/>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7.2评委会判定投标文件的响应性只根据投标文件本身的内容，而不寻求外部的证据，但投标有不真实不正确的内容时除外。</w:t>
      </w:r>
    </w:p>
    <w:p>
      <w:pPr>
        <w:spacing w:line="400" w:lineRule="exact"/>
        <w:ind w:firstLine="578" w:firstLineChars="241"/>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7.3如果投标文件实质上没有响应采购文件的要求，评委会将予以拒绝，投标人不得通过修正或撤销不符合要求的偏离或保留，而使其投标成为实质上响应的投标。</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7.4投标人可在现场20分钟内对评标委员会的评审结论提出异议，评标委员会根据采购文件及有关规定对投标人的异议进行复议</w:t>
      </w:r>
    </w:p>
    <w:p>
      <w:pPr>
        <w:spacing w:line="400" w:lineRule="exact"/>
        <w:ind w:firstLine="600" w:firstLineChars="2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7.5只有通过初审的投标人才能进入下一步评标程序。</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pacing w:before="156" w:beforeLines="50" w:line="400" w:lineRule="exact"/>
        <w:jc w:val="center"/>
        <w:outlineLvl w:val="1"/>
        <w:rPr>
          <w:rFonts w:ascii="仿宋" w:hAnsi="仿宋" w:eastAsia="仿宋" w:cs="仿宋"/>
          <w:b/>
          <w:color w:val="000000" w:themeColor="text1"/>
          <w:lang w:eastAsia="zh-CN"/>
          <w14:textFill>
            <w14:solidFill>
              <w14:schemeClr w14:val="tx1"/>
            </w14:solidFill>
          </w14:textFill>
        </w:rPr>
      </w:pPr>
      <w:bookmarkStart w:id="42" w:name="_Toc362983803"/>
      <w:bookmarkStart w:id="43" w:name="_Toc469495734"/>
      <w:r>
        <w:rPr>
          <w:rFonts w:hint="eastAsia" w:ascii="仿宋" w:hAnsi="仿宋" w:eastAsia="仿宋" w:cs="仿宋"/>
          <w:b/>
          <w:color w:val="000000" w:themeColor="text1"/>
          <w:sz w:val="28"/>
          <w:szCs w:val="28"/>
          <w:lang w:eastAsia="zh-CN"/>
          <w14:textFill>
            <w14:solidFill>
              <w14:schemeClr w14:val="tx1"/>
            </w14:solidFill>
          </w14:textFill>
        </w:rPr>
        <w:t xml:space="preserve">三  </w:t>
      </w:r>
      <w:r>
        <w:rPr>
          <w:rFonts w:hint="eastAsia" w:ascii="仿宋" w:hAnsi="仿宋" w:eastAsia="仿宋" w:cs="仿宋"/>
          <w:b/>
          <w:color w:val="000000" w:themeColor="text1"/>
          <w:lang w:eastAsia="zh-CN"/>
          <w14:textFill>
            <w14:solidFill>
              <w14:schemeClr w14:val="tx1"/>
            </w14:solidFill>
          </w14:textFill>
        </w:rPr>
        <w:t>投标文件的澄清和补正</w:t>
      </w:r>
      <w:bookmarkEnd w:id="42"/>
      <w:bookmarkEnd w:id="43"/>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8．澄清、说明或补正的形式</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9．错误修正的原则</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投标文件报价出现前后不一致的，除采购文件另有规定外，按照下列规定修正：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9.1 投标函中表述的内容与报价表中不一致的，以报价表为准；报价表中的内容与报价明细表不一致的，以报价表为准；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9.2 投标文件中的大写金额和小写金额不一致的，以大写金额为准；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9.3 单价金额小数点或者百分比有明显错位的，以开标一览表的总价为准，并修改单价；</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9.4 总价金额与按单价汇总金额不一致的，以单价金额计算结果为准；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9.5 若用文字表示的数值与用数字表示的数值不一致，以文字表示的数值为准；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9.7 对不同文字文本投标文件的解释发生异议的，以中文文本为准；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pacing w:line="400" w:lineRule="exact"/>
        <w:ind w:firstLine="460" w:firstLineChars="192"/>
        <w:rPr>
          <w:rFonts w:ascii="仿宋" w:hAnsi="仿宋" w:eastAsia="仿宋" w:cs="仿宋"/>
          <w:color w:val="000000" w:themeColor="text1"/>
          <w:szCs w:val="21"/>
          <w:lang w:eastAsia="zh-CN"/>
          <w14:textFill>
            <w14:solidFill>
              <w14:schemeClr w14:val="tx1"/>
            </w14:solidFill>
          </w14:textFill>
        </w:rPr>
      </w:pPr>
    </w:p>
    <w:p>
      <w:pPr>
        <w:spacing w:line="400" w:lineRule="exact"/>
        <w:jc w:val="center"/>
        <w:outlineLvl w:val="1"/>
        <w:rPr>
          <w:rFonts w:ascii="仿宋" w:hAnsi="仿宋" w:eastAsia="仿宋" w:cs="仿宋"/>
          <w:b/>
          <w:color w:val="000000" w:themeColor="text1"/>
          <w:lang w:eastAsia="zh-CN"/>
          <w14:textFill>
            <w14:solidFill>
              <w14:schemeClr w14:val="tx1"/>
            </w14:solidFill>
          </w14:textFill>
        </w:rPr>
      </w:pPr>
      <w:bookmarkStart w:id="44" w:name="_Toc469495735"/>
      <w:r>
        <w:rPr>
          <w:rFonts w:hint="eastAsia" w:ascii="仿宋" w:hAnsi="仿宋" w:eastAsia="仿宋" w:cs="仿宋"/>
          <w:b/>
          <w:color w:val="000000" w:themeColor="text1"/>
          <w:lang w:eastAsia="zh-CN"/>
          <w14:textFill>
            <w14:solidFill>
              <w14:schemeClr w14:val="tx1"/>
            </w14:solidFill>
          </w14:textFill>
        </w:rPr>
        <w:t>四 比较与评价</w:t>
      </w:r>
      <w:bookmarkEnd w:id="44"/>
    </w:p>
    <w:p>
      <w:pPr>
        <w:tabs>
          <w:tab w:val="left" w:pos="720"/>
        </w:tabs>
        <w:spacing w:line="440" w:lineRule="exact"/>
        <w:ind w:firstLine="612" w:firstLineChars="255"/>
        <w:rPr>
          <w:rFonts w:ascii="仿宋" w:hAnsi="仿宋" w:eastAsia="仿宋" w:cs="仿宋"/>
          <w:color w:val="000000" w:themeColor="text1"/>
          <w:szCs w:val="21"/>
          <w:lang w:eastAsia="zh-CN" w:bidi="ar-SA"/>
          <w14:textFill>
            <w14:solidFill>
              <w14:schemeClr w14:val="tx1"/>
            </w14:solidFill>
          </w14:textFill>
        </w:rPr>
      </w:pPr>
      <w:bookmarkStart w:id="45" w:name="_Toc362983805"/>
      <w:bookmarkStart w:id="46" w:name="_Toc469495736"/>
      <w:r>
        <w:rPr>
          <w:rFonts w:hint="eastAsia" w:ascii="仿宋" w:hAnsi="仿宋" w:eastAsia="仿宋" w:cs="仿宋"/>
          <w:color w:val="000000" w:themeColor="text1"/>
          <w:szCs w:val="21"/>
          <w:lang w:eastAsia="zh-CN" w:bidi="ar-SA"/>
          <w14:textFill>
            <w14:solidFill>
              <w14:schemeClr w14:val="tx1"/>
            </w14:solidFill>
          </w14:textFill>
        </w:rPr>
        <w:t>10.1评标委员会按招标文件中规定的评标方法和标准，对资格性检查和符合性检查合格的投标文件进行商务和技术评估、综合比较与评价。</w:t>
      </w:r>
    </w:p>
    <w:p>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10.2评标委员会根据商务和技术评估的结果，采用综合评分法，分别对投标文件的商务、技术、价格等内容进行打分。其中，商务评估、技术评估、价格评估的评分权值（详见附件1）。</w:t>
      </w:r>
    </w:p>
    <w:p>
      <w:pPr>
        <w:spacing w:line="440" w:lineRule="exact"/>
        <w:ind w:firstLine="616" w:firstLineChars="257"/>
        <w:rPr>
          <w:rFonts w:ascii="仿宋" w:hAnsi="仿宋" w:eastAsia="仿宋" w:cs="仿宋"/>
          <w:bCs/>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10.</w:t>
      </w:r>
      <w:r>
        <w:rPr>
          <w:rFonts w:hint="eastAsia" w:ascii="仿宋" w:hAnsi="仿宋" w:eastAsia="仿宋" w:cs="仿宋"/>
          <w:bCs/>
          <w:color w:val="000000" w:themeColor="text1"/>
          <w:szCs w:val="21"/>
          <w:lang w:eastAsia="zh-CN" w:bidi="ar-SA"/>
          <w14:textFill>
            <w14:solidFill>
              <w14:schemeClr w14:val="tx1"/>
            </w14:solidFill>
          </w14:textFill>
        </w:rPr>
        <w:t>2.1评委打分办法</w:t>
      </w:r>
    </w:p>
    <w:p>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bCs/>
          <w:color w:val="000000" w:themeColor="text1"/>
          <w:szCs w:val="21"/>
          <w:lang w:eastAsia="zh-CN" w:bidi="ar-SA"/>
          <w14:textFill>
            <w14:solidFill>
              <w14:schemeClr w14:val="tx1"/>
            </w14:solidFill>
          </w14:textFill>
        </w:rPr>
        <w:t>（1）</w:t>
      </w:r>
      <w:r>
        <w:rPr>
          <w:rFonts w:hint="eastAsia" w:ascii="仿宋" w:hAnsi="仿宋" w:eastAsia="仿宋" w:cs="仿宋"/>
          <w:color w:val="000000" w:themeColor="text1"/>
          <w:szCs w:val="21"/>
          <w:lang w:eastAsia="zh-CN" w:bidi="ar-SA"/>
          <w14:textFill>
            <w14:solidFill>
              <w14:schemeClr w14:val="tx1"/>
            </w14:solidFill>
          </w14:textFill>
        </w:rPr>
        <w:t>参加评分的评委应尽力体现客观、实事求是，避免学派偏见和个人偏好。</w:t>
      </w:r>
    </w:p>
    <w:p>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（2）衡量、对比的依据，应以招标文件、投标文件、提供的正式试验数据、质询澄清中的文字为准，口头回答和收集的资料只作为参考。</w:t>
      </w:r>
    </w:p>
    <w:p>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（3）评分主要是为比较各投标人的价格、商务和技术综合排序。</w:t>
      </w:r>
    </w:p>
    <w:p>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（4）评委打分采取记名形式。</w:t>
      </w:r>
    </w:p>
    <w:p>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（5）各评委根据提供的技术打分表独立自主打分，任何人不得要求评委统一打分或统一确定等次顺序。</w:t>
      </w:r>
    </w:p>
    <w:p>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（6）对打分表中的每项条款，各评委应根据投标文件、澄清材料、招标文件要求，按满足的程度给投标人打分。</w:t>
      </w:r>
    </w:p>
    <w:p>
      <w:pPr>
        <w:spacing w:line="26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（7）评分程序</w:t>
      </w:r>
    </w:p>
    <w:p>
      <w:pPr>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1)就投标人的投标文件对照整理出商务、技术评标因素对比表、偏差表，并在经过校核的基础上逐项打分。</w:t>
      </w:r>
    </w:p>
    <w:p>
      <w:pPr>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2)各评委独立完成打分后，将评分表交给代理机构，由代理机构组织进行分数统计。</w:t>
      </w:r>
    </w:p>
    <w:p>
      <w:pPr>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3)最终汇总表中各投标人得分应为评委打分的算术平均值。</w:t>
      </w:r>
    </w:p>
    <w:p>
      <w:pPr>
        <w:ind w:firstLine="480" w:firstLineChars="200"/>
        <w:rPr>
          <w:rFonts w:ascii="仿宋" w:hAnsi="仿宋" w:eastAsia="仿宋" w:cs="仿宋"/>
          <w:b/>
          <w:color w:val="000000" w:themeColor="text1"/>
          <w:sz w:val="22"/>
          <w:szCs w:val="22"/>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（8）评分标准和细则（综合评分法评分标准）</w:t>
      </w:r>
    </w:p>
    <w:p>
      <w:pPr>
        <w:pStyle w:val="53"/>
        <w:tabs>
          <w:tab w:val="left" w:pos="1701"/>
        </w:tabs>
        <w:spacing w:line="440" w:lineRule="exact"/>
        <w:ind w:left="0" w:firstLine="616" w:firstLineChars="257"/>
        <w:rPr>
          <w:rFonts w:ascii="仿宋" w:hAnsi="仿宋" w:eastAsia="仿宋" w:cs="仿宋"/>
          <w:color w:val="000000" w:themeColor="text1"/>
          <w:szCs w:val="21"/>
          <w:lang w:eastAsia="zh-CN" w:bidi="ar-SA"/>
          <w14:textFill>
            <w14:solidFill>
              <w14:schemeClr w14:val="tx1"/>
            </w14:solidFill>
          </w14:textFill>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952"/>
        <w:gridCol w:w="998"/>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序号</w:t>
            </w:r>
          </w:p>
        </w:tc>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评分因素</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及权重</w:t>
            </w:r>
          </w:p>
        </w:tc>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分值</w:t>
            </w:r>
          </w:p>
        </w:tc>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w:t>
            </w:r>
          </w:p>
        </w:tc>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投标报价</w:t>
            </w:r>
          </w:p>
        </w:tc>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30（分）</w:t>
            </w:r>
          </w:p>
        </w:tc>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完全满足招标文件参数的投标报价中的最低价为评标基准价，按照下列公式计算每个投标人的投标价格得分。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投标报价得分＝（基准价/投标报价）×价格权重×100。计算分数时四舍五入取小数点后两位,分数最高不超过</w:t>
            </w:r>
            <w:r>
              <w:rPr>
                <w:rFonts w:ascii="仿宋" w:hAnsi="仿宋" w:eastAsia="仿宋" w:cs="仿宋"/>
                <w:color w:val="000000" w:themeColor="text1"/>
                <w:szCs w:val="21"/>
                <w:lang w:eastAsia="zh-CN" w:bidi="ar-SA"/>
                <w14:textFill>
                  <w14:solidFill>
                    <w14:schemeClr w14:val="tx1"/>
                  </w14:solidFill>
                </w14:textFill>
              </w:rPr>
              <w:t>30</w:t>
            </w:r>
            <w:r>
              <w:rPr>
                <w:rFonts w:hint="eastAsia" w:ascii="仿宋" w:hAnsi="仿宋" w:eastAsia="仿宋" w:cs="仿宋"/>
                <w:color w:val="000000" w:themeColor="text1"/>
                <w:szCs w:val="21"/>
                <w:lang w:eastAsia="zh-CN" w:bidi="ar-SA"/>
                <w14:textFill>
                  <w14:solidFill>
                    <w14:schemeClr w14:val="tx1"/>
                  </w14:solidFill>
                </w14:textFill>
              </w:rPr>
              <w:t>分。对小型和微型企业产品的价格给予 10% 的扣除【即:投标报价-（投标报价× 10% ）】，用扣除后的价格参与评审。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2</w:t>
            </w:r>
          </w:p>
        </w:tc>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bookmarkStart w:id="47" w:name="OLE_LINK13"/>
            <w:r>
              <w:rPr>
                <w:rFonts w:hint="eastAsia" w:ascii="仿宋" w:hAnsi="仿宋" w:eastAsia="仿宋" w:cs="仿宋"/>
                <w:color w:val="000000" w:themeColor="text1"/>
                <w:szCs w:val="21"/>
                <w:lang w:eastAsia="zh-CN" w:bidi="ar-SA"/>
                <w14:textFill>
                  <w14:solidFill>
                    <w14:schemeClr w14:val="tx1"/>
                  </w14:solidFill>
                </w14:textFill>
              </w:rPr>
              <w:t>技术部分</w:t>
            </w:r>
            <w:bookmarkEnd w:id="47"/>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w:t>
            </w:r>
            <w:r>
              <w:rPr>
                <w:rFonts w:ascii="仿宋" w:hAnsi="仿宋" w:eastAsia="仿宋" w:cs="仿宋"/>
                <w:color w:val="000000" w:themeColor="text1"/>
                <w:szCs w:val="21"/>
                <w:lang w:eastAsia="zh-CN" w:bidi="ar-SA"/>
                <w14:textFill>
                  <w14:solidFill>
                    <w14:schemeClr w14:val="tx1"/>
                  </w14:solidFill>
                </w14:textFill>
              </w:rPr>
              <w:t>5</w:t>
            </w:r>
            <w:r>
              <w:rPr>
                <w:rFonts w:hint="eastAsia" w:ascii="仿宋" w:hAnsi="仿宋" w:eastAsia="仿宋" w:cs="仿宋"/>
                <w:color w:val="000000" w:themeColor="text1"/>
                <w:szCs w:val="21"/>
                <w:lang w:eastAsia="zh-CN" w:bidi="ar-SA"/>
                <w14:textFill>
                  <w14:solidFill>
                    <w14:schemeClr w14:val="tx1"/>
                  </w14:solidFill>
                </w14:textFill>
              </w:rPr>
              <w:t>（分）</w:t>
            </w:r>
          </w:p>
        </w:tc>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技术指标、参数完全符合招标文件技术指标、参数要求的得2</w:t>
            </w:r>
            <w:r>
              <w:rPr>
                <w:rFonts w:ascii="仿宋" w:hAnsi="仿宋" w:eastAsia="仿宋" w:cs="仿宋"/>
                <w:color w:val="000000" w:themeColor="text1"/>
                <w:szCs w:val="21"/>
                <w:lang w:eastAsia="zh-CN" w:bidi="ar-SA"/>
                <w14:textFill>
                  <w14:solidFill>
                    <w14:schemeClr w14:val="tx1"/>
                  </w14:solidFill>
                </w14:textFill>
              </w:rPr>
              <w:t>5</w:t>
            </w:r>
            <w:r>
              <w:rPr>
                <w:rFonts w:hint="eastAsia" w:ascii="仿宋" w:hAnsi="仿宋" w:eastAsia="仿宋" w:cs="仿宋"/>
                <w:color w:val="000000" w:themeColor="text1"/>
                <w:szCs w:val="21"/>
                <w:lang w:eastAsia="zh-CN" w:bidi="ar-SA"/>
                <w14:textFill>
                  <w14:solidFill>
                    <w14:schemeClr w14:val="tx1"/>
                  </w14:solidFill>
                </w14:textFill>
              </w:rPr>
              <w:t>分，以此为基础，投标人技术指标、参数高于招标文件规定的相应技术指标、参数的，每有一项加1分，最高加10分。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w:t>
            </w:r>
          </w:p>
        </w:tc>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类似业绩</w:t>
            </w:r>
          </w:p>
        </w:tc>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5（分）</w:t>
            </w:r>
          </w:p>
        </w:tc>
        <w:tc>
          <w:tcPr>
            <w:tcW w:w="0" w:type="auto"/>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有类似项目业绩每提供一项类似业绩得1分，最多得5分（类似业绩：使用功能相似，并附合同、中标通知书、验收报告及采购人联系方式，否则不得分）（共5分）（复印件字迹模糊不清不得分）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8" w:hRule="atLeast"/>
          <w:jc w:val="center"/>
        </w:trPr>
        <w:tc>
          <w:tcPr>
            <w:tcW w:w="0" w:type="auto"/>
            <w:vMerge w:val="restart"/>
            <w:tcBorders>
              <w:top w:val="single" w:color="auto" w:sz="4" w:space="0"/>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w:t>
            </w:r>
          </w:p>
        </w:tc>
        <w:tc>
          <w:tcPr>
            <w:tcW w:w="0" w:type="auto"/>
            <w:vMerge w:val="restart"/>
            <w:tcBorders>
              <w:top w:val="single" w:color="auto" w:sz="4" w:space="0"/>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质量保证及售后服务</w:t>
            </w:r>
          </w:p>
        </w:tc>
        <w:tc>
          <w:tcPr>
            <w:tcW w:w="0" w:type="auto"/>
            <w:tcBorders>
              <w:top w:val="single" w:color="auto" w:sz="4" w:space="0"/>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4（分）</w:t>
            </w:r>
          </w:p>
        </w:tc>
        <w:tc>
          <w:tcPr>
            <w:tcW w:w="0" w:type="auto"/>
            <w:tcBorders>
              <w:top w:val="single" w:color="auto" w:sz="4" w:space="0"/>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在接到通知3小时内到现场，3小时内解决问题  4分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在接到通知5小时内到现场，5小时内解决问题2分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在接到通知7小时内到现场， 7小时内解决问题 1分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（需提供承诺书）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6" w:hRule="atLeast"/>
          <w:jc w:val="center"/>
        </w:trPr>
        <w:tc>
          <w:tcPr>
            <w:tcW w:w="0" w:type="auto"/>
            <w:vMerge w:val="continue"/>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vMerge w:val="continue"/>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vMerge w:val="restart"/>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23（分）</w:t>
            </w:r>
          </w:p>
        </w:tc>
        <w:tc>
          <w:tcPr>
            <w:tcW w:w="0" w:type="auto"/>
            <w:tcBorders>
              <w:top w:val="single" w:color="auto" w:sz="4" w:space="0"/>
              <w:left w:val="single" w:color="auto" w:sz="4" w:space="0"/>
              <w:bottom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售后服务承诺：（5分）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1、售后服务人员有7人及以上且在每半年派有3名以上的技术人员定期检查维护的得（5分）；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2、售后服务人员有5人的且在每半年派有2名的技术人员定期检查维护的得（2分）；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3、未派有技术人员定期检查维护的得0分。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（以上每半年委派定期检查维护的技术人员须有本公司缴纳近三个月社保或劳务合同，不提供此项不得分）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0" w:type="auto"/>
            <w:vMerge w:val="continue"/>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vMerge w:val="continue"/>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vMerge w:val="continue"/>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培训方案及技术人员：（3分）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有详细的培训方案、派有3名以上的技术人员包教会（简单维修及保养）的得3分；不委派技术人员此项不得分（并附有劳务合同、技术资格证书、服务人员名单和联系方式；）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0" w:type="auto"/>
            <w:vMerge w:val="continue"/>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vMerge w:val="continue"/>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vMerge w:val="continue"/>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质保期及交货期：（5分）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交货期满足招标文件要求得2分；不满足不得分；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质保期满足招标文件要求的，得3分；不满足不得分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（需提供承诺书）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0" w:type="auto"/>
            <w:vMerge w:val="continue"/>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vMerge w:val="continue"/>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vMerge w:val="continue"/>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产品备件及维修：（10分）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有备品备件（易耗品）的加4分(提供相关承诺）；没有不得分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有完善的24小时售后服务体系、服务方案、易损件价格明细等的得4分；易损件每低于市场价（以维修更换时市场价为准）10%加1分，最多加2分。（无服务方案、易损件每低于市场价的承诺此项不得分）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0" w:type="auto"/>
            <w:vMerge w:val="continue"/>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vMerge w:val="continue"/>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tc>
        <w:tc>
          <w:tcPr>
            <w:tcW w:w="0" w:type="auto"/>
            <w:tcBorders>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3分</w:t>
            </w:r>
          </w:p>
        </w:tc>
        <w:tc>
          <w:tcPr>
            <w:tcW w:w="0" w:type="auto"/>
            <w:tcBorders>
              <w:top w:val="single" w:color="auto" w:sz="4" w:space="0"/>
              <w:left w:val="single" w:color="auto" w:sz="4" w:space="0"/>
              <w:right w:val="single" w:color="auto" w:sz="4" w:space="0"/>
            </w:tcBorders>
            <w:vAlign w:val="center"/>
          </w:tcPr>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产品质量证明材料：（3分）</w:t>
            </w:r>
          </w:p>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产品的检测报告及厂家授权书（检测报告复印件及厂家授权书加盖原厂家公章）</w:t>
            </w:r>
          </w:p>
        </w:tc>
      </w:tr>
    </w:tbl>
    <w:p>
      <w:pPr>
        <w:pStyle w:val="53"/>
        <w:tabs>
          <w:tab w:val="left" w:pos="1701"/>
        </w:tabs>
        <w:spacing w:line="440" w:lineRule="exact"/>
        <w:ind w:left="0" w:firstLine="0" w:firstLineChars="0"/>
        <w:rPr>
          <w:rFonts w:ascii="仿宋" w:hAnsi="仿宋" w:eastAsia="仿宋" w:cs="仿宋"/>
          <w:color w:val="000000" w:themeColor="text1"/>
          <w:szCs w:val="21"/>
          <w:lang w:eastAsia="zh-CN" w:bidi="ar-SA"/>
          <w14:textFill>
            <w14:solidFill>
              <w14:schemeClr w14:val="tx1"/>
            </w14:solidFill>
          </w14:textFill>
        </w:rPr>
      </w:pPr>
    </w:p>
    <w:p>
      <w:pPr>
        <w:pStyle w:val="53"/>
        <w:tabs>
          <w:tab w:val="left" w:pos="1701"/>
        </w:tabs>
        <w:spacing w:line="440" w:lineRule="exact"/>
        <w:ind w:left="0"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10.2.2价格评分方法</w:t>
      </w:r>
    </w:p>
    <w:p>
      <w:pPr>
        <w:spacing w:line="440" w:lineRule="exact"/>
        <w:ind w:firstLine="616" w:firstLineChars="257"/>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满足招标文件技术要求且投标价格最低的投标报价为评标基准价，其价格分为满分。其他投标人的价格分别按照下列公式计算： 投标报价得分=（评标基准价/投标报价）×价格权重。</w:t>
      </w:r>
    </w:p>
    <w:p>
      <w:pPr>
        <w:spacing w:before="156" w:beforeLines="50" w:line="400" w:lineRule="exact"/>
        <w:jc w:val="center"/>
        <w:outlineLvl w:val="1"/>
        <w:rPr>
          <w:rFonts w:ascii="仿宋" w:hAnsi="仿宋" w:eastAsia="仿宋" w:cs="仿宋"/>
          <w:b/>
          <w:color w:val="000000" w:themeColor="text1"/>
          <w:lang w:eastAsia="zh-CN"/>
          <w14:textFill>
            <w14:solidFill>
              <w14:schemeClr w14:val="tx1"/>
            </w14:solidFill>
          </w14:textFill>
        </w:rPr>
      </w:pPr>
    </w:p>
    <w:p>
      <w:pPr>
        <w:spacing w:before="156" w:beforeLines="50" w:line="400" w:lineRule="exact"/>
        <w:jc w:val="center"/>
        <w:outlineLvl w:val="1"/>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五  推荐中标候选人</w:t>
      </w:r>
      <w:bookmarkEnd w:id="45"/>
      <w:bookmarkEnd w:id="46"/>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11.1评标委员会推荐</w:t>
      </w:r>
      <w:r>
        <w:rPr>
          <w:rFonts w:ascii="仿宋" w:hAnsi="仿宋" w:eastAsia="仿宋" w:cs="仿宋"/>
          <w:color w:val="FF0000"/>
          <w:szCs w:val="21"/>
          <w:lang w:eastAsia="zh-CN"/>
        </w:rPr>
        <w:t>3</w:t>
      </w:r>
      <w:r>
        <w:rPr>
          <w:rFonts w:hint="eastAsia" w:ascii="仿宋" w:hAnsi="仿宋" w:eastAsia="仿宋" w:cs="仿宋"/>
          <w:color w:val="000000" w:themeColor="text1"/>
          <w:szCs w:val="21"/>
          <w:lang w:eastAsia="zh-CN"/>
          <w14:textFill>
            <w14:solidFill>
              <w14:schemeClr w14:val="tx1"/>
            </w14:solidFill>
          </w14:textFill>
        </w:rPr>
        <w:t>名中标候选人。</w:t>
      </w:r>
    </w:p>
    <w:p>
      <w:pPr>
        <w:spacing w:line="400" w:lineRule="exact"/>
        <w:ind w:firstLine="470" w:firstLineChars="196"/>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11.2如出现报价相同情况，则由招标人现场抽签确定中标候选人排名顺序。</w:t>
      </w:r>
    </w:p>
    <w:bookmarkEnd w:id="40"/>
    <w:p>
      <w:pPr>
        <w:snapToGrid w:val="0"/>
        <w:spacing w:line="40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12.无效投标条款</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12.1投标文件有下列情形之一的,其投标文件拒收:</w:t>
      </w:r>
    </w:p>
    <w:p>
      <w:pPr>
        <w:snapToGrid w:val="0"/>
        <w:spacing w:line="400" w:lineRule="exact"/>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w:t>
      </w:r>
      <w:r>
        <w:rPr>
          <w:rFonts w:hint="eastAsia" w:ascii="仿宋" w:hAnsi="仿宋" w:eastAsia="仿宋" w:cs="仿宋"/>
          <w:b/>
          <w:bCs/>
          <w:color w:val="000000" w:themeColor="text1"/>
          <w:szCs w:val="21"/>
          <w:lang w:eastAsia="zh-CN"/>
          <w14:textFill>
            <w14:solidFill>
              <w14:schemeClr w14:val="tx1"/>
            </w14:solidFill>
          </w14:textFill>
        </w:rPr>
        <w:t xml:space="preserve"> (1) 未在开标截止时间前通过网上招标投标系统递交有效电子投标文件的，开标系统不予接收。</w:t>
      </w:r>
    </w:p>
    <w:p>
      <w:pPr>
        <w:snapToGrid w:val="0"/>
        <w:spacing w:line="400" w:lineRule="exact"/>
        <w:ind w:firstLine="480" w:firstLineChars="2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（2）</w:t>
      </w:r>
      <w:r>
        <w:rPr>
          <w:rFonts w:hint="eastAsia" w:ascii="仿宋" w:hAnsi="仿宋" w:eastAsia="仿宋" w:cs="仿宋"/>
          <w:b/>
          <w:color w:val="000000" w:themeColor="text1"/>
          <w:szCs w:val="21"/>
          <w:lang w:eastAsia="zh-CN"/>
          <w14:textFill>
            <w14:solidFill>
              <w14:schemeClr w14:val="tx1"/>
            </w14:solidFill>
          </w14:textFill>
        </w:rPr>
        <w:t>所有投标人应在规定时间里完成投标文件的解密工作</w:t>
      </w:r>
      <w:r>
        <w:rPr>
          <w:rFonts w:hint="eastAsia" w:ascii="仿宋" w:hAnsi="仿宋" w:eastAsia="仿宋" w:cs="仿宋"/>
          <w:b/>
          <w:bCs/>
          <w:color w:val="000000" w:themeColor="text1"/>
          <w:szCs w:val="21"/>
          <w:lang w:eastAsia="zh-CN"/>
          <w14:textFill>
            <w14:solidFill>
              <w14:schemeClr w14:val="tx1"/>
            </w14:solidFill>
          </w14:textFill>
        </w:rPr>
        <w:t>【投标人使用其有效加密锁（CA锁）进行解密（因投标人原因未能提供有效CA锁对其投标文件进行解密的，其投标文件按无效标处理），以网上招投标系统解密倒计时为准】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lang w:eastAsia="zh-CN"/>
          <w14:textFill>
            <w14:solidFill>
              <w14:schemeClr w14:val="tx1"/>
            </w14:solidFill>
          </w14:textFill>
        </w:rPr>
        <w:t>，因系统原因未能成功解密的投标文件，可导入备份投标文件。备份投标文件也无法导入的，则投标文件被否决。</w:t>
      </w:r>
    </w:p>
    <w:p>
      <w:pPr>
        <w:snapToGrid w:val="0"/>
        <w:spacing w:line="4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12.2投标人有下列情形之一的,资格审查后其投标作无效投标处理：</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(2)投标人为本项目提供招标代理服务的；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(3)投标人与在本项目代理机构存在相互任职或工作的；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(4)投标保证金未按规定要求缴纳的；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w:t>
      </w:r>
      <w:r>
        <w:rPr>
          <w:rFonts w:hint="eastAsia" w:ascii="仿宋" w:hAnsi="仿宋" w:eastAsia="仿宋" w:cs="仿宋"/>
          <w:b/>
          <w:bCs/>
          <w:color w:val="000000" w:themeColor="text1"/>
          <w:szCs w:val="21"/>
          <w:lang w:eastAsia="zh-CN"/>
          <w14:textFill>
            <w14:solidFill>
              <w14:schemeClr w14:val="tx1"/>
            </w14:solidFill>
          </w14:textFill>
        </w:rPr>
        <w:t>评标专家无法查看并检验电子标书中相关资料的；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(6)投标人超出营业范围投标的；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(7)联合体投标未提交联合体协议的；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(8)被暂停营业的；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(9)被暂停或取消投标资格的；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(10)财产被接管或冻结的；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(11)投标人单位负责人为同一人或者存在控股、管理关系的不同单位的；</w:t>
      </w:r>
    </w:p>
    <w:p>
      <w:pPr>
        <w:snapToGrid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（12）投标人基本资格条件和特定资格条件中有一项及以上不符合要求的；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（13）投标人使用相同的MAC地址进行报名的；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（14）其它情形，经评标委员会委提出按无效投标处理，并经监督部门核准的；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（15）投标人使用相同IP地址报名的，一经发现，监管部门将进一步核实，查实后按串通投标处理；</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（16）采购文件规定的其它无效投标情形。</w:t>
      </w:r>
    </w:p>
    <w:p>
      <w:pPr>
        <w:snapToGrid w:val="0"/>
        <w:spacing w:line="4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12.3 投标人有下列情形之一的,符合性审查后其投标按无效投标处理：</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 投标文件签章、盖章不全，经评标委员会一致认定对开评标内容有实质性影响并经监督部门核准的；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(2)未按规定的格式填写，实质性内容不全或关键字迹模糊、无法辨认; 经监督部门核准的；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(4)同一投标人提交两个以上不同的投标文件或者投标报价，但采购文件规定提交备选方案的除外；</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(3)投标文件没有对采购文件的实质性要求和条件作出响应;</w:t>
      </w:r>
    </w:p>
    <w:p>
      <w:pPr>
        <w:snapToGrid w:val="0"/>
        <w:spacing w:line="400" w:lineRule="exact"/>
        <w:ind w:firstLine="480" w:firstLineChars="200"/>
        <w:rPr>
          <w:rFonts w:ascii="仿宋" w:hAnsi="仿宋" w:eastAsia="仿宋" w:cs="仿宋"/>
          <w:b/>
          <w:bCs/>
          <w:color w:val="FF0000"/>
          <w:szCs w:val="21"/>
          <w:lang w:eastAsia="zh-CN"/>
        </w:rPr>
      </w:pPr>
      <w:r>
        <w:rPr>
          <w:rFonts w:hint="eastAsia" w:ascii="仿宋" w:hAnsi="仿宋" w:eastAsia="仿宋" w:cs="仿宋"/>
          <w:color w:val="000000" w:themeColor="text1"/>
          <w:szCs w:val="21"/>
          <w:lang w:eastAsia="zh-CN"/>
          <w14:textFill>
            <w14:solidFill>
              <w14:schemeClr w14:val="tx1"/>
            </w14:solidFill>
          </w14:textFill>
        </w:rPr>
        <w:t>(4)投标报价超出规定的投标限价或公布的采购预算的；</w:t>
      </w:r>
      <w:r>
        <w:rPr>
          <w:rFonts w:hint="eastAsia" w:ascii="仿宋" w:hAnsi="仿宋" w:eastAsia="仿宋" w:cs="仿宋"/>
          <w:b/>
          <w:bCs/>
          <w:color w:val="FF0000"/>
          <w:szCs w:val="21"/>
          <w:lang w:eastAsia="zh-CN"/>
        </w:rPr>
        <w:t>注：投标人的</w:t>
      </w:r>
      <w:bookmarkStart w:id="48" w:name="_Hlk144580944"/>
      <w:r>
        <w:rPr>
          <w:rFonts w:hint="eastAsia" w:ascii="仿宋" w:hAnsi="仿宋" w:eastAsia="仿宋" w:cs="仿宋"/>
          <w:b/>
          <w:bCs/>
          <w:color w:val="FF0000"/>
          <w:szCs w:val="21"/>
          <w:lang w:eastAsia="zh-CN"/>
        </w:rPr>
        <w:t>投标总报价和各分项单价报价不得高于招标文件给定的最高限价和各分项单价控制价</w:t>
      </w:r>
      <w:bookmarkEnd w:id="48"/>
      <w:r>
        <w:rPr>
          <w:rFonts w:hint="eastAsia" w:ascii="仿宋" w:hAnsi="仿宋" w:eastAsia="仿宋" w:cs="仿宋"/>
          <w:b/>
          <w:bCs/>
          <w:color w:val="FF0000"/>
          <w:szCs w:val="21"/>
          <w:lang w:eastAsia="zh-CN"/>
        </w:rPr>
        <w:t>，否则，其投标文件将按无效投标处理。</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(5)不按评标委员会要求澄清、说明或补正的，或者评标委员会根据采购文件的规定对采购文件的计算错误进行修正后，投标人不接受修正的投标报价的。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（6）其它情形，经评标委员会委提出按无效投标处理，并经监督部门核准的；</w:t>
      </w:r>
    </w:p>
    <w:p>
      <w:pPr>
        <w:widowControl/>
        <w:spacing w:line="5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w:t>
      </w:r>
      <w:r>
        <w:rPr>
          <w:rFonts w:hint="eastAsia" w:ascii="仿宋" w:hAnsi="仿宋" w:eastAsia="仿宋" w:cs="仿宋"/>
          <w:color w:val="000000" w:themeColor="text1"/>
          <w:szCs w:val="21"/>
          <w:shd w:val="clear" w:color="auto" w:fill="FFFFFF"/>
          <w:lang w:eastAsia="zh-CN" w:bidi="ar"/>
          <w14:textFill>
            <w14:solidFill>
              <w14:schemeClr w14:val="tx1"/>
            </w14:solidFill>
          </w14:textFill>
        </w:rPr>
        <w:t>未按照招标文件的规定提交投标保证金的；</w:t>
      </w:r>
    </w:p>
    <w:p>
      <w:pPr>
        <w:widowControl/>
        <w:spacing w:line="5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w:t>
      </w:r>
      <w:r>
        <w:rPr>
          <w:rFonts w:hint="eastAsia" w:ascii="仿宋" w:hAnsi="仿宋" w:eastAsia="仿宋" w:cs="仿宋"/>
          <w:color w:val="000000" w:themeColor="text1"/>
          <w:szCs w:val="21"/>
          <w:shd w:val="clear" w:color="auto" w:fill="FFFFFF"/>
          <w:lang w:eastAsia="zh-CN" w:bidi="ar"/>
          <w14:textFill>
            <w14:solidFill>
              <w14:schemeClr w14:val="tx1"/>
            </w14:solidFill>
          </w14:textFill>
        </w:rPr>
        <w:t>投标文件含有采购人不能接受的附加条件的;</w:t>
      </w:r>
    </w:p>
    <w:p>
      <w:pPr>
        <w:tabs>
          <w:tab w:val="left" w:pos="1123"/>
        </w:tabs>
        <w:snapToGrid w:val="0"/>
        <w:spacing w:line="5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（9）采购文件规定的其它无效投标情形。</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12.4 投标人有下列情形之一的, 详细评审后其投标按无效投标处理：</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(1)投标产品不符合必须强制执行的国家标准的；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(2)投标人有串通投标、弄虚作假、行贿等违法行为；</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(3)投标文件含有违反国家法律、法规的内容，或附有招标人不能接受的条件的；</w:t>
      </w:r>
    </w:p>
    <w:p>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（4）在同一项目（或同一标段）中有多个投标人有效投标报价接近最高限价，且评标委员会认为报价出现异常的，可以宣布其投标无效；</w:t>
      </w:r>
    </w:p>
    <w:p>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（5）报价明显低于其他投标人，且不能证明报价合理性的投标无效；</w:t>
      </w:r>
    </w:p>
    <w:p>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（6）拒不确认评标委员会评审修正的投标无效；</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（7）其它情形，经评标委员会委提出按无效投标处理，并经监督部门核准的；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（8）采购文件规定的其它无效投标情形。</w:t>
      </w:r>
    </w:p>
    <w:p>
      <w:pPr>
        <w:pageBreakBefore/>
        <w:spacing w:line="360" w:lineRule="auto"/>
        <w:jc w:val="center"/>
        <w:outlineLvl w:val="0"/>
        <w:rPr>
          <w:rFonts w:ascii="仿宋" w:hAnsi="仿宋" w:eastAsia="仿宋" w:cs="仿宋"/>
          <w:b/>
          <w:color w:val="000000" w:themeColor="text1"/>
          <w:sz w:val="32"/>
          <w:szCs w:val="32"/>
          <w:lang w:eastAsia="zh-CN"/>
          <w14:textFill>
            <w14:solidFill>
              <w14:schemeClr w14:val="tx1"/>
            </w14:solidFill>
          </w14:textFill>
        </w:rPr>
        <w:sectPr>
          <w:footerReference r:id="rId6" w:type="default"/>
          <w:pgSz w:w="11906" w:h="16838"/>
          <w:pgMar w:top="1440" w:right="1080" w:bottom="1440" w:left="1080" w:header="851" w:footer="992" w:gutter="0"/>
          <w:pgNumType w:start="1"/>
          <w:cols w:space="720" w:num="1"/>
          <w:docGrid w:type="linesAndChars" w:linePitch="312" w:charSpace="0"/>
        </w:sectPr>
      </w:pPr>
      <w:bookmarkStart w:id="49" w:name="_Toc469495737"/>
      <w:bookmarkStart w:id="50" w:name="OLE_LINK4"/>
    </w:p>
    <w:p>
      <w:pPr>
        <w:pageBreakBefore/>
        <w:spacing w:line="360" w:lineRule="auto"/>
        <w:jc w:val="center"/>
        <w:outlineLvl w:val="0"/>
        <w:rPr>
          <w:rFonts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 xml:space="preserve">第四章  </w:t>
      </w:r>
      <w:bookmarkEnd w:id="41"/>
      <w:bookmarkEnd w:id="49"/>
      <w:r>
        <w:rPr>
          <w:rFonts w:hint="eastAsia" w:ascii="仿宋" w:hAnsi="仿宋" w:eastAsia="仿宋" w:cs="仿宋"/>
          <w:b/>
          <w:color w:val="000000" w:themeColor="text1"/>
          <w:sz w:val="32"/>
          <w:szCs w:val="32"/>
          <w:lang w:eastAsia="zh-CN"/>
          <w14:textFill>
            <w14:solidFill>
              <w14:schemeClr w14:val="tx1"/>
            </w14:solidFill>
          </w14:textFill>
        </w:rPr>
        <w:t>技术规格、数量及质量要求</w:t>
      </w:r>
    </w:p>
    <w:p>
      <w:pPr>
        <w:pStyle w:val="7"/>
        <w:ind w:firstLine="0"/>
        <w:rPr>
          <w:lang w:eastAsia="zh-CN"/>
        </w:rPr>
      </w:pPr>
    </w:p>
    <w:p>
      <w:pPr>
        <w:rPr>
          <w:lang w:eastAsia="zh-CN"/>
        </w:rPr>
      </w:pPr>
    </w:p>
    <w:p>
      <w:pPr>
        <w:jc w:val="center"/>
        <w:rPr>
          <w:rFonts w:ascii="仿宋" w:hAnsi="仿宋" w:eastAsia="仿宋"/>
          <w:sz w:val="30"/>
          <w:szCs w:val="30"/>
          <w:lang w:eastAsia="zh-CN"/>
        </w:rPr>
      </w:pPr>
      <w:r>
        <w:rPr>
          <w:rFonts w:hint="eastAsia" w:ascii="仿宋" w:hAnsi="仿宋" w:eastAsia="仿宋"/>
          <w:sz w:val="30"/>
          <w:szCs w:val="30"/>
          <w:lang w:eastAsia="zh-CN"/>
        </w:rPr>
        <w:t>哈密市伊吾县消防装备购置项目采购清单明细表</w:t>
      </w:r>
    </w:p>
    <w:tbl>
      <w:tblPr>
        <w:tblStyle w:val="23"/>
        <w:tblW w:w="9990" w:type="dxa"/>
        <w:tblInd w:w="93" w:type="dxa"/>
        <w:shd w:val="clear" w:color="auto" w:fill="FFFFFF" w:themeFill="background1"/>
        <w:tblLayout w:type="autofit"/>
        <w:tblCellMar>
          <w:top w:w="0" w:type="dxa"/>
          <w:left w:w="108" w:type="dxa"/>
          <w:bottom w:w="0" w:type="dxa"/>
          <w:right w:w="108" w:type="dxa"/>
        </w:tblCellMar>
      </w:tblPr>
      <w:tblGrid>
        <w:gridCol w:w="510"/>
        <w:gridCol w:w="1235"/>
        <w:gridCol w:w="5012"/>
        <w:gridCol w:w="773"/>
        <w:gridCol w:w="1356"/>
        <w:gridCol w:w="1104"/>
      </w:tblGrid>
      <w:tr>
        <w:tblPrEx>
          <w:shd w:val="clear" w:color="auto" w:fill="FFFFFF" w:themeFill="background1"/>
          <w:tblCellMar>
            <w:top w:w="0" w:type="dxa"/>
            <w:left w:w="108" w:type="dxa"/>
            <w:bottom w:w="0" w:type="dxa"/>
            <w:right w:w="108" w:type="dxa"/>
          </w:tblCellMar>
        </w:tblPrEx>
        <w:trPr>
          <w:trHeight w:val="9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方正黑体_GBK" w:hAnsi="方正黑体_GBK" w:eastAsia="方正黑体_GBK" w:cs="方正黑体_GBK"/>
              </w:rPr>
            </w:pPr>
            <w:r>
              <w:rPr>
                <w:rFonts w:ascii="方正黑体_GBK" w:hAnsi="方正黑体_GBK" w:eastAsia="方正黑体_GBK" w:cs="方正黑体_GBK"/>
                <w:lang w:eastAsia="zh-CN" w:bidi="ar"/>
              </w:rPr>
              <w:t>序号</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方正黑体_GBK" w:hAnsi="方正黑体_GBK" w:eastAsia="方正黑体_GBK" w:cs="方正黑体_GBK"/>
              </w:rPr>
            </w:pPr>
            <w:r>
              <w:rPr>
                <w:rFonts w:ascii="方正黑体_GBK" w:hAnsi="方正黑体_GBK" w:eastAsia="方正黑体_GBK" w:cs="方正黑体_GBK"/>
                <w:lang w:eastAsia="zh-CN" w:bidi="ar"/>
              </w:rPr>
              <w:t>装备名称</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方正黑体_GBK" w:hAnsi="方正黑体_GBK" w:eastAsia="方正黑体_GBK" w:cs="方正黑体_GBK"/>
              </w:rPr>
            </w:pPr>
            <w:r>
              <w:rPr>
                <w:rFonts w:ascii="方正黑体_GBK" w:hAnsi="方正黑体_GBK" w:eastAsia="方正黑体_GBK" w:cs="方正黑体_GBK"/>
                <w:lang w:eastAsia="zh-CN" w:bidi="ar"/>
              </w:rPr>
              <w:t>性能参数</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方正黑体_GBK" w:hAnsi="方正黑体_GBK" w:eastAsia="方正黑体_GBK" w:cs="方正黑体_GBK"/>
              </w:rPr>
            </w:pPr>
            <w:r>
              <w:rPr>
                <w:rFonts w:ascii="方正黑体_GBK" w:hAnsi="方正黑体_GBK" w:eastAsia="方正黑体_GBK" w:cs="方正黑体_GBK"/>
                <w:lang w:eastAsia="zh-CN" w:bidi="ar"/>
              </w:rPr>
              <w:t>配备数量</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方正黑体_GBK" w:hAnsi="方正黑体_GBK" w:eastAsia="方正黑体_GBK" w:cs="方正黑体_GBK"/>
              </w:rPr>
            </w:pPr>
            <w:r>
              <w:rPr>
                <w:rFonts w:ascii="方正黑体_GBK" w:hAnsi="方正黑体_GBK" w:eastAsia="方正黑体_GBK" w:cs="方正黑体_GBK"/>
                <w:lang w:eastAsia="zh-CN" w:bidi="ar"/>
              </w:rPr>
              <w:t>单价</w:t>
            </w:r>
            <w:r>
              <w:rPr>
                <w:rFonts w:hint="eastAsia" w:ascii="方正黑体_GBK" w:hAnsi="方正黑体_GBK" w:eastAsia="方正黑体_GBK" w:cs="方正黑体_GBK"/>
                <w:lang w:eastAsia="zh-CN" w:bidi="ar"/>
              </w:rPr>
              <w:t>控制价</w:t>
            </w:r>
            <w:r>
              <w:rPr>
                <w:rFonts w:ascii="方正黑体_GBK" w:hAnsi="方正黑体_GBK" w:eastAsia="方正黑体_GBK" w:cs="方正黑体_GBK"/>
                <w:lang w:eastAsia="zh-CN" w:bidi="ar"/>
              </w:rPr>
              <w:t>（元）</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方正黑体_GBK" w:hAnsi="方正黑体_GBK" w:eastAsia="方正黑体_GBK" w:cs="方正黑体_GBK"/>
              </w:rPr>
            </w:pPr>
            <w:r>
              <w:rPr>
                <w:rFonts w:ascii="方正黑体_GBK" w:hAnsi="方正黑体_GBK" w:eastAsia="方正黑体_GBK" w:cs="方正黑体_GBK"/>
                <w:lang w:eastAsia="zh-CN" w:bidi="ar"/>
              </w:rPr>
              <w:t>备注</w:t>
            </w:r>
          </w:p>
        </w:tc>
      </w:tr>
      <w:tr>
        <w:tblPrEx>
          <w:shd w:val="clear" w:color="auto" w:fill="FFFFFF" w:themeFill="background1"/>
          <w:tblCellMar>
            <w:top w:w="0" w:type="dxa"/>
            <w:left w:w="108" w:type="dxa"/>
            <w:bottom w:w="0" w:type="dxa"/>
            <w:right w:w="108" w:type="dxa"/>
          </w:tblCellMar>
        </w:tblPrEx>
        <w:trPr>
          <w:trHeight w:val="13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多功能城市主战消防车（国产底盘）</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详见附表《城市主战消防车》</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1500000.00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6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多功能灭火机器人（化工类火灾专用）</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消防灭火侦察机器人符合GB/T3836.1-2021《爆炸性环境第1部分：设备通用要求》、GB/T3836.1-2021《爆炸性环境第2部分：由隔爆外壳“d”保护的设备》、GB/T3836.1-2021《爆炸性环境第4部分：由本质安全型”i”保护的设备》国家标准，可以在具有易燃、易爆的气体环境中使用，适用于石油炼化、化工等环境应用，具有国家煤矿防爆安全产品质量监督检验中心出具的防爆认证。</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2.消防灭火侦察机器人符合 GA892.1-2010《消防机器人第 1 部分：通用技术条件》要求，具有国家消防装备质量监督检验中心出具的检验报告。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消防灭火侦察机器人采用履带式机器人平台，由机器人本体、消防炮及手持遥控终端等构成；其中机器人本体、水炮旋转电机、LED照明灯、本安拾音器、红外温度传感器、防爆热成像仪、温度传感器、物位传感器、防爆升降机构均须具有单独防爆认证，防爆等级大于等于ExdIIBT4Gb要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消防灭火侦察机器人由机器人本体、消防炮和手持遥控终端组成，采用一体化集成式的无线控制装置，在手持遥控终端上可同时遥控底盘系统、环境侦测系统和音视频传输系统。具有远距离无线遥控、侦察、灭火、自喷淋降温保护、防爆、防水、防倾覆、越障、自主避障、涉水、前进、后退、转弯等功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5.外形尺寸：长≥1680mm×宽800mm×高1230mm；整备质量：≤540kg；涉水深度：≥350mm；爬坡角度：≥83%。</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6采用双电机电力驱动，行走机构采取独立驱动，单边电机功率≤1500w。</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7.按统型要求消防灭火侦察机器人所有器件与所属采购支队现有消防灭火侦察机器人互为通用。</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8.消防灭火侦察机器人满足Ex db［ia Ga］ib II B T4Gb和II类电气环境使用要求。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9.消防炮采用阿瓦格消防设备有限公司（AWG Fittings GmbH）生产的PLKD10/80B-5177型消防炮（与检测报告一致）。</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10.手持遥控终端有实时储存功能，重量≤3.5kg。手持遥控终端组尺寸≤长320mm×宽250mm×高60mm。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11.防爆升降台升降行程：≥700mm，摄像头云台初始高度：≤1140mm，摄像头云台举升后高度：≥1850mm。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12.消防灭火侦察机器人质保期不低于5年，五年内所有设备维修免费。</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13.每台消防灭火侦查机器人配备1辆运输拖车，承重≥800kg，可满足现有消防机器人使用，拖车拖钩可直接与消防车后部拖车钩连接。</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14.消防水带连接处带自动脱扣功能。</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850000.00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38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3</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灭火无人机（带照明功能）</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Style w:val="65"/>
                <w:rFonts w:hint="default"/>
                <w:lang w:eastAsia="zh-CN" w:bidi="ar"/>
              </w:rPr>
            </w:pPr>
            <w:r>
              <w:rPr>
                <w:rStyle w:val="65"/>
                <w:rFonts w:hint="default"/>
                <w:lang w:eastAsia="zh-CN" w:bidi="ar"/>
              </w:rPr>
              <w:t>1.机型：电动六旋翼</w:t>
            </w:r>
          </w:p>
          <w:p>
            <w:pPr>
              <w:widowControl/>
              <w:textAlignment w:val="center"/>
              <w:rPr>
                <w:rStyle w:val="65"/>
                <w:rFonts w:hint="default"/>
                <w:lang w:eastAsia="zh-CN" w:bidi="ar"/>
              </w:rPr>
            </w:pPr>
            <w:r>
              <w:rPr>
                <w:rStyle w:val="65"/>
                <w:rFonts w:hint="default"/>
                <w:lang w:eastAsia="zh-CN" w:bidi="ar"/>
              </w:rPr>
              <w:t>2.空载起飞重量：系留模式：7kg；放飞模式：15kg</w:t>
            </w:r>
          </w:p>
          <w:p>
            <w:pPr>
              <w:widowControl/>
              <w:textAlignment w:val="center"/>
              <w:rPr>
                <w:rStyle w:val="65"/>
                <w:rFonts w:hint="default"/>
                <w:lang w:eastAsia="zh-CN" w:bidi="ar"/>
              </w:rPr>
            </w:pPr>
            <w:r>
              <w:rPr>
                <w:rStyle w:val="66"/>
                <w:rFonts w:ascii="宋体" w:hAnsi="宋体" w:eastAsia="黑体" w:cs="宋体"/>
                <w:sz w:val="24"/>
                <w:szCs w:val="24"/>
                <w:lang w:eastAsia="zh-CN" w:bidi="ar"/>
              </w:rPr>
              <w:t>3.</w:t>
            </w:r>
            <w:r>
              <w:rPr>
                <w:rStyle w:val="65"/>
                <w:rFonts w:hint="default"/>
                <w:lang w:eastAsia="zh-CN" w:bidi="ar"/>
              </w:rPr>
              <w:t>最大起飞重量：系留模式：17kg；放飞模式：25kg</w:t>
            </w:r>
          </w:p>
          <w:p>
            <w:pPr>
              <w:widowControl/>
              <w:textAlignment w:val="center"/>
              <w:rPr>
                <w:rStyle w:val="65"/>
                <w:rFonts w:hint="default"/>
                <w:lang w:eastAsia="zh-CN" w:bidi="ar"/>
              </w:rPr>
            </w:pPr>
            <w:r>
              <w:rPr>
                <w:rStyle w:val="66"/>
                <w:rFonts w:ascii="宋体" w:hAnsi="宋体" w:eastAsia="黑体" w:cs="宋体"/>
                <w:sz w:val="24"/>
                <w:szCs w:val="24"/>
                <w:lang w:eastAsia="zh-CN" w:bidi="ar"/>
              </w:rPr>
              <w:t>4.</w:t>
            </w:r>
            <w:r>
              <w:rPr>
                <w:rStyle w:val="65"/>
                <w:rFonts w:hint="default"/>
                <w:lang w:eastAsia="zh-CN" w:bidi="ar"/>
              </w:rPr>
              <w:t>最大载荷重量：系留模式：5kg；放飞模式：10kg</w:t>
            </w:r>
          </w:p>
          <w:p>
            <w:pPr>
              <w:widowControl/>
              <w:textAlignment w:val="center"/>
              <w:rPr>
                <w:rStyle w:val="65"/>
                <w:rFonts w:hint="default"/>
                <w:lang w:eastAsia="zh-CN" w:bidi="ar"/>
              </w:rPr>
            </w:pPr>
            <w:r>
              <w:rPr>
                <w:rStyle w:val="66"/>
                <w:rFonts w:ascii="宋体" w:hAnsi="宋体" w:eastAsia="黑体" w:cs="宋体"/>
                <w:sz w:val="24"/>
                <w:szCs w:val="24"/>
                <w:lang w:eastAsia="zh-CN" w:bidi="ar"/>
              </w:rPr>
              <w:t>4.</w:t>
            </w:r>
            <w:r>
              <w:rPr>
                <w:rStyle w:val="65"/>
                <w:rFonts w:hint="default"/>
                <w:lang w:eastAsia="zh-CN" w:bidi="ar"/>
              </w:rPr>
              <w:t>最大续航时间：系留模式：24小时不间断；放飞模式：75min</w:t>
            </w:r>
          </w:p>
          <w:p>
            <w:pPr>
              <w:widowControl/>
              <w:textAlignment w:val="center"/>
              <w:rPr>
                <w:rStyle w:val="65"/>
                <w:rFonts w:hint="default"/>
                <w:lang w:eastAsia="zh-CN" w:bidi="ar"/>
              </w:rPr>
            </w:pPr>
            <w:r>
              <w:rPr>
                <w:rStyle w:val="66"/>
                <w:rFonts w:ascii="宋体" w:hAnsi="宋体" w:eastAsia="黑体" w:cs="宋体"/>
                <w:sz w:val="24"/>
                <w:szCs w:val="24"/>
                <w:lang w:eastAsia="zh-CN" w:bidi="ar"/>
              </w:rPr>
              <w:t>5.</w:t>
            </w:r>
            <w:r>
              <w:rPr>
                <w:rStyle w:val="65"/>
                <w:rFonts w:hint="default"/>
                <w:lang w:eastAsia="zh-CN" w:bidi="ar"/>
              </w:rPr>
              <w:t>安全设计：双冗余供电系统，切换时间≤100ms</w:t>
            </w:r>
          </w:p>
          <w:p>
            <w:pPr>
              <w:widowControl/>
              <w:textAlignment w:val="center"/>
              <w:rPr>
                <w:rStyle w:val="65"/>
                <w:rFonts w:hint="default"/>
                <w:lang w:eastAsia="zh-CN" w:bidi="ar"/>
              </w:rPr>
            </w:pPr>
            <w:r>
              <w:rPr>
                <w:rStyle w:val="65"/>
                <w:rFonts w:hint="default"/>
                <w:lang w:eastAsia="zh-CN" w:bidi="ar"/>
              </w:rPr>
              <w:t>6.最大飞行海拔高度：5000m</w:t>
            </w:r>
          </w:p>
          <w:p>
            <w:pPr>
              <w:widowControl/>
              <w:textAlignment w:val="center"/>
              <w:rPr>
                <w:rStyle w:val="65"/>
                <w:rFonts w:hint="default"/>
                <w:lang w:eastAsia="zh-CN" w:bidi="ar"/>
              </w:rPr>
            </w:pPr>
            <w:r>
              <w:rPr>
                <w:rStyle w:val="66"/>
                <w:rFonts w:ascii="宋体" w:hAnsi="宋体" w:eastAsia="黑体" w:cs="宋体"/>
                <w:sz w:val="24"/>
                <w:szCs w:val="24"/>
                <w:lang w:eastAsia="zh-CN" w:bidi="ar"/>
              </w:rPr>
              <w:t>7.</w:t>
            </w:r>
            <w:r>
              <w:rPr>
                <w:rStyle w:val="65"/>
                <w:rFonts w:hint="default"/>
                <w:lang w:eastAsia="zh-CN" w:bidi="ar"/>
              </w:rPr>
              <w:t>最大相对飞行高度：系留模式：50-100m；放飞模式：1000米</w:t>
            </w:r>
          </w:p>
          <w:p>
            <w:pPr>
              <w:widowControl/>
              <w:textAlignment w:val="center"/>
              <w:rPr>
                <w:rStyle w:val="65"/>
                <w:rFonts w:hint="default"/>
                <w:lang w:eastAsia="zh-CN" w:bidi="ar"/>
              </w:rPr>
            </w:pPr>
            <w:r>
              <w:rPr>
                <w:rStyle w:val="66"/>
                <w:rFonts w:ascii="宋体" w:hAnsi="宋体" w:eastAsia="黑体" w:cs="宋体"/>
                <w:sz w:val="24"/>
                <w:szCs w:val="24"/>
                <w:lang w:eastAsia="zh-CN" w:bidi="ar"/>
              </w:rPr>
              <w:t>8.</w:t>
            </w:r>
            <w:r>
              <w:rPr>
                <w:rStyle w:val="65"/>
                <w:rFonts w:hint="default"/>
                <w:lang w:eastAsia="zh-CN" w:bidi="ar"/>
              </w:rPr>
              <w:t>抗风等级：5级</w:t>
            </w:r>
          </w:p>
          <w:p>
            <w:pPr>
              <w:widowControl/>
              <w:textAlignment w:val="center"/>
              <w:rPr>
                <w:rStyle w:val="65"/>
                <w:rFonts w:hint="default"/>
                <w:lang w:eastAsia="zh-CN" w:bidi="ar"/>
              </w:rPr>
            </w:pPr>
            <w:r>
              <w:rPr>
                <w:rStyle w:val="66"/>
                <w:rFonts w:ascii="宋体" w:hAnsi="宋体" w:eastAsia="黑体" w:cs="宋体"/>
                <w:sz w:val="24"/>
                <w:szCs w:val="24"/>
                <w:lang w:eastAsia="zh-CN" w:bidi="ar"/>
              </w:rPr>
              <w:t>9.</w:t>
            </w:r>
            <w:r>
              <w:rPr>
                <w:rStyle w:val="65"/>
                <w:rFonts w:hint="default"/>
                <w:lang w:eastAsia="zh-CN" w:bidi="ar"/>
              </w:rPr>
              <w:t>防雨性能：小雨</w:t>
            </w:r>
          </w:p>
          <w:p>
            <w:pPr>
              <w:widowControl/>
              <w:textAlignment w:val="center"/>
              <w:rPr>
                <w:rStyle w:val="65"/>
                <w:rFonts w:hint="default"/>
                <w:lang w:eastAsia="zh-CN" w:bidi="ar"/>
              </w:rPr>
            </w:pPr>
            <w:r>
              <w:rPr>
                <w:rStyle w:val="66"/>
                <w:rFonts w:ascii="宋体" w:hAnsi="宋体" w:eastAsia="黑体" w:cs="宋体"/>
                <w:sz w:val="24"/>
                <w:szCs w:val="24"/>
                <w:lang w:eastAsia="zh-CN" w:bidi="ar"/>
              </w:rPr>
              <w:t>10.</w:t>
            </w:r>
            <w:r>
              <w:rPr>
                <w:rStyle w:val="65"/>
                <w:rFonts w:hint="default"/>
                <w:lang w:eastAsia="zh-CN" w:bidi="ar"/>
              </w:rPr>
              <w:t>悬停精度：水平≤±1.5m，垂直≤±0.5m</w:t>
            </w:r>
          </w:p>
          <w:p>
            <w:pPr>
              <w:widowControl/>
              <w:textAlignment w:val="center"/>
              <w:rPr>
                <w:rStyle w:val="65"/>
                <w:rFonts w:hint="default"/>
                <w:lang w:eastAsia="zh-CN" w:bidi="ar"/>
              </w:rPr>
            </w:pPr>
            <w:r>
              <w:rPr>
                <w:rStyle w:val="66"/>
                <w:rFonts w:ascii="宋体" w:hAnsi="宋体" w:eastAsia="黑体" w:cs="宋体"/>
                <w:sz w:val="24"/>
                <w:szCs w:val="24"/>
                <w:lang w:eastAsia="zh-CN" w:bidi="ar"/>
              </w:rPr>
              <w:t>11.</w:t>
            </w:r>
            <w:r>
              <w:rPr>
                <w:rStyle w:val="65"/>
                <w:rFonts w:hint="default"/>
                <w:lang w:eastAsia="zh-CN" w:bidi="ar"/>
              </w:rPr>
              <w:t>动力：系留模式：输入电压：DC400，输出电压：DC48V；放飞模式：LiPo 6S，22000mAh*2</w:t>
            </w:r>
          </w:p>
          <w:p>
            <w:pPr>
              <w:widowControl/>
              <w:textAlignment w:val="center"/>
              <w:rPr>
                <w:rFonts w:ascii="黑体" w:hAnsi="宋体" w:eastAsia="黑体" w:cs="黑体"/>
                <w:sz w:val="20"/>
                <w:szCs w:val="20"/>
                <w:lang w:eastAsia="zh-CN"/>
              </w:rPr>
            </w:pPr>
            <w:r>
              <w:rPr>
                <w:rStyle w:val="65"/>
                <w:rFonts w:hint="default"/>
                <w:lang w:eastAsia="zh-CN" w:bidi="ar"/>
              </w:rPr>
              <w:t>12.适配任务挂载：高清云台摄像机、探照灯等</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440000.00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70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消防半盔</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★满足XF44-2015标准，提供国家级检测机构（第三方）的检测报告和认证证书，标识符合《20式消防头盔款式标识统型要求》和《消防头盔单位标识要求》；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一、颜色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1、盔壳：黄色，黄色为PANTONE 012 C，色差≥3级；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2、披肩：藏蓝色，潘通色号为PANTONE 19-4013 TCX Dark Navy，色差≥3级；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3、反光标识条：荧光黄色潘通色号为PANTONE 809C，荧光桔红色为PANTONE 811C，色差≥2级，入射角5°观察角0.2°时初始逆反射系数≥100cd/(1x*㎡)；</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4、滑块和配饰：黑色潘通色号为PANTONE 19-4007 TPX，色差≥3级。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二、款式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1、由盔壳、滑轨、缓冲层、舒适衬垫、佩戴装置、面罩、披肩等组成；</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2、盔壳：耐高温阻燃材质；</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3、滑轨：盔体两侧设黑色多功能模块化滑轨，耐高温阻燃材质；</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4、缓冲层：耐高温阻燃材质，颜色为黑色；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5、舒适衬垫：顶部为芳纶网状衬垫，四周为舒适层（与帽箍一体）可调节戴帽高度；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6、佩戴装置：包括帽箍和系带，为耐高温阻燃材质。在盔体后沿下侧设头围调节旋钮；系带可调节佩戴松紧，加装可拆洗阻燃舒适软垫：插扣为快脱插扣；</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7、面罩：耐高温阻燃材质；</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8、披肩：防水处理、耐高温阻燃芳纶材料，颜色为藏蓝色，可快速拆卸、安装；</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9、反光标识：两侧粘贴弧形反光标识条，为耐高温材质，宽度为30mm±1mm，长度为226mm±2mm，弧形总高52mm±2mm；黄色头盔使用荧光桔红色反光标识条；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10、所有可调节扣件全部采用黄色，为改性阻燃尼龙66材料。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三、标志</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1、帽徽：消防头盔前面居中粘贴软质立体19式消防大帽徽，距帽檐底部18±2mm，帽徽规格为高5.9cm、宽5.7cm；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2、单位标识：侧面居中采用耐雨淋反光材料牢固粘贴“新疆消防”，字体为简粗平黑，字体大小为30（±1）mm×35（±1）mm，字间距10±1mm，颜色为银灰色，潘通色号为PANTONE 423C，色差≥3级。头盔两侧文字相同，均从帽徽一侧呈半弧状（与加强筋弧度相似）向盔体后部均匀排列；</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3、头盔后部内侧包含“20式消防头盔”的永久性标识。</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600.00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70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指挥员头盔</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★满足XF44-2015标准，提供国家级检测机构（第三方）的检测报告和认证证书，标识符合《20式消防头盔款式标识统型要求》和《消防头盔单位标识要求》；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一、颜色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1、盔壳：红色，潘通色号为PANTONE 186C，色差≥3级；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2、披肩：藏蓝色，潘通色号为PANTONE 19-4013 TCX Dark Navy，色差≥3级；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3、反光标识条：荧光黄色潘通色号为PANTONE 809C，荧光桔红色为PANTONE 811C，色差≥2级，入射角5°观察角0.2°时初始逆反射系数≥100cd/(1x*㎡)；</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4、滑块和配饰：黑色潘通色号为PANTONE 19-4007 TPX，色差≥3级。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二、款式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1、由盔壳、滑轨、缓冲层、舒适衬垫、佩戴装置、面罩、披肩等组成；</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2、盔壳：耐高温阻燃材质；</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3、滑轨：盔体两侧设黑色多功能模块化滑轨，耐高温阻燃材质；</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4、缓冲层：耐高温阻燃材质，颜色为黑色；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5、舒适衬垫：顶部为芳纶网状衬垫，四周为舒适层（与帽箍一体）可调节戴帽高度；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6、佩戴装置：包括帽箍和系带，为耐高温阻燃材质。在盔体后沿下侧设头围调节旋钮；系带可调节佩戴松紧，加装可拆洗阻燃舒适软垫：插扣为快脱插扣；</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7、面罩：耐高温阻燃材质；</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8、披肩：防水处理、耐高温阻燃芳纶材料，颜色为藏蓝色，可快速拆卸、安装；</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9、反光标识：两侧粘贴弧形反光标识条，为耐高温材质，宽度为30mm±1mm，长度为226mm±2mm，弧形总高52mm±2mm；黄色头盔使用荧光桔红色反光标识条；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10、所有可调节扣件全部采用黄色，为改性阻燃尼龙66材料。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三、标志</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1、帽徽：消防头盔前面居中粘贴软质立体19式消防大帽徽，距帽檐底部18±2mm，帽徽规格为高5.9cm、宽5.7cm；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2、单位标识：侧面居中采用耐雨淋反光材料牢固粘贴“新疆消防”，字体为简粗平黑，字体大小为30（±1）mm×35（±1）mm，字间距10±1mm，颜色为银灰色，潘通色号为PANTONE 423C，色差≥3级。头盔两侧文字相同，均从帽徽一侧呈半弧状（与加强筋弧度相似）向盔体后部均匀排列；</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3、头盔后部内侧包含“20式消防头盔”的永久性标识。</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6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600.00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64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消防员灭火防护靴（夏）</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★满足XF6-2004标准，提供国家级检测机构（第三方）的检测报告和认证证书，标识符合《20式消防员灭火防护靴（橡胶）款式标识统型要求》：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一、颜色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主体颜色为黑色和黄色，黑色潘通色号为PANTONE Black 6C，黄色潘通色号为PANTONE 7408C，靴跟银色反光标识潘通色号为PANTONE Cool Gray 8C。色差≥3级。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二、款式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1、整体结构。靴帮由外到里分为帮面、防切割层和隔热舒适层三层结构；靴底由上到下分为隔热舒适层、防穿刺层和靴大底三层结构；靴头部位设有保护包头；靴帮顶部设有便于穿戴的提手；</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17式消防胶靴从靴内跟底部至靴帮后部筒口最低处的高度为300mm(±5mm)；靴筒口采用倾斜式设计，由前往后向下倾斜，前后高差20mm(±2mm)；靴帮上设有胫骨、踝骨和跖骨保护层，靴后跟部设有反光标识，筒口和靴底各设围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3、靴帮采用筒面和外头皮拼接结构，材质为耐高温阻燃耐酸碱橡胶；</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4、靴帮防切割层采用经2纬3棉帆布，经2用21S双股标准全棉，纬3用7S单股标准全棉；</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5、靴帮和靴底隔热舒适层（俗称靴内衬）采用棉布和氯丁橡胶发泡海绵复合面料；</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6、靴底防穿刺层采用芳香族聚酰胺纤维复合材料；</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7、靴大底采用耐高温、阻燃、耐酸碱、耐磨防滑橡胶，啮合止滑纹路设计，提高防滑性能；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8、鞋垫采用减震缓冲、排汗、防臭，抗菌鞋垫；</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9、保护包头采用轻质铝合金或非金属复合材料；</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10、反光标识。靴后跟设有在耐高温、阻燃、耐酸碱橡胶块上，复合的银色三角形阻燃反光标志带。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三、标志</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★1、“执行标准:XF6-2004”；</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2、型号、规格；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3、生产厂的名称或商标；</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4、生产厂的灭火防护靴识别编号或制造年月；</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5、检验合格标记。</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四、总质量≤1.8kg。</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6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7</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消防员灭火防护靴（冬）</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▲满足XF6-2004标准，提供国家级检测机构（第三方）的检测报告和认证证书，标识符合《20式消防员灭火防护靴（橡胶）款式标识统型要求》：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主体颜色为黑色和黄色，黑色潘通色号为PANTONE Black 6C，黄色潘通色号为PANTONE 7408C，靴跟银色反光标识潘通色号为PANTONE Cool Gray 8C。色差≥3级。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二、款式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1、整体结构。靴帮由外到里分为帮面、防切割层和隔热舒适层三层结构；靴底由上到下分为隔热舒适层、防穿刺层和靴大底三层结构；靴头部位设有保护包头；靴帮顶部设有便于穿戴的提手；</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17式消防胶靴从靴内跟底部至靴帮后部筒口最低处的高度为300mm(±5mm)；靴筒口采用倾斜式设计，由前往后向下倾斜，前后高差20mm(±2mm)；靴帮上设有胫骨、踝骨和跖骨保护层，靴后跟部设有反光标识，筒口和靴底各设围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3、靴帮采用筒面和外头皮拼接结构，材质为耐高温阻燃耐酸碱橡胶；</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4、靴帮防切割层采用经2纬3棉帆布，经2用21S双股标准全棉，纬3用7S单股标准全棉；</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5、靴帮和靴底隔热舒适层（俗称靴内衬）采用棉布和氯丁橡胶发泡海绵复合面料；</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6、靴底防穿刺层采用芳香族聚酰胺纤维复合材料；</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7、靴大底采用耐高温、阻燃、耐酸碱、耐磨防滑橡胶，啮合止滑纹路设计，提高防滑性能；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8、鞋垫采用减震缓冲、排汗、防臭、抗菌鞋垫；</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9、保护包头采用轻质铝合金或非金属复合材料；</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10、反光标识。靴后跟设有在耐高温、阻燃、耐酸碱橡胶块上，复合的银色三角形阻燃反光标志带；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11、抗电压。</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三、标志</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★1、“执行标准:XF6-2004”；</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2、型号、规格；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3、生产厂的名称或商标；</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4、生产厂的灭火防护靴识别编号或制造年月；</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5、检验合格标记。</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四、质量≤ 2kg，鞋内设置棉绒等保暖材质。</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52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8</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消防腰斧</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★1、满足XF630-2006《消防腰斧》标准，提供国家级检测机构（第三方）的检测报告告和认证证书；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2、由斧、刀锯、斧套组成；刀锯安装处配有防脱落保护壳；</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3、质量≤1kg，腰斧全长≤300mm，斧头长≤170mm；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4、消防腰斧各刃部应抛光，其表面粗糙度Ra值≤6.3μm；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5、消防腰斧的金属表面应平整光洁，不有裂纹、毛刺、凹痕、缺损或有害杂质等缺陷，涂漆部分不有流痕、气泡等缺陷；</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6、橡胶斧柄套应无碎渣、气泡、孔隙、夹杂物及其他明显缺陷，表面花纹应清晰；</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7、消防腰斧斧头连同斧柄应用整块金属材料铸成；</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8、消防腰斧刃口应锋利，其截面呈弧形；</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9、消防腰斧的平刃、柄刃和斧柄轴线须在同一水平平面上，各部分应对称于该平面；</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10、橡胶斧柄套应热压在斧柄上，粘结应牢靠、不松动；</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11、橡胶斧柄套设计应便于安全、舒适抓握；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12、硬度：消防腰斧各刃部和撬口均应经热处理，且其硬度均应≥50HRC，刃部热处理长度应≥20mm 且≤40mm，撬口热处理长度应≥5mm 且≤10mm；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13、抗冲击性能：消防腰斧各刃部经5kg 的重锤冲击后，不有裂纹、变形等损伤；</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14、平刃砍断性能：消防腰斧平刃应能砍断直径6.5mm的Q235A圆钢，应无明显缺刃、卷边和裂缝等影响使用功能的损伤；</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15、尖刃和柄刃凿击性能：消防腰斧尖刃和柄刃应能凿击Q235A 钢平板，应无明显缺刃、卷边和裂纹等影响使用功能的损伤。</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21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9</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消防手套</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★1、满足XF7-2004标准，提供国家级检测机构（第三方）的检测报告告和认证证书；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2、手套外层采用芳纶材料，并与皮革相配合，增加耐磨性；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3、应采用反光标志带，具有耐火性；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4、隔热层应为芳纶水刺毡；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5、五分钟浸水测试，不渗透；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6、手腕部位具有可调节松紧尼龙粘胶；</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7、型号分为大、中、小三个型号</w:t>
            </w:r>
          </w:p>
          <w:p>
            <w:pPr>
              <w:widowControl/>
              <w:textAlignment w:val="center"/>
              <w:rPr>
                <w:rFonts w:ascii="黑体" w:hAnsi="宋体" w:eastAsia="黑体" w:cs="黑体"/>
                <w:sz w:val="20"/>
                <w:szCs w:val="20"/>
              </w:rPr>
            </w:pPr>
            <w:r>
              <w:rPr>
                <w:rFonts w:hint="eastAsia" w:ascii="黑体" w:hAnsi="宋体" w:eastAsia="黑体" w:cs="黑体"/>
                <w:sz w:val="20"/>
                <w:szCs w:val="20"/>
                <w:lang w:eastAsia="zh-CN" w:bidi="ar"/>
              </w:rPr>
              <w:t>8、颜色为藏蓝色。</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6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10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消防安全腰带</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符合XF494-2004标准，提供国家级检测机构（第三方）的检测报告告和认证证书；标识符合《20式消防安全腰带款式标识统型要求》：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一、颜1、织带：藏蓝色，潘通色号为PANTONE 19-4013 TCX Dark Navy，色差≥3级（按《纺织品  色牢度试验 评定变色用灰色样卡》）；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2、带扣、D型环：铝本色；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3、保护盖、移动板、收带扣：颜色为黑色；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4、缝线：颜色为灰色；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二、款式（插扦改良式）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★1、织带：尼龙66材质，织带为整根，不应有接缝，具有一定硬度，规格为宽70mm×厚2.5mm，末端收尾为整烫圆弧型；</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2、带扣：热锻铝7075合金材质，阳极氧化处理工艺，规格为长96mm×宽90mm×厚6mm；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3、扦针：不锈钢420材质，双扦针，扦针的长度35mm，直径应与带扣、扦针孔适配；</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4、D型环：热锻铝7075合金材质，阳极氧化处理工艺，配置两个D型环，其中一个采用缝合固定，距带扣100mm处；另一个采用移动板和D型环组合结构，可自由调节；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5、扦针孔：优质不锈钢材质，直径12mm，距带尾部200mm处成双排六列型式向前等距排列；</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6、移动板：尼龙66材质，规格为65mm×95mm×3mm；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7、收带扣：尼龙材质，松紧带缝纫，宽度规格为20mm；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8、缝线：尼龙66材质，颜色为灰色，电脑曲折缝制线迹；</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9、型号：分大、中、小三个型号，成品长度分别为1400mm、1300mm、1200mm。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三、标志带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永久性标志：耐磨水洗布，长160mm×宽60mm，缝于腰内侧；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★四、性能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1、腰带质量：≤0.9kg，正立方向静拉力：≥13KN。腰带的带扣的边角半径应≥6mm，拉环强度≥15KN；</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2、安全腰带的拉环不允许焊接。</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3、耐高温性能：安全腰带的织带和缝线不应出现融熔、焦化现象；</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4、金属零件的耐腐蚀性能：经盐雾试验后，应无明显的锈蚀现象。</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30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11</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消防员呼救器</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★★1、符合现行GB27900《消防员呼救器》标准的要求，防爆性能符合GB3836标准的要求，提供国家级检测机构（第三方）的检测报告告和认证证书；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2、由单万万元线路板、压电晶体蜂鸣片、发音腔、壳体、防爆电池组、按键组成；</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3、静止至预警时间：30s±2s;</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4、预报警时间：15s±2s；</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5、预报警声级强度：≥80dB；报警声级强度：≥100dB；低电压告警声级强度：≥65dB；</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6、连续开机时间：≥24h；</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7、连续报警时间：≥4h；</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8、质量：≤300g（含电池）；</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9、防爆等级：不低于Exib ⅡC T4Gb，在气爆和尘爆场所均可使用；</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10、防护等级：不低于IP67。</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22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12</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应急逃生自救安全绳</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★1、满足XF494-2004标准，提供国家级检测机构（第三方）的检测报告和认证证书书；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2、主承重部分应由连续纤维制成，表面无任何机械损伤现象，应为连续结构，整绳粗细均匀、结构一致；</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3、绳索外层无明显破损、高温灼伤，无化学品浸蚀，心芯无明显变形；</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4、应采用夹芯绳结构，直径9.5±0.5mm；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5、内芯采用对位芳纶长丝制成；</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6、每根绳长度20m，绳的两端应妥善收尾，宜采用绳环结构，并用同种材料的细绳扎缝50mm，在扎缝处热封，扎缝处包以裹紧的橡胶或塑料套管，在绳尾处采用热封方式标注永久性标签内容；</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▲7、最小破断强度≥20kN，当承重达到最小破断强度的10％，1％≤延伸率≤10％；</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8、并配有绳包1个，绳包能与消防员安全腰带配套使用；</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81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13</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消防员灭火防护服20式</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★满足XF10-2014《消防员灭火防护服》标准要求，提供国家级检测机构（第三方）的检测报告和认证证书；标识符合《20式消防员灭火防护服款式标识统型要求》；采用四层结构；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一、颜色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藏蓝色，潘通色号为 PANTONE 19-4013 TCX Dark Navy，色差≥3级（按《纺细品色牢度试验评定变色用灰色样卡》GB/T250-2008 标准评判）。</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二、款式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（一）主体结构：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1、上下分体式结构，上衣和裤子间重叠部分应不小于200mm。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2、衣领为立领，前部设护领，衣领内侧采用顺色贴肤舒适面料。</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3、上衣在胸部、下摆、袖口各设 1 条 360 度环形反光标识带，裤子在小腿部各设1条360度环形反光标志带，反光标志带宽度为 50.8mm（2 英寸），颜色为黄银黄。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4、裤子裆部采用一体式设计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5、裤子背带为 H 型背带，背带应可调节长度，可拆卸。</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6、上衣前门襟拉链号≥8号。</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7、背部设有风琴褶。</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(二）附属结构：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1、上衣左胸外设电台立体口袋，门襟内侧设防水插袋，下摆设置外贴袋。大腿外侧各设工具袋 1 个。所有外口袋均设置漏水孔。</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2、在左上臂外侧设 90mm×110mm 盾牌型魔术贴并配盾牌型标识；左胸设 19 消防软胸徽同形状魔术贴，用于粘贴 19 消防员软胸徽或 19 消防干部软胸徽；右胸设90mm×57mm 长方形魔术贴并配消防指战员胸部标识。</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3、袖口处采用圆弧形设计，外层本色布包边，设置收紧调节袢，并配置罗纹防护护腕，罗纹防护护腕开拇指孔，内部设置止水布。</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4、上衣门襟。上衣门襟魔术贴为贯通式。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5、上衣下摆。上衣舒适层下摆设置止水布。</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6、裤脚口。裤脚口处采用圆弧形设计，内部设置止水布，内侧设置拉链，裤脚设耐磨材料包边。</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7、在肩、肘、膝部应采用耐磨层加厚处理，耐磨层应柔软且易于清洗。</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8、左右肩部设有两个挂袢。</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9、背部设有救生拖拉带，展开时间≤10S，可以拖动80kg假人10米以上。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三、标识</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背部印字：各地消防救援队伍配备服装背部居中采用耐火、防水、荧光材料喷涂印制“应急消防”，字体为简粗平黑，颜色为银色，每个字大小 70mm×85mm，字间距 20mm，位置在反光带上方 30mm 处。反光带下方 30mm 处 3 个训练总队印字为“**训练”，8个机动支队印字为“**机动”，其他各地区可结合本地情况印制总队、支队单位信息，字数≤7个，字体为简粗平黑，颜色为银色。四个字和五个字时每个字大小50mm×55mm，字间距15mm；六个字时每个字大小45mm×55mm，字间距10mm；七个字时每个字大小40mm×55mm，字间距8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22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14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消防员灭火防护头套</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★1、满足XF869-2010标准，提供国家级检测机构（第三方）的检测报告和认证证书；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2、采用优质阻燃材料；原材料采用原浆染色，不应有洗涤脱色现象；头套应有弹性，隔热透气，贴合面部，佩带舒适；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3、颜色为黑色；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4、续燃时间：≤2S；损毁长度：≤100mm；且不应有熔融，滴落现象；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5、甲醛含量≤70mg/kg；</w:t>
            </w:r>
          </w:p>
          <w:p>
            <w:pPr>
              <w:widowControl/>
              <w:textAlignment w:val="center"/>
              <w:rPr>
                <w:rFonts w:ascii="黑体" w:hAnsi="宋体" w:eastAsia="黑体" w:cs="黑体"/>
                <w:sz w:val="20"/>
                <w:szCs w:val="20"/>
              </w:rPr>
            </w:pPr>
            <w:r>
              <w:rPr>
                <w:rFonts w:hint="eastAsia" w:ascii="黑体" w:hAnsi="宋体" w:eastAsia="黑体" w:cs="黑体"/>
                <w:sz w:val="20"/>
                <w:szCs w:val="20"/>
                <w:lang w:eastAsia="zh-CN" w:bidi="ar"/>
              </w:rPr>
              <w:t>6、质量≤300g。</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49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15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消防员抢险救援头盔20式</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满足XF633-2006标准，提供国家级检测机构（第三方）的检测报告；标识符合《20式消防员抢险救援防护头盔款式标识统型要求》；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一、颜色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1、盔壳：红色潘通色号为PANTONE 186C，色差≥3级。2、反光标识条：荧光黄色潘通色号为PANTONE 809C，色差≥2级，入射角5°，观察角0.2°时初始逆反射系数≥100cd/(1x*㎡) 。3、滑块和配饰：黑色潘通色号为PANTONE 19-4007 TPX，色差≥3级。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★1、由盔壳、滑轨、缓冲层、舒适衬垫、佩戴装置等组成；</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2、盔壳：耐高温阻燃材质。</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3、滑轨：盔体两侧设黑色多功能模块化滑轨，耐高温阻燃材质；</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4、缓冲层：耐高温阻燃材质，颜色为黑色；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5、舒适衬垫：顶部为芳纶网状衬垫，四周为舒适层（与帽箍一体）可调节戴帽高度；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6、佩戴装置：包括帽箍和系带，耐高温阻燃材质。在盔体后沿下侧设头围调节旋钮；系带可调节佩戴松紧，加装带孔透气下颏托；插扣为快脱插扣；</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7、反光标识：两侧粘贴弧形反光标识条带，颜色为荧光黄色，宽度为30±1mm，长度为226±2mm，弧形总高52±1mm；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8、所有可调节扣件全部采用黄色，为改性阻燃尼龙66材料；</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9、配一体式、可拆卸护目镜，聚碳酸脂树脂材质，镜面承受压力≥100KG；</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10、半盔式设计，采取多功能模块化滑轨设计。</w:t>
            </w:r>
          </w:p>
          <w:p>
            <w:pPr>
              <w:widowControl/>
              <w:textAlignment w:val="center"/>
              <w:rPr>
                <w:rFonts w:ascii="黑体" w:hAnsi="宋体" w:eastAsia="黑体" w:cs="黑体"/>
                <w:sz w:val="20"/>
                <w:szCs w:val="20"/>
              </w:rPr>
            </w:pPr>
            <w:r>
              <w:rPr>
                <w:rFonts w:hint="eastAsia" w:ascii="黑体" w:hAnsi="宋体" w:eastAsia="黑体" w:cs="黑体"/>
                <w:sz w:val="20"/>
                <w:szCs w:val="20"/>
                <w:lang w:eastAsia="zh-CN" w:bidi="ar"/>
              </w:rPr>
              <w:t>11、整体重量≤850g。</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600.00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7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16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消防员抢险救援手套</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widowControl/>
              <w:rPr>
                <w:rStyle w:val="67"/>
                <w:rFonts w:hint="default"/>
                <w:lang w:eastAsia="zh-CN" w:bidi="ar"/>
              </w:rPr>
            </w:pPr>
            <w:r>
              <w:rPr>
                <w:rStyle w:val="67"/>
                <w:rFonts w:hint="default"/>
                <w:lang w:eastAsia="zh-CN" w:bidi="ar"/>
              </w:rPr>
              <w:t>1、满足XF633-2006标准，提供国家级消防装备检测报告或认证证书；</w:t>
            </w:r>
          </w:p>
          <w:p>
            <w:pPr>
              <w:widowControl/>
              <w:rPr>
                <w:rStyle w:val="67"/>
                <w:rFonts w:hint="default"/>
                <w:lang w:eastAsia="zh-CN" w:bidi="ar"/>
              </w:rPr>
            </w:pPr>
            <w:r>
              <w:rPr>
                <w:rStyle w:val="67"/>
                <w:rFonts w:hint="default"/>
                <w:lang w:eastAsia="zh-CN" w:bidi="ar"/>
              </w:rPr>
              <w:t>2、符合人体手型自然弯曲，手掌指尖一片式翻转手指背；耐磨防割，与手部贴合性能好，腕口有收紧功能</w:t>
            </w:r>
          </w:p>
          <w:p>
            <w:pPr>
              <w:widowControl/>
              <w:rPr>
                <w:rStyle w:val="67"/>
                <w:rFonts w:hint="default"/>
                <w:lang w:eastAsia="zh-CN" w:bidi="ar"/>
              </w:rPr>
            </w:pPr>
            <w:r>
              <w:rPr>
                <w:rStyle w:val="67"/>
                <w:rFonts w:hint="default"/>
                <w:lang w:eastAsia="zh-CN" w:bidi="ar"/>
              </w:rPr>
              <w:t>3、填充D3O</w:t>
            </w:r>
            <w:r>
              <w:rPr>
                <w:rStyle w:val="68"/>
                <w:rFonts w:eastAsia="黑体"/>
                <w:lang w:eastAsia="zh-CN" w:bidi="ar"/>
              </w:rPr>
              <w:t>®</w:t>
            </w:r>
            <w:r>
              <w:rPr>
                <w:rStyle w:val="67"/>
                <w:rFonts w:hint="default"/>
                <w:lang w:eastAsia="zh-CN" w:bidi="ar"/>
              </w:rPr>
              <w:t>吸震棉，能够有效吸收冲击力降低手部震动，提高整体动作的精准度。</w:t>
            </w:r>
          </w:p>
          <w:p>
            <w:pPr>
              <w:widowControl/>
              <w:rPr>
                <w:rFonts w:ascii="黑体" w:hAnsi="宋体" w:eastAsia="黑体" w:cs="黑体"/>
                <w:sz w:val="20"/>
                <w:szCs w:val="20"/>
                <w:lang w:eastAsia="zh-CN"/>
              </w:rPr>
            </w:pPr>
            <w:r>
              <w:rPr>
                <w:rStyle w:val="67"/>
                <w:rFonts w:hint="default"/>
                <w:lang w:eastAsia="zh-CN" w:bidi="ar"/>
              </w:rPr>
              <w:t>3、阻燃性能：续燃时间≤2s，损毁长度≤15mm,且没有熔融、滴落现象；抗切割性能：割破力≥12N；耐撕破性能：经向≥300N，纬向≥150N；抗机械刺穿性能：≥140N；灵巧性能：徒手控制百分比≤200%；抓握性能：戴手套与未带手套的拉重力比≥100%；穿戴性能：≤9s。</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80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81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17</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抢险救援防护服20式（夏）</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满足XF633-2006标准，提供国家级消防装备检测报告或认证证书；标识符合《20式消防员抢险救援防护服款式标识统型要求》；包含救援服上衣、裤子、鸭舌帽、腰带；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一、颜色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橘红色，潘通色号为 PANTONE 17-1456 TCX Tigerlily，深火焰蓝色，潘通色号为 PANTONE 19-3938 TCX，色差≥3级（按《纺织品 色牢度试验 评定变色用灰色样卡》GB/T250-2008 标准评判）。</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二、款式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（一）主体结构。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1、夏季服装为衬衫式上衣配长裤设计，上衣和裤子的重叠部分不应小于120mm，上衣采用收腰设计，衬衫式圆弧形下摆，前下摆应能够束入裤腰，且弯腰时后下摆不得滑出裤腰，前后衣长差量30-50mm。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2、衣领为立领，衣领竖起时，能够覆盖颈部，衣门襟使用拉链闭合。</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3、前胸设V字形50.8mm（2英寸）宽反光标志带，后背设水平50.8mm（2英寸）宽反光标志带，袖口和脚口设环绕50.8mm（2英寸）宽反光标志带。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（二）附属结构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1、肩背部拼接：上衣肩背部设计拼接，面料为深火焰蓝色。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2、口袋：上衣胸前设置贴袋，双线固定口袋布，袋盖为深火焰蓝色。大腿两侧设置立体贴袋。- 10 -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3、标识魔术贴：左上臂外侧设 90mm×110mm 盾牌型魔术贴并配盾牌型标识。左胸设 19 消防员软胸徽同形状魔术贴，用于粘贴 19 消防员软胸徽或 19 消防干部软胸徽。右胸设 90mm×57mm长方形魔术贴并配消防指战员胸部标识。</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4、袖口及腋下：袖口设粘扣带收紧，方便穿戴救援手套。腋下有透气设计。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5、裤腰及门襟：裤腰设置防滑腰衬，裤腰两侧装橡筋收紧。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6、裤脚口：裤脚口设粘扣带收紧，方便穿脱救援靴。</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7、行军帽：为棒球帽款式，正前方设 19 消防软帽徽（帽徽底色为橘红色），后部采用卡扣调节袢，头部围度 520-640 mm，帽徽尺寸：长度×高度为 53.5mm×55mm。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8、腰带：为插扣式腰带，腰带规格：长度×宽度×厚度为1300mm×50mm×2.8mm。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9、补强处理：肩、肘、膝、臀、裆部加厚处理增加耐磨性。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10、左右肩部设有两个挂袢。</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三、标识</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背部印字：各地消防救援队伍配备服装背面居中采用耐火、防水、荧光材料喷涂印制“应急消防”，字体为简粗平黑，颜色为银色，每个字大小 65mm×85mm，字间距 20mm，位置在反光带上方 30mm 处。反光带下方 30mm 处 3 个训练总队印字为“**训练”，8 个机动支队印字为“**机动”，其他各地区可结合本地情况印制总队、支队单位信息，字数不超过 7 个，字体为简粗平黑，颜色为银色。四个字和五个字时每个字大小 50mm×55mm，字间距15mm；六个字时每个字大小45mm×55mm，字间距10mm；七个字时每个字大小 40mm×55mm，字间距 8mm。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四、性能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1.阻燃性能：经向：续燃时间(s)：≤1， 损毁长度(mm):≤35；</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纬向：续燃时间(s)：≤1，损毁长度(mm):≤23</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2.表面抗湿性能 沾水等级(级)：≥4</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3.断裂强度：经向（N）≥800      纬向（N）：≥780</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4.撕破强力：经向（N）≥185      纬向（N）：≥205</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5.接缝断裂强力：经向（N）：≥695  纬向（N）：≥705</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6.加强材料：阻燃性能：经向：续燃时间(s)：≤1，损毁长度（mm）≤15 ，纬向：续燃时间(s)：≤1   损毁长度（mm）≤13  试验现象：以上均应无熔融、滴落现象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7.质量（kg）：≤1.05</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81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18</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抢险救援防护服20式（冬）</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满足XF633-2006标准，提供国家级消防装备检测报告或认证证书；标识符合《20式消防员抢险救援防护服款式标识统型要求》；包含救援服上衣、裤子、腰带；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一、颜色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橘红色，潘通色号为 PANTONE 17-1456 TCX Tigerlily，深火焰蓝色，潘通色号为 PANTONE 19-3938 TCX，色差≥3级（按《纺织品 色牢度试验 评定变色用灰色样卡》GB/T250-2008 标准评判）。</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二、款式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（一）主体结构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冬季服装为夹克式上衣配长裤设计，上衣和下裤经拉链连接可实现一体功能。2、衣领为立领，衣领竖起时，能够覆盖颈部，门襟使用拉链闭合。3、反光标志带。前胸设V字形黄银黄反光标志带，后背设水平黄银黄反光标志带，袖口和脚口设环绕黄银黄反光标志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（二）附属结构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1、肩背部拼接：上衣肩背部设计拼接，面料为深火焰蓝色。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2、口袋：上衣底摆设置立体贴袋，袋盖为深火焰蓝色。大腿两侧设置立体贴袋。</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3、标识魔术贴：左上臂外侧设 90mm×110mm 盾牌型魔术贴并配盾牌型标识。左胸设 19 消防软胸徽同形状魔术贴，用于粘贴19 消防员软胸徽或 19 消防干部软胸徽。右胸设 90mm×57mm 长方形魔术贴并配消防指战员胸部标识。</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4、袖口：袖口设粘扣带收紧，方便穿戴救援手套。</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5、裤脚口：裤脚口设粘扣带收紧，方便穿脱救援靴。</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6、行军帽：为棒球帽款式，正前方设 19 消防软帽徽（帽徽底色为橘红色），后部采用卡扣调节袢，头部围度 520-640 mm，帽徽尺寸：长度×高度为 53.5mm×55mm。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7、腰带：为插扣式腰带，腰带规格：长度×宽度×厚度为1300mm×50mm×2.8mm。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8、补强处理：肩、肘、膝、臀、裆部加厚处理增加耐磨性。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9、左右肩部设有两个挂袢。</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三、标识</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（一）背部印字：各地消防救援队伍配备服装背面居中采用耐火、防水、荧光材料喷涂印制“应急消防”，字体为简粗平黑，颜色为银色，每个字大小 65mm×85mm，字间距 20mm，位置在反光带上方 30mm 处。反光带下方 30mm 处 3 个训练总队印字为“**训练”，8 个机动支队印字为“**机动”，其他各地区可结合本地情况印制总队、支队单位信息，字数不超过 7 个，字体为简粗平黑，颜色为银色。四个字和五个字时每个字大小 50mm×55mm，字间距15mm；六个字时每个字大小45mm×55mm，字间距10mm；七个字时每个字大小 40mm×55mm，字间距 8mm。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四、性能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1、阻燃性能：经向：续燃时间(s)：≤1，损毁长度(mm):≤65。</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纬向：续燃时间(s)：≤1， 损毁长度(mm):≤52。</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2.表面抗湿性能 沾水等级(级)：≥4</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3.断裂强度：经向（N）≥970      纬向（N）：≥1015</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4.撕破强力：经向（N）≥205       纬向（N）：≥230</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5.接缝断裂强力：经向（N）：≥930  纬向（N）：≥960</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6.舒适层面料：断裂强力：经向（N）≥505，纬向（N）：≥480，阻燃性能：经向：续燃时间(s)：≤1，损毁长度（mm）≤38，纬向：续燃时间(s)：≤1   损毁长度（mm）≤43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7.加强材料：阻燃性能：经向：续燃时间(s)：≤1，损毁长度（mm）≤50，纬向：续燃时间(s)：≤1，损毁长度（mm）≤45，且以上均不应有熔融、滴落现象。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8.质量（kg）：≤1.85</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9、保温层采用羽绒材质（羽绒保暖部分可拆卸），满足-20℃以下的保暖需求；</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1500.00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4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19</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消防员护膝、护肘</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★1、总体性能符合市场准入标准的要求，提供省级或省级以上检测机构出具的检测报告；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2、用于对膝部、肘部的防护，多层结构，有效防止硬物刺伤、划破；</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3、外层应采用强度高、韧性好、耐磨材料，内层采用无毒、防水、抗冲击性好、轻便的缓冲材料；</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4、固定装置可调，耐磨性能≥2000次；颜色为黑色。</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72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消防员抢险救援靴（夏）</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★满足XF633-2006标准，提供国家级检测机构（第三方）的检测报告，标识参照《20式消防员抢险救援防护靴款式标识统型要求》；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满足XF633-2006标准，整双救援靴重量≤1.5KG，提供国家级检测机构（第三方）的检测报告和认证证书，标识参照《17式消防员抢险救援防护靴款式标识统型要求》。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一、颜色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主体为黑色；反光标志为荧光黄色，潘通色号为PANTONE 809C，色差≥2级,入射角5°观察角0.2°时初始逆反射系数≥100cd/(1x*㎡)；鞋带和“消防救援”标志为橘红色，潘通色号为PANTONE 17-1456 TCX Tigerlily，色差≦3级（按《纺织品色牢度试验 评定变色用灰色样卡》GB/T250-2008 标准评判）。</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二、款式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17式消防员抢险救援防护靴由外底、带舒适层的靴帮、带防刺穿层的内底和保护靴头等部分组成的系带式中筒靴。</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（一）主体结构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1、抢险救援防护靴从靴内后跟中央起至靴口最低处的高度不应低于200 mm。2、靴内底防刺穿层应覆盖整个靴内底，不应位于保护包头卷边上方，不应与之接触，在不损坏整靴的情况下应不能被移动。3、靴头保护包头深度从靴尖量起不应小于50 mm（260mm靴子）。4、靴鼻处应能限制杂物进入靴内。5、靴内怀设有拉链。6、靴帮内脚踝处设有护踝片。7、后靴筒荧光黄色反光标志。</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（二）附属结构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1、靴身内、外侧有高频和激光装饰图案。2、靴身上口第一个鞋眼处配有草席纹黄牛皮。3、靴身配有的橘红色鞋带，鞋带长 1800 mm（260）。4、靴身鞋扣由4个六角型金属鞋扣、4个D型金属鞋扣及20个阻燃滑轮鞋扣组成（一双鞋）。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5、靴身内怀配有两颗单向防水透气眼。6、靴舌上端配有用于隐藏多余鞋带的饰片袋。7、靴筒后部设带反光标志带的提手。（三）每双鞋另附2双鞋带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三、标志</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靴身外侧有橘色“消防救援”字样，字体为黑体。2、布标。离每只鞋舌里上口边沿约23mm±2mm处居中熨烫白布标一枚,布标上应有产品名称、鞋号、检验号、生产日期及承制单位名称，“17式消防员抢险救援防护靴”字体应为黑体、字号应为小四；鞋号、检验号、“生产日期20××年××月”字体应为宋体、字号应为三号，其中月份可用印章加盖；承制单位名称字体应为宋体，字号可根据字数多少自行安排。字迹应清晰，排列应均匀。经过检验合格的成品，在布标检验号部位，用不易褪色的色剂盖检验章和检验员代号。</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66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21</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消防员抢险救援靴（冬）</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★满足XF633-2006标准，鞋内设置棉绒等保暖材质，整双救援靴重量≤1.5KG，提供国家级检测机构（第三方）的检测报告，标识参照《20式消防员抢险救援防护靴款式标识统型要求》。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一、颜色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主体为黑色；反光标志为荧光黄色，潘通色号为PANTONE 809C，色差≥2级,入射角5°观察角0.2°时初始逆反射系数≥100cd/(1x*㎡)；鞋带和“消防救援”标志为橘红色，潘通色号为PANTONE 17-1456 TCX Tigerlily，色差≦3级（按《纺织品色牢度试验 评定变色用灰色样卡》GB/T250-2008 标准评判）。</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二、款式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17式消防员抢险救援防护靴由外底、带舒适层的靴帮、带防刺穿层的内底和保护靴头等部分组成的系带式中筒靴。</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（一）主体结构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1、抢险救援防护靴从靴内后跟中央起至靴口最低处的高度不应低于200 mm。2、靴内底防刺穿层应覆盖整个靴内底，不应位于保护包头卷边上方，不应与之接触，在不损坏整靴的情况下应不能被移动。3、靴头保护包头深度从靴尖量起不应小于50 mm（260mm靴子）。4、靴鼻处应能限制杂物进入靴内。5、靴内怀设有拉链。6、靴帮内脚踝处设有护踝片。7、后靴筒荧光黄色反光标志。</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（二）附属结构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1、靴身内、外侧有高频和激光装饰图案。2、靴身上口第一个鞋眼处配有草席纹黄牛皮。3、靴身配有的橘红色鞋带，鞋带长 1800 mm（260）。4、靴身鞋扣由4个六角型金属鞋扣、4个D型金属鞋扣及20个阻燃滑轮鞋扣组成（一双鞋）。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5、靴身内怀配有两颗单向防水透气眼。6、靴舌上端配有用于隐藏多余鞋带的饰片袋。7、靴筒后部设带反光标志带的提手。（三）每双鞋另附2双鞋带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三、标志</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靴身外侧有橘色“消防救援”字样，字体为黑体。2、布标。离每只鞋舌里上口边沿约23mm±2mm处居中熨烫白布标一枚,布标上应有产品名称、鞋号、检验号、生产日期及承制单位名称，“17式消防员抢险救援防护靴”字体应为黑体、字号应为小四；鞋号、检验号、“生产日期20××年××月”字体应为宋体、字号应为三号，其中月份可用印章加盖；承制单位名称字体应为宋体，字号可根据字数多少自行安排。字迹应清晰，排列应均匀。经过检验合格的成品，在布标检验号部位，用不易褪色的色剂盖检验章和检验员代号。</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4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22</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手提式强光照明灯</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★1、满足国家GB30734-2014标准，提供国家级（第三方）检测机构的检测报告和防爆认证证书；                                                                                     2、LED光源，具备强光、工作光、频闪三种工作模式；                                                          3、光斑中心强光最大照度应≥1800lx，弱光最大照度应≥700lx，寿命≥5万小时，功率≥15W；                                                                                4、强光连续工作≥7小时，重量≤1千克；                                                                     5、外壳防护等级IP68以上，灯体有防碰撞保护层设置。</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900.00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59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23</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eastAsia="黑体"/>
                <w:lang w:eastAsia="zh-CN" w:bidi="ar"/>
              </w:rPr>
              <w:t>6.8L</w:t>
            </w:r>
            <w:r>
              <w:rPr>
                <w:rStyle w:val="69"/>
                <w:lang w:eastAsia="zh-CN" w:bidi="ar"/>
              </w:rPr>
              <w:t>正压式消防空气呼吸器</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★1、符合国家XF124-2013标准，提供国家级检测机构（第三方）的检测报告和认证证书，电气万万元件的防爆性能应符合GB 3836.1—2010、GB 3836.4—2010中Ex ia IIC T3级的规定（提供国家级权威认证机构颁发的防爆合格证书）；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全套空气呼吸器由全面罩、抬头显示、供气阀、减压阀、救援快速插口（三通）、报警哨和压力表、背板、拉杆箱、托垫及6.8L碳纤维复合气瓶，佩戴质量≤12Kg，每具空气呼吸器配备1个他救面罩（与配套面罩同规格），每20具空气呼吸器配置1套快速充气装置；</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3、背架总成：背板采用复合材质制作，背带采用高性能本质阻燃材料制作，肩带设有弹性衬垫；腰带和肩带均为耐磨、防滑、防火、防滑材料，且肩带上具有荧光带及面罩放置挂钩等；</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气瓶总成：符合TSG23-2021《气瓶安全技术规程》，提供国家级检测机构（第三方）的检测报告，工作压力30MPa,气瓶容积6.8L；气瓶阀配置压力表，能在任何时候显示气瓶内部压力；气瓶阀带自锁功能，避免气瓶阀意外关闭；全缠绕式碳纤维复合材料，瓶体内层缠绕环形标识；内胆采用高强度、经防腐处理、重量轻的铝合金材料；配套具有防火性能，印有“新疆消防”字样的气瓶保护套。                                                                                                              5、面罩总成：球形大视野面屏全面罩，总视野率≥78% ，双目视野率≥65%，下方视野≥35°，镜片透光率≥90%，具有防雾功能，头网采用阻燃材质具有多点收紧结构；口鼻罩采用食品级透明材料，头罩采用网状高性能阻燃材料制成。配备具有阻燃性能的保护套。</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▲6、供气阀总成：供气阀配有旁通阀等装置，可避免主同阀阻塞；具有紧急供气、面罩强制去雾，配备永久除雾、排放余气等功能；中压管与供气阀为活动式（360 度旋转）连接；支持快速插拔功能；具有自动开启装置，首次呼吸自动激活，具有自动正压机构；供气流量≥500L/min。</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▲7、减压阀总成：恒压式结构设计，当减压器输出压力超过设定安全压力时，中压安全阀会自动泄压。</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▲8、报警哨及压力表：为一体化设计，置于使用者前胸部；报警压力5.5± 0.5MPa，具有高分贝声音报警和高亮度光线报警功能，报警发声≥90dB，报警哨平均耗气量&lt;3.5L/min。                                                                        </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9、抬头显示HUD:面罩内配有HUD压力平视显示装置，免工具拆卸；采用无线或有线传输方式，信号具有唯一性；当压力值≤6MPa，报警哨起鸣报警。</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10900.00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81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24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佩戴式防爆照明灯（新式）</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★满足国家GB 30734-2014标准，提供国家级（第三方）检测机构的检测报告和防爆认证证书，标识符合《20式消防员佩戴式防爆照明灯款式标识统型要求》：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一、主体结构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20式消防员佩戴式防爆头灯采用直筒圆柱形结构设计，具备强光、弱光、爆闪光可切换功能，爆闪光闪烁频率应为8-10HZ。整体由外壳、光学单万万元、充电口、电量显示单万万元、电池和开关等组成。灯具重量≤110g，夹具重量≤40g。</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★1、灯具外壳应采用AL6061-T6铝合金材质，表面采用硬质阳极氧化处理工艺，颜色为亚光黑色。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2、灯身筒中部采用滚纹处理工艺，滚纹部分距灯头最前端距离为24mm±1mm，距灯尾最后端距离为10mm±1mm。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3、灯具外壳防护等级应满足GB 4208-2008规定的IP66/ IP68 的要求，同时需要标明灯具的潜水深度和持续时间，灯具从2 m高度跌落不影响使用。</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4、灯具工作满10min时测量其2m处光斑中心照度，光斑中心强光最大照度≥1800lx，弱光最大照度≥700lx。                                                                                                 二、附属结构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充电孔：灯筒上应设计有通用Type-C充电口孔位，孔位长度为7.9±1mm，宽度为5±0.3mm，孔位最前端距灯头最前端距离为30.6±1mm。当灯具充电时电量显示器应采用跑马灯方式显示充电进行状态及当前电量情况。灯具完全放电后充满电时间应小于4h。</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电量显示窗：灯筒上应设计有通用电量显示单万万元窗孔，采用四段式蓝色电量显示设计，每段代表25%电量，孔位长度为11±1mm，宽度为3±0.3mm，电量显示孔与充电孔平行设计，轴向与充电孔的夹角为35°，电量显示窗最前端距灯头最前端距离为30±1mm。当电量剩余不足25%时，最后一段电量显示灯持续闪烁提醒电量不足。</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3、安装预留台阶结构：灯筒中部两侧对称设计有安装预留台阶，台阶长度为40±1mm，宽度为7±1mm。台阶最前端距灯头最前端距离为40.5±1mm，同时台阶与电量显示孔位垂直结构。</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4、尾盖凹槽：为方便开关按压，灯具尾部应设计有凹槽结构，凹槽结构为双侧对称设计，弧度为Φ30±1mm，高度为2.4±0.5mm。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5、挂绳孔：灯具外盖应设计有挂绳孔位，位于尾盖非凹槽部分。挂绳孔规格为（4±0.5）mm×（1.4±0.5）mm，采用对称设计共计4个孔位。</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6、开关孔：灯具外壳尾端中部应设计有开关孔，开关孔直径为Φ13±0.5mm，位于外壳尾端正中位置。</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按钮开关：灯具应具备一体式方位灯大开关设计，尾部采用白色透明按钮式大开关设计，开关直径不小于12.5mm，同时开关应一体式设计有红色常亮方位灯，用于方位指示,红色方位灯在晴朗夜间的可视距离应不小于100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8、夹具：与消防头盔和抢险救援防护头盔滑轨配套的头灯夹具，上下可调节。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三、电池</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1、电池应采用可充电锂电池，额定电压为DC3.7V，额定容量不小于1.9Ah。</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2、灯具电池两端应同时设置正负极，且电池两端正负极性应对称设计，电池装入灯具时应不需区分方向均能使灯具正常工作。</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四、标志</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灯头部位标有“17式消防员佩戴式防爆照明灯”永久标志。</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鼓励配备集中式充电箱，充电箱应设计有充电指示灯，体现箱体内灯具电量是否全部充满。</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25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一级化学防护服</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★1、满足XF770-2008标准，提供国家级检测机构（第三方）出具的检验报告；                                                  2、采用杜邦材质，采用全密封连体式结构，由带大视窗的连体头罩、化学防护服、正压式消防空气呼吸器背囊、化学防护靴、化学防护手套等组成；                                                                                                    3、质量≤8KG，颜色为黄色；                                                                                          ▲4、化学防护靴防穿刺力≥1100N，化学防护手套耐穿刺力≥22N；                                                             5、抗化学品渗透时间不低于60min。</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4400.00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27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26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特级化学防护服</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★1、满足XF770-2008标准，提供省级或省级以上检测机构出具的检测报告；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2、由带大视窗的连体头罩、化学防护服、正压式消防空气呼吸器背囊、化学防护靴、化学防护手套等组成；</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3、配有PVC面镜，外层覆聚四氟乙烯涂层，可折叠，透光率≥95%，视线良好；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4、全封闭型前穿式设计，设有两个单项排气阀，拉链齿为耐拉PVC，采用与防化服相同布料并完全覆盖拉链，拉链盖为魔术搭扣闭合设计；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5、拉伸强度（Kn/m）：经向≥9，纬向≥9；</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6、撕裂强力（N）：经向：≥50，纬向≥50；</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7、耐寒性：在-25℃±1℃温度下冷冻5 min后，无裂纹；</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8、电绝缘性能（化学防护靴）：击穿电压≥5000V，泄露电流＜3mA；</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9、整套防护服可与内置正压式空气呼吸器或移动供气源配合使用。</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3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27</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化学防护手套</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★1、满足XF770-2008标准，提供第三方检测机构的检测报告；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2、化学灾害事故现场作业时的手部和腕部防护，面料和接缝部位抗化学品渗透时间≥60分钟；</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3、具备耐热、绝缘，有极强的防水防酸、碱及各种溶剂的性能，耐穿刺力≥22N；</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4、灵巧性要求：30秒内不少于3次拾取直径≤11毫米，长≤40毫米的不锈钢棒。</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2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28</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消防员防蜂服</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★1、满足XF3008-2020标准，提供国家级（第三方）检测机构出具的检测报告；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2、由不锈钢网面罩、护目镜、手套、靴子、上衣和裤子连体结构式等组成，颜色为白色；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3、抗穿刺性能≥0.4N；</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4、外层面料撕破强力：≥60N，外层面料断裂强力：≥650N；</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5、在9kPa的压力下，面料2000次不被磨穿；</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6、手套耐切割性能：≥2N；</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7、靴帮材料的最大抗穿刺力不应小于35N，靴底始滑角≥15°，靴子经电绝缘性能测试，击穿电压≥5000V时, 泄漏电流：＜3mA；</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8、拉链为非金属材质，不小于8号；</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9、头罩视野总保留率≥70%，数目视野保留率≥55%。</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1500.00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38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29</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消防员隔热防护服</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★1、XF634-2014标准，提供国家级检测机构（第三方）的检测报告和认证证书；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2、由隔热上衣（有可容纳6.8升空气呼吸器的背囊）、隔热裤、隔热头罩（带头盔）、隔热手套以及隔热脚套等组成；</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3、隔热服由外层、隔热层、舒适层等多层织物复合而成,表面采用铝箔复合阻燃织物，衬里为天然纤维织物；</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4、各部位缝制应平整，不应有脱线、跳针以及破损等缺陷；</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5、标志设置应正确，号型标志应准确清晰；</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6、隔热头套的视窗应无明显擦伤或打毛痕迹。采用无石棉、非玻纤绿色环保材料；</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7、阻燃性能：损毁长度：≤100mm，续燃时间：≤2s，且不应由溶燃、滴落现象；断裂强力：经、纬向干态断裂强力：≥450N；撕破强力：经、纬向撕破强力：≥40N；</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8、剥离强力：经、纬向剥离强力：≥9N/30mm；耐静水压性能：耐静水压：≥17Kpa；</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9、沿经、纬向尺寸变化率：≤10%，且不应有变色、脱层、碳化、熔融和滴落的现象；不出现复合层材料或纤维脱层、脱落现象；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10、抗辐射热渗透性能：内表面温升达到24℃的时间：≥60s；</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11、视野：隔热头套视窗的总视野≥80％，双目视野≥65％，下方视野≥50°。</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8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800.00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38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30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消防员隔热防护服</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★1、XF634-2014标准，提供国家级检测机构（第三方）的检测报告和认证证书；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2、由隔热上衣（有可容纳6.8升空气呼吸器的背囊）、隔热裤、隔热头罩（带头盔）、隔热手套以及隔热脚套等组成；</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3、隔热服由外层、隔热层、舒适层等多层织物复合而成,表面采用铝箔复合阻燃织物，衬里为天然纤维织物；</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4、各部位缝制应平整，不应有脱线、跳针以及破损等缺陷；</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5、标志设置应正确，号型标志应准确清晰；</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6、隔热头套的视窗应无明显擦伤或打毛痕迹。采用无石棉、非玻纤绿色环保材料；</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7、阻燃性能：损毁长度：≤100mm，续燃时间：≤2s，且不应由溶燃、滴落现象；断裂强力：经、纬向干态断裂强力：≥450N；撕破强力：经、纬向撕破强力：≥40N；</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8、剥离强力：经、纬向剥离强力：≥9N/30mm；耐静水压性能：耐静水压：≥17Kpa；</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9、沿经、纬向尺寸变化率：≤10%，且不应有变色、脱层、碳化、熔融和滴落的现象；不出现复合层材料或纤维脱层、脱落现象；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10、抗辐射热渗透性能：内表面温升达到24℃的时间：≥60s；</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11、视野：隔热头套视窗的总视野≥80％，双目视野≥65％，下方视野≥51°。</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44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31</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移动供气源</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★1、满足XF1261-2015标准，提供国家级检测机构（第三方）的检测报告；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2、装载气瓶的小车采用拉杆箱结构设计，供气胶管卷盘和小车的连接采取快插式连接，可自由快速拆分放置，快速安装使用。</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3、工作压力30MPa,供气流量≥500L/min，配备1套独立的30米长的供气胶管卷盘，2根配备快速接头的10米长的供气胶管；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4、配四只6.8L气瓶，且设置2个高压单向阀，每2只气瓶为一组，每组可单独使用，另一组的两只气瓶可进行更换；逃生气源：2L两只，全缠绕式碳纤维复合材料；</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配备2个面罩，边框和口鼻罩特别依照亚洲脸型特征设计，保证佩戴更贴合，密封性及舒适性更好；面罩的内外表面应用永久防雾涂层，且有耐刻划硬质涂层设计，更经久耐用，采用全视野球面设计，头罩采用网状阻燃材料制成；</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6、面罩前侧配传声器，正对口腔，传声效果良好；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7、供气阀与面罩为快速插口式连接和密封圈式密封，连接可靠，密封性能好；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8、背托外层纺织材料采用本质阻燃材料，抗静电和耐腐蚀；</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9、整机气密性能：呼吸器在气密性能试验后，其压力表的压力指示值在1min内的下降≤2MPa；</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10、连接强度：全面罩与供气阀、转换装置与呼吸软管之间的连接强度≥250N；分供气管与转换装置、主供气管与分供气管之间的连接强度≥750N。</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20300.00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45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32</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激流救生衣</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★1、整套装备包括激流救援专用救生衣1套、救援牛尾绳1根、15m水域抛绳包1个、高频口哨1个、定位示位灯1个和配套携行包1个；</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激流救援专用救生衣采用背心式设计，浮力≥150N，配备1根多功能腰带（宽度≥5cm，材质为尼龙织带）环绕在胸部，腰带前部设置PDF自救装置，腰带后部设置牵引绳连接拉环，正面设置可拆卸式置物袋（数量≥2个），后背设置可拆卸式置物袋（数量≥1个），设计多个与水域割绳刀、定位示位灯、口哨等配套的挂点；</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3、救援牛尾绳与救生衣配套使用，用于救生衣PDF上面的牵引绳，带有0型环和三角形连接锁，牵引绳应具有良好的延展效果，紧急情况下PDF救生衣可与该牵引绳快速分离，绳长≥80cm，延展长度≥150cm；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4、15m水域抛绳包面料采用优质尼龙布料，颜色为红色或橙色，中部设置网布，顶端设有收紧拉绳，侧面设置魔术贴挂点，可挂闪光棒或荧光棒，配备专用水面荧光漂浮绳，直径≥8mm，长度≥15m；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5、定位示位灯与救生衣配套使用，北斗\GPS多模定位，定位精度≤5m，防水等级≥IP67，质量≤300g，具有落水报警功能和静止报警功能（静止时间≥30秒预报警，≥45秒SOS报警），示位灯亮度≥300cd/m</w:t>
            </w:r>
            <w:r>
              <w:rPr>
                <w:rStyle w:val="70"/>
                <w:rFonts w:hint="default"/>
                <w:lang w:eastAsia="zh-CN" w:bidi="ar"/>
              </w:rPr>
              <w:t>²</w:t>
            </w:r>
            <w:r>
              <w:rPr>
                <w:rFonts w:hint="eastAsia" w:ascii="黑体" w:hAnsi="宋体" w:eastAsia="黑体" w:cs="黑体"/>
                <w:sz w:val="20"/>
                <w:szCs w:val="20"/>
                <w:lang w:eastAsia="zh-CN" w:bidi="ar"/>
              </w:rPr>
              <w:t>，SOS报警声级强度≥80dB，连续工作时间≥24小时，每30套配备1个指挥终端和1个充电携行箱；</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6、高频口哨采用ABS工程塑料材质，音量≥100分贝，质量≤15g；</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7、携行包颜色为橘黄色或红色，具有一定的防水性能，容积≥50L；</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★8、提供激流专用救生衣国家级检测机构（第三方）出具的检验报告和定位示位灯省级检测机构（第三方）出具的检验报告。</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3100.00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7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33</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手提式强光照明灯</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★1、满足国家GB30734-2014标准，提供国家级（第三方）检测机构的检测报告和防爆认证证书；                                                                                     2、LED光源，具备强光、工作光、频闪三种工作模式；                                                          3、光斑中心强光最大照度应≥1800lx，弱光最大照度应≥700lx，寿命≥5万小时，功率≥15W；                                                                                4、强光连续工作≥7小时，重量≤1千克；                                                                     5、外壳防护等级IP68以上，灯体有防碰撞保护层设置。</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900.00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2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34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6.8L备用气瓶</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 xml:space="preserve">★1、符合TSG23-2021《气瓶安全技术规程》，提供国家级检测机构（第三方）的检测报告；                                     2、工作压力30MPa,气瓶容积6.8L；                                                                                     3、气瓶阀配置压力表，能在任何时候显示气瓶内部压力；                                                                 4、气瓶阀带自锁功能，避免气瓶阀意外关闭；                                                                           5、全缠绕式碳纤维复合材料，瓶体内层缠绕环形标识；                                                                   6、内胆采用高强度、经防腐处理、重量轻的铝合金材料；                                                                  7、配套具有防火性能，印有“新疆消防”字样的气瓶保护套。   </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9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35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救生圈</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★1、总体性能符合市场准入标准的要求,提供第三方检测机构出具的检测报告；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 用于水上救援；</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 主要技术参数：</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3.1 外径710（±5）mm 内径440（±5）mm；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3.2 能在淡水中支承不少于14.5kg的铁块达24h之久；</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3.3 具有不少于2.5kg的质量；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3.4 浮力：≥14.5kg。</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 提供中文使用说明书，含装备简介、使用注意事项及维护保养等内容。</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24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36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有毒气体探测仪</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★1、总体性能符合市场准入标准的要求，提供省级或省级以上检测机构出具的检测报告；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2、便携智能式，可检测氧气、可燃气（LEL）、氯气，硫化氢等多种气体，泵吸式采样；</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3、CO：检测范围≥0-500PPM；H2S：检测范围≥0-100ppm；O2检测范围≥0-30%VOL；LEL：检测范围≥0-100LEL；</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4、响应时间≤30s</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5、具有防震、防爆、防冲击、防火外壳，不受无线电频率及电磁的干扰；</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6、工作温度：-20至50℃；</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7、防护等级≥IP66；</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8、显示实时气体读数；报警方式：震动及声光报警；可充电锂离子电池，工作时间≥10小时。</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4400.00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4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37</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夜视仪</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具备泵吸采样方式；有自动校准与自动归零功能；全功能自动测试；具备听觉/视觉/振动警报，具有防毒功能（配备可消除硅蒸气和硫化物毒作用的滤网）；可检测10种以上易燃易爆等可燃气体；用于化工、应急救援和消防救援等行业检测；用于化工、应急救援和消防救援等行业检测</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2、气体种类：可燃气LEL；气体量程：LEL:0-100%LEL</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3、探测精度： ≤±3%FS</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4、显 示 屏：高清彩色屏；≥2.3寸；可查看历史数据、实时曲线图</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5、操作方式：瞬时反应，操作简单，带一键数据恢复功能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6、警报方式：听觉、视觉和振动三种方式指示警报级别；振动、听觉和视觉警报同步振动</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7、听觉警报：距检测仪0.3米处≥95分贝处的声脉冲</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8、存储功能：标配≥10万数据存储，自动覆盖旧数据；</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9、防爆等级：Exia II CT4；防护等级：≥IP65</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10、响应时间：≤20（T90)s</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11、背景灯：光线不足或报警发生时自动开启3秒钟，按任何按钮开启6秒钟</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12、电池：可充电聚合物4500MA电池</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13、电池使用时间：≥10小时（可选配多块备用电池）</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14、提供Exia II CT4以上防爆合格证（做加分项）</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15、供生产厂家中国节能环保产品证书复印件盖公章（做加分项）</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16、提供生产厂家ISO9001：2015质量管理体系认证证书；ISO14001：2015环境管理体系认证证书；ISO45001：2018职业健康安全管理体系认证证书（做加分项）</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19800.00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6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38</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漏电探测仪</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★1、总体性能符合市场准入标准的要求，提供省级或省级以上检测机构出具的检测报告；                           2、测试频率:交流电20～100Hz，可声光报警；使用时间：≥100小时；</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3、电源：带低电量报警功能；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4、操作温度：-30℃～50℃；</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5、三种测试模式: 高敏度﹑低敏度﹑微调；</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6、警报声(警报频率会随着探测到的讯号强弱而自动改变)、警报闪灯。</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3100.00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9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39</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激光测距仪</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★1、总体性能符合市场准入标准的要求，提供省级或省级以上检测机构出具的检测报告；                             2、具备测距、测高、测角、测速等功能，整机净重≤200g；</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3、测距范围≥3-1500m，300m内测量误差≤0.5m，300m以上测量误差≤1m；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4、测角范围≥-90°～+90°，测角误差≤±1°；</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5、测速范围≥10-300km/h，测速误差≤5km/h；</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6、视野范围≥7°，放大倍数≥7倍；</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7、物镜孔径≥24mm，目镜孔径≥16mm。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4500.00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4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40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风向风速仪</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1、可检测事故现场风向、风速、温度、湿度、气压等气象参数</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2、风速范围≥0.6 to 60.0 m/s ；精度≤±3%；分辨率≤0.1 m/s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3、空气温度≥-29℃-70℃；精度≤1℃；分辨率≤ 0.1℃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4、相对湿度≥5-95%；精度≤± 3%；分辨率≤0.1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5、气压≥300~1100hPa；精度≤1.5 hPa/mb；分辨率≤0.1 hPa/mb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6、海拔≥ -2000m-9000m；精度≤15m；分辨率≤ 1m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7、风寒 ≥0.4 to 40 m/s,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8、热力指数≥ 21.1 to 54.4 °C,</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9、露点温度≥ -29.0 to 70.0 °C,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10、湿球温度 ≥0-37.8℃，</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11、具有最大/平均风速：可测定最大风速和平均风速，并可通过一键切换</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12、数据存储：并以图表形式显示，自动或手动数据存储，存储间隔2秒to 12小时；存储数据≥2900个</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13、操作温度： -10℃-55℃；保存温度：-30℃-60℃</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14、电源：AA电池，可用300个小时</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15、尺寸≤127×45×28mm；重量：≤121g</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16、配件：主机、三角架、风向盘、保护绳袋、AA电池</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7900.00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22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41</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可燃气体检测仪</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★1、总体性能符合市场准入标准的要求，提供省级或省级以上检测机构出具的检测报告；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2、可检测事故现场的甲烷、乙烷、丙烷、丁烷、汽油、天然气、液化气、松节油等可燃气体，泵吸式采样；</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3、测量范围：0-100%LEL；</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4、具有防震、防爆、防冲击、防火外壳，不受无线电频率及电磁的干扰；</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5、工作温度：-20至50℃；</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6、防护等级≥IP66；</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7、显示实时气体读数；报警方式：震动及声光报警；可充电锂离子电池，工作时间≥10小时。</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3200.00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3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42</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无齿锯</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★1、满足GB32460-2015标准，提供国家级（第三方）检测机构的检测报告；                                                          2、汽油机动力，功率≥4.8Kw；</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3、锯片直径≥350/400mm，最大切割深度≥125/145mm；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4、质量（不含锯片和燃油）≤15KG；</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5、每套无齿锯配备维修工具1套和金属磨砂2片锯片，锯片直径350mm/400mm）。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14600.00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9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43</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绝缘剪断钳</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★1、提供第三方检验机构出具的检验报告；                                                                     2、用于事故现场电线电缆或其他带电体的剪切，可剪断16mm以下电线、钢筋，安全操作电压≥1000V、耐电压≥3000V。</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2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44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多功能担架</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★1、提供第三方检测机构出具的检测报告；                                                                      2、整套设备包括担架1副、水平吊带1根、专用挂钩1个和携行包1个，内置人员固定捆扎带；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3、采用高密度聚乙烯材料制成，尺寸（长×宽）≥2.4m×0.9m，材料厚度≥5mm，可垂直或水平吊运，水平抬运，也可在光滑地面拖拉；</w:t>
            </w:r>
          </w:p>
          <w:p>
            <w:pPr>
              <w:widowControl/>
              <w:textAlignment w:val="center"/>
              <w:rPr>
                <w:rFonts w:ascii="黑体" w:hAnsi="宋体" w:eastAsia="黑体" w:cs="黑体"/>
                <w:sz w:val="20"/>
                <w:szCs w:val="20"/>
              </w:rPr>
            </w:pPr>
            <w:r>
              <w:rPr>
                <w:rFonts w:hint="eastAsia" w:ascii="黑体" w:hAnsi="宋体" w:eastAsia="黑体" w:cs="黑体"/>
                <w:sz w:val="20"/>
                <w:szCs w:val="20"/>
                <w:lang w:eastAsia="zh-CN" w:bidi="ar"/>
              </w:rPr>
              <w:t>4、承重≥120KG，净重≤15KG。</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2500.00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45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消防救生气垫</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★1、满足XF631-2006标准，提供国家级（第三方）检测机构出具的检测报告；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2、面料材质为PVC（厚度≥0.35mm），尺寸（长×宽）≥8m×6m×2.5m，限定高度≥15m；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3、补气时间≤25S，充气时间≤60S；</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4、整套设备包括气垫1个、护垫1张、燃油式鼓风机2台、修补包1套、气垫包装携行袋1个；</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5、气垫中心设有明显靶心标识，四角配备气舱，可防止人员滑落。</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31000.00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21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46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方形气动起重气垫</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★1、提供国家级（第三方）检测机构出具的检测报告；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2、方形，具备抗静电、抗裂、耐磨、抗油、抗老化、阻燃等性能；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3、额定工作压力：≥0.8Mpa，充气时间：≤40s；</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4、配有不同规格起重气垫≥12只，参考起重重量1-68T等不同规格；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5、任何规格起重气垫最大撑顶高度≥：10cm；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6、控制器为双控型，具双通双控等多种操作方式；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7、可单独接一个气源或同时并联两个气源；当压力超过工作压力时，安全阀自动打开；</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8、充气管≥6根（长度≥5m）。</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45000.00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47</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救援支架</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★1、提供国家级（第三方）检测机构的检测报告；                                                               2、高强度金属材质，配手摇式绞盘，腿脚长度可调节，三脚架设环形保护链，最大工作高度≥3m,重量≤16kg；</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3、绞盘带有超速制动系统，带上升、下降自锁装置，最大承载≥250kg，钢丝绳索长度≥30m，重量≤11kg；</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4、整套含铁链附件1套、组装工具（含可拆卸式双滑轮、挂钩等）1套及包装便携箱1个。</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8300.00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6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48</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救生抛投器</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★1、满足GB/T 27906-2011标准，提供国家级（第三方）检测机构出具的检测报告；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2、抛绳长度不低于额定抛投距离的1.15倍；</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3、陆抛绳拉力：≥2000N，水抛绳拉力：≥6000N；</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4、抛射性能：抛射距离，陆用抛绳≥120米,水用抛绳≥70米；</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5、水用救援弹入水5秒内自动充气成为救生圈，产生≥8Kg以上浮力；</w:t>
            </w:r>
          </w:p>
          <w:p>
            <w:pPr>
              <w:widowControl/>
              <w:textAlignment w:val="center"/>
              <w:rPr>
                <w:rFonts w:ascii="黑体" w:hAnsi="宋体" w:eastAsia="黑体" w:cs="黑体"/>
                <w:sz w:val="20"/>
                <w:szCs w:val="20"/>
              </w:rPr>
            </w:pPr>
            <w:r>
              <w:rPr>
                <w:rFonts w:hint="eastAsia" w:ascii="黑体" w:hAnsi="宋体" w:eastAsia="黑体" w:cs="黑体"/>
                <w:sz w:val="20"/>
                <w:szCs w:val="20"/>
                <w:lang w:eastAsia="zh-CN" w:bidi="ar"/>
              </w:rPr>
              <w:t>6、抛射偏差角≤5度。</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18700.00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49</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手动破拆工具组</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▲★1、满足GB32459-2015标准，提供国家级（第三方）检测机构的检测报告；</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2、整套设备由伸缩冲击臂、宽錾刀、窄錾刀、尖凿、撬皮器、破锁拔钉器、十字头、接杆、携行箱等组成，两端可由连接杆自由进行连接组合。</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4400.00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1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玻璃破碎器</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★1、用于门窗玻璃幕墙的手动破拆，配备切割机、吸盘、手电钻等工具；</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2、击碎钢化玻璃厚度≥20mm，击碎普通玻璃厚度≥30mm；</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3、提供中文详细使用说明书（含主要参数、加盖生产或代理企业印章）。</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4100.00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51</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手持式钢筋速断器</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★1、提供国家级（第三方）检测机构的检测报告；                                                               2、设备包括速断器、电池(2块)、充电器、扳手、携行箱等；</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3、最大切割钢筋直径≥19mm；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4、最大剪切力≥120KN；</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5、一次充电可连续切断直径19mm钢筋不少于70次，剪断时间≤6秒。</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10100.00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2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52</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多功能挠钩</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★1、提供国家级（第三方）检测机构的检测报告；                                                               2、由10件杆头、2根杆柄及缩节、采用铝合金箱等组成；</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3、杆头分别为六齿耙、镰刀、木锤、剪刀组件、双钩、钢叉、单钩枪、双钩枪、劈刀、钢锹；</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4、杆柄为高强度的绝缘材料，采用多节组合式，杆柄、杆头、缩节可自由组合。</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1400.00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53</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绳索保护器滑轮组</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★1、满足XF494-2004标准，提供国家级（第三方）检测机构出具的检测报告；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2、与安全绳和安全吊带、安全腰带配套使用的承载部件；</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3、包含1个直角绳索保护器（材质：不锈钢，重量≤500g），1个多角度绳索保护器（材质：热锻铝镁合金，重量：≤800克，结构：关节式），50m静力绳1根（直径10.5mm），单滑轮3个，双滑轮3个，手持上升器6个，止坠器1个，绳包1个(45L±5L)；</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5500.00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54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绝缘剪断钳</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★1、提供第三方检验机构出具的检验报告；                                                                     2、用于事故现场电线电缆或其他带电体的剪切，可剪断16mm以下电线、钢筋，安全操作电压≥1000V、耐电压≥3000V。</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55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多功能刀具</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★1、总体性能符合市场准入标准的要求，提供第三方检验机构出具的检测报告；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2、采用高碳钢材；经过特殊设计优化，由刀、钳、剪、锯等组成的组合式刀具；</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3、配置：尖嘴钳、工具钳、钢丝钳、开瓶器、开罐器、附件连接件、锥刀、主刀、小一字起、大一字起、锉刀、尺子、十字1-3#，7mm、5mm、3mm一字起子，3mm、4mm、6mm六角起子；</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4、具有防滑手柄及护手功能，主体采用高级不锈钢。</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3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56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无火花工具</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★1、提供国家级（第三方）检验机构出具的检测报告；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2、易爆、易燃、强磁及腐蚀性事故现场的手动作业；</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3、材质采用高强度铜合金材质，主要包括奶头锤、管钳、双头梅花扳手、双头呆扳手、活扳手、F扳手、橡皮锤、扁铲、顶尖、一字螺丝刀、十字螺丝刀、尖嘴钳、钢丝钳、鲤鱼钳和工具箱等（总件数不少于20件套）。</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3400.00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4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57</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磁压式堵漏工具</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★1、提供国家级（第三方）检验机构出具的检测报告；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2、用于各类罐体和管道表面点状、线状泄漏的作业。适用压力≥0.8Mpa，温度使用范围≤80℃，耐介质性能：各种水、油、气、酸、碱、弱酸、盐等 ；</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3、磁压式堵漏器最大吸附力≥300kg，内压1.8kg以内，需配合堵漏胶使用，器材包括：磁压器、防爆铜片、堵漏胶≥5组、不干胶、铝合金携带箱等。</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6700.00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2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58</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木制堵漏楔</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★1、提供国家级（第三方）检验机构出具的检测报告；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2、用于各类孔洞状较低压力的堵漏作业，红松材质，适用范围：用于各类孔、洞、裂缝等压力较低的堵漏作业。该产品由圆锥形、方楔形和棱台形等类木楔（不少于20种种类）。</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3.3适用温度范围-70℃至100℃，压力0.1Mpa至0.8Mpa，配一个便携箱。</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800.00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7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59</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折叠式救援梯</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★1、总体性能符合市场准入标准的要求，提供省级或省级以上检测机构出具的检测报告；                             2、伸展后人字梯垂直高度≥3m，直梯高度≥6m；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3、收缩后高度≤1.2m；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4、梯蹬宽度≥40cm；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5、净重≤25kg；                                                                                                              </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6、整梯最大负荷≥450KG。</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1900.00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22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60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电动凿岩机</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Style w:val="65"/>
                <w:rFonts w:hint="default"/>
                <w:lang w:eastAsia="zh-CN" w:bidi="ar"/>
              </w:rPr>
            </w:pPr>
            <w:r>
              <w:rPr>
                <w:rStyle w:val="65"/>
                <w:rFonts w:hint="default"/>
                <w:lang w:eastAsia="zh-CN" w:bidi="ar"/>
              </w:rPr>
              <w:t xml:space="preserve">零排放优势，不受地理位置限制。锂电池可在-28°C 正常工作，防水防震；双开关安全启动，安全可靠；采用无刷马达；具备电池电量显示功能；主机配置LED工作灯有效提供工作照明； </w:t>
            </w:r>
          </w:p>
          <w:p>
            <w:pPr>
              <w:widowControl/>
              <w:textAlignment w:val="center"/>
              <w:rPr>
                <w:rStyle w:val="65"/>
                <w:rFonts w:hint="default"/>
                <w:lang w:eastAsia="zh-CN" w:bidi="ar"/>
              </w:rPr>
            </w:pPr>
            <w:r>
              <w:rPr>
                <w:rStyle w:val="65"/>
                <w:rFonts w:hint="default"/>
                <w:lang w:eastAsia="zh-CN" w:bidi="ar"/>
              </w:rPr>
              <w:t>技术参数：</w:t>
            </w:r>
          </w:p>
          <w:p>
            <w:pPr>
              <w:widowControl/>
              <w:textAlignment w:val="center"/>
              <w:rPr>
                <w:rStyle w:val="65"/>
                <w:rFonts w:hint="default"/>
                <w:lang w:eastAsia="zh-CN" w:bidi="ar"/>
              </w:rPr>
            </w:pPr>
            <w:r>
              <w:rPr>
                <w:rStyle w:val="65"/>
                <w:rFonts w:hint="default"/>
                <w:lang w:eastAsia="zh-CN" w:bidi="ar"/>
              </w:rPr>
              <w:t>▲电压≥72V，电池容量≥6Ah ，充电时间≤90min，工作时间≥60min，▲冲击能量≥64J，振动5.17≤m/s</w:t>
            </w:r>
            <w:r>
              <w:rPr>
                <w:rStyle w:val="71"/>
                <w:rFonts w:hint="default"/>
                <w:lang w:eastAsia="zh-CN" w:bidi="ar"/>
              </w:rPr>
              <w:t>²</w:t>
            </w:r>
            <w:r>
              <w:rPr>
                <w:rStyle w:val="65"/>
                <w:rFonts w:hint="default"/>
                <w:lang w:eastAsia="zh-CN" w:bidi="ar"/>
              </w:rPr>
              <w:t>，冲击率 ≥1300bom， 电池重量（含电池）≤29.6kg，</w:t>
            </w:r>
          </w:p>
          <w:p>
            <w:pPr>
              <w:widowControl/>
              <w:textAlignment w:val="center"/>
              <w:rPr>
                <w:rStyle w:val="65"/>
                <w:rFonts w:hint="default"/>
                <w:lang w:eastAsia="zh-CN" w:bidi="ar"/>
              </w:rPr>
            </w:pPr>
            <w:r>
              <w:rPr>
                <w:rStyle w:val="65"/>
                <w:rFonts w:hint="default"/>
                <w:lang w:eastAsia="zh-CN" w:bidi="ar"/>
              </w:rPr>
              <w:t>标准配置</w:t>
            </w:r>
          </w:p>
          <w:p>
            <w:pPr>
              <w:widowControl/>
              <w:textAlignment w:val="center"/>
              <w:rPr>
                <w:rStyle w:val="65"/>
                <w:rFonts w:hint="default"/>
                <w:lang w:eastAsia="zh-CN" w:bidi="ar"/>
              </w:rPr>
            </w:pPr>
            <w:r>
              <w:rPr>
                <w:rStyle w:val="65"/>
                <w:rFonts w:hint="default"/>
                <w:lang w:eastAsia="zh-CN" w:bidi="ar"/>
              </w:rPr>
              <w:t>工具；纸箱；28mm尖凿头1根；28mm平凿头1根，便携小推车1台，电池2块，充电器1个</w:t>
            </w:r>
          </w:p>
          <w:p>
            <w:pPr>
              <w:widowControl/>
              <w:textAlignment w:val="center"/>
              <w:rPr>
                <w:rFonts w:ascii="黑体" w:hAnsi="宋体" w:eastAsia="黑体" w:cs="黑体"/>
                <w:sz w:val="20"/>
                <w:szCs w:val="20"/>
                <w:lang w:eastAsia="zh-CN"/>
              </w:rPr>
            </w:pPr>
            <w:r>
              <w:rPr>
                <w:rStyle w:val="65"/>
                <w:rFonts w:hint="default"/>
                <w:lang w:eastAsia="zh-CN" w:bidi="ar"/>
              </w:rPr>
              <w:t>▲提供中国质量认证中心出具检测报告</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32000.00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1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61</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移动发电机（轻型便携式）</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★1、总体性能符合市场准入标准的要求，提供省级或省级以上检测机构出具的检测报告；                                                       2、采用静音数码发电机，额定电压220V ，发电机功率≥4000W，启动方式：手/电启动；</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 xml:space="preserve">3、工作时间：一次注满燃油≥5h，整套设备重量≤50kg； </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11600.00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62</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移动式排烟机</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 27901-2011标准，提供国家级检测机构（第三方）的检测报告；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2、汽油驱动，配有相应口径的风管（长度≥7M），排烟量≥12000m</w:t>
            </w:r>
            <w:r>
              <w:rPr>
                <w:rStyle w:val="70"/>
                <w:rFonts w:hint="default"/>
                <w:lang w:eastAsia="zh-CN" w:bidi="ar"/>
              </w:rPr>
              <w:t>³</w:t>
            </w:r>
            <w:r>
              <w:rPr>
                <w:rFonts w:hint="eastAsia" w:ascii="黑体" w:hAnsi="宋体" w:eastAsia="黑体" w:cs="黑体"/>
                <w:sz w:val="20"/>
                <w:szCs w:val="20"/>
                <w:lang w:eastAsia="zh-CN" w:bidi="ar"/>
              </w:rPr>
              <w:t>/H；</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3、配备可折叠手柄和半自动聚氨酯轮胎，脚轮的组合方便运输和现场的移动，全焊接钢架结构，脚踏式角度调校系统；</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4、整机质量≤50kg，机器可连续运行时间≥1h。</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13000.00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63</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狭小空间排烟机</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 xml:space="preserve">★1、总体性能符合市场准入标准的要求，提供省级或省级以上检测机构出具的检测报告；                             2、适用于罐内、隧道内、地下室，有毒气体以及烟、粉尘的送排风机；                                           3、电动驱动，驱动电压：220V，电机功率≥500W，转速≥2800r/min，风量≥3600立方米/h，重量≤20kg，风管≥5m。 </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6500.00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64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移动照明灯组</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★1、满足GB26755-2011标准，提供国家级（第三方）检测机构的检测报告；                                         2、用静音数码发电机，额定电压220V ，发电机功率≥2000W；                                                   3、采用LED灯，两灯头设计，照明灯功率≥400W,发电机与照明灯一体设计；                                       4、可拉杆拖拽、手提或背负移动，重量≤35kg，连续工作时间≥5h；                                              5、箱体和灯头防护等级≥IP65，具有防爆功能。</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15000.00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65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无人机备用电池</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1.型号：FB2-3850mAh-15.4</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2.充电电压:17.6V</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3.额定电池容量：3850MAH 电流：59.29Wh(典型值)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4.放电工作温度：-10℃-60℃</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5.充电工作温度：5℃-40℃</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6.电芯材质：高能锂离子电芯</w:t>
            </w:r>
          </w:p>
          <w:p>
            <w:pPr>
              <w:widowControl/>
              <w:textAlignment w:val="center"/>
              <w:rPr>
                <w:rFonts w:ascii="黑体" w:hAnsi="宋体" w:eastAsia="黑体" w:cs="黑体"/>
                <w:sz w:val="20"/>
                <w:szCs w:val="20"/>
              </w:rPr>
            </w:pPr>
            <w:r>
              <w:rPr>
                <w:rFonts w:hint="eastAsia" w:ascii="黑体" w:hAnsi="宋体" w:eastAsia="黑体" w:cs="黑体"/>
                <w:sz w:val="20"/>
                <w:szCs w:val="20"/>
                <w:lang w:eastAsia="zh-CN" w:bidi="ar"/>
              </w:rPr>
              <w:t>7.续航时长：30分钟以上</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2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66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小型无人机</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1.配备1/2CMOS 4800 万像素的广角相机、长焦相机和热成像相机，并提供意外损坏低价置换服务。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2.备用电池配备2块。</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3.配备相应的操作控制单元连续工作时间不少于30分钟。</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4.最远飞行距离不低于1500米，高度100米以上。</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12000.00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7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67</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消防专用350兆一级指挥网中继站</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1.系统基站的收发信机为12.5KHz频率间隔，每个收发信机以TDMA方式分为2个时隙工作，即有2个逻辑信道</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2.50瓦高功率24小时100%连续工作周期；</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3.信道容量64个; 频率：350-400Mhz</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4.机架/桌面安装，支持双机热备份：当主机出现故障时自动切换到备用机工作；</w:t>
            </w:r>
          </w:p>
          <w:p>
            <w:pPr>
              <w:widowControl/>
              <w:textAlignment w:val="center"/>
              <w:rPr>
                <w:rFonts w:ascii="黑体" w:hAnsi="宋体" w:eastAsia="黑体" w:cs="黑体"/>
                <w:sz w:val="20"/>
                <w:szCs w:val="20"/>
              </w:rPr>
            </w:pPr>
            <w:r>
              <w:rPr>
                <w:rFonts w:hint="eastAsia" w:ascii="黑体" w:hAnsi="宋体" w:eastAsia="黑体" w:cs="黑体"/>
                <w:sz w:val="20"/>
                <w:szCs w:val="20"/>
                <w:lang w:eastAsia="zh-CN" w:bidi="ar"/>
              </w:rPr>
              <w:t>5.高增益天线（增益≥12dBi）、高Q值双工器、波纹馈管200米、IP基站互联系统（IP Site Connect ）、智能信道共享系统(Capacity Plus)、多基站智能信道共享系统（Linked Capacity Plus）和Connect Plus数字集群系统，TRBONEG软件准入功能、分布式接收KEY。</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rPr>
            </w:pPr>
            <w:r>
              <w:rPr>
                <w:rFonts w:hint="eastAsia" w:ascii="黑体" w:hAnsi="宋体" w:eastAsia="黑体" w:cs="黑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rPr>
            </w:pPr>
            <w:r>
              <w:rPr>
                <w:rFonts w:hint="eastAsia" w:ascii="黑体" w:hAnsi="宋体" w:eastAsia="黑体" w:cs="黑体"/>
                <w:lang w:eastAsia="zh-CN" w:bidi="ar"/>
              </w:rPr>
              <w:t xml:space="preserve">58000.00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黑体" w:hAnsi="宋体" w:eastAsia="黑体" w:cs="黑体"/>
              </w:rPr>
            </w:pPr>
          </w:p>
        </w:tc>
      </w:tr>
      <w:tr>
        <w:tblPrEx>
          <w:shd w:val="clear" w:color="auto" w:fill="FFFFFF" w:themeFill="background1"/>
          <w:tblCellMar>
            <w:top w:w="0" w:type="dxa"/>
            <w:left w:w="108" w:type="dxa"/>
            <w:bottom w:w="0" w:type="dxa"/>
            <w:right w:w="108" w:type="dxa"/>
          </w:tblCellMar>
        </w:tblPrEx>
        <w:trPr>
          <w:trHeight w:val="45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68</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消防专用对讲机（防爆）</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1.配置要求，设备包含：主机：1个、多基站智能信道共享软件、IP互联软件、对讲机系统管理软件、原装电池：≥1块、耳麦：≥1只、天线：≥1根、充电器：≥1只、电池卡：≥2只。</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2.参数要求：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1）工作频段：350MHz～400MHz，频率间隔：12.5/25kHz，电压：7.5V，</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2）支持数字集群、模拟集群模式，支持接入标准语音自组网基站；</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3）尺寸（高X宽X厚）：≤130x60x50毫米；重量(含电池)≤350g；</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4）信道容量：≥1000信道；带键盘、五行彩色显示屏（具有白天和夜间模式）及紧急报警键；支持中文输入法；支持室内定位、集成Wi-Fi功能；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5）对讲机内置蓝牙模块；</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6）GPS/北斗（水平位置精度＜6米）；</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7）防护等级：≥IP68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3.功能要求：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1）支持文本消息接收发送，并把文本信息转语音播放；</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2）具智能音频功能（自动调节对讲机的音量，补偿背景噪声）；</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3）电池：容量不低于2800mAh，具备智能维护功能、对讲机可查询电池使用状态等功能；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4）符合国家防爆电气产品质量监督检验中心CNEX国家防爆认证标准；</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5）能与现有的无线通信系统及通信终端互联互通（中标单位必须按照用户要求自行写频、调试）。并能接入使用单位的调度平台，具备调度、录音、定位等功能。</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5500.00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3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69</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北斗卫星电话</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1.外观要求：防水、防尘、防震设计。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2.功能要求：</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（1）支持卫星移动网络语音、短信功能；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（2）支持北斗/GPS定位；</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（3）支持位置跟踪功能；</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（4）预编程的国际接入码（00或+）</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（5）充电器（含专用国际插头）；采用国际标准宽泛电压，电压值为100V-240V。</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3.重量：≤280g。</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4.工作待机：待机≥72小时，通话≥8小时。</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5.显示及键盘：采用高亮屏，显示信号和电量。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6.防护等级：≥IP65。</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7.配置：主机、电池、直充(含专用国际插头)、车充、车载吸盘天线、耳机、皮套、数据线、卫星SIM卡（国内卡）。</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8.服务要求：含≥12个月，500分钟及以上通话时长。</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9.以上采购设备必须遵循《城市重大事故及地质性灾害事故救援应急通信系统建设技术方案》相关技术要求</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30000.00 </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2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70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65-20消防水带（米）</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满足GB6246-2011标准，提供国家消防装备质量监督检验中心或其他具有相应资质的第三方检测机构出具的检验报告和消防产品认证书，采用聚氨酯材料，接口表面无结疤、裂痕、砂眼；铝合金材质，长度结合需求更改；水带工作压力不低于2.0Mpa；口径65mm；单位长度质量≤330g/m；延伸率（%）≤5；膨胀率（%）≤5；附着强度（N/25m)≥35;厚度规格≥0.3mm；（按米报价）</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9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71</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80-20消防水带（米）</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满足GB6246-2011标准，提供国家消防装备质量监督检验中心或其他具有相应资质的第三方检测机构出具的检验报告和消防产品认证书，采用聚氨酯材料，接口表面无结疤、裂痕、砂眼；铝合金材质，工作压力不低于2Mpa；口径：80mm，内扣式。单位长度质量≤450g/m；延伸率（%）≤5；膨胀率（%）≤5；附着强度（N/25m)≥35;厚度规格≥0.3mm；（按米报价）</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3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72</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比武轻型水带町野（65）</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满足GB6246-2011标准，提供国家消防装备质量监督检验中心或其他具有相应资质的第三方检测机构出具的检验报告和消防产品认证书，采用聚氨酯材料，接口表面无结疤、裂痕、砂眼；铝合金材质，长度结合需求更改；水带工作压力不低于2.0Mpa；口径65mm；单位长度质量≤330g/m；延伸率（%）≤5；膨胀率（%）≤5；附着强度（N/25m)≥35;厚度规格≥0.3mm；（按米报价）</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73</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比武轻型水带町野（80）</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满足GB6246-2011标准，提供国家消防装备质量监督检验中心或其他具有相应资质的第三方检测机构出具的检验报告和消防产品认证书，采用聚氨酯材料，接口表面无结疤、裂痕、砂眼；铝合金材质，工作压力不低于2Mpa；口径：80mm，内扣式。单位长度质量≤450g/m；延伸率（%）≤5；膨胀率（%）≤5；附着强度（N/25m)≥35;厚度规格≥0.3mm；（按米报价）</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3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74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65mm水带接口（町野）</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★1、满足GB12514-2006标准，提供国家级检测机构（第三方）的检测报告；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2、表面无结疤、裂痕、砂眼；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▲3、铝镁合金锻造工艺材质，工作压力≥1.6Mpa；</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4、铝镁合金65mm町野式接口。</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1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75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80mm水带接口（町野）</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★1、满足GB12514-2006标准，提供国家级检测机构（第三方）的检测报告；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2、表面无结疤、裂痕、砂眼；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▲3、铝镁合金锻造工艺材质，工作压力≥1.6Mpa；</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4、铝镁合金80mm町野式接口。</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1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76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异形接口（65町野/内扣）</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★1、满足GB12514-2006标准，提供国家级检测机构（第三方）的检测报告；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2、表面无结疤、裂痕、砂眼；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▲3、铝镁合金锻造工艺材质，工作压力≥1.6Mpa；</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4、接口转换形式：65mm町野转65mm内扣。</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77</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异形接口（80町野/内扣）</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★1、满足GB12514-2006标准，提供国家级检测机构（第三方）的检测报告；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2、表面无结疤、裂痕、砂眼；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▲3、铝镁合金锻造工艺材质，工作压力≥1.6Mpa；</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4、接口转换形式：80mm町野转80mm内扣。</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78</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异形接口（80内扣/65町野）</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★1、满足GB12514-2006标准，提供国家级检测机构（第三方）的检测报告；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2、表面无结疤、裂痕、砂眼；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▲3、铝镁合金锻造工艺材质，工作压力≥1.6Mpa；</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4、接口转换形式：80mm内扣转65mm町野。</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79</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异形接口（80町野/65内扣）</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★1、满足GB12514-2006标准，提供国家级检测机构（第三方）的检测报告；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2、表面无结疤、裂痕、砂眼；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3、铝镁合金锻造工艺材质，工作压力≥1.6Mpa；</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4、接口转换形式：80mm町野转65mm内扣。</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80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内扣异径接口（65/50）</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★1、满足GB12514-2006标准，提供国家级检测机构（第三方）的检测报告；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2、表面无结疤、裂痕、砂眼；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3、铝镁合金锻造工艺材质，工作压力≥1.6Mpa；</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4、内扣接口转换形式：65mm转50mm。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81</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内扣异径接口（80/65）</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★1、满足GB12514-2006标准，提供国家级检测机构（第三方）的检测报告；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2、表面无结疤、裂痕、砂眼；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3、铝镁合金锻造工艺材质，工作压力≥1.6Mpa；</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4、内扣接口转换形式：80mm转65mm。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82</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町野异径接口（80/65）</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★1、满足GB12514-2006标准，提供国家级检测机构（第三方）的检测报告；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2、表面无结疤、裂痕、砂眼；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3、铝镁合金锻造工艺材质，工作压力≥1.6Mpa；</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4、町野接口转换形式：80mm转65mm。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1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83</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二分水器（町野）</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★1、满足XF868-2010标准，提供国家级检测机构（第三方）的检测报告；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2、表面无结疤、裂痕、砂眼；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3、工作压力≥2.5Mpa，铝镁合金材质，重量≤3KG；</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4、町野式接口，进水口径80mm，出水口径2×65mm。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84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三分水器（町野）</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★1、满足XF868-2010标准，提供国家级检测机构（第三方）的检测报告；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2、表面无结疤、裂痕、砂眼；</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3、工作压力≥2.5Mpa，铝镁合金材质，重量≤3.5KG；</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4、町野式接口，进水口径80mm，出水口径3×65mm。</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8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600.00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85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多功能水枪（国产内扣式）</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★1、满足GB8181-2005标准，提供国家级（第三方）检验机构的检测报告；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2、第三类喷雾角可调的低压直流喷雾水枪，具有直流喷雾无级转换、流量可调等功能，可调节≧5个档位的流量变化；</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3、进水口径65mm，内扣式防打结接口；</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▲4、喷射压力≥0.6MPa，额定流量≥10L/s，直流射程≥34L/S；                                                             5、重量≦3Kg，金属表面硬质阳极氧化处理涂层。</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4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5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86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多功能水枪（国产町野式）</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★1、满足GB8181-2005标准，提供国家级（第三方）检验机构的检测报告；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2、第三类喷雾角可调的低压直流喷雾水枪，具有直流喷雾无级转换、流量可调等功能，可调节≧5个档位的流量变化；</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3、进水口径65mm，盯野式防打结接口；</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▲4、喷射压力≥0.6MPa，额定流量≥10L/s，直流射程≥34L/S；                                                             5、重量≦3Kg，金属表面硬质阳极氧化处理涂层。</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1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87</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直流水枪（内扣式)</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★1、满足GB8181-2005标准，提供国家级（第三方）检验机构的检测报告；                                                    2、铝合金材质，配备开关；</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2、内扣式接口，进水口径65mm；</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3、当量喷嘴直径19mm，额定工作压力0.35MPa，流量7.5L/s，射程≥28m。</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5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160.00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88</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二节拉梯（六米）</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★1、满足XF137-2007标准，提供国家级（第三方）检测机构的检测报告；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2、竹质材质，工作长度6m；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3、整梯重量≤30KG；</w:t>
            </w:r>
          </w:p>
          <w:p>
            <w:pPr>
              <w:widowControl/>
              <w:textAlignment w:val="center"/>
              <w:rPr>
                <w:rFonts w:ascii="黑体" w:hAnsi="宋体" w:eastAsia="黑体" w:cs="黑体"/>
                <w:sz w:val="20"/>
                <w:szCs w:val="20"/>
              </w:rPr>
            </w:pPr>
            <w:r>
              <w:rPr>
                <w:rFonts w:hint="eastAsia" w:ascii="黑体" w:hAnsi="宋体" w:eastAsia="黑体" w:cs="黑体"/>
                <w:sz w:val="20"/>
                <w:szCs w:val="20"/>
                <w:lang w:eastAsia="zh-CN" w:bidi="ar"/>
              </w:rPr>
              <w:t xml:space="preserve">4、梯宽度400mm，梯蹬间距300mm。                                                                                                          </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1550.00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89</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折叠式救援梯</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★1、总体性能符合市场准入标准的要求，提供省级或省级以上检测机构出具的检测报告；                             2、伸展后人字梯垂直高度≥3m，直梯高度≥6m；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3、收缩后高度≤1.2m；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4、梯蹬宽度≥40cm；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5、净重≤25kg；                                                                                                              </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6、整梯最大负荷≥450KG。</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1900.00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90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止水器（町野）</w:t>
            </w:r>
          </w:p>
        </w:tc>
        <w:tc>
          <w:tcPr>
            <w:tcW w:w="5012" w:type="dxa"/>
            <w:tcBorders>
              <w:top w:val="nil"/>
              <w:left w:val="nil"/>
              <w:bottom w:val="nil"/>
              <w:right w:val="nil"/>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采用优质的原材料生产，有效防止接口漏水，稳定性能好。高品质的锻造成型工艺，耐压性能稳定，耐压能力强。成熟稳定的热处理工艺，有效增强接口的强度与韧性，抗摔性能好。高精密的生产加工设备，产品精度高，连接顺畅无卡壳，连接性能稳定。</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优良的表面防腐处理工艺，有效防止接口霉变，耐腐蚀性强。优秀漂亮的外观，表面颜色可多样化选择，适应于各种工作场合。</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出水量：通孔大口径设计，出水量大于其它止水器。操作：操作方向符合省力模式，开关操作轻便，省时省力，有效减少消防员的操作强度。</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阀体：特殊的材质，先进的设计理念，优良的装配工艺，确保操作转动灵活，密封性能可靠，可大幅提高工作效率。</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接口：锻造工艺</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阀体：浇铸工艺</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接口型式</w:t>
            </w:r>
            <w:r>
              <w:rPr>
                <w:rStyle w:val="70"/>
                <w:rFonts w:hint="default"/>
                <w:lang w:eastAsia="zh-CN" w:bidi="ar"/>
              </w:rPr>
              <w:t xml:space="preserve"> </w:t>
            </w:r>
            <w:r>
              <w:rPr>
                <w:rFonts w:hint="eastAsia" w:ascii="黑体" w:hAnsi="宋体" w:eastAsia="黑体" w:cs="黑体"/>
                <w:sz w:val="20"/>
                <w:szCs w:val="20"/>
                <w:lang w:eastAsia="zh-CN" w:bidi="ar"/>
              </w:rPr>
              <w:t>：卡式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阀门型式</w:t>
            </w:r>
            <w:r>
              <w:rPr>
                <w:rStyle w:val="70"/>
                <w:rFonts w:hint="default"/>
                <w:lang w:eastAsia="zh-CN" w:bidi="ar"/>
              </w:rPr>
              <w:t xml:space="preserve"> </w:t>
            </w:r>
            <w:r>
              <w:rPr>
                <w:rFonts w:hint="eastAsia" w:ascii="黑体" w:hAnsi="宋体" w:eastAsia="黑体" w:cs="黑体"/>
                <w:sz w:val="20"/>
                <w:szCs w:val="20"/>
                <w:lang w:eastAsia="zh-CN" w:bidi="ar"/>
              </w:rPr>
              <w:t>：球阀式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规</w:t>
            </w:r>
            <w:r>
              <w:rPr>
                <w:rStyle w:val="70"/>
                <w:rFonts w:hint="default"/>
                <w:lang w:eastAsia="zh-CN" w:bidi="ar"/>
              </w:rPr>
              <w:t xml:space="preserve"> </w:t>
            </w:r>
            <w:r>
              <w:rPr>
                <w:rFonts w:hint="eastAsia" w:ascii="黑体" w:hAnsi="宋体" w:eastAsia="黑体" w:cs="黑体"/>
                <w:sz w:val="20"/>
                <w:szCs w:val="20"/>
                <w:lang w:eastAsia="zh-CN" w:bidi="ar"/>
              </w:rPr>
              <w:t>格</w:t>
            </w:r>
            <w:r>
              <w:rPr>
                <w:rStyle w:val="70"/>
                <w:rFonts w:hint="default"/>
                <w:lang w:eastAsia="zh-CN" w:bidi="ar"/>
              </w:rPr>
              <w:t xml:space="preserve"> </w:t>
            </w:r>
            <w:r>
              <w:rPr>
                <w:rFonts w:hint="eastAsia" w:ascii="黑体" w:hAnsi="宋体" w:eastAsia="黑体" w:cs="黑体"/>
                <w:sz w:val="20"/>
                <w:szCs w:val="20"/>
                <w:lang w:eastAsia="zh-CN" w:bidi="ar"/>
              </w:rPr>
              <w:t>：65</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公称压力(MPa)：2.5</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测试压力(MPa)：4.0</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适用介质：水、水和泡沫混合液</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9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700.00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91</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大流量多功能移动消防炮</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★1、满足GB19156－2019标准，提供国家级检测机构（第三方）的检测报告；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▲2、额定流量（喷射水）≥80L/S, 射程（喷射水）≥85m；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3、遥控器启动至消防炮动作的响应时间≤5s，无线遥控距离≥200M，且不会出现信号延迟或断续情况；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4、控制方式：无线遥控和手动控制等两种控制方式；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5、仰角范围不低于+30°～+70°，水平回转角≥90°，解除限位后可水平360°无限制旋转，最大喷雾角度≥90°；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7、具有自泄水装置；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8、开机后，炮头可自动回到安全位置，避免在启动时因供水压力突然增大，而炮头处于小仰角状态下炮体可能产生的位移； </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▲9、配备泡沫炮头，重量≤50kg。</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15000.00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5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92</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多功能水枪（TFT）</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1、★额定流量13升/秒 0.6Mpa；</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2、打水直流/开花/喷雾；</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3、★子弹头结构控制阀，可以无级调控出水流量；</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4、★360度旋转消防接口，入口内置不锈钢过滤网；</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5、标配立体梯形橡胶固定雾化齿，实心雾锥，金属表面硬质阳极氧化处理涂层；</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6、选配快速拆装型泡沫管可提高发泡倍数。</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8000.00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93</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D型勾</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1、满足XF494-2004标准，提供国家级检测报告或认证证书；</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2、满足与直径9-12.6救援绳配套使用</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30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195.00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25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94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泡沫钩管组套</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1、可选择使用三节延长杆，单节≥1米。自由组合成移动式中倍泡沫钩管、水球喷射器、水幕喷射器、螺旋枪。配备支架一副。</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 2、中倍泡沫钩管：泡沫溶液流量 ≥10 L/s；工作压力≥0.4Mpa；泡沫倍数≥40倍；射流宽度≥ 5m。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提供国家级检测中心出具的检测报告。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2.水球喷射器：工作压力≥0.4MPa；额定流量≥16 L/s；射流直径≥5m。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3.水幕喷射器：既可以放在地上，也可以手持使用，形成隔离水幕，防止火势蔓延。工作压力≥0.4MPa，射流形式：半圆扇形，额定流量≥12 L/s，射流直径≥12m。</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4.螺旋枪: 铝合金材料。双喷射器螺旋设计，其中一个喷射器位于另一个的上方，同时下面的喷嘴向前伸出。水流沿螺旋表面流出，在喷射时形成充满的水射流。额定工作压力≥0.4Mpa；额定流量：≥5 L/s；60度角喷射射流：直径≥7m；45度角喷射射流：直径≥6m。</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35500.00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95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Style w:val="65"/>
                <w:rFonts w:hint="default"/>
                <w:lang w:eastAsia="zh-CN" w:bidi="ar"/>
              </w:rPr>
              <w:t>中倍数泡沫炮</w:t>
            </w:r>
            <w:r>
              <w:rPr>
                <w:rStyle w:val="72"/>
                <w:rFonts w:eastAsia="黑体"/>
                <w:lang w:eastAsia="zh-CN" w:bidi="ar"/>
              </w:rPr>
              <w:t xml:space="preserve"> </w:t>
            </w:r>
            <w:r>
              <w:rPr>
                <w:rStyle w:val="65"/>
                <w:rFonts w:hint="default"/>
                <w:lang w:eastAsia="zh-CN" w:bidi="ar"/>
              </w:rPr>
              <w:t>暴雪</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 20031-2005标准，提供国家级（第三方）检验机构出具的检测报告；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2、不锈钢材质，具有防腐蚀性；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3、额定工作压力≥0.3Mpa，流量≥4L/S，发泡量≥50m3/min，发泡倍数≥200；</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4、重量≤30kg，接口口径65mm，内扣式接口。</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2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3500.00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10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96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高倍数泡沫发生器</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★1、满足GB 20031-2005标准，提供国家级（第三方）检验机构出具的检测报告；</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2、不锈钢材质，具有防腐蚀性；</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3、额定工作压力≥0.3Mpa，流量≥4L/S，发泡量≥50m3/min，发泡倍数≥200；</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4、重量≤30kg，接口口径65mm，内扣式接口。</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9900.00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shd w:val="clear" w:color="auto" w:fill="FFFFFF" w:themeFill="background1"/>
          <w:tblCellMar>
            <w:top w:w="0" w:type="dxa"/>
            <w:left w:w="108" w:type="dxa"/>
            <w:bottom w:w="0" w:type="dxa"/>
            <w:right w:w="108" w:type="dxa"/>
          </w:tblCellMar>
        </w:tblPrEx>
        <w:trPr>
          <w:trHeight w:val="39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sz w:val="21"/>
                <w:szCs w:val="21"/>
              </w:rPr>
            </w:pPr>
            <w:r>
              <w:rPr>
                <w:rFonts w:eastAsia="宋体"/>
                <w:sz w:val="21"/>
                <w:szCs w:val="21"/>
                <w:lang w:eastAsia="zh-CN" w:bidi="ar"/>
              </w:rPr>
              <w:t>97</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黑体" w:hAnsi="宋体" w:eastAsia="黑体" w:cs="黑体"/>
                <w:sz w:val="20"/>
                <w:szCs w:val="20"/>
              </w:rPr>
            </w:pPr>
            <w:r>
              <w:rPr>
                <w:rFonts w:hint="eastAsia" w:ascii="黑体" w:hAnsi="宋体" w:eastAsia="黑体" w:cs="黑体"/>
                <w:sz w:val="20"/>
                <w:szCs w:val="20"/>
                <w:lang w:eastAsia="zh-CN" w:bidi="ar"/>
              </w:rPr>
              <w:t>遥控式五合一复合炮</w:t>
            </w: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  1、满足GB19156－2019标准，提供国家级检测中心出具的检测报告。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2、主要由炮座、可拆卸炮头等组成，通过炮座可以调换五种模式炮头，组成不同流量、射程的炮。体积小，可拆卸便于车载携带。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3、炮座装有遥控装置，能进行远距离调节喷射角度。最小俯仰角≥30°，最大俯仰角≥+70°；水平回转角：≥90度；自摆角：≥45度；无线遥控器启动时间：≤2秒；无线遥控距离：≥150m。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4、模式一：炮座上安装水炮头，即可组成一个移动式消防水炮，额定工作压力：≥0.8MPa；额定流量：≥60 L/s；俯仰角: +30°～+70°；射程：≥75m。</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5、模式二：炮座上安装一个泡沫炮头即组成一个移动式泡沫炮。能够扑灭大范围流淌火，远距离发射雾化水流、中倍数空气动力泡沫。额定工作压力：≥0.8MPa；额定流量：≥2900L/min；射程：≥55m；俯仰角：+30～+70°；发泡倍数≥25倍。</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 xml:space="preserve">6、模式三：炮座上安装2个低倍泡沫枪，额定工作压力≥0.7MPa，额定流量≥16L/s×2，泡沫射程≥34m，发泡倍数≥17倍； </w:t>
            </w:r>
          </w:p>
          <w:p>
            <w:pPr>
              <w:widowControl/>
              <w:textAlignment w:val="center"/>
              <w:rPr>
                <w:rFonts w:ascii="黑体" w:hAnsi="宋体" w:eastAsia="黑体" w:cs="黑体"/>
                <w:sz w:val="20"/>
                <w:szCs w:val="20"/>
                <w:lang w:eastAsia="zh-CN" w:bidi="ar"/>
              </w:rPr>
            </w:pPr>
            <w:r>
              <w:rPr>
                <w:rFonts w:hint="eastAsia" w:ascii="黑体" w:hAnsi="宋体" w:eastAsia="黑体" w:cs="黑体"/>
                <w:sz w:val="20"/>
                <w:szCs w:val="20"/>
                <w:lang w:eastAsia="zh-CN" w:bidi="ar"/>
              </w:rPr>
              <w:t>7、模式四：炮座上安装2个中倍数泡沫炮，额定工作压力：≥0.7MPa；额定流量：≥16L/s×2，发泡倍数≥45倍，射程：≥15米；</w:t>
            </w:r>
          </w:p>
          <w:p>
            <w:pPr>
              <w:widowControl/>
              <w:textAlignment w:val="center"/>
              <w:rPr>
                <w:rFonts w:ascii="黑体" w:hAnsi="宋体" w:eastAsia="黑体" w:cs="黑体"/>
                <w:sz w:val="20"/>
                <w:szCs w:val="20"/>
                <w:lang w:eastAsia="zh-CN"/>
              </w:rPr>
            </w:pPr>
            <w:r>
              <w:rPr>
                <w:rFonts w:hint="eastAsia" w:ascii="黑体" w:hAnsi="宋体" w:eastAsia="黑体" w:cs="黑体"/>
                <w:sz w:val="20"/>
                <w:szCs w:val="20"/>
                <w:lang w:eastAsia="zh-CN" w:bidi="ar"/>
              </w:rPr>
              <w:t>8、模式五：炮座上安装2个高倍数泡沫发生器，工作压力≥0.4MPa；额定压力≥0.6MPa，额定流量：≥1.8升/秒×2，发泡倍数：≥520倍。</w:t>
            </w: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100000.00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r>
        <w:tblPrEx>
          <w:tblCellMar>
            <w:top w:w="0" w:type="dxa"/>
            <w:left w:w="108" w:type="dxa"/>
            <w:bottom w:w="0" w:type="dxa"/>
            <w:right w:w="108" w:type="dxa"/>
          </w:tblCellMar>
        </w:tblPrEx>
        <w:trPr>
          <w:trHeight w:val="15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textAlignment w:val="center"/>
              <w:rPr>
                <w:rFonts w:ascii="黑体" w:hAnsi="宋体" w:eastAsia="黑体" w:cs="黑体"/>
                <w:sz w:val="20"/>
                <w:szCs w:val="20"/>
              </w:rPr>
            </w:pPr>
            <w:r>
              <w:rPr>
                <w:rFonts w:hint="eastAsia" w:ascii="黑体" w:hAnsi="宋体" w:eastAsia="黑体" w:cs="黑体"/>
                <w:sz w:val="20"/>
                <w:szCs w:val="20"/>
                <w:lang w:eastAsia="zh-CN" w:bidi="ar"/>
              </w:rPr>
              <w:t>合计</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黑体" w:hAnsi="宋体" w:eastAsia="黑体" w:cs="黑体"/>
                <w:sz w:val="20"/>
                <w:szCs w:val="20"/>
              </w:rPr>
            </w:pPr>
          </w:p>
        </w:tc>
        <w:tc>
          <w:tcPr>
            <w:tcW w:w="50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ascii="黑体" w:hAnsi="宋体" w:eastAsia="黑体" w:cs="黑体"/>
                <w:sz w:val="20"/>
                <w:szCs w:val="20"/>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宋体"/>
              </w:rPr>
            </w:pPr>
            <w:r>
              <w:rPr>
                <w:rFonts w:eastAsia="宋体"/>
                <w:lang w:eastAsia="zh-CN" w:bidi="ar"/>
              </w:rPr>
              <w:t xml:space="preserve">1593 </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eastAsia="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eastAsia="宋体"/>
              </w:rPr>
            </w:pPr>
          </w:p>
        </w:tc>
      </w:tr>
    </w:tbl>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p>
    <w:p>
      <w:pPr>
        <w:widowControl/>
        <w:jc w:val="center"/>
        <w:textAlignment w:val="center"/>
        <w:rPr>
          <w:lang w:eastAsia="zh-CN"/>
        </w:rPr>
      </w:pPr>
      <w:r>
        <w:rPr>
          <w:rFonts w:hint="eastAsia"/>
          <w:lang w:eastAsia="zh-CN"/>
        </w:rPr>
        <w:t>城市</w:t>
      </w:r>
      <w:r>
        <w:rPr>
          <w:rFonts w:hint="eastAsia" w:ascii="宋体" w:hAnsi="宋体" w:eastAsia="宋体" w:cs="宋体"/>
          <w:lang w:eastAsia="zh-CN"/>
        </w:rPr>
        <w:t>主战</w:t>
      </w:r>
      <w:r>
        <w:rPr>
          <w:rFonts w:hint="eastAsia"/>
          <w:lang w:eastAsia="zh-CN"/>
        </w:rPr>
        <w:t>消防车技术参数及规格</w:t>
      </w:r>
    </w:p>
    <w:tbl>
      <w:tblPr>
        <w:tblStyle w:val="23"/>
        <w:tblW w:w="9258" w:type="dxa"/>
        <w:tblInd w:w="93" w:type="dxa"/>
        <w:tblLayout w:type="autofit"/>
        <w:tblCellMar>
          <w:top w:w="0" w:type="dxa"/>
          <w:left w:w="108" w:type="dxa"/>
          <w:bottom w:w="0" w:type="dxa"/>
          <w:right w:w="108" w:type="dxa"/>
        </w:tblCellMar>
      </w:tblPr>
      <w:tblGrid>
        <w:gridCol w:w="612"/>
        <w:gridCol w:w="1079"/>
        <w:gridCol w:w="7567"/>
      </w:tblGrid>
      <w:tr>
        <w:tblPrEx>
          <w:tblCellMar>
            <w:top w:w="0" w:type="dxa"/>
            <w:left w:w="108" w:type="dxa"/>
            <w:bottom w:w="0" w:type="dxa"/>
            <w:right w:w="108" w:type="dxa"/>
          </w:tblCellMar>
        </w:tblPrEx>
        <w:trPr>
          <w:trHeight w:val="270" w:hRule="atLeast"/>
        </w:trPr>
        <w:tc>
          <w:tcPr>
            <w:tcW w:w="61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eastAsia="宋体"/>
                <w:sz w:val="18"/>
                <w:szCs w:val="18"/>
              </w:rPr>
            </w:pPr>
            <w:r>
              <w:rPr>
                <w:rFonts w:eastAsia="宋体"/>
                <w:sz w:val="18"/>
                <w:szCs w:val="18"/>
                <w:lang w:eastAsia="zh-CN" w:bidi="ar"/>
              </w:rPr>
              <w:t>序号</w:t>
            </w:r>
          </w:p>
        </w:tc>
        <w:tc>
          <w:tcPr>
            <w:tcW w:w="107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eastAsia="宋体"/>
                <w:sz w:val="18"/>
                <w:szCs w:val="18"/>
              </w:rPr>
            </w:pPr>
            <w:r>
              <w:rPr>
                <w:rStyle w:val="73"/>
                <w:lang w:eastAsia="zh-CN" w:bidi="ar"/>
              </w:rPr>
              <w:t>名称</w:t>
            </w:r>
          </w:p>
        </w:tc>
        <w:tc>
          <w:tcPr>
            <w:tcW w:w="75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eastAsia="宋体"/>
                <w:sz w:val="18"/>
                <w:szCs w:val="18"/>
              </w:rPr>
            </w:pPr>
            <w:r>
              <w:rPr>
                <w:rStyle w:val="73"/>
                <w:lang w:eastAsia="zh-CN" w:bidi="ar"/>
              </w:rPr>
              <w:t>技术参数及规格</w:t>
            </w:r>
          </w:p>
        </w:tc>
      </w:tr>
      <w:tr>
        <w:tblPrEx>
          <w:tblCellMar>
            <w:top w:w="0" w:type="dxa"/>
            <w:left w:w="108" w:type="dxa"/>
            <w:bottom w:w="0" w:type="dxa"/>
            <w:right w:w="108" w:type="dxa"/>
          </w:tblCellMar>
        </w:tblPrEx>
        <w:trPr>
          <w:trHeight w:val="27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eastAsia="宋体"/>
              </w:rPr>
            </w:pPr>
            <w:r>
              <w:rPr>
                <w:rFonts w:eastAsia="宋体"/>
                <w:lang w:eastAsia="zh-CN" w:bidi="ar"/>
              </w:rPr>
              <w:t>1</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宋体"/>
                <w:sz w:val="18"/>
                <w:szCs w:val="18"/>
              </w:rPr>
            </w:pPr>
            <w:r>
              <w:rPr>
                <w:rStyle w:val="73"/>
                <w:lang w:eastAsia="zh-CN" w:bidi="ar"/>
              </w:rPr>
              <w:t>底盘</w:t>
            </w:r>
          </w:p>
        </w:tc>
        <w:tc>
          <w:tcPr>
            <w:tcW w:w="7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1</w:t>
            </w:r>
            <w:r>
              <w:rPr>
                <w:rStyle w:val="73"/>
                <w:lang w:eastAsia="zh-CN" w:bidi="ar"/>
              </w:rPr>
              <w:t>、国产底盘，比功率</w:t>
            </w:r>
            <w:r>
              <w:rPr>
                <w:rFonts w:eastAsia="宋体"/>
                <w:sz w:val="18"/>
                <w:szCs w:val="18"/>
                <w:lang w:eastAsia="zh-CN" w:bidi="ar"/>
              </w:rPr>
              <w:t>≥12</w:t>
            </w:r>
            <w:r>
              <w:rPr>
                <w:rStyle w:val="73"/>
                <w:lang w:eastAsia="zh-CN" w:bidi="ar"/>
              </w:rPr>
              <w:t>；驱动形式</w:t>
            </w:r>
            <w:r>
              <w:rPr>
                <w:rFonts w:eastAsia="宋体"/>
                <w:sz w:val="18"/>
                <w:szCs w:val="18"/>
                <w:lang w:eastAsia="zh-CN" w:bidi="ar"/>
              </w:rPr>
              <w:t>4*2</w:t>
            </w:r>
          </w:p>
        </w:tc>
      </w:tr>
      <w:tr>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nil"/>
              <w:right w:val="nil"/>
            </w:tcBorders>
            <w:shd w:val="clear" w:color="auto" w:fill="auto"/>
            <w:noWrap/>
            <w:vAlign w:val="bottom"/>
          </w:tcPr>
          <w:p>
            <w:pPr>
              <w:jc w:val="center"/>
              <w:rPr>
                <w:rFonts w:eastAsia="宋体"/>
                <w:lang w:eastAsia="zh-CN"/>
              </w:rPr>
            </w:pPr>
          </w:p>
        </w:tc>
        <w:tc>
          <w:tcPr>
            <w:tcW w:w="107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2</w:t>
            </w:r>
            <w:r>
              <w:rPr>
                <w:rStyle w:val="73"/>
                <w:lang w:eastAsia="zh-CN" w:bidi="ar"/>
              </w:rPr>
              <w:t>、发动机功率</w:t>
            </w:r>
            <w:r>
              <w:rPr>
                <w:rFonts w:eastAsia="宋体"/>
                <w:sz w:val="18"/>
                <w:szCs w:val="18"/>
                <w:lang w:eastAsia="zh-CN" w:bidi="ar"/>
              </w:rPr>
              <w:t>≥250kw</w:t>
            </w:r>
            <w:r>
              <w:rPr>
                <w:rStyle w:val="73"/>
                <w:lang w:eastAsia="zh-CN" w:bidi="ar"/>
              </w:rPr>
              <w:t>；上车脚踏板全部采用新型鱼鳞式不锈钢材质，且用直径</w:t>
            </w:r>
            <w:r>
              <w:rPr>
                <w:rFonts w:eastAsia="宋体"/>
                <w:sz w:val="18"/>
                <w:szCs w:val="18"/>
                <w:lang w:eastAsia="zh-CN" w:bidi="ar"/>
              </w:rPr>
              <w:t>60mm</w:t>
            </w:r>
            <w:r>
              <w:rPr>
                <w:rStyle w:val="73"/>
                <w:lang w:eastAsia="zh-CN" w:bidi="ar"/>
              </w:rPr>
              <w:t>钢管将踏板与底盘连接固定。</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nil"/>
              <w:right w:val="nil"/>
            </w:tcBorders>
            <w:shd w:val="clear" w:color="auto" w:fill="auto"/>
            <w:noWrap/>
            <w:vAlign w:val="bottom"/>
          </w:tcPr>
          <w:p>
            <w:pPr>
              <w:jc w:val="center"/>
              <w:rPr>
                <w:rFonts w:eastAsia="宋体"/>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3</w:t>
            </w:r>
            <w:r>
              <w:rPr>
                <w:rStyle w:val="73"/>
                <w:lang w:eastAsia="zh-CN" w:bidi="ar"/>
              </w:rPr>
              <w:t>、尾气排放满足国Ⅵ以上标准；轮胎均为钢丝胎，并配有原装、原尺寸备胎。</w:t>
            </w:r>
          </w:p>
        </w:tc>
      </w:tr>
      <w:tr>
        <w:tblPrEx>
          <w:tblCellMar>
            <w:top w:w="0" w:type="dxa"/>
            <w:left w:w="108" w:type="dxa"/>
            <w:bottom w:w="0" w:type="dxa"/>
            <w:right w:w="108" w:type="dxa"/>
          </w:tblCellMar>
        </w:tblPrEx>
        <w:trPr>
          <w:trHeight w:val="27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Fonts w:eastAsia="宋体"/>
                <w:sz w:val="18"/>
                <w:szCs w:val="18"/>
                <w:lang w:eastAsia="zh-CN" w:bidi="ar"/>
              </w:rPr>
              <w:t>2</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Style w:val="73"/>
                <w:lang w:eastAsia="zh-CN" w:bidi="ar"/>
              </w:rPr>
              <w:t>驾驶室</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1</w:t>
            </w:r>
            <w:r>
              <w:rPr>
                <w:rStyle w:val="73"/>
                <w:lang w:eastAsia="zh-CN" w:bidi="ar"/>
              </w:rPr>
              <w:t>、原装驾驶室为双门单排，座位</w:t>
            </w:r>
            <w:r>
              <w:rPr>
                <w:rFonts w:eastAsia="宋体"/>
                <w:sz w:val="18"/>
                <w:szCs w:val="18"/>
                <w:lang w:eastAsia="zh-CN" w:bidi="ar"/>
              </w:rPr>
              <w:t>2</w:t>
            </w:r>
            <w:r>
              <w:rPr>
                <w:rStyle w:val="73"/>
                <w:lang w:eastAsia="zh-CN" w:bidi="ar"/>
              </w:rPr>
              <w:t>个，电源总开关安装驾驶室，切换时有声音提示；预留</w:t>
            </w:r>
            <w:r>
              <w:rPr>
                <w:rFonts w:eastAsia="宋体"/>
                <w:sz w:val="18"/>
                <w:szCs w:val="18"/>
                <w:lang w:eastAsia="zh-CN" w:bidi="ar"/>
              </w:rPr>
              <w:t>GPS</w:t>
            </w:r>
            <w:r>
              <w:rPr>
                <w:rStyle w:val="73"/>
                <w:lang w:eastAsia="zh-CN" w:bidi="ar"/>
              </w:rPr>
              <w:t>和笔记本电脑电源接口、电源接口</w:t>
            </w:r>
            <w:r>
              <w:rPr>
                <w:rFonts w:eastAsia="宋体"/>
                <w:sz w:val="18"/>
                <w:szCs w:val="18"/>
                <w:lang w:eastAsia="zh-CN" w:bidi="ar"/>
              </w:rPr>
              <w:t>(12V</w:t>
            </w:r>
            <w:r>
              <w:rPr>
                <w:rStyle w:val="73"/>
                <w:lang w:eastAsia="zh-CN" w:bidi="ar"/>
              </w:rPr>
              <w:t>、</w:t>
            </w:r>
            <w:r>
              <w:rPr>
                <w:rFonts w:eastAsia="宋体"/>
                <w:sz w:val="18"/>
                <w:szCs w:val="18"/>
                <w:lang w:eastAsia="zh-CN" w:bidi="ar"/>
              </w:rPr>
              <w:t>24V</w:t>
            </w:r>
            <w:r>
              <w:rPr>
                <w:rStyle w:val="73"/>
                <w:lang w:eastAsia="zh-CN" w:bidi="ar"/>
              </w:rPr>
              <w:t>、</w:t>
            </w:r>
            <w:r>
              <w:rPr>
                <w:rFonts w:eastAsia="宋体"/>
                <w:sz w:val="18"/>
                <w:szCs w:val="18"/>
                <w:lang w:eastAsia="zh-CN" w:bidi="ar"/>
              </w:rPr>
              <w:t>220v)</w:t>
            </w:r>
            <w:r>
              <w:rPr>
                <w:rStyle w:val="73"/>
                <w:lang w:eastAsia="zh-CN" w:bidi="ar"/>
              </w:rPr>
              <w:t>逆变器等。安装全景式行车记录仪辅助系统，</w:t>
            </w:r>
            <w:r>
              <w:rPr>
                <w:rFonts w:eastAsia="宋体"/>
                <w:sz w:val="18"/>
                <w:szCs w:val="18"/>
                <w:lang w:eastAsia="zh-CN" w:bidi="ar"/>
              </w:rPr>
              <w:t>360</w:t>
            </w:r>
            <w:r>
              <w:rPr>
                <w:rStyle w:val="73"/>
                <w:lang w:eastAsia="zh-CN" w:bidi="ar"/>
              </w:rPr>
              <w:t>度全景监控系统可通过车头、两侧及车尾的四个摄像头检测周围环境状态，形成</w:t>
            </w:r>
            <w:r>
              <w:rPr>
                <w:rFonts w:eastAsia="宋体"/>
                <w:sz w:val="18"/>
                <w:szCs w:val="18"/>
                <w:lang w:eastAsia="zh-CN" w:bidi="ar"/>
              </w:rPr>
              <w:t>360</w:t>
            </w:r>
            <w:r>
              <w:rPr>
                <w:rStyle w:val="73"/>
                <w:lang w:eastAsia="zh-CN" w:bidi="ar"/>
              </w:rPr>
              <w:t>度全景影像；配备不小于</w:t>
            </w:r>
            <w:r>
              <w:rPr>
                <w:rFonts w:eastAsia="宋体"/>
                <w:sz w:val="18"/>
                <w:szCs w:val="18"/>
                <w:lang w:eastAsia="zh-CN" w:bidi="ar"/>
              </w:rPr>
              <w:t>7</w:t>
            </w:r>
            <w:r>
              <w:rPr>
                <w:rStyle w:val="73"/>
                <w:lang w:eastAsia="zh-CN" w:bidi="ar"/>
              </w:rPr>
              <w:t>寸彩色显示屏，支持分屏和单屏，存储卡</w:t>
            </w:r>
            <w:r>
              <w:rPr>
                <w:rFonts w:eastAsia="宋体"/>
                <w:sz w:val="18"/>
                <w:szCs w:val="18"/>
                <w:lang w:eastAsia="zh-CN" w:bidi="ar"/>
              </w:rPr>
              <w:t>≥128G</w:t>
            </w:r>
            <w:r>
              <w:rPr>
                <w:rStyle w:val="73"/>
                <w:lang w:eastAsia="zh-CN" w:bidi="ar"/>
              </w:rPr>
              <w:t>，电动车窗，驾驶室翻转具有电动助力系统，采用双缸支撑机构，驾驶室翻转支撑结构可靠、耐用；</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2</w:t>
            </w:r>
            <w:r>
              <w:rPr>
                <w:rStyle w:val="73"/>
                <w:lang w:eastAsia="zh-CN" w:bidi="ar"/>
              </w:rPr>
              <w:t>、原装驾驶室为四门双排，座位</w:t>
            </w:r>
            <w:r>
              <w:rPr>
                <w:rFonts w:eastAsia="宋体"/>
                <w:sz w:val="18"/>
                <w:szCs w:val="18"/>
                <w:lang w:eastAsia="zh-CN" w:bidi="ar"/>
              </w:rPr>
              <w:t>≥6</w:t>
            </w:r>
            <w:r>
              <w:rPr>
                <w:rStyle w:val="73"/>
                <w:lang w:eastAsia="zh-CN" w:bidi="ar"/>
              </w:rPr>
              <w:t>个；所有座椅靠背内嵌</w:t>
            </w:r>
            <w:r>
              <w:rPr>
                <w:rFonts w:eastAsia="宋体"/>
                <w:sz w:val="18"/>
                <w:szCs w:val="18"/>
                <w:lang w:eastAsia="zh-CN" w:bidi="ar"/>
              </w:rPr>
              <w:t>6.8L</w:t>
            </w:r>
            <w:r>
              <w:rPr>
                <w:rStyle w:val="73"/>
                <w:lang w:eastAsia="zh-CN" w:bidi="ar"/>
              </w:rPr>
              <w:t>空气呼吸器支架</w:t>
            </w:r>
            <w:r>
              <w:rPr>
                <w:rFonts w:eastAsia="宋体"/>
                <w:sz w:val="18"/>
                <w:szCs w:val="18"/>
                <w:lang w:eastAsia="zh-CN" w:bidi="ar"/>
              </w:rPr>
              <w:t>≥4</w:t>
            </w:r>
            <w:r>
              <w:rPr>
                <w:rStyle w:val="73"/>
                <w:lang w:eastAsia="zh-CN" w:bidi="ar"/>
              </w:rPr>
              <w:t>个，乘员室内有足够的空间保证消防员乘坐及移动，座椅采用软质材料，配备安全带。</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3</w:t>
            </w:r>
            <w:r>
              <w:rPr>
                <w:rStyle w:val="73"/>
                <w:lang w:eastAsia="zh-CN" w:bidi="ar"/>
              </w:rPr>
              <w:t>、配备知名品牌车载台，与采购方通信指挥系统配套使用。</w:t>
            </w:r>
          </w:p>
        </w:tc>
      </w:tr>
      <w:tr>
        <w:tblPrEx>
          <w:tblCellMar>
            <w:top w:w="0" w:type="dxa"/>
            <w:left w:w="108" w:type="dxa"/>
            <w:bottom w:w="0" w:type="dxa"/>
            <w:right w:w="108" w:type="dxa"/>
          </w:tblCellMar>
        </w:tblPrEx>
        <w:trPr>
          <w:trHeight w:val="27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Fonts w:eastAsia="宋体"/>
                <w:sz w:val="18"/>
                <w:szCs w:val="18"/>
                <w:lang w:eastAsia="zh-CN" w:bidi="ar"/>
              </w:rPr>
              <w:t>3</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Style w:val="73"/>
                <w:lang w:eastAsia="zh-CN" w:bidi="ar"/>
              </w:rPr>
              <w:t>取力器</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1</w:t>
            </w:r>
            <w:r>
              <w:rPr>
                <w:rStyle w:val="73"/>
                <w:lang w:eastAsia="zh-CN" w:bidi="ar"/>
              </w:rPr>
              <w:t>、类</w:t>
            </w:r>
            <w:r>
              <w:rPr>
                <w:rFonts w:eastAsia="宋体"/>
                <w:sz w:val="18"/>
                <w:szCs w:val="18"/>
                <w:lang w:eastAsia="zh-CN" w:bidi="ar"/>
              </w:rPr>
              <w:t xml:space="preserve">    </w:t>
            </w:r>
            <w:r>
              <w:rPr>
                <w:rStyle w:val="73"/>
                <w:lang w:eastAsia="zh-CN" w:bidi="ar"/>
              </w:rPr>
              <w:t>型：全功率取力器；电磁阀、气动控制。</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2</w:t>
            </w:r>
            <w:r>
              <w:rPr>
                <w:rStyle w:val="73"/>
                <w:lang w:eastAsia="zh-CN" w:bidi="ar"/>
              </w:rPr>
              <w:t>、冷却方式：水冷，设有开关及放余水球阀；</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3</w:t>
            </w:r>
            <w:r>
              <w:rPr>
                <w:rStyle w:val="73"/>
                <w:lang w:eastAsia="zh-CN" w:bidi="ar"/>
              </w:rPr>
              <w:t>、控制方式：驾驶室设有控制开关带有明显标识及工作指示灯。</w:t>
            </w:r>
          </w:p>
        </w:tc>
      </w:tr>
      <w:tr>
        <w:tblPrEx>
          <w:tblCellMar>
            <w:top w:w="0" w:type="dxa"/>
            <w:left w:w="108" w:type="dxa"/>
            <w:bottom w:w="0" w:type="dxa"/>
            <w:right w:w="108" w:type="dxa"/>
          </w:tblCellMar>
        </w:tblPrEx>
        <w:trPr>
          <w:trHeight w:val="27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Fonts w:eastAsia="宋体"/>
                <w:sz w:val="18"/>
                <w:szCs w:val="18"/>
                <w:lang w:eastAsia="zh-CN" w:bidi="ar"/>
              </w:rPr>
              <w:t>4</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Style w:val="73"/>
                <w:lang w:eastAsia="zh-CN" w:bidi="ar"/>
              </w:rPr>
              <w:t>水液罐</w:t>
            </w:r>
            <w:r>
              <w:rPr>
                <w:rFonts w:eastAsia="宋体"/>
                <w:sz w:val="18"/>
                <w:szCs w:val="18"/>
                <w:lang w:eastAsia="zh-CN" w:bidi="ar"/>
              </w:rPr>
              <w:t xml:space="preserve"> </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1</w:t>
            </w:r>
            <w:r>
              <w:rPr>
                <w:rStyle w:val="73"/>
                <w:lang w:eastAsia="zh-CN" w:bidi="ar"/>
              </w:rPr>
              <w:t>、罐体质保期十年以上；载水量</w:t>
            </w:r>
            <w:r>
              <w:rPr>
                <w:rFonts w:eastAsia="宋体"/>
                <w:sz w:val="18"/>
                <w:szCs w:val="18"/>
                <w:lang w:eastAsia="zh-CN" w:bidi="ar"/>
              </w:rPr>
              <w:t>≥4</w:t>
            </w:r>
            <w:r>
              <w:rPr>
                <w:rStyle w:val="73"/>
                <w:lang w:eastAsia="zh-CN" w:bidi="ar"/>
              </w:rPr>
              <w:t>吨，载</w:t>
            </w:r>
            <w:r>
              <w:rPr>
                <w:rFonts w:eastAsia="宋体"/>
                <w:sz w:val="18"/>
                <w:szCs w:val="18"/>
                <w:lang w:eastAsia="zh-CN" w:bidi="ar"/>
              </w:rPr>
              <w:t>A</w:t>
            </w:r>
            <w:r>
              <w:rPr>
                <w:rStyle w:val="73"/>
                <w:lang w:eastAsia="zh-CN" w:bidi="ar"/>
              </w:rPr>
              <w:t>类泡沫</w:t>
            </w:r>
            <w:r>
              <w:rPr>
                <w:rFonts w:eastAsia="宋体"/>
                <w:sz w:val="18"/>
                <w:szCs w:val="18"/>
                <w:lang w:eastAsia="zh-CN" w:bidi="ar"/>
              </w:rPr>
              <w:t>≥0.2</w:t>
            </w:r>
            <w:r>
              <w:rPr>
                <w:rStyle w:val="73"/>
                <w:lang w:eastAsia="zh-CN" w:bidi="ar"/>
              </w:rPr>
              <w:t>吨，载</w:t>
            </w:r>
            <w:r>
              <w:rPr>
                <w:rFonts w:eastAsia="宋体"/>
                <w:sz w:val="18"/>
                <w:szCs w:val="18"/>
                <w:lang w:eastAsia="zh-CN" w:bidi="ar"/>
              </w:rPr>
              <w:t>B</w:t>
            </w:r>
            <w:r>
              <w:rPr>
                <w:rStyle w:val="73"/>
                <w:lang w:eastAsia="zh-CN" w:bidi="ar"/>
              </w:rPr>
              <w:t>类泡沫</w:t>
            </w:r>
            <w:r>
              <w:rPr>
                <w:rFonts w:eastAsia="宋体"/>
                <w:sz w:val="18"/>
                <w:szCs w:val="18"/>
                <w:lang w:eastAsia="zh-CN" w:bidi="ar"/>
              </w:rPr>
              <w:t>≥0.5</w:t>
            </w:r>
            <w:r>
              <w:rPr>
                <w:rStyle w:val="73"/>
                <w:lang w:eastAsia="zh-CN" w:bidi="ar"/>
              </w:rPr>
              <w:t>吨；罐体材质使用</w:t>
            </w:r>
            <w:r>
              <w:rPr>
                <w:rFonts w:eastAsia="宋体"/>
                <w:sz w:val="18"/>
                <w:szCs w:val="18"/>
                <w:lang w:eastAsia="zh-CN" w:bidi="ar"/>
              </w:rPr>
              <w:t>316</w:t>
            </w:r>
            <w:r>
              <w:rPr>
                <w:rStyle w:val="73"/>
                <w:lang w:eastAsia="zh-CN" w:bidi="ar"/>
              </w:rPr>
              <w:t>不锈钢板；</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2</w:t>
            </w:r>
            <w:r>
              <w:rPr>
                <w:rStyle w:val="73"/>
                <w:lang w:eastAsia="zh-CN" w:bidi="ar"/>
              </w:rPr>
              <w:t>、水罐、泡沫罐上方设有人孔，并带有快速锁紧或开启装置，内设纵、横防荡板；罐底设有排污口、罐内设有溢水口；设有液位指示器。</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3</w:t>
            </w:r>
            <w:r>
              <w:rPr>
                <w:rStyle w:val="73"/>
                <w:lang w:eastAsia="zh-CN" w:bidi="ar"/>
              </w:rPr>
              <w:t>、水罐的补水口设计在车身两侧，口径为</w:t>
            </w:r>
            <w:r>
              <w:rPr>
                <w:rFonts w:eastAsia="宋体"/>
                <w:sz w:val="18"/>
                <w:szCs w:val="18"/>
                <w:lang w:eastAsia="zh-CN" w:bidi="ar"/>
              </w:rPr>
              <w:t>80MM</w:t>
            </w:r>
            <w:r>
              <w:rPr>
                <w:rStyle w:val="73"/>
                <w:lang w:eastAsia="zh-CN" w:bidi="ar"/>
              </w:rPr>
              <w:t>。</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4</w:t>
            </w:r>
            <w:r>
              <w:rPr>
                <w:rStyle w:val="73"/>
                <w:lang w:eastAsia="zh-CN" w:bidi="ar"/>
              </w:rPr>
              <w:t>、水罐顶部进行防滑处理，并具有排水功能。</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5</w:t>
            </w:r>
            <w:r>
              <w:rPr>
                <w:rStyle w:val="73"/>
                <w:lang w:eastAsia="zh-CN" w:bidi="ar"/>
              </w:rPr>
              <w:t>、车顶安装手动拉梯装置，车厢设置一架通往车顶的爬梯。</w:t>
            </w:r>
          </w:p>
        </w:tc>
      </w:tr>
      <w:tr>
        <w:tblPrEx>
          <w:tblCellMar>
            <w:top w:w="0" w:type="dxa"/>
            <w:left w:w="108" w:type="dxa"/>
            <w:bottom w:w="0" w:type="dxa"/>
            <w:right w:w="108" w:type="dxa"/>
          </w:tblCellMar>
        </w:tblPrEx>
        <w:trPr>
          <w:trHeight w:val="270" w:hRule="atLeast"/>
        </w:trPr>
        <w:tc>
          <w:tcPr>
            <w:tcW w:w="612" w:type="dxa"/>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eastAsia="宋体"/>
                <w:sz w:val="18"/>
                <w:szCs w:val="18"/>
              </w:rPr>
            </w:pPr>
            <w:r>
              <w:rPr>
                <w:rFonts w:eastAsia="宋体"/>
                <w:sz w:val="18"/>
                <w:szCs w:val="18"/>
                <w:lang w:eastAsia="zh-CN" w:bidi="ar"/>
              </w:rPr>
              <w:t>5</w:t>
            </w:r>
          </w:p>
        </w:tc>
        <w:tc>
          <w:tcPr>
            <w:tcW w:w="1079" w:type="dxa"/>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eastAsia="宋体"/>
                <w:sz w:val="18"/>
                <w:szCs w:val="18"/>
              </w:rPr>
            </w:pPr>
            <w:r>
              <w:rPr>
                <w:rStyle w:val="73"/>
                <w:lang w:eastAsia="zh-CN" w:bidi="ar"/>
              </w:rPr>
              <w:t>水泵系统</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1</w:t>
            </w:r>
            <w:r>
              <w:rPr>
                <w:rStyle w:val="73"/>
                <w:lang w:eastAsia="zh-CN" w:bidi="ar"/>
              </w:rPr>
              <w:t>、泵室采用密封保温措施，并加装燃油式暖风机，暖风机功率</w:t>
            </w:r>
            <w:r>
              <w:rPr>
                <w:rFonts w:eastAsia="宋体"/>
                <w:sz w:val="18"/>
                <w:szCs w:val="18"/>
                <w:lang w:eastAsia="zh-CN" w:bidi="ar"/>
              </w:rPr>
              <w:t>≥8kw</w:t>
            </w:r>
            <w:r>
              <w:rPr>
                <w:rStyle w:val="73"/>
                <w:lang w:eastAsia="zh-CN" w:bidi="ar"/>
              </w:rPr>
              <w:t>，燃油通过车辆底盘油箱供给，可在驾驶室操作控制；</w:t>
            </w:r>
          </w:p>
        </w:tc>
      </w:tr>
      <w:tr>
        <w:tblPrEx>
          <w:tblCellMar>
            <w:top w:w="0" w:type="dxa"/>
            <w:left w:w="108" w:type="dxa"/>
            <w:bottom w:w="0" w:type="dxa"/>
            <w:right w:w="108" w:type="dxa"/>
          </w:tblCellMar>
        </w:tblPrEx>
        <w:trPr>
          <w:trHeight w:val="270" w:hRule="atLeast"/>
        </w:trPr>
        <w:tc>
          <w:tcPr>
            <w:tcW w:w="612" w:type="dxa"/>
            <w:vMerge w:val="continue"/>
            <w:tcBorders>
              <w:top w:val="nil"/>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nil"/>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2</w:t>
            </w:r>
            <w:r>
              <w:rPr>
                <w:rStyle w:val="73"/>
                <w:lang w:eastAsia="zh-CN" w:bidi="ar"/>
              </w:rPr>
              <w:t>、进口后置水泵，并在明显处安装水泵铭牌；流量：</w:t>
            </w:r>
            <w:r>
              <w:rPr>
                <w:rFonts w:eastAsia="宋体"/>
                <w:sz w:val="18"/>
                <w:szCs w:val="18"/>
                <w:lang w:eastAsia="zh-CN" w:bidi="ar"/>
              </w:rPr>
              <w:t>≥60L</w:t>
            </w:r>
            <w:r>
              <w:rPr>
                <w:rStyle w:val="73"/>
                <w:lang w:eastAsia="zh-CN" w:bidi="ar"/>
              </w:rPr>
              <w:t>／</w:t>
            </w:r>
            <w:r>
              <w:rPr>
                <w:rFonts w:eastAsia="宋体"/>
                <w:sz w:val="18"/>
                <w:szCs w:val="18"/>
                <w:lang w:eastAsia="zh-CN" w:bidi="ar"/>
              </w:rPr>
              <w:t xml:space="preserve">s </w:t>
            </w:r>
            <w:r>
              <w:rPr>
                <w:rStyle w:val="73"/>
                <w:lang w:eastAsia="zh-CN" w:bidi="ar"/>
              </w:rPr>
              <w:t>额定压力</w:t>
            </w:r>
            <w:r>
              <w:rPr>
                <w:rFonts w:eastAsia="宋体"/>
                <w:sz w:val="18"/>
                <w:szCs w:val="18"/>
                <w:lang w:eastAsia="zh-CN" w:bidi="ar"/>
              </w:rPr>
              <w:t>≥1.0Mpa</w:t>
            </w:r>
            <w:r>
              <w:rPr>
                <w:rStyle w:val="73"/>
                <w:lang w:eastAsia="zh-CN" w:bidi="ar"/>
              </w:rPr>
              <w:t>；配备</w:t>
            </w:r>
            <w:r>
              <w:rPr>
                <w:rFonts w:eastAsia="宋体"/>
                <w:sz w:val="18"/>
                <w:szCs w:val="18"/>
                <w:lang w:eastAsia="zh-CN" w:bidi="ar"/>
              </w:rPr>
              <w:t>2</w:t>
            </w:r>
            <w:r>
              <w:rPr>
                <w:rStyle w:val="73"/>
                <w:lang w:eastAsia="zh-CN" w:bidi="ar"/>
              </w:rPr>
              <w:t>个</w:t>
            </w:r>
            <w:r>
              <w:rPr>
                <w:rFonts w:eastAsia="宋体"/>
                <w:sz w:val="18"/>
                <w:szCs w:val="18"/>
                <w:lang w:eastAsia="zh-CN" w:bidi="ar"/>
              </w:rPr>
              <w:t>65mm</w:t>
            </w:r>
            <w:r>
              <w:rPr>
                <w:rStyle w:val="73"/>
                <w:lang w:eastAsia="zh-CN" w:bidi="ar"/>
              </w:rPr>
              <w:t>出泡沫口，</w:t>
            </w:r>
            <w:r>
              <w:rPr>
                <w:rFonts w:eastAsia="宋体"/>
                <w:sz w:val="18"/>
                <w:szCs w:val="18"/>
                <w:lang w:eastAsia="zh-CN" w:bidi="ar"/>
              </w:rPr>
              <w:t>4</w:t>
            </w:r>
            <w:r>
              <w:rPr>
                <w:rStyle w:val="73"/>
                <w:lang w:eastAsia="zh-CN" w:bidi="ar"/>
              </w:rPr>
              <w:t>个</w:t>
            </w:r>
            <w:r>
              <w:rPr>
                <w:rFonts w:eastAsia="宋体"/>
                <w:sz w:val="18"/>
                <w:szCs w:val="18"/>
                <w:lang w:eastAsia="zh-CN" w:bidi="ar"/>
              </w:rPr>
              <w:t>80mm</w:t>
            </w:r>
            <w:r>
              <w:rPr>
                <w:rStyle w:val="73"/>
                <w:lang w:eastAsia="zh-CN" w:bidi="ar"/>
              </w:rPr>
              <w:t>出水口；同时配备进口空气压缩机和进口电动泡沫泵，</w:t>
            </w:r>
            <w:r>
              <w:rPr>
                <w:rFonts w:eastAsia="宋体"/>
                <w:sz w:val="18"/>
                <w:szCs w:val="18"/>
                <w:lang w:eastAsia="zh-CN" w:bidi="ar"/>
              </w:rPr>
              <w:t>7m</w:t>
            </w:r>
            <w:r>
              <w:rPr>
                <w:rStyle w:val="73"/>
                <w:lang w:eastAsia="zh-CN" w:bidi="ar"/>
              </w:rPr>
              <w:t>吸深引水时间</w:t>
            </w:r>
            <w:r>
              <w:rPr>
                <w:rFonts w:eastAsia="宋体"/>
                <w:sz w:val="18"/>
                <w:szCs w:val="18"/>
                <w:lang w:eastAsia="zh-CN" w:bidi="ar"/>
              </w:rPr>
              <w:t>≤35s</w:t>
            </w:r>
            <w:r>
              <w:rPr>
                <w:rStyle w:val="73"/>
                <w:lang w:eastAsia="zh-CN" w:bidi="ar"/>
              </w:rPr>
              <w:t>，后置控制面板，能够显示各类工况实时数据，中文操作说明。</w:t>
            </w:r>
          </w:p>
        </w:tc>
      </w:tr>
      <w:tr>
        <w:tblPrEx>
          <w:tblCellMar>
            <w:top w:w="0" w:type="dxa"/>
            <w:left w:w="108" w:type="dxa"/>
            <w:bottom w:w="0" w:type="dxa"/>
            <w:right w:w="108" w:type="dxa"/>
          </w:tblCellMar>
        </w:tblPrEx>
        <w:trPr>
          <w:trHeight w:val="270" w:hRule="atLeast"/>
        </w:trPr>
        <w:tc>
          <w:tcPr>
            <w:tcW w:w="612" w:type="dxa"/>
            <w:vMerge w:val="continue"/>
            <w:tcBorders>
              <w:top w:val="nil"/>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nil"/>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3</w:t>
            </w:r>
            <w:r>
              <w:rPr>
                <w:rStyle w:val="73"/>
                <w:lang w:eastAsia="zh-CN" w:bidi="ar"/>
              </w:rPr>
              <w:t>、配备压缩空气泡沫系统，全自动泡沫比例混合器，混合调节范围不低于</w:t>
            </w:r>
            <w:r>
              <w:rPr>
                <w:rFonts w:eastAsia="宋体"/>
                <w:sz w:val="18"/>
                <w:szCs w:val="18"/>
                <w:lang w:eastAsia="zh-CN" w:bidi="ar"/>
              </w:rPr>
              <w:t>0.1%-1%</w:t>
            </w:r>
            <w:r>
              <w:rPr>
                <w:rStyle w:val="73"/>
                <w:lang w:eastAsia="zh-CN" w:bidi="ar"/>
              </w:rPr>
              <w:t>；泡沫泵流量</w:t>
            </w:r>
            <w:r>
              <w:rPr>
                <w:rFonts w:eastAsia="宋体"/>
                <w:sz w:val="18"/>
                <w:szCs w:val="18"/>
                <w:lang w:eastAsia="zh-CN" w:bidi="ar"/>
              </w:rPr>
              <w:t>≥15L/min</w:t>
            </w:r>
            <w:r>
              <w:rPr>
                <w:rStyle w:val="73"/>
                <w:lang w:eastAsia="zh-CN" w:bidi="ar"/>
              </w:rPr>
              <w:t>，配备压缩空气泡沫出口，泵室左右两侧各</w:t>
            </w:r>
            <w:r>
              <w:rPr>
                <w:rFonts w:eastAsia="宋体"/>
                <w:sz w:val="18"/>
                <w:szCs w:val="18"/>
                <w:lang w:eastAsia="zh-CN" w:bidi="ar"/>
              </w:rPr>
              <w:t>1</w:t>
            </w:r>
            <w:r>
              <w:rPr>
                <w:rStyle w:val="73"/>
                <w:lang w:eastAsia="zh-CN" w:bidi="ar"/>
              </w:rPr>
              <w:t>个，口径</w:t>
            </w:r>
            <w:r>
              <w:rPr>
                <w:rFonts w:eastAsia="宋体"/>
                <w:sz w:val="18"/>
                <w:szCs w:val="18"/>
                <w:lang w:eastAsia="zh-CN" w:bidi="ar"/>
              </w:rPr>
              <w:t>65mm</w:t>
            </w:r>
            <w:r>
              <w:rPr>
                <w:rStyle w:val="73"/>
                <w:lang w:eastAsia="zh-CN" w:bidi="ar"/>
              </w:rPr>
              <w:t>。</w:t>
            </w:r>
          </w:p>
        </w:tc>
      </w:tr>
      <w:tr>
        <w:tblPrEx>
          <w:tblCellMar>
            <w:top w:w="0" w:type="dxa"/>
            <w:left w:w="108" w:type="dxa"/>
            <w:bottom w:w="0" w:type="dxa"/>
            <w:right w:w="108" w:type="dxa"/>
          </w:tblCellMar>
        </w:tblPrEx>
        <w:trPr>
          <w:trHeight w:val="270" w:hRule="atLeast"/>
        </w:trPr>
        <w:tc>
          <w:tcPr>
            <w:tcW w:w="612" w:type="dxa"/>
            <w:vMerge w:val="continue"/>
            <w:tcBorders>
              <w:top w:val="nil"/>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nil"/>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4</w:t>
            </w:r>
            <w:r>
              <w:rPr>
                <w:rStyle w:val="73"/>
                <w:lang w:eastAsia="zh-CN" w:bidi="ar"/>
              </w:rPr>
              <w:t>、配备</w:t>
            </w:r>
            <w:r>
              <w:rPr>
                <w:rFonts w:eastAsia="宋体"/>
                <w:sz w:val="18"/>
                <w:szCs w:val="18"/>
                <w:lang w:eastAsia="zh-CN" w:bidi="ar"/>
              </w:rPr>
              <w:t>B</w:t>
            </w:r>
            <w:r>
              <w:rPr>
                <w:rStyle w:val="73"/>
                <w:lang w:eastAsia="zh-CN" w:bidi="ar"/>
              </w:rPr>
              <w:t>类系统，泡沫比例混合系统可在</w:t>
            </w:r>
            <w:r>
              <w:rPr>
                <w:rFonts w:eastAsia="宋体"/>
                <w:sz w:val="18"/>
                <w:szCs w:val="18"/>
                <w:lang w:eastAsia="zh-CN" w:bidi="ar"/>
              </w:rPr>
              <w:t>1-8%</w:t>
            </w:r>
            <w:r>
              <w:rPr>
                <w:rStyle w:val="73"/>
                <w:lang w:eastAsia="zh-CN" w:bidi="ar"/>
              </w:rPr>
              <w:t>无级自动调节。</w:t>
            </w:r>
          </w:p>
        </w:tc>
      </w:tr>
      <w:tr>
        <w:tblPrEx>
          <w:tblCellMar>
            <w:top w:w="0" w:type="dxa"/>
            <w:left w:w="108" w:type="dxa"/>
            <w:bottom w:w="0" w:type="dxa"/>
            <w:right w:w="108" w:type="dxa"/>
          </w:tblCellMar>
        </w:tblPrEx>
        <w:trPr>
          <w:trHeight w:val="270" w:hRule="atLeast"/>
        </w:trPr>
        <w:tc>
          <w:tcPr>
            <w:tcW w:w="612" w:type="dxa"/>
            <w:vMerge w:val="continue"/>
            <w:tcBorders>
              <w:top w:val="nil"/>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nil"/>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5</w:t>
            </w:r>
            <w:r>
              <w:rPr>
                <w:rStyle w:val="73"/>
                <w:lang w:eastAsia="zh-CN" w:bidi="ar"/>
              </w:rPr>
              <w:t>、泵室设置压缩空气泡沫系统电脑控制面板（满足</w:t>
            </w:r>
            <w:r>
              <w:rPr>
                <w:rFonts w:eastAsia="宋体"/>
                <w:sz w:val="18"/>
                <w:szCs w:val="18"/>
                <w:lang w:eastAsia="zh-CN" w:bidi="ar"/>
              </w:rPr>
              <w:t>A</w:t>
            </w:r>
            <w:r>
              <w:rPr>
                <w:rStyle w:val="73"/>
                <w:lang w:eastAsia="zh-CN" w:bidi="ar"/>
              </w:rPr>
              <w:t>、</w:t>
            </w:r>
            <w:r>
              <w:rPr>
                <w:rFonts w:eastAsia="宋体"/>
                <w:sz w:val="18"/>
                <w:szCs w:val="18"/>
                <w:lang w:eastAsia="zh-CN" w:bidi="ar"/>
              </w:rPr>
              <w:t>B</w:t>
            </w:r>
            <w:r>
              <w:rPr>
                <w:rStyle w:val="73"/>
                <w:lang w:eastAsia="zh-CN" w:bidi="ar"/>
              </w:rPr>
              <w:t>类泡沫操作需求），防护等级</w:t>
            </w:r>
            <w:r>
              <w:rPr>
                <w:rFonts w:eastAsia="宋体"/>
                <w:sz w:val="18"/>
                <w:szCs w:val="18"/>
                <w:lang w:eastAsia="zh-CN" w:bidi="ar"/>
              </w:rPr>
              <w:t>IP68</w:t>
            </w:r>
            <w:r>
              <w:rPr>
                <w:rStyle w:val="73"/>
                <w:lang w:eastAsia="zh-CN" w:bidi="ar"/>
              </w:rPr>
              <w:t>，并设中文讲解说明，同时在控制面板上设置，取力器、后启动按键。</w:t>
            </w:r>
          </w:p>
        </w:tc>
      </w:tr>
      <w:tr>
        <w:tblPrEx>
          <w:tblCellMar>
            <w:top w:w="0" w:type="dxa"/>
            <w:left w:w="108" w:type="dxa"/>
            <w:bottom w:w="0" w:type="dxa"/>
            <w:right w:w="108" w:type="dxa"/>
          </w:tblCellMar>
        </w:tblPrEx>
        <w:trPr>
          <w:trHeight w:val="27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Fonts w:eastAsia="宋体"/>
                <w:sz w:val="18"/>
                <w:szCs w:val="18"/>
                <w:lang w:eastAsia="zh-CN" w:bidi="ar"/>
              </w:rPr>
              <w:t>6</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Style w:val="73"/>
                <w:lang w:eastAsia="zh-CN" w:bidi="ar"/>
              </w:rPr>
              <w:t>消防炮</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1</w:t>
            </w:r>
            <w:r>
              <w:rPr>
                <w:rStyle w:val="73"/>
                <w:lang w:eastAsia="zh-CN" w:bidi="ar"/>
              </w:rPr>
              <w:t>、水炮配备泡沫炮头，水炮射程</w:t>
            </w:r>
            <w:r>
              <w:rPr>
                <w:rFonts w:eastAsia="宋体"/>
                <w:sz w:val="18"/>
                <w:szCs w:val="18"/>
                <w:lang w:eastAsia="zh-CN" w:bidi="ar"/>
              </w:rPr>
              <w:t>≥70</w:t>
            </w:r>
            <w:r>
              <w:rPr>
                <w:rStyle w:val="73"/>
                <w:lang w:eastAsia="zh-CN" w:bidi="ar"/>
              </w:rPr>
              <w:t>米，额定流量</w:t>
            </w:r>
            <w:r>
              <w:rPr>
                <w:rFonts w:eastAsia="宋体"/>
                <w:sz w:val="18"/>
                <w:szCs w:val="18"/>
                <w:lang w:eastAsia="zh-CN" w:bidi="ar"/>
              </w:rPr>
              <w:t>≥50L</w:t>
            </w:r>
            <w:r>
              <w:rPr>
                <w:rStyle w:val="73"/>
                <w:lang w:eastAsia="zh-CN" w:bidi="ar"/>
              </w:rPr>
              <w:t>／</w:t>
            </w:r>
            <w:r>
              <w:rPr>
                <w:rFonts w:eastAsia="宋体"/>
                <w:sz w:val="18"/>
                <w:szCs w:val="18"/>
                <w:lang w:eastAsia="zh-CN" w:bidi="ar"/>
              </w:rPr>
              <w:t>s</w:t>
            </w:r>
            <w:r>
              <w:rPr>
                <w:rStyle w:val="73"/>
                <w:lang w:eastAsia="zh-CN" w:bidi="ar"/>
              </w:rPr>
              <w:t>；</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2</w:t>
            </w:r>
            <w:r>
              <w:rPr>
                <w:rStyle w:val="73"/>
                <w:lang w:eastAsia="zh-CN" w:bidi="ar"/>
              </w:rPr>
              <w:t>、操控方式：无线遥控控制可对炮的仰俯、左右角度、射流形式进行调整，水炮左右旋转</w:t>
            </w:r>
            <w:r>
              <w:rPr>
                <w:rFonts w:eastAsia="宋体"/>
                <w:sz w:val="18"/>
                <w:szCs w:val="18"/>
                <w:lang w:eastAsia="zh-CN" w:bidi="ar"/>
              </w:rPr>
              <w:t>360°</w:t>
            </w:r>
            <w:r>
              <w:rPr>
                <w:rStyle w:val="73"/>
                <w:lang w:eastAsia="zh-CN" w:bidi="ar"/>
              </w:rPr>
              <w:t>，俯仰角度：</w:t>
            </w:r>
            <w:r>
              <w:rPr>
                <w:rFonts w:eastAsia="宋体"/>
                <w:sz w:val="18"/>
                <w:szCs w:val="18"/>
                <w:lang w:eastAsia="zh-CN" w:bidi="ar"/>
              </w:rPr>
              <w:t xml:space="preserve"> -30°—85°</w:t>
            </w:r>
            <w:r>
              <w:rPr>
                <w:rStyle w:val="73"/>
                <w:lang w:eastAsia="zh-CN" w:bidi="ar"/>
              </w:rPr>
              <w:t>。</w:t>
            </w:r>
          </w:p>
        </w:tc>
      </w:tr>
      <w:tr>
        <w:tblPrEx>
          <w:tblCellMar>
            <w:top w:w="0" w:type="dxa"/>
            <w:left w:w="108" w:type="dxa"/>
            <w:bottom w:w="0" w:type="dxa"/>
            <w:right w:w="108" w:type="dxa"/>
          </w:tblCellMar>
        </w:tblPrEx>
        <w:trPr>
          <w:trHeight w:val="27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Fonts w:eastAsia="宋体"/>
                <w:sz w:val="18"/>
                <w:szCs w:val="18"/>
                <w:lang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Style w:val="73"/>
                <w:lang w:eastAsia="zh-CN" w:bidi="ar"/>
              </w:rPr>
              <w:t>牵引装置</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1</w:t>
            </w:r>
            <w:r>
              <w:rPr>
                <w:rStyle w:val="73"/>
                <w:lang w:eastAsia="zh-CN" w:bidi="ar"/>
              </w:rPr>
              <w:t>、车头加装电动绞盘牵引系统，与底盘大梁硬连接，牵引力</w:t>
            </w:r>
            <w:r>
              <w:rPr>
                <w:rFonts w:eastAsia="宋体"/>
                <w:sz w:val="18"/>
                <w:szCs w:val="18"/>
                <w:lang w:eastAsia="zh-CN" w:bidi="ar"/>
              </w:rPr>
              <w:t>≥5</w:t>
            </w:r>
            <w:r>
              <w:rPr>
                <w:rStyle w:val="73"/>
                <w:lang w:eastAsia="zh-CN" w:bidi="ar"/>
              </w:rPr>
              <w:t>吨，钢丝绳直径</w:t>
            </w:r>
            <w:r>
              <w:rPr>
                <w:rFonts w:eastAsia="宋体"/>
                <w:sz w:val="18"/>
                <w:szCs w:val="18"/>
                <w:lang w:eastAsia="zh-CN" w:bidi="ar"/>
              </w:rPr>
              <w:t xml:space="preserve"> 10.2mm</w:t>
            </w:r>
            <w:r>
              <w:rPr>
                <w:rStyle w:val="73"/>
                <w:lang w:eastAsia="zh-CN" w:bidi="ar"/>
              </w:rPr>
              <w:t>，钢缆长度不得低于</w:t>
            </w:r>
            <w:r>
              <w:rPr>
                <w:rFonts w:eastAsia="宋体"/>
                <w:sz w:val="18"/>
                <w:szCs w:val="18"/>
                <w:lang w:eastAsia="zh-CN" w:bidi="ar"/>
              </w:rPr>
              <w:t>35</w:t>
            </w:r>
            <w:r>
              <w:rPr>
                <w:rStyle w:val="73"/>
                <w:lang w:eastAsia="zh-CN" w:bidi="ar"/>
              </w:rPr>
              <w:t>米，配备无线和有线遥控器，配有金属绞盘保护箱。</w:t>
            </w:r>
          </w:p>
        </w:tc>
      </w:tr>
      <w:tr>
        <w:tblPrEx>
          <w:tblCellMar>
            <w:top w:w="0" w:type="dxa"/>
            <w:left w:w="108" w:type="dxa"/>
            <w:bottom w:w="0" w:type="dxa"/>
            <w:right w:w="108" w:type="dxa"/>
          </w:tblCellMar>
        </w:tblPrEx>
        <w:trPr>
          <w:trHeight w:val="270" w:hRule="atLeast"/>
        </w:trPr>
        <w:tc>
          <w:tcPr>
            <w:tcW w:w="61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eastAsia="宋体"/>
                <w:sz w:val="18"/>
                <w:szCs w:val="18"/>
              </w:rPr>
            </w:pPr>
            <w:r>
              <w:rPr>
                <w:rFonts w:eastAsia="宋体"/>
                <w:sz w:val="18"/>
                <w:szCs w:val="18"/>
                <w:lang w:eastAsia="zh-CN" w:bidi="ar"/>
              </w:rPr>
              <w:t>8</w:t>
            </w:r>
          </w:p>
        </w:tc>
        <w:tc>
          <w:tcPr>
            <w:tcW w:w="1079"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eastAsia="宋体"/>
                <w:sz w:val="18"/>
                <w:szCs w:val="18"/>
              </w:rPr>
            </w:pPr>
            <w:r>
              <w:rPr>
                <w:rStyle w:val="73"/>
                <w:lang w:eastAsia="zh-CN" w:bidi="ar"/>
              </w:rPr>
              <w:t>器材箱</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1</w:t>
            </w:r>
            <w:r>
              <w:rPr>
                <w:rStyle w:val="73"/>
                <w:lang w:eastAsia="zh-CN" w:bidi="ar"/>
              </w:rPr>
              <w:t>、车厢（器材箱、泵室及内骨架）全部采用高强度铝合金型材，内饰板采用光面拉丝氧化铝板。车厢的骨架为全铝合金框架焊接式结构，外蒙皮需采用铝合金板粘接技术；车厢内器材骨架需采用铝合金型材搭接结构，内饰板和底板需采用光面拉丝铝合金板材。帘子门：铝合金材质，顶部设有导流槽，四周装有密封条，具有良好的防雨、防尘密封性能。配备拉杆式条锁把手、一点式拉带及两点式固定座；安装有传感器，可通过驾驶室内的指示灯了解帘子门开闭状态。</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2</w:t>
            </w:r>
            <w:r>
              <w:rPr>
                <w:rStyle w:val="73"/>
                <w:lang w:eastAsia="zh-CN" w:bidi="ar"/>
              </w:rPr>
              <w:t>、内设置照明灯（</w:t>
            </w:r>
            <w:r>
              <w:rPr>
                <w:rFonts w:eastAsia="宋体"/>
                <w:sz w:val="18"/>
                <w:szCs w:val="18"/>
                <w:lang w:eastAsia="zh-CN" w:bidi="ar"/>
              </w:rPr>
              <w:t>LED</w:t>
            </w:r>
            <w:r>
              <w:rPr>
                <w:rStyle w:val="73"/>
                <w:lang w:eastAsia="zh-CN" w:bidi="ar"/>
              </w:rPr>
              <w:t>），并设有箱门开启时照明感应开关；</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3</w:t>
            </w:r>
            <w:r>
              <w:rPr>
                <w:rStyle w:val="73"/>
                <w:lang w:eastAsia="zh-CN" w:bidi="ar"/>
              </w:rPr>
              <w:t>、车顶设置器材箱，铝合金型材，器材箱与车顶固定牢靠，可拆卸。</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4</w:t>
            </w:r>
            <w:r>
              <w:rPr>
                <w:rStyle w:val="73"/>
                <w:lang w:eastAsia="zh-CN" w:bidi="ar"/>
              </w:rPr>
              <w:t>、脚踏板：铝合金型材。，可承重</w:t>
            </w:r>
            <w:r>
              <w:rPr>
                <w:rFonts w:eastAsia="宋体"/>
                <w:sz w:val="18"/>
                <w:szCs w:val="18"/>
                <w:lang w:eastAsia="zh-CN" w:bidi="ar"/>
              </w:rPr>
              <w:t xml:space="preserve"> ≥300kg</w:t>
            </w:r>
            <w:r>
              <w:rPr>
                <w:rStyle w:val="73"/>
                <w:lang w:eastAsia="zh-CN" w:bidi="ar"/>
              </w:rPr>
              <w:t>，优先采用机械弹簧加锁销在内锁紧，开合可靠</w:t>
            </w:r>
          </w:p>
        </w:tc>
      </w:tr>
      <w:tr>
        <w:tblPrEx>
          <w:tblCellMar>
            <w:top w:w="0" w:type="dxa"/>
            <w:left w:w="108" w:type="dxa"/>
            <w:bottom w:w="0" w:type="dxa"/>
            <w:right w:w="108" w:type="dxa"/>
          </w:tblCellMar>
        </w:tblPrEx>
        <w:trPr>
          <w:trHeight w:val="270" w:hRule="atLeast"/>
        </w:trPr>
        <w:tc>
          <w:tcPr>
            <w:tcW w:w="61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eastAsia="宋体"/>
                <w:sz w:val="18"/>
                <w:szCs w:val="18"/>
              </w:rPr>
            </w:pPr>
            <w:r>
              <w:rPr>
                <w:rFonts w:eastAsia="宋体"/>
                <w:sz w:val="18"/>
                <w:szCs w:val="18"/>
                <w:lang w:eastAsia="zh-CN" w:bidi="ar"/>
              </w:rPr>
              <w:t>9</w:t>
            </w:r>
          </w:p>
        </w:tc>
        <w:tc>
          <w:tcPr>
            <w:tcW w:w="1079"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eastAsia="宋体"/>
                <w:sz w:val="18"/>
                <w:szCs w:val="18"/>
              </w:rPr>
            </w:pPr>
            <w:r>
              <w:rPr>
                <w:rStyle w:val="73"/>
                <w:lang w:eastAsia="zh-CN" w:bidi="ar"/>
              </w:rPr>
              <w:t>电气系统</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1</w:t>
            </w:r>
            <w:r>
              <w:rPr>
                <w:rStyle w:val="73"/>
                <w:lang w:eastAsia="zh-CN" w:bidi="ar"/>
              </w:rPr>
              <w:t>、驾驶室顶部前端装配有红色长排</w:t>
            </w:r>
            <w:r>
              <w:rPr>
                <w:rFonts w:eastAsia="宋体"/>
                <w:sz w:val="18"/>
                <w:szCs w:val="18"/>
                <w:lang w:eastAsia="zh-CN" w:bidi="ar"/>
              </w:rPr>
              <w:t>LED</w:t>
            </w:r>
            <w:r>
              <w:rPr>
                <w:rStyle w:val="73"/>
                <w:lang w:eastAsia="zh-CN" w:bidi="ar"/>
              </w:rPr>
              <w:t>警灯；车顶两侧装配红色频闪警灯；车辆两侧及后方，加装</w:t>
            </w:r>
            <w:r>
              <w:rPr>
                <w:rFonts w:eastAsia="宋体"/>
                <w:sz w:val="18"/>
                <w:szCs w:val="18"/>
                <w:lang w:eastAsia="zh-CN" w:bidi="ar"/>
              </w:rPr>
              <w:t>LED</w:t>
            </w:r>
            <w:r>
              <w:rPr>
                <w:rStyle w:val="73"/>
                <w:lang w:eastAsia="zh-CN" w:bidi="ar"/>
              </w:rPr>
              <w:t>长条照明射灯，左右各</w:t>
            </w:r>
            <w:r>
              <w:rPr>
                <w:rFonts w:eastAsia="宋体"/>
                <w:sz w:val="18"/>
                <w:szCs w:val="18"/>
                <w:lang w:eastAsia="zh-CN" w:bidi="ar"/>
              </w:rPr>
              <w:t>2</w:t>
            </w:r>
            <w:r>
              <w:rPr>
                <w:rStyle w:val="73"/>
                <w:lang w:eastAsia="zh-CN" w:bidi="ar"/>
              </w:rPr>
              <w:t>个，后侧</w:t>
            </w:r>
            <w:r>
              <w:rPr>
                <w:rFonts w:eastAsia="宋体"/>
                <w:sz w:val="18"/>
                <w:szCs w:val="18"/>
                <w:lang w:eastAsia="zh-CN" w:bidi="ar"/>
              </w:rPr>
              <w:t>1</w:t>
            </w:r>
            <w:r>
              <w:rPr>
                <w:rStyle w:val="73"/>
                <w:lang w:eastAsia="zh-CN" w:bidi="ar"/>
              </w:rPr>
              <w:t>个，照明功率</w:t>
            </w:r>
            <w:r>
              <w:rPr>
                <w:rFonts w:eastAsia="宋体"/>
                <w:sz w:val="18"/>
                <w:szCs w:val="18"/>
                <w:lang w:eastAsia="zh-CN" w:bidi="ar"/>
              </w:rPr>
              <w:t>≥200w</w:t>
            </w:r>
            <w:r>
              <w:rPr>
                <w:rStyle w:val="73"/>
                <w:lang w:eastAsia="zh-CN" w:bidi="ar"/>
              </w:rPr>
              <w:t>，所有控制开关设在驾驶室内。</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2</w:t>
            </w:r>
            <w:r>
              <w:rPr>
                <w:rStyle w:val="73"/>
                <w:lang w:eastAsia="zh-CN" w:bidi="ar"/>
              </w:rPr>
              <w:t>、警报器、警灯、电台、器材箱照明等上装部分电气为独立式附加电路，控制器件安装在驾驶室内，所有操作按钮有中文防水标识。</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3</w:t>
            </w:r>
            <w:r>
              <w:rPr>
                <w:rStyle w:val="73"/>
                <w:lang w:eastAsia="zh-CN" w:bidi="ar"/>
              </w:rPr>
              <w:t>、车顶加装单独照明升降系统，灯杆收缩复位后灯头高度不得高于车载炮，照明灯工作高度</w:t>
            </w:r>
            <w:r>
              <w:rPr>
                <w:rFonts w:eastAsia="宋体"/>
                <w:sz w:val="18"/>
                <w:szCs w:val="18"/>
                <w:lang w:eastAsia="zh-CN" w:bidi="ar"/>
              </w:rPr>
              <w:t>≥7</w:t>
            </w:r>
            <w:r>
              <w:rPr>
                <w:rStyle w:val="73"/>
                <w:lang w:eastAsia="zh-CN" w:bidi="ar"/>
              </w:rPr>
              <w:t>米，单个照明灯功率</w:t>
            </w:r>
            <w:r>
              <w:rPr>
                <w:rFonts w:eastAsia="宋体"/>
                <w:sz w:val="18"/>
                <w:szCs w:val="18"/>
                <w:lang w:eastAsia="zh-CN" w:bidi="ar"/>
              </w:rPr>
              <w:t>≥200W</w:t>
            </w:r>
            <w:r>
              <w:rPr>
                <w:rStyle w:val="73"/>
                <w:lang w:eastAsia="zh-CN" w:bidi="ar"/>
              </w:rPr>
              <w:t>，灯组</w:t>
            </w:r>
            <w:r>
              <w:rPr>
                <w:rFonts w:eastAsia="宋体"/>
                <w:sz w:val="18"/>
                <w:szCs w:val="18"/>
                <w:lang w:eastAsia="zh-CN" w:bidi="ar"/>
              </w:rPr>
              <w:t>≥4</w:t>
            </w:r>
            <w:r>
              <w:rPr>
                <w:rStyle w:val="73"/>
                <w:lang w:eastAsia="zh-CN" w:bidi="ar"/>
              </w:rPr>
              <w:t>个，灯头具有防水功能，照明灯采用</w:t>
            </w:r>
            <w:r>
              <w:rPr>
                <w:rFonts w:eastAsia="宋体"/>
                <w:sz w:val="18"/>
                <w:szCs w:val="18"/>
                <w:lang w:eastAsia="zh-CN" w:bidi="ar"/>
              </w:rPr>
              <w:t>LED</w:t>
            </w:r>
            <w:r>
              <w:rPr>
                <w:rStyle w:val="73"/>
                <w:lang w:eastAsia="zh-CN" w:bidi="ar"/>
              </w:rPr>
              <w:t>光源；数码静音式发电机，功率</w:t>
            </w:r>
            <w:r>
              <w:rPr>
                <w:rFonts w:eastAsia="宋体"/>
                <w:sz w:val="18"/>
                <w:szCs w:val="18"/>
                <w:lang w:eastAsia="zh-CN" w:bidi="ar"/>
              </w:rPr>
              <w:t>≥2.5KW</w:t>
            </w:r>
            <w:r>
              <w:rPr>
                <w:rStyle w:val="73"/>
                <w:lang w:eastAsia="zh-CN" w:bidi="ar"/>
              </w:rPr>
              <w:t>；灯组旋转</w:t>
            </w:r>
            <w:r>
              <w:rPr>
                <w:rFonts w:eastAsia="宋体"/>
                <w:sz w:val="18"/>
                <w:szCs w:val="18"/>
                <w:lang w:eastAsia="zh-CN" w:bidi="ar"/>
              </w:rPr>
              <w:t>≥300°</w:t>
            </w:r>
            <w:r>
              <w:rPr>
                <w:rStyle w:val="73"/>
                <w:lang w:eastAsia="zh-CN" w:bidi="ar"/>
              </w:rPr>
              <w:t>。</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4</w:t>
            </w:r>
            <w:r>
              <w:rPr>
                <w:rStyle w:val="73"/>
                <w:lang w:eastAsia="zh-CN" w:bidi="ar"/>
              </w:rPr>
              <w:t>、电气系统线路改装要求：整车电路标识清楚，每根电线都具备单独编号，整车电气系统线路采用铜芯或铜合金芯电线，正负电极线路颜色区分明显，改装线路具有防水、防尘性能，各线路捆扎整齐，线路铺设位置便于检查维修。改装线路裸露在车体外部、接近热源、靠近油箱等情况下应加装隔板或相应的保护。</w:t>
            </w:r>
          </w:p>
        </w:tc>
      </w:tr>
      <w:tr>
        <w:tblPrEx>
          <w:tblCellMar>
            <w:top w:w="0" w:type="dxa"/>
            <w:left w:w="108" w:type="dxa"/>
            <w:bottom w:w="0" w:type="dxa"/>
            <w:right w:w="108" w:type="dxa"/>
          </w:tblCellMar>
        </w:tblPrEx>
        <w:trPr>
          <w:trHeight w:val="270" w:hRule="atLeast"/>
        </w:trPr>
        <w:tc>
          <w:tcPr>
            <w:tcW w:w="61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eastAsia="宋体"/>
                <w:sz w:val="18"/>
                <w:szCs w:val="18"/>
              </w:rPr>
            </w:pPr>
            <w:r>
              <w:rPr>
                <w:rFonts w:eastAsia="宋体"/>
                <w:sz w:val="18"/>
                <w:szCs w:val="18"/>
                <w:lang w:eastAsia="zh-CN" w:bidi="ar"/>
              </w:rPr>
              <w:t>10</w:t>
            </w:r>
          </w:p>
        </w:tc>
        <w:tc>
          <w:tcPr>
            <w:tcW w:w="107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eastAsia="宋体"/>
                <w:sz w:val="18"/>
                <w:szCs w:val="18"/>
              </w:rPr>
            </w:pPr>
            <w:r>
              <w:rPr>
                <w:rStyle w:val="73"/>
                <w:lang w:eastAsia="zh-CN" w:bidi="ar"/>
              </w:rPr>
              <w:t>油箱</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1</w:t>
            </w:r>
            <w:r>
              <w:rPr>
                <w:rStyle w:val="73"/>
                <w:lang w:eastAsia="zh-CN" w:bidi="ar"/>
              </w:rPr>
              <w:t>、配有针对严寒地区的燃油油箱及管路加热保温系统。</w:t>
            </w:r>
          </w:p>
        </w:tc>
      </w:tr>
      <w:tr>
        <w:tblPrEx>
          <w:tblCellMar>
            <w:top w:w="0" w:type="dxa"/>
            <w:left w:w="108" w:type="dxa"/>
            <w:bottom w:w="0" w:type="dxa"/>
            <w:right w:w="108" w:type="dxa"/>
          </w:tblCellMar>
        </w:tblPrEx>
        <w:trPr>
          <w:trHeight w:val="27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Fonts w:eastAsia="宋体"/>
                <w:sz w:val="18"/>
                <w:szCs w:val="18"/>
                <w:lang w:eastAsia="zh-CN" w:bidi="ar"/>
              </w:rPr>
              <w:t>11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Style w:val="73"/>
                <w:lang w:eastAsia="zh-CN" w:bidi="ar"/>
              </w:rPr>
              <w:t>随车资料</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Style w:val="73"/>
                <w:lang w:eastAsia="zh-CN" w:bidi="ar"/>
              </w:rPr>
              <w:t>国家工信部认证证书、整车使用说明书、消防车使用说明书及电子版光盘、维修保养手册、整车合格证、消防泵、消防炮使用说明书、底盘随车工具和随车器材及易损件清单；操作培训视频，消防车</w:t>
            </w:r>
            <w:r>
              <w:rPr>
                <w:rFonts w:eastAsia="宋体"/>
                <w:sz w:val="18"/>
                <w:szCs w:val="18"/>
                <w:lang w:eastAsia="zh-CN" w:bidi="ar"/>
              </w:rPr>
              <w:t>VIN</w:t>
            </w:r>
            <w:r>
              <w:rPr>
                <w:rStyle w:val="73"/>
                <w:lang w:eastAsia="zh-CN" w:bidi="ar"/>
              </w:rPr>
              <w:t>码及发动机号拓印件。</w:t>
            </w:r>
          </w:p>
        </w:tc>
      </w:tr>
      <w:tr>
        <w:tblPrEx>
          <w:tblCellMar>
            <w:top w:w="0" w:type="dxa"/>
            <w:left w:w="108" w:type="dxa"/>
            <w:bottom w:w="0" w:type="dxa"/>
            <w:right w:w="108" w:type="dxa"/>
          </w:tblCellMar>
        </w:tblPrEx>
        <w:trPr>
          <w:trHeight w:val="270" w:hRule="atLeast"/>
        </w:trPr>
        <w:tc>
          <w:tcPr>
            <w:tcW w:w="612" w:type="dxa"/>
            <w:tcBorders>
              <w:top w:val="nil"/>
              <w:left w:val="single" w:color="000000" w:sz="4" w:space="0"/>
              <w:bottom w:val="nil"/>
              <w:right w:val="single" w:color="000000" w:sz="4" w:space="0"/>
            </w:tcBorders>
            <w:shd w:val="clear" w:color="auto" w:fill="auto"/>
            <w:vAlign w:val="center"/>
          </w:tcPr>
          <w:p>
            <w:pPr>
              <w:widowControl/>
              <w:jc w:val="center"/>
              <w:textAlignment w:val="center"/>
              <w:rPr>
                <w:rFonts w:eastAsia="宋体"/>
                <w:sz w:val="18"/>
                <w:szCs w:val="18"/>
              </w:rPr>
            </w:pPr>
            <w:r>
              <w:rPr>
                <w:rFonts w:eastAsia="宋体"/>
                <w:sz w:val="18"/>
                <w:szCs w:val="18"/>
                <w:lang w:eastAsia="zh-CN" w:bidi="ar"/>
              </w:rPr>
              <w:t>12</w:t>
            </w:r>
          </w:p>
        </w:tc>
        <w:tc>
          <w:tcPr>
            <w:tcW w:w="1079" w:type="dxa"/>
            <w:tcBorders>
              <w:top w:val="nil"/>
              <w:left w:val="single" w:color="000000" w:sz="4" w:space="0"/>
              <w:bottom w:val="nil"/>
              <w:right w:val="single" w:color="000000" w:sz="4" w:space="0"/>
            </w:tcBorders>
            <w:shd w:val="clear" w:color="auto" w:fill="auto"/>
            <w:vAlign w:val="center"/>
          </w:tcPr>
          <w:p>
            <w:pPr>
              <w:widowControl/>
              <w:jc w:val="center"/>
              <w:textAlignment w:val="center"/>
              <w:rPr>
                <w:rFonts w:eastAsia="宋体"/>
                <w:sz w:val="18"/>
                <w:szCs w:val="18"/>
              </w:rPr>
            </w:pPr>
            <w:r>
              <w:rPr>
                <w:rStyle w:val="73"/>
                <w:lang w:eastAsia="zh-CN" w:bidi="ar"/>
              </w:rPr>
              <w:t>随车器材</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1</w:t>
            </w:r>
            <w:r>
              <w:rPr>
                <w:rStyle w:val="73"/>
                <w:lang w:eastAsia="zh-CN" w:bidi="ar"/>
              </w:rPr>
              <w:t>、随车配备：</w:t>
            </w:r>
            <w:r>
              <w:rPr>
                <w:rFonts w:eastAsia="宋体"/>
                <w:sz w:val="18"/>
                <w:szCs w:val="18"/>
                <w:lang w:eastAsia="zh-CN" w:bidi="ar"/>
              </w:rPr>
              <w:t>65MM</w:t>
            </w:r>
            <w:r>
              <w:rPr>
                <w:rStyle w:val="73"/>
                <w:lang w:eastAsia="zh-CN" w:bidi="ar"/>
              </w:rPr>
              <w:t>水带</w:t>
            </w:r>
            <w:r>
              <w:rPr>
                <w:rFonts w:eastAsia="宋体"/>
                <w:sz w:val="18"/>
                <w:szCs w:val="18"/>
                <w:lang w:eastAsia="zh-CN" w:bidi="ar"/>
              </w:rPr>
              <w:t>≥200</w:t>
            </w:r>
            <w:r>
              <w:rPr>
                <w:rStyle w:val="73"/>
                <w:lang w:eastAsia="zh-CN" w:bidi="ar"/>
              </w:rPr>
              <w:t>米，</w:t>
            </w:r>
            <w:r>
              <w:rPr>
                <w:rFonts w:eastAsia="宋体"/>
                <w:sz w:val="18"/>
                <w:szCs w:val="18"/>
                <w:lang w:eastAsia="zh-CN" w:bidi="ar"/>
              </w:rPr>
              <w:t>80MM</w:t>
            </w:r>
            <w:r>
              <w:rPr>
                <w:rStyle w:val="73"/>
                <w:lang w:eastAsia="zh-CN" w:bidi="ar"/>
              </w:rPr>
              <w:t>水带</w:t>
            </w:r>
            <w:r>
              <w:rPr>
                <w:rFonts w:eastAsia="宋体"/>
                <w:sz w:val="18"/>
                <w:szCs w:val="18"/>
                <w:lang w:eastAsia="zh-CN" w:bidi="ar"/>
              </w:rPr>
              <w:t>≥200</w:t>
            </w:r>
            <w:r>
              <w:rPr>
                <w:rStyle w:val="73"/>
                <w:lang w:eastAsia="zh-CN" w:bidi="ar"/>
              </w:rPr>
              <w:t>米，异径转换接口</w:t>
            </w:r>
            <w:r>
              <w:rPr>
                <w:rFonts w:eastAsia="宋体"/>
                <w:sz w:val="18"/>
                <w:szCs w:val="18"/>
                <w:lang w:eastAsia="zh-CN" w:bidi="ar"/>
              </w:rPr>
              <w:t>4</w:t>
            </w:r>
            <w:r>
              <w:rPr>
                <w:rStyle w:val="73"/>
                <w:lang w:eastAsia="zh-CN" w:bidi="ar"/>
              </w:rPr>
              <w:t>个，异形转换接口</w:t>
            </w:r>
            <w:r>
              <w:rPr>
                <w:rFonts w:eastAsia="宋体"/>
                <w:sz w:val="18"/>
                <w:szCs w:val="18"/>
                <w:lang w:eastAsia="zh-CN" w:bidi="ar"/>
              </w:rPr>
              <w:t>4</w:t>
            </w:r>
            <w:r>
              <w:rPr>
                <w:rStyle w:val="73"/>
                <w:lang w:eastAsia="zh-CN" w:bidi="ar"/>
              </w:rPr>
              <w:t>个，町野式内扣分水器两个（三分水、两分水）、</w:t>
            </w:r>
            <w:r>
              <w:rPr>
                <w:rFonts w:eastAsia="宋体"/>
                <w:sz w:val="18"/>
                <w:szCs w:val="18"/>
                <w:lang w:eastAsia="zh-CN" w:bidi="ar"/>
              </w:rPr>
              <w:t>A</w:t>
            </w:r>
            <w:r>
              <w:rPr>
                <w:rStyle w:val="73"/>
                <w:lang w:eastAsia="zh-CN" w:bidi="ar"/>
              </w:rPr>
              <w:t>类泡沫枪</w:t>
            </w:r>
            <w:r>
              <w:rPr>
                <w:rFonts w:eastAsia="宋体"/>
                <w:sz w:val="18"/>
                <w:szCs w:val="18"/>
                <w:lang w:eastAsia="zh-CN" w:bidi="ar"/>
              </w:rPr>
              <w:t>4</w:t>
            </w:r>
            <w:r>
              <w:rPr>
                <w:rStyle w:val="73"/>
                <w:lang w:eastAsia="zh-CN" w:bidi="ar"/>
              </w:rPr>
              <w:t>把，</w:t>
            </w:r>
            <w:r>
              <w:rPr>
                <w:rFonts w:eastAsia="宋体"/>
                <w:sz w:val="18"/>
                <w:szCs w:val="18"/>
                <w:lang w:eastAsia="zh-CN" w:bidi="ar"/>
              </w:rPr>
              <w:t>19MM</w:t>
            </w:r>
            <w:r>
              <w:rPr>
                <w:rStyle w:val="73"/>
                <w:lang w:eastAsia="zh-CN" w:bidi="ar"/>
              </w:rPr>
              <w:t>直流开关水枪</w:t>
            </w:r>
            <w:r>
              <w:rPr>
                <w:rFonts w:eastAsia="宋体"/>
                <w:sz w:val="18"/>
                <w:szCs w:val="18"/>
                <w:lang w:eastAsia="zh-CN" w:bidi="ar"/>
              </w:rPr>
              <w:t>2</w:t>
            </w:r>
            <w:r>
              <w:rPr>
                <w:rStyle w:val="73"/>
                <w:lang w:eastAsia="zh-CN" w:bidi="ar"/>
              </w:rPr>
              <w:t>把，无后坐力水枪</w:t>
            </w:r>
            <w:r>
              <w:rPr>
                <w:rFonts w:eastAsia="宋体"/>
                <w:sz w:val="18"/>
                <w:szCs w:val="18"/>
                <w:lang w:eastAsia="zh-CN" w:bidi="ar"/>
              </w:rPr>
              <w:t>2</w:t>
            </w:r>
            <w:r>
              <w:rPr>
                <w:rStyle w:val="73"/>
                <w:lang w:eastAsia="zh-CN" w:bidi="ar"/>
              </w:rPr>
              <w:t>把，滤水器</w:t>
            </w:r>
            <w:r>
              <w:rPr>
                <w:rFonts w:eastAsia="宋体"/>
                <w:sz w:val="18"/>
                <w:szCs w:val="18"/>
                <w:lang w:eastAsia="zh-CN" w:bidi="ar"/>
              </w:rPr>
              <w:t>1</w:t>
            </w:r>
            <w:r>
              <w:rPr>
                <w:rStyle w:val="73"/>
                <w:lang w:eastAsia="zh-CN" w:bidi="ar"/>
              </w:rPr>
              <w:t>个、消防栓扳手</w:t>
            </w:r>
            <w:r>
              <w:rPr>
                <w:rFonts w:eastAsia="宋体"/>
                <w:sz w:val="18"/>
                <w:szCs w:val="18"/>
                <w:lang w:eastAsia="zh-CN" w:bidi="ar"/>
              </w:rPr>
              <w:t>2</w:t>
            </w:r>
            <w:r>
              <w:rPr>
                <w:rStyle w:val="73"/>
                <w:lang w:eastAsia="zh-CN" w:bidi="ar"/>
              </w:rPr>
              <w:t>副，哈利根铁挺</w:t>
            </w:r>
            <w:r>
              <w:rPr>
                <w:rFonts w:eastAsia="宋体"/>
                <w:sz w:val="18"/>
                <w:szCs w:val="18"/>
                <w:lang w:eastAsia="zh-CN" w:bidi="ar"/>
              </w:rPr>
              <w:t>1</w:t>
            </w:r>
            <w:r>
              <w:rPr>
                <w:rStyle w:val="73"/>
                <w:lang w:eastAsia="zh-CN" w:bidi="ar"/>
              </w:rPr>
              <w:t>把，竹制二节拉梯</w:t>
            </w:r>
            <w:r>
              <w:rPr>
                <w:rFonts w:eastAsia="宋体"/>
                <w:sz w:val="18"/>
                <w:szCs w:val="18"/>
                <w:lang w:eastAsia="zh-CN" w:bidi="ar"/>
              </w:rPr>
              <w:t>1</w:t>
            </w:r>
            <w:r>
              <w:rPr>
                <w:rStyle w:val="73"/>
                <w:lang w:eastAsia="zh-CN" w:bidi="ar"/>
              </w:rPr>
              <w:t>把，轮楔两副，汽油桶两个（</w:t>
            </w:r>
            <w:r>
              <w:rPr>
                <w:rFonts w:eastAsia="宋体"/>
                <w:sz w:val="18"/>
                <w:szCs w:val="18"/>
                <w:lang w:eastAsia="zh-CN" w:bidi="ar"/>
              </w:rPr>
              <w:t>≥25</w:t>
            </w:r>
            <w:r>
              <w:rPr>
                <w:rStyle w:val="73"/>
                <w:lang w:eastAsia="zh-CN" w:bidi="ar"/>
              </w:rPr>
              <w:t>升），泡沫输转泵（</w:t>
            </w:r>
            <w:r>
              <w:rPr>
                <w:rFonts w:eastAsia="宋体"/>
                <w:sz w:val="18"/>
                <w:szCs w:val="18"/>
                <w:lang w:eastAsia="zh-CN" w:bidi="ar"/>
              </w:rPr>
              <w:t>10L/S</w:t>
            </w:r>
            <w:r>
              <w:rPr>
                <w:rStyle w:val="73"/>
                <w:lang w:eastAsia="zh-CN" w:bidi="ar"/>
              </w:rPr>
              <w:t>）及配套水带、洗液管，</w:t>
            </w:r>
            <w:r>
              <w:rPr>
                <w:rFonts w:eastAsia="宋体"/>
                <w:sz w:val="18"/>
                <w:szCs w:val="18"/>
                <w:lang w:eastAsia="zh-CN" w:bidi="ar"/>
              </w:rPr>
              <w:t>50</w:t>
            </w:r>
            <w:r>
              <w:rPr>
                <w:rStyle w:val="73"/>
                <w:lang w:eastAsia="zh-CN" w:bidi="ar"/>
              </w:rPr>
              <w:t>米线盘。</w:t>
            </w:r>
          </w:p>
        </w:tc>
      </w:tr>
      <w:tr>
        <w:tblPrEx>
          <w:tblCellMar>
            <w:top w:w="0" w:type="dxa"/>
            <w:left w:w="108" w:type="dxa"/>
            <w:bottom w:w="0" w:type="dxa"/>
            <w:right w:w="108" w:type="dxa"/>
          </w:tblCellMar>
        </w:tblPrEx>
        <w:trPr>
          <w:trHeight w:val="27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Fonts w:eastAsia="宋体"/>
                <w:sz w:val="18"/>
                <w:szCs w:val="18"/>
                <w:lang w:eastAsia="zh-CN" w:bidi="ar"/>
              </w:rPr>
              <w:t>13</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sz w:val="18"/>
                <w:szCs w:val="18"/>
              </w:rPr>
            </w:pPr>
            <w:r>
              <w:rPr>
                <w:rStyle w:val="73"/>
                <w:lang w:eastAsia="zh-CN" w:bidi="ar"/>
              </w:rPr>
              <w:t>总体要求</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1</w:t>
            </w:r>
            <w:r>
              <w:rPr>
                <w:rStyle w:val="73"/>
                <w:lang w:eastAsia="zh-CN" w:bidi="ar"/>
              </w:rPr>
              <w:t>、所有操作开关、仪表、器材架及车辆均有符合规范的中文防水标识铭牌；加装应急充电、充气装置。</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2</w:t>
            </w:r>
            <w:r>
              <w:rPr>
                <w:rStyle w:val="73"/>
                <w:lang w:eastAsia="zh-CN" w:bidi="ar"/>
              </w:rPr>
              <w:t>、整车性能符合</w:t>
            </w:r>
            <w:r>
              <w:rPr>
                <w:rFonts w:eastAsia="宋体"/>
                <w:sz w:val="18"/>
                <w:szCs w:val="18"/>
                <w:lang w:eastAsia="zh-CN" w:bidi="ar"/>
              </w:rPr>
              <w:t>GB7956.6-2015</w:t>
            </w:r>
            <w:r>
              <w:rPr>
                <w:rStyle w:val="73"/>
                <w:lang w:eastAsia="zh-CN" w:bidi="ar"/>
              </w:rPr>
              <w:t>的规定。</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3</w:t>
            </w:r>
            <w:r>
              <w:rPr>
                <w:rStyle w:val="73"/>
                <w:lang w:eastAsia="zh-CN" w:bidi="ar"/>
              </w:rPr>
              <w:t>、车顶设有高度为</w:t>
            </w:r>
            <w:r>
              <w:rPr>
                <w:rFonts w:eastAsia="宋体"/>
                <w:sz w:val="18"/>
                <w:szCs w:val="18"/>
                <w:lang w:eastAsia="zh-CN" w:bidi="ar"/>
              </w:rPr>
              <w:t>150mm</w:t>
            </w:r>
            <w:r>
              <w:rPr>
                <w:rStyle w:val="73"/>
                <w:lang w:eastAsia="zh-CN" w:bidi="ar"/>
              </w:rPr>
              <w:t>～</w:t>
            </w:r>
            <w:r>
              <w:rPr>
                <w:rFonts w:eastAsia="宋体"/>
                <w:sz w:val="18"/>
                <w:szCs w:val="18"/>
                <w:lang w:eastAsia="zh-CN" w:bidi="ar"/>
              </w:rPr>
              <w:t>200mm</w:t>
            </w:r>
            <w:r>
              <w:rPr>
                <w:rStyle w:val="73"/>
                <w:lang w:eastAsia="zh-CN" w:bidi="ar"/>
              </w:rPr>
              <w:t>的防护栏板、车顶铺设</w:t>
            </w:r>
            <w:r>
              <w:rPr>
                <w:rFonts w:eastAsia="宋体"/>
                <w:sz w:val="18"/>
                <w:szCs w:val="18"/>
                <w:lang w:eastAsia="zh-CN" w:bidi="ar"/>
              </w:rPr>
              <w:t>2mm</w:t>
            </w:r>
            <w:r>
              <w:rPr>
                <w:rStyle w:val="73"/>
                <w:lang w:eastAsia="zh-CN" w:bidi="ar"/>
              </w:rPr>
              <w:t>防滑花纹板并设置锚点装置；车辆后尾部设有铝合金爬梯。</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4</w:t>
            </w:r>
            <w:r>
              <w:rPr>
                <w:rStyle w:val="73"/>
                <w:lang w:eastAsia="zh-CN" w:bidi="ar"/>
              </w:rPr>
              <w:t>、车用易损件按照</w:t>
            </w:r>
            <w:r>
              <w:rPr>
                <w:rFonts w:eastAsia="宋体"/>
                <w:sz w:val="18"/>
                <w:szCs w:val="18"/>
                <w:lang w:eastAsia="zh-CN" w:bidi="ar"/>
              </w:rPr>
              <w:t>1:2</w:t>
            </w:r>
            <w:r>
              <w:rPr>
                <w:rStyle w:val="73"/>
                <w:lang w:eastAsia="zh-CN" w:bidi="ar"/>
              </w:rPr>
              <w:t>随车配备，交车时燃油量处于满载状态。</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5</w:t>
            </w:r>
            <w:r>
              <w:rPr>
                <w:rStyle w:val="73"/>
                <w:lang w:eastAsia="zh-CN" w:bidi="ar"/>
              </w:rPr>
              <w:t>、整车质保期</w:t>
            </w:r>
            <w:r>
              <w:rPr>
                <w:rFonts w:eastAsia="宋体"/>
                <w:sz w:val="18"/>
                <w:szCs w:val="18"/>
                <w:lang w:eastAsia="zh-CN" w:bidi="ar"/>
              </w:rPr>
              <w:t>5</w:t>
            </w:r>
            <w:r>
              <w:rPr>
                <w:rStyle w:val="73"/>
                <w:lang w:eastAsia="zh-CN" w:bidi="ar"/>
              </w:rPr>
              <w:t>年，水罐质保</w:t>
            </w:r>
            <w:r>
              <w:rPr>
                <w:rFonts w:eastAsia="宋体"/>
                <w:sz w:val="18"/>
                <w:szCs w:val="18"/>
                <w:lang w:eastAsia="zh-CN" w:bidi="ar"/>
              </w:rPr>
              <w:t>10</w:t>
            </w:r>
            <w:r>
              <w:rPr>
                <w:rStyle w:val="73"/>
                <w:lang w:eastAsia="zh-CN" w:bidi="ar"/>
              </w:rPr>
              <w:t>年，质保期间免费维修，底盘出厂日期不早于</w:t>
            </w:r>
            <w:r>
              <w:rPr>
                <w:rFonts w:eastAsia="宋体"/>
                <w:sz w:val="18"/>
                <w:szCs w:val="18"/>
                <w:lang w:eastAsia="zh-CN" w:bidi="ar"/>
              </w:rPr>
              <w:t>2023</w:t>
            </w:r>
            <w:r>
              <w:rPr>
                <w:rStyle w:val="73"/>
                <w:lang w:eastAsia="zh-CN" w:bidi="ar"/>
              </w:rPr>
              <w:t>年</w:t>
            </w:r>
            <w:r>
              <w:rPr>
                <w:rFonts w:eastAsia="宋体"/>
                <w:sz w:val="18"/>
                <w:szCs w:val="18"/>
                <w:lang w:eastAsia="zh-CN" w:bidi="ar"/>
              </w:rPr>
              <w:t>1</w:t>
            </w:r>
            <w:r>
              <w:rPr>
                <w:rStyle w:val="73"/>
                <w:lang w:eastAsia="zh-CN" w:bidi="ar"/>
              </w:rPr>
              <w:t>月</w:t>
            </w:r>
            <w:r>
              <w:rPr>
                <w:rFonts w:eastAsia="宋体"/>
                <w:sz w:val="18"/>
                <w:szCs w:val="18"/>
                <w:lang w:eastAsia="zh-CN" w:bidi="ar"/>
              </w:rPr>
              <w:t>1</w:t>
            </w:r>
            <w:r>
              <w:rPr>
                <w:rStyle w:val="73"/>
                <w:lang w:eastAsia="zh-CN" w:bidi="ar"/>
              </w:rPr>
              <w:t>日。</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6</w:t>
            </w:r>
            <w:r>
              <w:rPr>
                <w:rStyle w:val="73"/>
                <w:lang w:eastAsia="zh-CN" w:bidi="ar"/>
              </w:rPr>
              <w:t>、投标时，投标商要提供整车设计效果图，包括整体结构图、三维效果图等。</w:t>
            </w:r>
          </w:p>
        </w:tc>
      </w:tr>
      <w:tr>
        <w:tblPrEx>
          <w:tblCellMar>
            <w:top w:w="0" w:type="dxa"/>
            <w:left w:w="108" w:type="dxa"/>
            <w:bottom w:w="0" w:type="dxa"/>
            <w:right w:w="108" w:type="dxa"/>
          </w:tblCellMar>
        </w:tblPrEx>
        <w:trPr>
          <w:trHeight w:val="27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sz w:val="18"/>
                <w:szCs w:val="18"/>
                <w:lang w:eastAsia="zh-CN"/>
              </w:rPr>
            </w:pP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宋体"/>
                <w:sz w:val="18"/>
                <w:szCs w:val="18"/>
                <w:lang w:eastAsia="zh-CN"/>
              </w:rPr>
            </w:pPr>
            <w:r>
              <w:rPr>
                <w:rFonts w:eastAsia="宋体"/>
                <w:sz w:val="18"/>
                <w:szCs w:val="18"/>
                <w:lang w:eastAsia="zh-CN" w:bidi="ar"/>
              </w:rPr>
              <w:t>7</w:t>
            </w:r>
            <w:r>
              <w:rPr>
                <w:rStyle w:val="73"/>
                <w:lang w:eastAsia="zh-CN" w:bidi="ar"/>
              </w:rPr>
              <w:t>、按照应急管理部消防局最新车辆喷涂标识规定对车身进行喷涂、并对车辆轮毂进行喷涂，颜色为红白相间。</w:t>
            </w:r>
          </w:p>
        </w:tc>
      </w:tr>
    </w:tbl>
    <w:p>
      <w:pPr>
        <w:pStyle w:val="12"/>
        <w:spacing w:line="400" w:lineRule="exact"/>
        <w:rPr>
          <w:rFonts w:ascii="Times New Roman" w:hAnsi="宋体" w:cs="Times New Roman"/>
          <w:b/>
          <w:bCs/>
          <w:color w:val="auto"/>
          <w:kern w:val="2"/>
          <w:sz w:val="21"/>
          <w:szCs w:val="20"/>
        </w:rPr>
      </w:pPr>
      <w:bookmarkStart w:id="51" w:name="_Toc267320052"/>
      <w:bookmarkStart w:id="52" w:name="_Toc340225294"/>
    </w:p>
    <w:p>
      <w:pPr>
        <w:pStyle w:val="12"/>
        <w:spacing w:line="400" w:lineRule="exact"/>
        <w:ind w:firstLine="422" w:firstLineChars="200"/>
        <w:rPr>
          <w:rFonts w:ascii="Times New Roman" w:hAnsi="宋体" w:cs="Times New Roman"/>
          <w:b/>
          <w:bCs/>
          <w:color w:val="auto"/>
          <w:kern w:val="2"/>
          <w:sz w:val="21"/>
          <w:szCs w:val="20"/>
        </w:rPr>
      </w:pPr>
      <w:r>
        <w:rPr>
          <w:rFonts w:hint="eastAsia" w:ascii="Times New Roman" w:hAnsi="宋体" w:cs="Times New Roman"/>
          <w:b/>
          <w:bCs/>
          <w:color w:val="auto"/>
          <w:kern w:val="2"/>
          <w:sz w:val="21"/>
          <w:szCs w:val="20"/>
        </w:rPr>
        <w:t>备注：</w:t>
      </w:r>
    </w:p>
    <w:p>
      <w:pPr>
        <w:pStyle w:val="22"/>
        <w:spacing w:line="400" w:lineRule="exact"/>
        <w:ind w:left="0" w:leftChars="0" w:firstLine="482" w:firstLineChars="200"/>
        <w:rPr>
          <w:rFonts w:ascii="宋体" w:hAnsi="宋体" w:eastAsia="宋体" w:cs="仿宋_GB2312"/>
          <w:b/>
          <w:kern w:val="0"/>
          <w:sz w:val="21"/>
          <w:szCs w:val="22"/>
          <w:lang w:eastAsia="zh-CN" w:bidi="ar-SA"/>
        </w:rPr>
      </w:pPr>
      <w:r>
        <w:rPr>
          <w:rFonts w:hint="eastAsia" w:ascii="宋体" w:hAnsi="宋体" w:eastAsia="宋体" w:cs="仿宋_GB2312"/>
          <w:b/>
          <w:kern w:val="0"/>
          <w:sz w:val="21"/>
          <w:szCs w:val="22"/>
          <w:lang w:eastAsia="zh-CN" w:bidi="ar-SA"/>
        </w:rPr>
        <w:t>2.投标企业</w:t>
      </w:r>
      <w:r>
        <w:rPr>
          <w:rFonts w:ascii="宋体" w:hAnsi="宋体" w:eastAsia="宋体" w:cs="仿宋_GB2312"/>
          <w:b/>
          <w:kern w:val="0"/>
          <w:sz w:val="21"/>
          <w:szCs w:val="22"/>
          <w:lang w:eastAsia="zh-CN" w:bidi="ar-SA"/>
        </w:rPr>
        <w:t>报价必须考虑事宜如下：从采购、运输</w:t>
      </w:r>
      <w:r>
        <w:rPr>
          <w:rFonts w:hint="eastAsia" w:ascii="宋体" w:hAnsi="宋体" w:eastAsia="宋体" w:cs="仿宋_GB2312"/>
          <w:b/>
          <w:kern w:val="0"/>
          <w:sz w:val="21"/>
          <w:szCs w:val="22"/>
          <w:lang w:eastAsia="zh-CN" w:bidi="ar-SA"/>
        </w:rPr>
        <w:t>、税金</w:t>
      </w:r>
      <w:r>
        <w:rPr>
          <w:rFonts w:ascii="宋体" w:hAnsi="宋体" w:eastAsia="宋体" w:cs="仿宋_GB2312"/>
          <w:b/>
          <w:kern w:val="0"/>
          <w:sz w:val="21"/>
          <w:szCs w:val="22"/>
          <w:lang w:eastAsia="zh-CN" w:bidi="ar-SA"/>
        </w:rPr>
        <w:t>、</w:t>
      </w:r>
      <w:r>
        <w:rPr>
          <w:rFonts w:hint="eastAsia" w:ascii="宋体" w:hAnsi="宋体" w:eastAsia="宋体" w:cs="仿宋_GB2312"/>
          <w:b/>
          <w:kern w:val="0"/>
          <w:sz w:val="21"/>
          <w:szCs w:val="22"/>
          <w:lang w:eastAsia="zh-CN" w:bidi="ar-SA"/>
        </w:rPr>
        <w:t>安装维修、</w:t>
      </w:r>
      <w:r>
        <w:rPr>
          <w:rFonts w:ascii="宋体" w:hAnsi="宋体" w:eastAsia="宋体" w:cs="仿宋_GB2312"/>
          <w:b/>
          <w:kern w:val="0"/>
          <w:sz w:val="21"/>
          <w:szCs w:val="22"/>
          <w:lang w:eastAsia="zh-CN" w:bidi="ar-SA"/>
        </w:rPr>
        <w:t>卸货至指定地点、验收合格、交付使用及售后服务等的人民币报价。</w:t>
      </w:r>
      <w:r>
        <w:rPr>
          <w:rFonts w:hint="eastAsia" w:ascii="宋体" w:hAnsi="宋体" w:eastAsia="宋体" w:cs="仿宋_GB2312"/>
          <w:b/>
          <w:kern w:val="0"/>
          <w:sz w:val="21"/>
          <w:szCs w:val="22"/>
          <w:lang w:eastAsia="zh-CN" w:bidi="ar-SA"/>
        </w:rPr>
        <w:t>报价</w:t>
      </w:r>
      <w:r>
        <w:rPr>
          <w:rFonts w:ascii="宋体" w:hAnsi="宋体" w:eastAsia="宋体" w:cs="仿宋_GB2312"/>
          <w:b/>
          <w:kern w:val="0"/>
          <w:sz w:val="21"/>
          <w:szCs w:val="22"/>
          <w:lang w:eastAsia="zh-CN" w:bidi="ar-SA"/>
        </w:rPr>
        <w:t>包括了货物</w:t>
      </w:r>
      <w:r>
        <w:rPr>
          <w:rFonts w:hint="eastAsia" w:ascii="宋体" w:hAnsi="宋体" w:eastAsia="宋体" w:cs="仿宋_GB2312"/>
          <w:b/>
          <w:kern w:val="0"/>
          <w:sz w:val="21"/>
          <w:szCs w:val="22"/>
          <w:lang w:eastAsia="zh-CN" w:bidi="ar-SA"/>
        </w:rPr>
        <w:t>本身价格</w:t>
      </w:r>
      <w:r>
        <w:rPr>
          <w:rFonts w:ascii="宋体" w:hAnsi="宋体" w:eastAsia="宋体" w:cs="仿宋_GB2312"/>
          <w:b/>
          <w:kern w:val="0"/>
          <w:sz w:val="21"/>
          <w:szCs w:val="22"/>
          <w:lang w:eastAsia="zh-CN" w:bidi="ar-SA"/>
        </w:rPr>
        <w:t>、运输</w:t>
      </w:r>
      <w:r>
        <w:rPr>
          <w:rFonts w:hint="eastAsia" w:ascii="宋体" w:hAnsi="宋体" w:eastAsia="宋体" w:cs="仿宋_GB2312"/>
          <w:b/>
          <w:kern w:val="0"/>
          <w:sz w:val="21"/>
          <w:szCs w:val="22"/>
          <w:lang w:eastAsia="zh-CN" w:bidi="ar-SA"/>
        </w:rPr>
        <w:t>税金费</w:t>
      </w:r>
      <w:r>
        <w:rPr>
          <w:rFonts w:ascii="宋体" w:hAnsi="宋体" w:eastAsia="宋体" w:cs="仿宋_GB2312"/>
          <w:b/>
          <w:kern w:val="0"/>
          <w:sz w:val="21"/>
          <w:szCs w:val="22"/>
          <w:lang w:eastAsia="zh-CN" w:bidi="ar-SA"/>
        </w:rPr>
        <w:t>、</w:t>
      </w:r>
      <w:r>
        <w:rPr>
          <w:rFonts w:hint="eastAsia" w:ascii="宋体" w:hAnsi="宋体" w:eastAsia="宋体" w:cs="仿宋_GB2312"/>
          <w:b/>
          <w:kern w:val="0"/>
          <w:sz w:val="21"/>
          <w:szCs w:val="22"/>
          <w:lang w:eastAsia="zh-CN" w:bidi="ar-SA"/>
        </w:rPr>
        <w:t>安装维修费</w:t>
      </w:r>
      <w:r>
        <w:rPr>
          <w:rFonts w:ascii="宋体" w:hAnsi="宋体" w:eastAsia="宋体" w:cs="仿宋_GB2312"/>
          <w:b/>
          <w:kern w:val="0"/>
          <w:sz w:val="21"/>
          <w:szCs w:val="22"/>
          <w:lang w:eastAsia="zh-CN" w:bidi="ar-SA"/>
        </w:rPr>
        <w:t>、现场检验试验</w:t>
      </w:r>
      <w:r>
        <w:rPr>
          <w:rFonts w:hint="eastAsia" w:ascii="宋体" w:hAnsi="宋体" w:eastAsia="宋体" w:cs="仿宋_GB2312"/>
          <w:b/>
          <w:kern w:val="0"/>
          <w:sz w:val="21"/>
          <w:szCs w:val="22"/>
          <w:lang w:eastAsia="zh-CN" w:bidi="ar-SA"/>
        </w:rPr>
        <w:t>费、</w:t>
      </w:r>
      <w:r>
        <w:rPr>
          <w:rFonts w:ascii="宋体" w:hAnsi="宋体" w:eastAsia="宋体" w:cs="仿宋_GB2312"/>
          <w:b/>
          <w:kern w:val="0"/>
          <w:sz w:val="21"/>
          <w:szCs w:val="22"/>
          <w:lang w:eastAsia="zh-CN" w:bidi="ar-SA"/>
        </w:rPr>
        <w:t>交付使用及售后服务</w:t>
      </w:r>
      <w:r>
        <w:rPr>
          <w:rFonts w:hint="eastAsia" w:ascii="宋体" w:hAnsi="宋体" w:eastAsia="宋体" w:cs="仿宋_GB2312"/>
          <w:b/>
          <w:kern w:val="0"/>
          <w:sz w:val="21"/>
          <w:szCs w:val="22"/>
          <w:lang w:eastAsia="zh-CN" w:bidi="ar-SA"/>
        </w:rPr>
        <w:t>费</w:t>
      </w:r>
      <w:r>
        <w:rPr>
          <w:rFonts w:ascii="宋体" w:hAnsi="宋体" w:eastAsia="宋体" w:cs="仿宋_GB2312"/>
          <w:b/>
          <w:kern w:val="0"/>
          <w:sz w:val="21"/>
          <w:szCs w:val="22"/>
          <w:lang w:eastAsia="zh-CN" w:bidi="ar-SA"/>
        </w:rPr>
        <w:t>等，因质量问题引起的更换、技术指导和培训、成品保护、投标人的利润、税金、政策性文件的规定以及包括原材料涨价等合同明示或暗示的所有一切风险、责任和义务的费用</w:t>
      </w:r>
      <w:r>
        <w:rPr>
          <w:rFonts w:hint="eastAsia" w:ascii="宋体" w:hAnsi="宋体" w:eastAsia="宋体" w:cs="仿宋_GB2312"/>
          <w:b/>
          <w:kern w:val="0"/>
          <w:sz w:val="21"/>
          <w:szCs w:val="22"/>
          <w:lang w:eastAsia="zh-CN" w:bidi="ar-SA"/>
        </w:rPr>
        <w:t>，</w:t>
      </w:r>
      <w:r>
        <w:rPr>
          <w:rFonts w:ascii="宋体" w:hAnsi="宋体" w:eastAsia="宋体" w:cs="仿宋_GB2312"/>
          <w:b/>
          <w:kern w:val="0"/>
          <w:sz w:val="21"/>
          <w:szCs w:val="22"/>
          <w:lang w:eastAsia="zh-CN" w:bidi="ar-SA"/>
        </w:rPr>
        <w:t>本次报价</w:t>
      </w:r>
      <w:r>
        <w:rPr>
          <w:rFonts w:hint="eastAsia" w:ascii="宋体" w:hAnsi="宋体" w:eastAsia="宋体" w:cs="仿宋_GB2312"/>
          <w:b/>
          <w:kern w:val="0"/>
          <w:sz w:val="21"/>
          <w:szCs w:val="22"/>
          <w:lang w:eastAsia="zh-CN" w:bidi="ar-SA"/>
        </w:rPr>
        <w:t>投标企业</w:t>
      </w:r>
      <w:r>
        <w:rPr>
          <w:rFonts w:ascii="宋体" w:hAnsi="宋体" w:eastAsia="宋体" w:cs="仿宋_GB2312"/>
          <w:b/>
          <w:kern w:val="0"/>
          <w:sz w:val="21"/>
          <w:szCs w:val="22"/>
          <w:lang w:eastAsia="zh-CN" w:bidi="ar-SA"/>
        </w:rPr>
        <w:t>必须考虑</w:t>
      </w:r>
      <w:r>
        <w:rPr>
          <w:rFonts w:hint="eastAsia" w:ascii="宋体" w:hAnsi="宋体" w:eastAsia="宋体" w:cs="仿宋_GB2312"/>
          <w:b/>
          <w:kern w:val="0"/>
          <w:sz w:val="21"/>
          <w:szCs w:val="22"/>
          <w:lang w:eastAsia="zh-CN" w:bidi="ar-SA"/>
        </w:rPr>
        <w:t>清楚一切费用，一旦中标不增加任何费用</w:t>
      </w:r>
      <w:r>
        <w:rPr>
          <w:rFonts w:ascii="宋体" w:hAnsi="宋体" w:eastAsia="宋体" w:cs="仿宋_GB2312"/>
          <w:b/>
          <w:kern w:val="0"/>
          <w:sz w:val="21"/>
          <w:szCs w:val="22"/>
          <w:lang w:eastAsia="zh-CN" w:bidi="ar-SA"/>
        </w:rPr>
        <w:t>。</w:t>
      </w:r>
    </w:p>
    <w:p>
      <w:pPr>
        <w:pStyle w:val="22"/>
        <w:spacing w:line="400" w:lineRule="exact"/>
        <w:ind w:left="0" w:leftChars="0" w:firstLine="482" w:firstLineChars="200"/>
        <w:rPr>
          <w:rFonts w:ascii="宋体" w:hAnsi="宋体" w:eastAsia="宋体" w:cs="仿宋_GB2312"/>
          <w:b/>
          <w:kern w:val="0"/>
          <w:sz w:val="21"/>
          <w:szCs w:val="22"/>
          <w:lang w:eastAsia="zh-CN" w:bidi="ar-SA"/>
        </w:rPr>
      </w:pPr>
      <w:r>
        <w:rPr>
          <w:rFonts w:hint="eastAsia" w:ascii="宋体" w:hAnsi="宋体" w:eastAsia="宋体" w:cs="仿宋_GB2312"/>
          <w:b/>
          <w:kern w:val="0"/>
          <w:sz w:val="21"/>
          <w:szCs w:val="22"/>
          <w:lang w:eastAsia="zh-CN" w:bidi="ar-SA"/>
        </w:rPr>
        <w:t>3.</w:t>
      </w:r>
      <w:r>
        <w:rPr>
          <w:rFonts w:ascii="宋体" w:hAnsi="宋体" w:eastAsia="宋体" w:cs="仿宋_GB2312"/>
          <w:b/>
          <w:kern w:val="0"/>
          <w:sz w:val="21"/>
          <w:szCs w:val="22"/>
          <w:lang w:eastAsia="zh-CN" w:bidi="ar-SA"/>
        </w:rPr>
        <w:t>质量标准</w:t>
      </w:r>
      <w:r>
        <w:rPr>
          <w:rFonts w:hint="eastAsia" w:ascii="宋体" w:hAnsi="宋体" w:eastAsia="宋体" w:cs="仿宋_GB2312"/>
          <w:b/>
          <w:kern w:val="0"/>
          <w:sz w:val="21"/>
          <w:szCs w:val="22"/>
          <w:lang w:eastAsia="zh-CN" w:bidi="ar-SA"/>
        </w:rPr>
        <w:t>：货物的技术指标作为交货验收时的依据（采购人按照所投产品的技术规格及商务要求验收货物，如投标人实际应标的标准高于国家标准及招标文件中的要求，则按投标人应标标准验收）</w:t>
      </w:r>
    </w:p>
    <w:p>
      <w:pPr>
        <w:pStyle w:val="22"/>
        <w:spacing w:line="400" w:lineRule="exact"/>
        <w:ind w:left="0" w:leftChars="0" w:firstLine="482" w:firstLineChars="200"/>
        <w:rPr>
          <w:rFonts w:ascii="宋体" w:hAnsi="宋体" w:eastAsia="宋体" w:cs="仿宋_GB2312"/>
          <w:b/>
          <w:kern w:val="0"/>
          <w:sz w:val="21"/>
          <w:szCs w:val="22"/>
          <w:lang w:eastAsia="zh-CN" w:bidi="ar-SA"/>
        </w:rPr>
      </w:pPr>
      <w:r>
        <w:rPr>
          <w:rFonts w:hint="eastAsia" w:ascii="宋体" w:hAnsi="宋体" w:eastAsia="宋体" w:cs="仿宋_GB2312"/>
          <w:b/>
          <w:kern w:val="0"/>
          <w:sz w:val="21"/>
          <w:szCs w:val="22"/>
          <w:lang w:eastAsia="zh-CN" w:bidi="ar-SA"/>
        </w:rPr>
        <w:t>4.参数中涉及到的国家标准若有最新标准按最新标准执行。</w:t>
      </w:r>
    </w:p>
    <w:p>
      <w:pPr>
        <w:spacing w:line="360" w:lineRule="auto"/>
        <w:ind w:firstLine="482"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一、交货时间交货地点：</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交货时间：</w:t>
      </w:r>
      <w:r>
        <w:rPr>
          <w:rFonts w:hint="eastAsia" w:ascii="仿宋" w:hAnsi="仿宋" w:eastAsia="仿宋" w:cs="仿宋"/>
          <w:color w:val="000000" w:themeColor="text1"/>
          <w:u w:val="single"/>
          <w:lang w:eastAsia="zh-CN"/>
          <w14:textFill>
            <w14:solidFill>
              <w14:schemeClr w14:val="tx1"/>
            </w14:solidFill>
          </w14:textFill>
        </w:rPr>
        <w:t xml:space="preserve"> 45</w:t>
      </w:r>
      <w:r>
        <w:rPr>
          <w:rFonts w:hint="eastAsia" w:ascii="仿宋" w:hAnsi="仿宋" w:eastAsia="仿宋" w:cs="仿宋"/>
          <w:color w:val="000000" w:themeColor="text1"/>
          <w:lang w:eastAsia="zh-CN"/>
          <w14:textFill>
            <w14:solidFill>
              <w14:schemeClr w14:val="tx1"/>
            </w14:solidFill>
          </w14:textFill>
        </w:rPr>
        <w:t>日内供货安装并检验完毕。</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交货地点：采购单位指定地点 </w:t>
      </w:r>
    </w:p>
    <w:p>
      <w:pPr>
        <w:pStyle w:val="40"/>
        <w:ind w:firstLine="480" w:firstLineChars="200"/>
        <w:rPr>
          <w:lang w:eastAsia="zh-CN"/>
        </w:rPr>
      </w:pPr>
      <w:r>
        <w:rPr>
          <w:rFonts w:hint="eastAsia" w:ascii="仿宋" w:hAnsi="仿宋" w:eastAsia="仿宋" w:cs="仿宋"/>
          <w:color w:val="000000" w:themeColor="text1"/>
          <w:szCs w:val="24"/>
          <w:lang w:eastAsia="zh-CN"/>
          <w14:textFill>
            <w14:solidFill>
              <w14:schemeClr w14:val="tx1"/>
            </w14:solidFill>
          </w14:textFill>
        </w:rPr>
        <w:t>质保期：按国家标准执行</w:t>
      </w:r>
    </w:p>
    <w:p>
      <w:pPr>
        <w:spacing w:line="360" w:lineRule="auto"/>
        <w:ind w:firstLine="482"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二、验收</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1.货物的技术指标作为交货验收时的依据（采购人按照所投产品的技术规格及商务要求验收货物，如投标人实际应标的标准高于国家标准及招标文件中的要求，则按投标人应标标准验收）。</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2、货物到达现场后，供应商应在使用单位人员在场情况下当面共同清点、检查，作出检查记录，双方签字确认。</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3、货物验收时，供应商向采购人提供生产厂家出具的验收报告、合格证、厂家资格证件等相关文件及计量检验所出具的检测报告。</w:t>
      </w:r>
    </w:p>
    <w:p>
      <w:pPr>
        <w:spacing w:line="360" w:lineRule="auto"/>
        <w:ind w:firstLine="480"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4、供应商提供的货物未达到招标文件规定要求，且对采购人造成损失的，由供应商承担一切责任，并赔偿所造成的损失。</w:t>
      </w:r>
    </w:p>
    <w:p>
      <w:pPr>
        <w:spacing w:line="360" w:lineRule="auto"/>
        <w:ind w:firstLine="482"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商务条款</w:t>
      </w:r>
    </w:p>
    <w:p>
      <w:pPr>
        <w:spacing w:line="360" w:lineRule="auto"/>
        <w:ind w:firstLine="482"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一、投标报价</w:t>
      </w:r>
    </w:p>
    <w:p>
      <w:pPr>
        <w:spacing w:line="360" w:lineRule="auto"/>
        <w:rPr>
          <w:rFonts w:ascii="仿宋" w:hAnsi="仿宋" w:eastAsia="仿宋" w:cs="仿宋"/>
          <w:color w:val="FF0000"/>
          <w:lang w:eastAsia="zh-CN"/>
        </w:rPr>
      </w:pPr>
      <w:r>
        <w:rPr>
          <w:rFonts w:hint="eastAsia" w:ascii="仿宋" w:hAnsi="仿宋" w:eastAsia="仿宋" w:cs="仿宋"/>
          <w:color w:val="000000" w:themeColor="text1"/>
          <w:lang w:eastAsia="zh-CN"/>
          <w14:textFill>
            <w14:solidFill>
              <w14:schemeClr w14:val="tx1"/>
            </w14:solidFill>
          </w14:textFill>
        </w:rPr>
        <w:t>项目报价采用人民币综合总价，以元为单位标准，投标供应商应严格按照“开标一览表”和“分项报价明细表”的格式认真填写。</w:t>
      </w:r>
      <w:r>
        <w:rPr>
          <w:rFonts w:hint="eastAsia" w:ascii="仿宋" w:hAnsi="仿宋" w:eastAsia="仿宋" w:cs="仿宋"/>
          <w:b/>
          <w:bCs/>
          <w:color w:val="FF0000"/>
          <w:lang w:eastAsia="zh-CN"/>
        </w:rPr>
        <w:t>本项目只接受一个投标总报价，且</w:t>
      </w:r>
      <w:r>
        <w:rPr>
          <w:rFonts w:hint="eastAsia" w:ascii="仿宋" w:hAnsi="仿宋" w:eastAsia="仿宋" w:cs="仿宋"/>
          <w:b/>
          <w:bCs/>
          <w:color w:val="FF0000"/>
          <w:szCs w:val="21"/>
          <w:lang w:eastAsia="zh-CN"/>
        </w:rPr>
        <w:t>投标总报价和各分项单价报价不得高于招标文件给定的最高限价和各分项单价控制价</w:t>
      </w:r>
      <w:r>
        <w:rPr>
          <w:rFonts w:hint="eastAsia" w:ascii="仿宋" w:hAnsi="仿宋" w:eastAsia="仿宋" w:cs="仿宋"/>
          <w:b/>
          <w:bCs/>
          <w:color w:val="FF0000"/>
          <w:lang w:eastAsia="zh-CN"/>
        </w:rPr>
        <w:t>，否则按废标处理。有选择的或有条件的报价将不予接受。</w:t>
      </w:r>
    </w:p>
    <w:p>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lang w:eastAsia="zh-CN"/>
        </w:rPr>
        <w:t>投标报价应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w:t>
      </w:r>
    </w:p>
    <w:p>
      <w:pPr>
        <w:spacing w:line="360" w:lineRule="auto"/>
        <w:ind w:firstLine="482"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二、质量保证</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货物及其各部件应为全新，未曾使用过之优质产品，与规定的质量、规格和性能相符，并保证该产品确系原厂制造，同时提供产品的质量保证书、技术性能说明书、有关部门的检测测试报告、质量标准认证证书等相关材料。</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同时建设单位将对成品及原辅材料随时作随机抽查进行检测，对于检测不合格的，该批次货物无条件退场。确保供货期内合格产品供货，如不能提供按合同条款的规定进行处罚。同时招标人有权取消中标单位的中标资格且终止采购合同。</w:t>
      </w:r>
    </w:p>
    <w:p>
      <w:pPr>
        <w:spacing w:line="360" w:lineRule="auto"/>
        <w:ind w:firstLine="482" w:firstLineChars="200"/>
        <w:rPr>
          <w:rFonts w:ascii="仿宋" w:hAnsi="仿宋" w:eastAsia="仿宋" w:cs="仿宋"/>
          <w:b/>
          <w:bCs/>
          <w:color w:val="000000" w:themeColor="text1"/>
          <w:lang w:eastAsia="zh-CN"/>
          <w14:textFill>
            <w14:solidFill>
              <w14:schemeClr w14:val="tx1"/>
            </w14:solidFill>
          </w14:textFill>
        </w:rPr>
      </w:pPr>
      <w:bookmarkStart w:id="53" w:name="_Toc21807"/>
      <w:bookmarkStart w:id="54" w:name="_Toc8238"/>
      <w:bookmarkStart w:id="55" w:name="_Toc16945"/>
      <w:r>
        <w:rPr>
          <w:rFonts w:hint="eastAsia" w:ascii="仿宋" w:hAnsi="仿宋" w:eastAsia="仿宋" w:cs="仿宋"/>
          <w:b/>
          <w:bCs/>
          <w:color w:val="000000" w:themeColor="text1"/>
          <w:lang w:eastAsia="zh-CN"/>
          <w14:textFill>
            <w14:solidFill>
              <w14:schemeClr w14:val="tx1"/>
            </w14:solidFill>
          </w14:textFill>
        </w:rPr>
        <w:t>三、 知识产权</w:t>
      </w:r>
      <w:bookmarkEnd w:id="53"/>
      <w:bookmarkEnd w:id="54"/>
      <w:bookmarkEnd w:id="55"/>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本项目在进行过程中，所产生的所有与本项目相关的，无论以任何载体形式出现的工作成果，其知识产权均属于招标方所有。</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投标方保证招标方及其用户对设备享有合法的使用权。</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投标方保证招标方及其用户在使用过程中不受到第三方关于侵犯专利权等知识产权的指控。任何第三方如果提出指控，投标方须与第三方交涉并承担可能发生的一切法律责任和费用。</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与本项目相关的商业秘密信息、技术资料和技术诀窍等所有权归甲方所有。供货方非经用户同意不得向第三方转让本条所约定的相关所有权和使用权或泄露秘密信息、技术资料或技术诀窍。任何一方违反本条的约定，应承担违约责任，并赔偿另一方的损失。本项目另有规定或双方另行约定的除外。</w:t>
      </w:r>
    </w:p>
    <w:p>
      <w:pPr>
        <w:spacing w:line="360" w:lineRule="auto"/>
        <w:ind w:firstLine="482" w:firstLineChars="200"/>
        <w:rPr>
          <w:rFonts w:ascii="仿宋" w:hAnsi="仿宋" w:eastAsia="仿宋" w:cs="仿宋"/>
          <w:b/>
          <w:bCs/>
          <w:color w:val="000000" w:themeColor="text1"/>
          <w:lang w:eastAsia="zh-CN"/>
          <w14:textFill>
            <w14:solidFill>
              <w14:schemeClr w14:val="tx1"/>
            </w14:solidFill>
          </w14:textFill>
        </w:rPr>
      </w:pPr>
      <w:bookmarkStart w:id="56" w:name="_Toc20832"/>
      <w:bookmarkStart w:id="57" w:name="_Toc12239"/>
      <w:bookmarkStart w:id="58" w:name="_Toc7598"/>
      <w:bookmarkStart w:id="59" w:name="_Toc267320054"/>
      <w:bookmarkStart w:id="60" w:name="_Toc12840_WPSOffice_Level1"/>
      <w:bookmarkStart w:id="61" w:name="_Toc439255252"/>
      <w:r>
        <w:rPr>
          <w:rFonts w:hint="eastAsia" w:ascii="仿宋" w:hAnsi="仿宋" w:eastAsia="仿宋" w:cs="仿宋"/>
          <w:b/>
          <w:bCs/>
          <w:color w:val="000000" w:themeColor="text1"/>
          <w:lang w:eastAsia="zh-CN"/>
          <w14:textFill>
            <w14:solidFill>
              <w14:schemeClr w14:val="tx1"/>
            </w14:solidFill>
          </w14:textFill>
        </w:rPr>
        <w:t>三、 其他</w:t>
      </w:r>
      <w:bookmarkEnd w:id="56"/>
      <w:bookmarkEnd w:id="57"/>
      <w:bookmarkEnd w:id="58"/>
    </w:p>
    <w:bookmarkEnd w:id="59"/>
    <w:bookmarkEnd w:id="60"/>
    <w:bookmarkEnd w:id="61"/>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1、投标人必须在投标文件中对以上条款和服务承诺明确列出，承诺内容必须达到本篇及招标文件其他条款的要求。</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2、中标人与采购人签订《协议》后，须与用户方签订《合同》，明确具体供货数量、供货时间、送达地点等内容。</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3、其他未尽事宜由供需双方在采购合同中详细约定。</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 若供货服务商不能按招标文件规定的交货期正常交货，采购方有权终止采购合同，并将相关情况上报给采购计划主管部门，取消其中标资格。</w:t>
      </w:r>
    </w:p>
    <w:p>
      <w:pPr>
        <w:spacing w:line="360" w:lineRule="auto"/>
        <w:ind w:firstLine="480" w:firstLineChars="200"/>
        <w:rPr>
          <w:rFonts w:hint="eastAsia" w:ascii="仿宋" w:hAnsi="仿宋" w:eastAsia="仿宋" w:cs="仿宋"/>
          <w:color w:val="000000" w:themeColor="text1"/>
          <w:kern w:val="2"/>
          <w:lang w:eastAsia="zh-CN" w:bidi="ar-SA"/>
          <w14:textFill>
            <w14:solidFill>
              <w14:schemeClr w14:val="tx1"/>
            </w14:solidFill>
          </w14:textFill>
        </w:rPr>
        <w:sectPr>
          <w:pgSz w:w="11920" w:h="16840"/>
          <w:pgMar w:top="1540" w:right="1180" w:bottom="880" w:left="1300" w:header="0" w:footer="693" w:gutter="0"/>
          <w:cols w:space="720" w:num="1"/>
          <w:docGrid w:linePitch="299" w:charSpace="0"/>
        </w:sectPr>
      </w:pPr>
      <w:r>
        <w:rPr>
          <w:rFonts w:hint="eastAsia" w:ascii="仿宋" w:hAnsi="仿宋" w:eastAsia="仿宋" w:cs="仿宋"/>
          <w:color w:val="000000" w:themeColor="text1"/>
          <w:kern w:val="2"/>
          <w:lang w:eastAsia="zh-CN" w:bidi="ar-SA"/>
          <w14:textFill>
            <w14:solidFill>
              <w14:schemeClr w14:val="tx1"/>
            </w14:solidFill>
          </w14:textFill>
        </w:rPr>
        <w:t>5、其他未尽事宜由供需双方在采购合同中详细约定。</w:t>
      </w:r>
    </w:p>
    <w:bookmarkEnd w:id="50"/>
    <w:bookmarkEnd w:id="51"/>
    <w:bookmarkEnd w:id="52"/>
    <w:p>
      <w:pPr>
        <w:rPr>
          <w:rFonts w:hint="eastAsia" w:ascii="仿宋" w:hAnsi="仿宋" w:cs="仿宋" w:eastAsiaTheme="minorEastAsia"/>
          <w:color w:val="000000" w:themeColor="text1"/>
          <w:lang w:eastAsia="zh-CN"/>
          <w14:textFill>
            <w14:solidFill>
              <w14:schemeClr w14:val="tx1"/>
            </w14:solidFill>
          </w14:textFill>
        </w:rPr>
      </w:pPr>
      <w:bookmarkStart w:id="62" w:name="_Toc469495740"/>
    </w:p>
    <w:p>
      <w:pPr>
        <w:numPr>
          <w:ilvl w:val="0"/>
          <w:numId w:val="8"/>
        </w:numPr>
        <w:spacing w:line="360" w:lineRule="auto"/>
        <w:ind w:firstLine="606" w:firstLineChars="200"/>
        <w:jc w:val="center"/>
        <w:outlineLvl w:val="0"/>
        <w:rPr>
          <w:rFonts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 xml:space="preserve"> </w:t>
      </w:r>
      <w:bookmarkEnd w:id="62"/>
      <w:r>
        <w:rPr>
          <w:rFonts w:hint="eastAsia" w:ascii="仿宋" w:hAnsi="仿宋" w:eastAsia="仿宋" w:cs="仿宋"/>
          <w:b/>
          <w:bCs/>
          <w:color w:val="000000" w:themeColor="text1"/>
          <w:sz w:val="36"/>
          <w:szCs w:val="36"/>
          <w14:textFill>
            <w14:solidFill>
              <w14:schemeClr w14:val="tx1"/>
            </w14:solidFill>
          </w14:textFill>
        </w:rPr>
        <w:t>合  同</w:t>
      </w:r>
    </w:p>
    <w:p>
      <w:pPr>
        <w:jc w:val="both"/>
        <w:rPr>
          <w:rFonts w:ascii="仿宋" w:hAnsi="仿宋" w:eastAsia="仿宋" w:cs="仿宋"/>
          <w:b/>
          <w:bCs/>
          <w:color w:val="000000" w:themeColor="text1"/>
          <w:sz w:val="28"/>
          <w14:textFill>
            <w14:solidFill>
              <w14:schemeClr w14:val="tx1"/>
            </w14:solidFill>
          </w14:textFill>
        </w:rPr>
      </w:pPr>
    </w:p>
    <w:p>
      <w:pPr>
        <w:adjustRightInd w:val="0"/>
        <w:snapToGrid w:val="0"/>
        <w:spacing w:line="360" w:lineRule="auto"/>
        <w:ind w:firstLine="243" w:firstLineChars="1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xml:space="preserve"> 采购合同主要条款</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（本合同为合同样稿，最终稿由供需双方协商后确定）</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合同编号：</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需    方：</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供 应 方：</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 xml:space="preserve">                受有关单位委托，为（      下称需方）经公开招标结果确定           为供应方。现经供需双方充分协商订立本合同。</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一、名称、规格、数量及价款</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 xml:space="preserve">（名称、规格、数量及单价）                           </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合同总金额          元整（￥      元）。</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二、质量要求及技术标准</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1、供应方交付的货物的技术标准不低于国家标准。</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2、供应方在交付货物的同时应提供国家规定的检验合格证明等文件。</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三、交货时间</w:t>
      </w:r>
    </w:p>
    <w:p>
      <w:pPr>
        <w:adjustRightInd w:val="0"/>
        <w:snapToGrid w:val="0"/>
        <w:spacing w:line="360" w:lineRule="auto"/>
        <w:ind w:firstLine="243" w:firstLineChars="100"/>
        <w:rPr>
          <w:rFonts w:ascii="仿宋" w:hAnsi="仿宋" w:eastAsia="仿宋" w:cs="仿宋"/>
          <w:bCs/>
          <w:color w:val="FF0000"/>
          <w:lang w:eastAsia="zh-CN"/>
        </w:rPr>
      </w:pPr>
      <w:r>
        <w:rPr>
          <w:rFonts w:hint="eastAsia" w:ascii="仿宋" w:hAnsi="仿宋" w:eastAsia="仿宋" w:cs="仿宋"/>
          <w:bCs/>
          <w:color w:val="000000" w:themeColor="text1"/>
          <w:u w:val="single"/>
          <w:lang w:eastAsia="zh-CN"/>
          <w14:textFill>
            <w14:solidFill>
              <w14:schemeClr w14:val="tx1"/>
            </w14:solidFill>
          </w14:textFill>
        </w:rPr>
        <w:t xml:space="preserve">45 </w:t>
      </w:r>
      <w:r>
        <w:rPr>
          <w:rFonts w:hint="eastAsia" w:ascii="仿宋" w:hAnsi="仿宋" w:eastAsia="仿宋" w:cs="仿宋"/>
          <w:bCs/>
          <w:color w:val="000000" w:themeColor="text1"/>
          <w:lang w:eastAsia="zh-CN"/>
          <w14:textFill>
            <w14:solidFill>
              <w14:schemeClr w14:val="tx1"/>
            </w14:solidFill>
          </w14:textFill>
        </w:rPr>
        <w:t>天内供货安装并检验完毕。</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 xml:space="preserve">四、验收   </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1.货物的技术指标作为交货验收时的依据（采购人按照所投产品的技术规格及商务要求验收货物，如投标人实际应标的标准高于国家标准及招标文件中的要求，则按投标人应标标准验收）。</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2、货物到达现场后，供应商应在使用单位人员在场情况下当面共同清点、检查，作出检查记录，双方签字确认。</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3、货物验收时，供应商向采购人提供生产厂家出具的验收报告、合格证、厂家资格证件等相关文件及计量检验所出具的检测报告。</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4、供应商提供的货物未达到招标文件规定要求，且对采购人造成损失的，由供应商承担一切责任，并赔偿所造成的损失。</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五、付款方式</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（实际以签订合同为准）。</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六、违约责任</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30个工作日内按付款方式付款，否则，每逾期一天向供应方支付逾期金额0.2﹪的违约金。</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2、如有质量问题时需方可以按照供应方投标文件的服务承诺从质量保证金款项中扣除相关费用。</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3、其它违约，按《中华人民共和国合同法》的相关条款执行。</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七、解决合同纠纷的方式</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当出现纠纷时，双方协商解决；协商不成时可向当地仲裁机关申请仲裁。</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八、技术协议</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附技术协议（另定）</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九、其它约定事项</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1、本合同壹式叁份，经双方法定代表人或授权代理人签章，市政府采购中心鉴证后生效。</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2、本合同一式四份，供应方执一份，需方执三份。</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3、相关招标文件、投标文件与本合同具有同等法律效力。</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供  应  方：                               需     方：</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法定代表人：                               法定代表人：</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授权代理人：                               授权代理人：</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单位 地址：                                 单位 地址：</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联系 电话：                                 联系 电话：</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开户 银行：                                 开户 银行：</w:t>
      </w:r>
    </w:p>
    <w:p>
      <w:pPr>
        <w:adjustRightInd w:val="0"/>
        <w:snapToGrid w:val="0"/>
        <w:spacing w:line="440" w:lineRule="exact"/>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账     号：                                 账     号：</w:t>
      </w:r>
    </w:p>
    <w:p>
      <w:pPr>
        <w:adjustRightInd w:val="0"/>
        <w:snapToGrid w:val="0"/>
        <w:spacing w:line="360" w:lineRule="auto"/>
        <w:ind w:firstLine="243" w:firstLineChars="100"/>
        <w:rPr>
          <w:rFonts w:ascii="仿宋" w:hAnsi="仿宋" w:eastAsia="仿宋" w:cs="仿宋"/>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签约时间：                                   签约地点：</w:t>
      </w:r>
    </w:p>
    <w:p>
      <w:pPr>
        <w:pStyle w:val="2"/>
        <w:ind w:left="486" w:firstLine="486"/>
        <w:jc w:val="both"/>
        <w:rPr>
          <w:rFonts w:ascii="仿宋" w:hAnsi="仿宋" w:eastAsia="仿宋" w:cs="仿宋"/>
          <w:bCs/>
          <w:color w:val="000000" w:themeColor="text1"/>
          <w:lang w:eastAsia="zh-CN"/>
          <w14:textFill>
            <w14:solidFill>
              <w14:schemeClr w14:val="tx1"/>
            </w14:solidFill>
          </w14:textFill>
        </w:rPr>
      </w:pPr>
    </w:p>
    <w:p>
      <w:pPr>
        <w:pStyle w:val="2"/>
        <w:ind w:left="0" w:leftChars="0" w:firstLine="0" w:firstLineChars="0"/>
        <w:jc w:val="both"/>
        <w:rPr>
          <w:rFonts w:eastAsia="仿宋"/>
          <w:lang w:eastAsia="zh-CN"/>
        </w:rPr>
      </w:pPr>
      <w:r>
        <w:rPr>
          <w:rFonts w:hint="eastAsia" w:ascii="仿宋" w:hAnsi="仿宋" w:eastAsia="仿宋" w:cs="仿宋"/>
          <w:bCs/>
          <w:color w:val="000000" w:themeColor="text1"/>
          <w:lang w:eastAsia="zh-CN"/>
          <w14:textFill>
            <w14:solidFill>
              <w14:schemeClr w14:val="tx1"/>
            </w14:solidFill>
          </w14:textFill>
        </w:rPr>
        <w:t>注：此合同仅供参考，具体以实际签订为准。</w:t>
      </w:r>
    </w:p>
    <w:p>
      <w:pPr>
        <w:pStyle w:val="44"/>
        <w:keepNext/>
        <w:keepLines/>
        <w:spacing w:before="0" w:after="116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第</w:t>
      </w:r>
      <w:r>
        <w:rPr>
          <w:rFonts w:hint="eastAsia" w:ascii="仿宋" w:hAnsi="仿宋" w:eastAsia="仿宋" w:cs="仿宋"/>
          <w:b/>
          <w:bCs/>
          <w:color w:val="000000" w:themeColor="text1"/>
          <w:lang w:eastAsia="zh-CN"/>
          <w14:textFill>
            <w14:solidFill>
              <w14:schemeClr w14:val="tx1"/>
            </w14:solidFill>
          </w14:textFill>
        </w:rPr>
        <w:t>六</w:t>
      </w:r>
      <w:r>
        <w:rPr>
          <w:rFonts w:hint="eastAsia" w:ascii="仿宋" w:hAnsi="仿宋" w:eastAsia="仿宋" w:cs="仿宋"/>
          <w:b/>
          <w:bCs/>
          <w:color w:val="000000" w:themeColor="text1"/>
          <w14:textFill>
            <w14:solidFill>
              <w14:schemeClr w14:val="tx1"/>
            </w14:solidFill>
          </w14:textFill>
        </w:rPr>
        <w:t>部分</w:t>
      </w:r>
      <w:r>
        <w:rPr>
          <w:rFonts w:hint="eastAsia" w:ascii="仿宋" w:hAnsi="仿宋" w:eastAsia="仿宋" w:cs="仿宋"/>
          <w:b/>
          <w:bCs/>
          <w:color w:val="000000" w:themeColor="text1"/>
          <w:lang w:val="en-US" w:eastAsia="zh-CN"/>
          <w14:textFill>
            <w14:solidFill>
              <w14:schemeClr w14:val="tx1"/>
            </w14:solidFill>
          </w14:textFill>
        </w:rPr>
        <w:t xml:space="preserve">  </w:t>
      </w:r>
      <w:r>
        <w:rPr>
          <w:rFonts w:hint="eastAsia" w:ascii="仿宋" w:hAnsi="仿宋" w:eastAsia="仿宋" w:cs="仿宋"/>
          <w:b/>
          <w:bCs/>
          <w:color w:val="000000" w:themeColor="text1"/>
          <w14:textFill>
            <w14:solidFill>
              <w14:schemeClr w14:val="tx1"/>
            </w14:solidFill>
          </w14:textFill>
        </w:rPr>
        <w:t>投标文件格式</w:t>
      </w:r>
    </w:p>
    <w:p>
      <w:pPr>
        <w:adjustRightInd w:val="0"/>
        <w:snapToGrid w:val="0"/>
        <w:spacing w:line="360" w:lineRule="auto"/>
        <w:ind w:left="602" w:right="70" w:hanging="602"/>
        <w:jc w:val="right"/>
        <w:rPr>
          <w:rFonts w:ascii="仿宋" w:hAnsi="仿宋" w:eastAsia="仿宋" w:cs="仿宋"/>
          <w:b/>
          <w:bCs/>
          <w:color w:val="000000" w:themeColor="text1"/>
          <w:sz w:val="28"/>
          <w:szCs w:val="28"/>
          <w:bdr w:val="single" w:color="auto" w:sz="4" w:space="0"/>
          <w:lang w:eastAsia="zh-CN"/>
          <w14:textFill>
            <w14:solidFill>
              <w14:schemeClr w14:val="tx1"/>
            </w14:solidFill>
          </w14:textFill>
        </w:rPr>
      </w:pPr>
      <w:bookmarkStart w:id="63" w:name="bookmark196"/>
      <w:r>
        <w:rPr>
          <w:rFonts w:hint="eastAsia" w:ascii="仿宋" w:hAnsi="仿宋" w:eastAsia="仿宋" w:cs="仿宋"/>
          <w:b/>
          <w:bCs/>
          <w:color w:val="000000" w:themeColor="text1"/>
          <w:sz w:val="28"/>
          <w:szCs w:val="28"/>
          <w:bdr w:val="single" w:color="auto" w:sz="4" w:space="0"/>
          <w:lang w:eastAsia="zh-CN"/>
          <w14:textFill>
            <w14:solidFill>
              <w14:schemeClr w14:val="tx1"/>
            </w14:solidFill>
          </w14:textFill>
        </w:rPr>
        <w:t>正/副 本</w:t>
      </w:r>
    </w:p>
    <w:p>
      <w:pPr>
        <w:adjustRightInd w:val="0"/>
        <w:snapToGrid w:val="0"/>
        <w:spacing w:line="360" w:lineRule="auto"/>
        <w:jc w:val="center"/>
        <w:rPr>
          <w:rFonts w:ascii="仿宋" w:hAnsi="仿宋" w:eastAsia="仿宋" w:cs="仿宋"/>
          <w:b/>
          <w:caps/>
          <w:color w:val="000000" w:themeColor="text1"/>
          <w:lang w:eastAsia="zh-CN"/>
          <w14:textFill>
            <w14:solidFill>
              <w14:schemeClr w14:val="tx1"/>
            </w14:solidFill>
          </w14:textFill>
        </w:rPr>
      </w:pPr>
    </w:p>
    <w:p>
      <w:pPr>
        <w:adjustRightInd w:val="0"/>
        <w:snapToGrid w:val="0"/>
        <w:spacing w:line="360" w:lineRule="auto"/>
        <w:jc w:val="center"/>
        <w:rPr>
          <w:rFonts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caps/>
          <w:color w:val="000000" w:themeColor="text1"/>
          <w:sz w:val="32"/>
          <w:szCs w:val="32"/>
          <w:lang w:eastAsia="zh-CN"/>
          <w14:textFill>
            <w14:solidFill>
              <w14:schemeClr w14:val="tx1"/>
            </w14:solidFill>
          </w14:textFill>
        </w:rPr>
        <w:t>（项目名称）</w:t>
      </w:r>
    </w:p>
    <w:p>
      <w:pPr>
        <w:adjustRightInd w:val="0"/>
        <w:snapToGrid w:val="0"/>
        <w:spacing w:line="360" w:lineRule="auto"/>
        <w:jc w:val="both"/>
        <w:rPr>
          <w:rFonts w:ascii="仿宋" w:hAnsi="仿宋" w:eastAsia="仿宋" w:cs="仿宋"/>
          <w:bCs/>
          <w:color w:val="000000" w:themeColor="text1"/>
          <w:sz w:val="32"/>
          <w:szCs w:val="32"/>
          <w:lang w:eastAsia="zh-CN"/>
          <w14:textFill>
            <w14:solidFill>
              <w14:schemeClr w14:val="tx1"/>
            </w14:solidFill>
          </w14:textFill>
        </w:rPr>
      </w:pPr>
    </w:p>
    <w:p>
      <w:pPr>
        <w:adjustRightInd w:val="0"/>
        <w:snapToGrid w:val="0"/>
        <w:spacing w:line="360" w:lineRule="auto"/>
        <w:jc w:val="center"/>
        <w:rPr>
          <w:rFonts w:ascii="仿宋" w:hAnsi="仿宋" w:eastAsia="仿宋" w:cs="仿宋"/>
          <w:bCs/>
          <w:color w:val="000000" w:themeColor="text1"/>
          <w:sz w:val="32"/>
          <w:szCs w:val="32"/>
          <w:lang w:eastAsia="zh-CN"/>
          <w14:textFill>
            <w14:solidFill>
              <w14:schemeClr w14:val="tx1"/>
            </w14:solidFill>
          </w14:textFill>
        </w:rPr>
      </w:pPr>
    </w:p>
    <w:p>
      <w:pPr>
        <w:adjustRightInd w:val="0"/>
        <w:snapToGrid w:val="0"/>
        <w:spacing w:line="360" w:lineRule="auto"/>
        <w:jc w:val="center"/>
        <w:rPr>
          <w:rFonts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投标文件</w:t>
      </w:r>
    </w:p>
    <w:p>
      <w:pPr>
        <w:adjustRightInd w:val="0"/>
        <w:snapToGrid w:val="0"/>
        <w:spacing w:line="360" w:lineRule="auto"/>
        <w:jc w:val="center"/>
        <w:rPr>
          <w:rFonts w:ascii="仿宋" w:hAnsi="仿宋" w:eastAsia="仿宋" w:cs="仿宋"/>
          <w:bCs/>
          <w:color w:val="000000" w:themeColor="text1"/>
          <w:sz w:val="32"/>
          <w:szCs w:val="32"/>
          <w:lang w:eastAsia="zh-CN"/>
          <w14:textFill>
            <w14:solidFill>
              <w14:schemeClr w14:val="tx1"/>
            </w14:solidFill>
          </w14:textFill>
        </w:rPr>
      </w:pPr>
    </w:p>
    <w:p>
      <w:pPr>
        <w:adjustRightInd w:val="0"/>
        <w:snapToGrid w:val="0"/>
        <w:spacing w:line="360" w:lineRule="auto"/>
        <w:jc w:val="both"/>
        <w:rPr>
          <w:rFonts w:ascii="仿宋" w:hAnsi="仿宋" w:eastAsia="仿宋" w:cs="仿宋"/>
          <w:bCs/>
          <w:color w:val="000000" w:themeColor="text1"/>
          <w:sz w:val="32"/>
          <w:szCs w:val="32"/>
          <w:lang w:eastAsia="zh-CN"/>
          <w14:textFill>
            <w14:solidFill>
              <w14:schemeClr w14:val="tx1"/>
            </w14:solidFill>
          </w14:textFill>
        </w:rPr>
      </w:pP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0"/>
          <w:kern w:val="0"/>
          <w:sz w:val="28"/>
          <w:szCs w:val="28"/>
          <w:fitText w:val="2810" w:id="1470909418"/>
          <w:lang w:eastAsia="zh-CN"/>
          <w14:textFill>
            <w14:solidFill>
              <w14:schemeClr w14:val="tx1"/>
            </w14:solidFill>
          </w14:textFill>
        </w:rPr>
        <w:t>供应商名称（公章）：</w:t>
      </w: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0"/>
          <w:w w:val="77"/>
          <w:kern w:val="0"/>
          <w:sz w:val="28"/>
          <w:szCs w:val="28"/>
          <w:fitText w:val="2810" w:id="1"/>
          <w:lang w:eastAsia="zh-CN"/>
          <w14:textFill>
            <w14:solidFill>
              <w14:schemeClr w14:val="tx1"/>
            </w14:solidFill>
          </w14:textFill>
        </w:rPr>
        <w:t>法定代表人（签章或盖章）</w:t>
      </w:r>
      <w:r>
        <w:rPr>
          <w:rFonts w:hint="eastAsia" w:ascii="仿宋" w:hAnsi="仿宋" w:eastAsia="仿宋" w:cs="仿宋"/>
          <w:b/>
          <w:caps/>
          <w:color w:val="000000" w:themeColor="text1"/>
          <w:spacing w:val="-1"/>
          <w:w w:val="77"/>
          <w:kern w:val="0"/>
          <w:sz w:val="28"/>
          <w:szCs w:val="28"/>
          <w:fitText w:val="2810" w:id="1"/>
          <w:lang w:eastAsia="zh-CN"/>
          <w14:textFill>
            <w14:solidFill>
              <w14:schemeClr w14:val="tx1"/>
            </w14:solidFill>
          </w14:textFill>
        </w:rPr>
        <w:t>：</w:t>
      </w: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113"/>
          <w:kern w:val="0"/>
          <w:sz w:val="28"/>
          <w:szCs w:val="28"/>
          <w:fitText w:val="2810" w:id="2"/>
          <w:lang w:eastAsia="zh-CN"/>
          <w14:textFill>
            <w14:solidFill>
              <w14:schemeClr w14:val="tx1"/>
            </w14:solidFill>
          </w14:textFill>
        </w:rPr>
        <w:t>供应商地址</w:t>
      </w:r>
      <w:r>
        <w:rPr>
          <w:rFonts w:hint="eastAsia" w:ascii="仿宋" w:hAnsi="仿宋" w:eastAsia="仿宋" w:cs="仿宋"/>
          <w:b/>
          <w:caps/>
          <w:color w:val="000000" w:themeColor="text1"/>
          <w:spacing w:val="0"/>
          <w:kern w:val="0"/>
          <w:sz w:val="28"/>
          <w:szCs w:val="28"/>
          <w:fitText w:val="2810" w:id="2"/>
          <w:lang w:eastAsia="zh-CN"/>
          <w14:textFill>
            <w14:solidFill>
              <w14:schemeClr w14:val="tx1"/>
            </w14:solidFill>
          </w14:textFill>
        </w:rPr>
        <w:t>：</w:t>
      </w: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281"/>
          <w:kern w:val="0"/>
          <w:sz w:val="28"/>
          <w:szCs w:val="28"/>
          <w:fitText w:val="2810" w:id="3"/>
          <w:lang w:eastAsia="zh-CN"/>
          <w14:textFill>
            <w14:solidFill>
              <w14:schemeClr w14:val="tx1"/>
            </w14:solidFill>
          </w14:textFill>
        </w:rPr>
        <w:t>联系人</w:t>
      </w:r>
      <w:r>
        <w:rPr>
          <w:rFonts w:hint="eastAsia" w:ascii="仿宋" w:hAnsi="仿宋" w:eastAsia="仿宋" w:cs="仿宋"/>
          <w:b/>
          <w:caps/>
          <w:color w:val="000000" w:themeColor="text1"/>
          <w:spacing w:val="2"/>
          <w:kern w:val="0"/>
          <w:sz w:val="28"/>
          <w:szCs w:val="28"/>
          <w:fitText w:val="2810" w:id="3"/>
          <w:lang w:eastAsia="zh-CN"/>
          <w14:textFill>
            <w14:solidFill>
              <w14:schemeClr w14:val="tx1"/>
            </w14:solidFill>
          </w14:textFill>
        </w:rPr>
        <w:t>：</w:t>
      </w: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176"/>
          <w:kern w:val="0"/>
          <w:sz w:val="28"/>
          <w:szCs w:val="28"/>
          <w:fitText w:val="2810" w:id="4"/>
          <w:lang w:eastAsia="zh-CN"/>
          <w14:textFill>
            <w14:solidFill>
              <w14:schemeClr w14:val="tx1"/>
            </w14:solidFill>
          </w14:textFill>
        </w:rPr>
        <w:t>联系电话</w:t>
      </w:r>
      <w:r>
        <w:rPr>
          <w:rFonts w:hint="eastAsia" w:ascii="仿宋" w:hAnsi="仿宋" w:eastAsia="仿宋" w:cs="仿宋"/>
          <w:b/>
          <w:caps/>
          <w:color w:val="000000" w:themeColor="text1"/>
          <w:spacing w:val="1"/>
          <w:kern w:val="0"/>
          <w:sz w:val="28"/>
          <w:szCs w:val="28"/>
          <w:fitText w:val="2810" w:id="4"/>
          <w:lang w:eastAsia="zh-CN"/>
          <w14:textFill>
            <w14:solidFill>
              <w14:schemeClr w14:val="tx1"/>
            </w14:solidFill>
          </w14:textFill>
        </w:rPr>
        <w:t>：</w:t>
      </w:r>
    </w:p>
    <w:p>
      <w:pPr>
        <w:adjustRightInd w:val="0"/>
        <w:snapToGrid w:val="0"/>
        <w:spacing w:line="360" w:lineRule="auto"/>
        <w:jc w:val="center"/>
        <w:rPr>
          <w:rFonts w:ascii="仿宋" w:hAnsi="仿宋" w:eastAsia="仿宋" w:cs="仿宋"/>
          <w:b/>
          <w:caps/>
          <w:color w:val="000000" w:themeColor="text1"/>
          <w:sz w:val="28"/>
          <w:szCs w:val="28"/>
          <w:lang w:eastAsia="zh-CN"/>
          <w14:textFill>
            <w14:solidFill>
              <w14:schemeClr w14:val="tx1"/>
            </w14:solidFill>
          </w14:textFill>
        </w:rPr>
      </w:pPr>
    </w:p>
    <w:p>
      <w:pPr>
        <w:adjustRightInd w:val="0"/>
        <w:snapToGrid w:val="0"/>
        <w:spacing w:line="360" w:lineRule="auto"/>
        <w:jc w:val="center"/>
        <w:rPr>
          <w:rFonts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_</w:t>
      </w:r>
      <w:r>
        <w:rPr>
          <w:rFonts w:hint="eastAsia" w:ascii="仿宋" w:hAnsi="仿宋" w:eastAsia="仿宋" w:cs="仿宋"/>
          <w:b/>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_年__</w:t>
      </w:r>
      <w:r>
        <w:rPr>
          <w:rFonts w:hint="eastAsia" w:ascii="仿宋" w:hAnsi="仿宋" w:eastAsia="仿宋" w:cs="仿宋"/>
          <w:b/>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_月__</w:t>
      </w:r>
      <w:r>
        <w:rPr>
          <w:rFonts w:hint="eastAsia" w:ascii="仿宋" w:hAnsi="仿宋" w:eastAsia="仿宋" w:cs="仿宋"/>
          <w:b/>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_日</w:t>
      </w:r>
    </w:p>
    <w:p>
      <w:pPr>
        <w:pStyle w:val="46"/>
        <w:spacing w:after="340" w:line="240" w:lineRule="auto"/>
        <w:ind w:firstLine="0"/>
        <w:rPr>
          <w:rFonts w:ascii="仿宋" w:hAnsi="仿宋" w:eastAsia="仿宋" w:cs="仿宋"/>
          <w:color w:val="000000" w:themeColor="text1"/>
          <w14:textFill>
            <w14:solidFill>
              <w14:schemeClr w14:val="tx1"/>
            </w14:solidFill>
          </w14:textFill>
        </w:rPr>
      </w:pPr>
    </w:p>
    <w:bookmarkEnd w:id="63"/>
    <w:p>
      <w:pPr>
        <w:pStyle w:val="5"/>
        <w:spacing w:line="240" w:lineRule="atLeast"/>
        <w:rPr>
          <w:rFonts w:ascii="仿宋" w:hAnsi="仿宋" w:eastAsia="仿宋" w:cs="仿宋"/>
          <w:bCs/>
          <w:color w:val="000000" w:themeColor="text1"/>
          <w:sz w:val="24"/>
          <w:lang w:eastAsia="zh-CN"/>
          <w14:textFill>
            <w14:solidFill>
              <w14:schemeClr w14:val="tx1"/>
            </w14:solidFill>
          </w14:textFill>
        </w:rPr>
      </w:pPr>
      <w:bookmarkStart w:id="64" w:name="_Toc8919"/>
      <w:bookmarkStart w:id="65" w:name="_Toc18694"/>
      <w:bookmarkStart w:id="66" w:name="_Toc515647803"/>
      <w:bookmarkStart w:id="67" w:name="_Toc18974"/>
    </w:p>
    <w:p>
      <w:pPr>
        <w:pStyle w:val="5"/>
        <w:spacing w:line="240" w:lineRule="atLeast"/>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第一部分 资格证明文件</w:t>
      </w:r>
      <w:bookmarkEnd w:id="64"/>
      <w:bookmarkEnd w:id="65"/>
      <w:bookmarkEnd w:id="66"/>
      <w:bookmarkEnd w:id="67"/>
    </w:p>
    <w:p>
      <w:pPr>
        <w:spacing w:line="240" w:lineRule="atLeast"/>
        <w:ind w:left="717" w:hanging="716" w:hangingChars="295"/>
        <w:jc w:val="center"/>
        <w:rPr>
          <w:rFonts w:ascii="仿宋" w:hAnsi="仿宋" w:eastAsia="仿宋" w:cs="仿宋"/>
          <w:color w:val="000000" w:themeColor="text1"/>
          <w:lang w:eastAsia="zh-CN"/>
          <w14:textFill>
            <w14:solidFill>
              <w14:schemeClr w14:val="tx1"/>
            </w14:solidFill>
          </w14:textFill>
        </w:rPr>
      </w:pPr>
    </w:p>
    <w:p>
      <w:pPr>
        <w:spacing w:line="440" w:lineRule="exact"/>
        <w:ind w:firstLine="356"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1、法定代表人投标需提供法定代表人资格证明书，委托代理人投标需提供法定代表人授权委托书；</w:t>
      </w:r>
    </w:p>
    <w:p>
      <w:pPr>
        <w:spacing w:line="440" w:lineRule="exact"/>
        <w:ind w:firstLine="356"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2、满足《中华人民共和国政府采购法》第二十二条规定；</w:t>
      </w:r>
    </w:p>
    <w:p>
      <w:pPr>
        <w:spacing w:line="440" w:lineRule="exact"/>
        <w:ind w:firstLine="599"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（1）具有独立承担民事责任的能力的投标人；（</w:t>
      </w:r>
      <w:r>
        <w:rPr>
          <w:rFonts w:hint="eastAsia" w:ascii="仿宋" w:hAnsi="仿宋" w:eastAsia="仿宋" w:cs="仿宋"/>
          <w:color w:val="000000" w:themeColor="text1"/>
          <w:szCs w:val="21"/>
          <w:lang w:val="zh-CN" w:eastAsia="zh-CN"/>
          <w14:textFill>
            <w14:solidFill>
              <w14:schemeClr w14:val="tx1"/>
            </w14:solidFill>
          </w14:textFill>
        </w:rPr>
        <w:t>具有有效的营业执照、组织机构代码证、税务登记证副本（或三证合一证件）</w:t>
      </w:r>
    </w:p>
    <w:p>
      <w:pPr>
        <w:spacing w:line="440" w:lineRule="exact"/>
        <w:ind w:firstLine="599"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（2）具有良好的商业信誉和健全的财务会计制度；（</w:t>
      </w:r>
      <w:r>
        <w:rPr>
          <w:rFonts w:hint="eastAsia" w:ascii="仿宋" w:hAnsi="仿宋" w:eastAsia="仿宋" w:cs="仿宋"/>
          <w:color w:val="000000" w:themeColor="text1"/>
          <w:szCs w:val="21"/>
          <w:lang w:val="zh-CN" w:eastAsia="zh-CN"/>
          <w14:textFill>
            <w14:solidFill>
              <w14:schemeClr w14:val="tx1"/>
            </w14:solidFill>
          </w14:textFill>
        </w:rPr>
        <w:t>提供2022年度的财务审计报告（新注册企业未满一年的可不提供但需</w:t>
      </w:r>
      <w:r>
        <w:rPr>
          <w:rFonts w:hint="eastAsia" w:ascii="仿宋" w:hAnsi="仿宋" w:eastAsia="仿宋" w:cs="仿宋"/>
          <w:color w:val="000000" w:themeColor="text1"/>
          <w:szCs w:val="21"/>
          <w:lang w:eastAsia="zh-CN"/>
          <w14:textFill>
            <w14:solidFill>
              <w14:schemeClr w14:val="tx1"/>
            </w14:solidFill>
          </w14:textFill>
        </w:rPr>
        <w:t>自行承诺</w:t>
      </w:r>
      <w:r>
        <w:rPr>
          <w:rFonts w:hint="eastAsia" w:ascii="仿宋" w:hAnsi="仿宋" w:eastAsia="仿宋" w:cs="仿宋"/>
          <w:color w:val="000000" w:themeColor="text1"/>
          <w:szCs w:val="21"/>
          <w:lang w:val="zh-CN" w:eastAsia="zh-CN"/>
          <w14:textFill>
            <w14:solidFill>
              <w14:schemeClr w14:val="tx1"/>
            </w14:solidFill>
          </w14:textFill>
        </w:rPr>
        <w:t>）；</w:t>
      </w:r>
    </w:p>
    <w:p>
      <w:pPr>
        <w:spacing w:line="440" w:lineRule="exact"/>
        <w:ind w:firstLine="599"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（3）具有履行合同所必需的设备和专业技术能力（自行承诺）；</w:t>
      </w:r>
    </w:p>
    <w:p>
      <w:pPr>
        <w:spacing w:line="440" w:lineRule="exact"/>
        <w:ind w:firstLine="599"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（4）有依法缴纳税收和社会保障资金的良好记录；有依法缴纳税收和社会保障资金的良好记录（提供（202</w:t>
      </w:r>
      <w:r>
        <w:rPr>
          <w:rFonts w:ascii="仿宋" w:hAnsi="仿宋" w:eastAsia="仿宋" w:cs="仿宋"/>
          <w:color w:val="000000" w:themeColor="text1"/>
          <w:szCs w:val="21"/>
          <w:lang w:eastAsia="zh-CN"/>
          <w14:textFill>
            <w14:solidFill>
              <w14:schemeClr w14:val="tx1"/>
            </w14:solidFill>
          </w14:textFill>
        </w:rPr>
        <w:t>2</w:t>
      </w:r>
      <w:r>
        <w:rPr>
          <w:rFonts w:hint="eastAsia" w:ascii="仿宋" w:hAnsi="仿宋" w:eastAsia="仿宋" w:cs="仿宋"/>
          <w:color w:val="000000" w:themeColor="text1"/>
          <w:szCs w:val="21"/>
          <w:lang w:eastAsia="zh-CN"/>
          <w14:textFill>
            <w14:solidFill>
              <w14:schemeClr w14:val="tx1"/>
            </w14:solidFill>
          </w14:textFill>
        </w:rPr>
        <w:t>年10月及以后）任意3个月的纳税证明及社保证明）；</w:t>
      </w:r>
    </w:p>
    <w:p>
      <w:pPr>
        <w:spacing w:line="440" w:lineRule="exact"/>
        <w:ind w:firstLine="599" w:firstLineChars="247"/>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（5）参加本次采购活动前三年内，在经营活动中没有重大违法记录（提供书面声明）；</w:t>
      </w:r>
    </w:p>
    <w:p>
      <w:pPr>
        <w:spacing w:line="440" w:lineRule="exact"/>
        <w:ind w:firstLine="356"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3、未被列入中国执行信息公开网（http://zxgk.court.gov.cn/shixin/）失信被执行人名单、信用中国网站（www.creditchina.gov.cn）</w:t>
      </w:r>
      <w:r>
        <w:rPr>
          <w:rFonts w:hint="eastAsia" w:ascii="仿宋" w:hAnsi="仿宋" w:eastAsia="仿宋" w:cs="仿宋"/>
          <w:color w:val="000000" w:themeColor="text1"/>
          <w:szCs w:val="21"/>
          <w:lang w:val="zh-CN" w:eastAsia="zh-CN"/>
          <w14:textFill>
            <w14:solidFill>
              <w14:schemeClr w14:val="tx1"/>
            </w14:solidFill>
          </w14:textFill>
        </w:rPr>
        <w:t>重大税收违法</w:t>
      </w:r>
      <w:r>
        <w:rPr>
          <w:rFonts w:hint="eastAsia" w:ascii="仿宋" w:hAnsi="仿宋" w:eastAsia="仿宋" w:cs="仿宋"/>
          <w:color w:val="000000" w:themeColor="text1"/>
          <w:szCs w:val="21"/>
          <w:lang w:eastAsia="zh-CN"/>
          <w14:textFill>
            <w14:solidFill>
              <w14:schemeClr w14:val="tx1"/>
            </w14:solidFill>
          </w14:textFill>
        </w:rPr>
        <w:t>失信主体和中国政府采购网（www.ccgp.gov.cn）政府采购严重违法失信行为记录名单；</w:t>
      </w:r>
    </w:p>
    <w:p>
      <w:pPr>
        <w:spacing w:line="440" w:lineRule="exact"/>
        <w:ind w:firstLine="356" w:firstLineChars="147"/>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4、单位负责人为同一人或者存在直接控股、管理关系的不同供应商，不得参加同一合同下的政府采购活动（提供书面声明）。</w:t>
      </w:r>
    </w:p>
    <w:p>
      <w:pPr>
        <w:spacing w:line="440" w:lineRule="exact"/>
        <w:ind w:firstLine="356" w:firstLineChars="147"/>
        <w:rPr>
          <w:rFonts w:ascii="仿宋" w:hAnsi="仿宋" w:eastAsia="仿宋" w:cs="仿宋"/>
          <w:color w:val="000000" w:themeColor="text1"/>
          <w:szCs w:val="21"/>
          <w:lang w:eastAsia="zh-CN"/>
          <w14:textFill>
            <w14:solidFill>
              <w14:schemeClr w14:val="tx1"/>
            </w14:solidFill>
          </w14:textFill>
        </w:rPr>
      </w:pPr>
      <w:r>
        <w:rPr>
          <w:rFonts w:ascii="仿宋" w:hAnsi="仿宋" w:eastAsia="仿宋" w:cs="仿宋"/>
          <w:color w:val="000000" w:themeColor="text1"/>
          <w:szCs w:val="21"/>
          <w:lang w:eastAsia="zh-CN"/>
          <w14:textFill>
            <w14:solidFill>
              <w14:schemeClr w14:val="tx1"/>
            </w14:solidFill>
          </w14:textFill>
        </w:rPr>
        <w:t>5</w:t>
      </w:r>
      <w:r>
        <w:rPr>
          <w:rFonts w:hint="eastAsia" w:ascii="仿宋" w:hAnsi="仿宋" w:eastAsia="仿宋" w:cs="仿宋"/>
          <w:color w:val="000000" w:themeColor="text1"/>
          <w:szCs w:val="21"/>
          <w:lang w:eastAsia="zh-CN"/>
          <w14:textFill>
            <w14:solidFill>
              <w14:schemeClr w14:val="tx1"/>
            </w14:solidFill>
          </w14:textFill>
        </w:rPr>
        <w:t>、投标单位（供应商）针对本次采购项目《反商业贿赂承诺书》的书面声明。</w:t>
      </w:r>
    </w:p>
    <w:p>
      <w:pPr>
        <w:spacing w:line="440" w:lineRule="exact"/>
        <w:ind w:firstLine="356" w:firstLineChars="147"/>
        <w:rPr>
          <w:rFonts w:ascii="仿宋" w:hAnsi="仿宋" w:eastAsia="仿宋" w:cs="仿宋"/>
          <w:color w:val="000000" w:themeColor="text1"/>
          <w:szCs w:val="21"/>
          <w:lang w:eastAsia="zh-CN"/>
          <w14:textFill>
            <w14:solidFill>
              <w14:schemeClr w14:val="tx1"/>
            </w14:solidFill>
          </w14:textFill>
        </w:rPr>
      </w:pPr>
      <w:r>
        <w:rPr>
          <w:rFonts w:ascii="仿宋" w:hAnsi="仿宋" w:eastAsia="仿宋" w:cs="仿宋"/>
          <w:color w:val="000000" w:themeColor="text1"/>
          <w:szCs w:val="21"/>
          <w:lang w:eastAsia="zh-CN"/>
          <w14:textFill>
            <w14:solidFill>
              <w14:schemeClr w14:val="tx1"/>
            </w14:solidFill>
          </w14:textFill>
        </w:rPr>
        <w:t>6</w:t>
      </w:r>
      <w:r>
        <w:rPr>
          <w:rFonts w:hint="eastAsia" w:ascii="仿宋" w:hAnsi="仿宋" w:eastAsia="仿宋" w:cs="仿宋"/>
          <w:color w:val="000000" w:themeColor="text1"/>
          <w:szCs w:val="21"/>
          <w:lang w:eastAsia="zh-CN"/>
          <w14:textFill>
            <w14:solidFill>
              <w14:schemeClr w14:val="tx1"/>
            </w14:solidFill>
          </w14:textFill>
        </w:rPr>
        <w:t>、缴纳保证金凭证或保函等票据。</w:t>
      </w:r>
    </w:p>
    <w:p>
      <w:pPr>
        <w:pStyle w:val="10"/>
        <w:numPr>
          <w:ilvl w:val="0"/>
          <w:numId w:val="0"/>
        </w:numPr>
        <w:kinsoku w:val="0"/>
        <w:overflowPunct w:val="0"/>
        <w:spacing w:before="130" w:line="355" w:lineRule="auto"/>
        <w:ind w:left="480" w:right="7"/>
        <w:jc w:val="center"/>
        <w:rPr>
          <w:rFonts w:ascii="仿宋" w:hAnsi="仿宋" w:eastAsia="仿宋" w:cs="仿宋"/>
          <w:b/>
          <w:bCs/>
          <w:color w:val="000000" w:themeColor="text1"/>
          <w:sz w:val="36"/>
          <w:szCs w:val="36"/>
          <w:lang w:eastAsia="zh-CN"/>
          <w14:textFill>
            <w14:solidFill>
              <w14:schemeClr w14:val="tx1"/>
            </w14:solidFill>
          </w14:textFill>
        </w:rPr>
      </w:pPr>
    </w:p>
    <w:p>
      <w:pPr>
        <w:pStyle w:val="10"/>
        <w:numPr>
          <w:ilvl w:val="0"/>
          <w:numId w:val="0"/>
        </w:numPr>
        <w:kinsoku w:val="0"/>
        <w:overflowPunct w:val="0"/>
        <w:spacing w:before="130" w:line="355" w:lineRule="auto"/>
        <w:ind w:left="480" w:right="7"/>
        <w:jc w:val="center"/>
        <w:rPr>
          <w:rFonts w:ascii="仿宋" w:hAnsi="仿宋" w:eastAsia="仿宋" w:cs="仿宋"/>
          <w:b/>
          <w:bCs/>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41"/>
        <w:ind w:firstLine="0"/>
        <w:rPr>
          <w:rFonts w:ascii="仿宋" w:hAnsi="仿宋" w:eastAsia="仿宋" w:cs="仿宋"/>
          <w:b/>
          <w:bCs/>
          <w:color w:val="000000" w:themeColor="text1"/>
          <w:sz w:val="36"/>
          <w:szCs w:val="36"/>
          <w:lang w:eastAsia="zh-CN"/>
          <w14:textFill>
            <w14:solidFill>
              <w14:schemeClr w14:val="tx1"/>
            </w14:solidFill>
          </w14:textFill>
        </w:rPr>
      </w:pPr>
    </w:p>
    <w:p>
      <w:pPr>
        <w:pStyle w:val="10"/>
        <w:numPr>
          <w:ilvl w:val="0"/>
          <w:numId w:val="0"/>
        </w:numPr>
        <w:kinsoku w:val="0"/>
        <w:overflowPunct w:val="0"/>
        <w:spacing w:before="34" w:line="440" w:lineRule="exact"/>
        <w:ind w:right="126"/>
        <w:jc w:val="both"/>
        <w:rPr>
          <w:rFonts w:ascii="仿宋" w:hAnsi="仿宋" w:eastAsia="仿宋" w:cs="仿宋"/>
          <w:b/>
          <w:bCs/>
          <w:color w:val="000000" w:themeColor="text1"/>
          <w:sz w:val="36"/>
          <w:szCs w:val="36"/>
          <w:lang w:eastAsia="zh-CN"/>
          <w14:textFill>
            <w14:solidFill>
              <w14:schemeClr w14:val="tx1"/>
            </w14:solidFill>
          </w14:textFill>
        </w:rPr>
      </w:pPr>
    </w:p>
    <w:p>
      <w:pPr>
        <w:pStyle w:val="10"/>
        <w:numPr>
          <w:ilvl w:val="0"/>
          <w:numId w:val="0"/>
        </w:numPr>
        <w:kinsoku w:val="0"/>
        <w:overflowPunct w:val="0"/>
        <w:spacing w:before="34" w:line="440" w:lineRule="exact"/>
        <w:ind w:left="480" w:right="126"/>
        <w:jc w:val="center"/>
        <w:rPr>
          <w:rFonts w:ascii="仿宋" w:hAnsi="仿宋" w:eastAsia="仿宋" w:cs="仿宋"/>
          <w:b/>
          <w:bCs/>
          <w:color w:val="000000" w:themeColor="text1"/>
          <w:sz w:val="36"/>
          <w:szCs w:val="36"/>
          <w:lang w:eastAsia="zh-CN"/>
          <w14:textFill>
            <w14:solidFill>
              <w14:schemeClr w14:val="tx1"/>
            </w14:solidFill>
          </w14:textFill>
        </w:rPr>
      </w:pPr>
    </w:p>
    <w:p>
      <w:pPr>
        <w:pStyle w:val="10"/>
        <w:numPr>
          <w:ilvl w:val="0"/>
          <w:numId w:val="0"/>
        </w:numPr>
        <w:kinsoku w:val="0"/>
        <w:overflowPunct w:val="0"/>
        <w:spacing w:before="34" w:line="440" w:lineRule="exact"/>
        <w:ind w:left="480" w:right="126"/>
        <w:jc w:val="center"/>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1、法定代表人身份证明</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投标单位名称：</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单位性质：</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地址：</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成立时间：</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年</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月</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日</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经营期限：</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姓名：</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性别：</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年龄：</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职务：</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身份证号码：</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系</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（投标单位名称）的法定代表人。</w:t>
      </w:r>
    </w:p>
    <w:p>
      <w:pPr>
        <w:spacing w:line="420" w:lineRule="exact"/>
        <w:ind w:firstLine="972" w:firstLineChars="4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特此证明。</w:t>
      </w:r>
    </w:p>
    <w:p>
      <w:pPr>
        <w:pStyle w:val="10"/>
        <w:numPr>
          <w:ilvl w:val="0"/>
          <w:numId w:val="0"/>
        </w:numPr>
        <w:kinsoku w:val="0"/>
        <w:overflowPunct w:val="0"/>
        <w:rPr>
          <w:rFonts w:ascii="仿宋" w:hAnsi="仿宋" w:eastAsia="仿宋" w:cs="仿宋"/>
          <w:color w:val="000000" w:themeColor="text1"/>
          <w:sz w:val="20"/>
          <w:szCs w:val="20"/>
          <w14:textFill>
            <w14:solidFill>
              <w14:schemeClr w14:val="tx1"/>
            </w14:solidFill>
          </w14:textFill>
        </w:rPr>
      </w:pPr>
    </w:p>
    <w:p>
      <w:pPr>
        <w:pStyle w:val="10"/>
        <w:numPr>
          <w:ilvl w:val="0"/>
          <w:numId w:val="0"/>
        </w:numPr>
        <w:kinsoku w:val="0"/>
        <w:overflowPunct w:val="0"/>
        <w:spacing w:before="7"/>
        <w:rPr>
          <w:rFonts w:ascii="仿宋" w:hAnsi="仿宋" w:eastAsia="仿宋" w:cs="仿宋"/>
          <w:color w:val="000000" w:themeColor="text1"/>
          <w:sz w:val="25"/>
          <w:szCs w:val="25"/>
          <w14:textFill>
            <w14:solidFill>
              <w14:schemeClr w14:val="tx1"/>
            </w14:solidFill>
          </w14:textFill>
        </w:rPr>
      </w:pPr>
    </w:p>
    <w:p>
      <w:pPr>
        <w:pStyle w:val="10"/>
        <w:numPr>
          <w:ilvl w:val="0"/>
          <w:numId w:val="0"/>
        </w:numPr>
        <w:kinsoku w:val="0"/>
        <w:overflowPunct w:val="0"/>
        <w:spacing w:line="200" w:lineRule="atLeas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10"/>
                                <w:numPr>
                                  <w:ilvl w:val="0"/>
                                  <w:numId w:val="0"/>
                                </w:numPr>
                                <w:kinsoku w:val="0"/>
                                <w:overflowPunct w:val="0"/>
                                <w:spacing w:before="13"/>
                                <w:rPr>
                                  <w:sz w:val="28"/>
                                  <w:szCs w:val="28"/>
                                </w:rPr>
                              </w:pPr>
                            </w:p>
                            <w:p>
                              <w:pPr>
                                <w:pStyle w:val="10"/>
                                <w:numPr>
                                  <w:ilvl w:val="0"/>
                                  <w:numId w:val="0"/>
                                </w:numPr>
                                <w:kinsoku w:val="0"/>
                                <w:overflowPunct w:val="0"/>
                                <w:jc w:val="center"/>
                                <w:rPr>
                                  <w:lang w:eastAsia="zh-CN"/>
                                </w:rPr>
                              </w:pPr>
                              <w:r>
                                <w:rPr>
                                  <w:rFonts w:hint="eastAsia"/>
                                  <w:lang w:eastAsia="zh-CN"/>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10"/>
                                <w:numPr>
                                  <w:ilvl w:val="0"/>
                                  <w:numId w:val="0"/>
                                </w:numPr>
                                <w:kinsoku w:val="0"/>
                                <w:overflowPunct w:val="0"/>
                                <w:spacing w:before="13"/>
                                <w:rPr>
                                  <w:sz w:val="28"/>
                                  <w:szCs w:val="28"/>
                                </w:rPr>
                              </w:pPr>
                            </w:p>
                            <w:p>
                              <w:pPr>
                                <w:pStyle w:val="10"/>
                                <w:numPr>
                                  <w:ilvl w:val="0"/>
                                  <w:numId w:val="0"/>
                                </w:numPr>
                                <w:kinsoku w:val="0"/>
                                <w:overflowPunct w:val="0"/>
                                <w:rPr>
                                  <w:lang w:eastAsia="zh-CN"/>
                                </w:rPr>
                              </w:pPr>
                              <w:r>
                                <w:rPr>
                                  <w:rFonts w:hint="eastAsia"/>
                                  <w:lang w:eastAsia="zh-CN"/>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10"/>
                          <w:numPr>
                            <w:ilvl w:val="0"/>
                            <w:numId w:val="0"/>
                          </w:numPr>
                          <w:kinsoku w:val="0"/>
                          <w:overflowPunct w:val="0"/>
                          <w:spacing w:before="13"/>
                          <w:rPr>
                            <w:sz w:val="28"/>
                            <w:szCs w:val="28"/>
                          </w:rPr>
                        </w:pPr>
                      </w:p>
                      <w:p>
                        <w:pPr>
                          <w:pStyle w:val="10"/>
                          <w:numPr>
                            <w:ilvl w:val="0"/>
                            <w:numId w:val="0"/>
                          </w:numPr>
                          <w:kinsoku w:val="0"/>
                          <w:overflowPunct w:val="0"/>
                          <w:jc w:val="center"/>
                          <w:rPr>
                            <w:lang w:eastAsia="zh-CN"/>
                          </w:rPr>
                        </w:pPr>
                        <w:r>
                          <w:rPr>
                            <w:rFonts w:hint="eastAsia"/>
                            <w:lang w:eastAsia="zh-CN"/>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10"/>
                          <w:numPr>
                            <w:ilvl w:val="0"/>
                            <w:numId w:val="0"/>
                          </w:numPr>
                          <w:kinsoku w:val="0"/>
                          <w:overflowPunct w:val="0"/>
                          <w:spacing w:before="13"/>
                          <w:rPr>
                            <w:sz w:val="28"/>
                            <w:szCs w:val="28"/>
                          </w:rPr>
                        </w:pPr>
                      </w:p>
                      <w:p>
                        <w:pPr>
                          <w:pStyle w:val="10"/>
                          <w:numPr>
                            <w:ilvl w:val="0"/>
                            <w:numId w:val="0"/>
                          </w:numPr>
                          <w:kinsoku w:val="0"/>
                          <w:overflowPunct w:val="0"/>
                          <w:rPr>
                            <w:lang w:eastAsia="zh-CN"/>
                          </w:rPr>
                        </w:pPr>
                        <w:r>
                          <w:rPr>
                            <w:rFonts w:hint="eastAsia"/>
                            <w:lang w:eastAsia="zh-CN"/>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ascii="仿宋" w:hAnsi="仿宋" w:eastAsia="仿宋" w:cs="仿宋"/>
          <w:color w:val="000000" w:themeColor="text1"/>
          <w14:textFill>
            <w14:solidFill>
              <w14:schemeClr w14:val="tx1"/>
            </w14:solidFill>
          </w14:textFill>
        </w:rPr>
      </w:pPr>
    </w:p>
    <w:p>
      <w:pPr>
        <w:spacing w:line="420" w:lineRule="exact"/>
        <w:ind w:firstLine="486" w:firstLineChars="200"/>
        <w:jc w:val="right"/>
        <w:rPr>
          <w:rFonts w:ascii="仿宋" w:hAnsi="仿宋" w:eastAsia="仿宋" w:cs="仿宋"/>
          <w:color w:val="000000" w:themeColor="text1"/>
          <w14:textFill>
            <w14:solidFill>
              <w14:schemeClr w14:val="tx1"/>
            </w14:solidFill>
          </w14:textFill>
        </w:rPr>
      </w:pPr>
    </w:p>
    <w:p>
      <w:pPr>
        <w:spacing w:line="420" w:lineRule="exact"/>
        <w:ind w:firstLine="486" w:firstLineChars="200"/>
        <w:jc w:val="righ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投标人：</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（公章）</w:t>
      </w:r>
    </w:p>
    <w:p>
      <w:pPr>
        <w:wordWrap w:val="0"/>
        <w:spacing w:line="420" w:lineRule="exact"/>
        <w:ind w:right="480" w:firstLine="486" w:firstLineChars="200"/>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年</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月</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日 </w:t>
      </w:r>
    </w:p>
    <w:p>
      <w:pPr>
        <w:pStyle w:val="10"/>
        <w:numPr>
          <w:ilvl w:val="0"/>
          <w:numId w:val="0"/>
        </w:numPr>
        <w:kinsoku w:val="0"/>
        <w:overflowPunct w:val="0"/>
        <w:spacing w:before="34" w:line="357" w:lineRule="auto"/>
        <w:ind w:left="480" w:right="126"/>
        <w:jc w:val="center"/>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br w:type="page"/>
      </w:r>
      <w:r>
        <w:rPr>
          <w:rFonts w:hint="eastAsia" w:ascii="仿宋" w:hAnsi="仿宋" w:eastAsia="仿宋" w:cs="仿宋"/>
          <w:b/>
          <w:bCs/>
          <w:color w:val="000000" w:themeColor="text1"/>
          <w:sz w:val="36"/>
          <w:szCs w:val="36"/>
          <w:lang w:eastAsia="zh-CN"/>
          <w14:textFill>
            <w14:solidFill>
              <w14:schemeClr w14:val="tx1"/>
            </w14:solidFill>
          </w14:textFill>
        </w:rPr>
        <w:t>授权委托书</w:t>
      </w:r>
    </w:p>
    <w:p>
      <w:pPr>
        <w:spacing w:line="42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致：采购人名称 </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本授权书声明：注册于</w:t>
      </w:r>
      <w:r>
        <w:rPr>
          <w:rFonts w:hint="eastAsia" w:ascii="仿宋" w:hAnsi="仿宋" w:eastAsia="仿宋" w:cs="仿宋"/>
          <w:color w:val="000000" w:themeColor="text1"/>
          <w:u w:val="single"/>
          <w:lang w:eastAsia="zh-CN"/>
          <w14:textFill>
            <w14:solidFill>
              <w14:schemeClr w14:val="tx1"/>
            </w14:solidFill>
          </w14:textFill>
        </w:rPr>
        <w:t>（投标人地址）</w:t>
      </w:r>
      <w:r>
        <w:rPr>
          <w:rFonts w:hint="eastAsia" w:ascii="仿宋" w:hAnsi="仿宋" w:eastAsia="仿宋" w:cs="仿宋"/>
          <w:color w:val="000000" w:themeColor="text1"/>
          <w:lang w:eastAsia="zh-CN"/>
          <w14:textFill>
            <w14:solidFill>
              <w14:schemeClr w14:val="tx1"/>
            </w14:solidFill>
          </w14:textFill>
        </w:rPr>
        <w:t>的</w:t>
      </w:r>
      <w:r>
        <w:rPr>
          <w:rFonts w:hint="eastAsia" w:ascii="仿宋" w:hAnsi="仿宋" w:eastAsia="仿宋" w:cs="仿宋"/>
          <w:color w:val="000000" w:themeColor="text1"/>
          <w:u w:val="single"/>
          <w:lang w:eastAsia="zh-CN"/>
          <w14:textFill>
            <w14:solidFill>
              <w14:schemeClr w14:val="tx1"/>
            </w14:solidFill>
          </w14:textFill>
        </w:rPr>
        <w:t>（投标人名称）</w:t>
      </w:r>
      <w:r>
        <w:rPr>
          <w:rFonts w:hint="eastAsia" w:ascii="仿宋" w:hAnsi="仿宋" w:eastAsia="仿宋" w:cs="仿宋"/>
          <w:color w:val="000000" w:themeColor="text1"/>
          <w:lang w:eastAsia="zh-CN"/>
          <w14:textFill>
            <w14:solidFill>
              <w14:schemeClr w14:val="tx1"/>
            </w14:solidFill>
          </w14:textFill>
        </w:rPr>
        <w:t>法定代表人（负责人）</w:t>
      </w:r>
      <w:r>
        <w:rPr>
          <w:rFonts w:hint="eastAsia" w:ascii="仿宋" w:hAnsi="仿宋" w:eastAsia="仿宋" w:cs="仿宋"/>
          <w:color w:val="000000" w:themeColor="text1"/>
          <w:u w:val="single"/>
          <w:lang w:eastAsia="zh-CN"/>
          <w14:textFill>
            <w14:solidFill>
              <w14:schemeClr w14:val="tx1"/>
            </w14:solidFill>
          </w14:textFill>
        </w:rPr>
        <w:t>姓名、职务或职称）</w:t>
      </w:r>
      <w:r>
        <w:rPr>
          <w:rFonts w:hint="eastAsia" w:ascii="仿宋" w:hAnsi="仿宋" w:eastAsia="仿宋" w:cs="仿宋"/>
          <w:color w:val="000000" w:themeColor="text1"/>
          <w:lang w:eastAsia="zh-CN"/>
          <w14:textFill>
            <w14:solidFill>
              <w14:schemeClr w14:val="tx1"/>
            </w14:solidFill>
          </w14:textFill>
        </w:rPr>
        <w:t>代表本公司授权</w:t>
      </w:r>
      <w:r>
        <w:rPr>
          <w:rFonts w:hint="eastAsia" w:ascii="仿宋" w:hAnsi="仿宋" w:eastAsia="仿宋" w:cs="仿宋"/>
          <w:color w:val="000000" w:themeColor="text1"/>
          <w:u w:val="single"/>
          <w:lang w:eastAsia="zh-CN"/>
          <w14:textFill>
            <w14:solidFill>
              <w14:schemeClr w14:val="tx1"/>
            </w14:solidFill>
          </w14:textFill>
        </w:rPr>
        <w:t>（姓名）</w:t>
      </w:r>
      <w:r>
        <w:rPr>
          <w:rFonts w:hint="eastAsia" w:ascii="仿宋" w:hAnsi="仿宋" w:eastAsia="仿宋" w:cs="仿宋"/>
          <w:color w:val="000000" w:themeColor="text1"/>
          <w:lang w:eastAsia="zh-CN"/>
          <w14:textFill>
            <w14:solidFill>
              <w14:schemeClr w14:val="tx1"/>
            </w14:solidFill>
          </w14:textFill>
        </w:rPr>
        <w:t>为本单位的合法代理人，参与贵方组织的</w:t>
      </w:r>
      <w:r>
        <w:rPr>
          <w:rFonts w:hint="eastAsia" w:ascii="仿宋" w:hAnsi="仿宋" w:eastAsia="仿宋" w:cs="仿宋"/>
          <w:color w:val="000000" w:themeColor="text1"/>
          <w:u w:val="single"/>
          <w:lang w:eastAsia="zh-CN"/>
          <w14:textFill>
            <w14:solidFill>
              <w14:schemeClr w14:val="tx1"/>
            </w14:solidFill>
          </w14:textFill>
        </w:rPr>
        <w:t>（项目名称及项目编号）</w:t>
      </w:r>
      <w:r>
        <w:rPr>
          <w:rFonts w:hint="eastAsia" w:ascii="仿宋" w:hAnsi="仿宋" w:eastAsia="仿宋" w:cs="仿宋"/>
          <w:color w:val="000000" w:themeColor="text1"/>
          <w:lang w:eastAsia="zh-CN"/>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10"/>
        <w:tabs>
          <w:tab w:val="left" w:pos="780"/>
        </w:tabs>
        <w:kinsoku w:val="0"/>
        <w:overflowPunct w:val="0"/>
        <w:adjustRightInd w:val="0"/>
        <w:snapToGrid w:val="0"/>
        <w:spacing w:before="12"/>
        <w:rPr>
          <w:rFonts w:ascii="仿宋" w:hAnsi="仿宋" w:eastAsia="仿宋" w:cs="仿宋"/>
          <w:color w:val="000000" w:themeColor="text1"/>
          <w:sz w:val="4"/>
          <w:szCs w:val="4"/>
          <w:lang w:eastAsia="zh-CN"/>
          <w14:textFill>
            <w14:solidFill>
              <w14:schemeClr w14:val="tx1"/>
            </w14:solidFill>
          </w14:textFill>
        </w:rPr>
      </w:pPr>
    </w:p>
    <w:p>
      <w:pPr>
        <w:pStyle w:val="10"/>
        <w:numPr>
          <w:ilvl w:val="0"/>
          <w:numId w:val="0"/>
        </w:numPr>
        <w:kinsoku w:val="0"/>
        <w:overflowPunct w:val="0"/>
        <w:adjustRightInd w:val="0"/>
        <w:snapToGrid w:val="0"/>
        <w:spacing w:line="200" w:lineRule="atLeast"/>
        <w:ind w:right="1931" w:rightChars="795"/>
        <w:jc w:val="center"/>
        <w:rPr>
          <w:rFonts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10"/>
                                <w:numPr>
                                  <w:ilvl w:val="0"/>
                                  <w:numId w:val="0"/>
                                </w:numPr>
                                <w:kinsoku w:val="0"/>
                                <w:overflowPunct w:val="0"/>
                                <w:spacing w:before="12"/>
                                <w:rPr>
                                  <w:sz w:val="28"/>
                                  <w:szCs w:val="28"/>
                                </w:rPr>
                              </w:pPr>
                            </w:p>
                            <w:p>
                              <w:pPr>
                                <w:pStyle w:val="10"/>
                                <w:numPr>
                                  <w:ilvl w:val="0"/>
                                  <w:numId w:val="0"/>
                                </w:numPr>
                                <w:kinsoku w:val="0"/>
                                <w:overflowPunct w:val="0"/>
                                <w:jc w:val="center"/>
                              </w:pPr>
                            </w:p>
                            <w:p>
                              <w:pPr>
                                <w:pStyle w:val="10"/>
                                <w:numPr>
                                  <w:ilvl w:val="0"/>
                                  <w:numId w:val="0"/>
                                </w:numPr>
                                <w:kinsoku w:val="0"/>
                                <w:overflowPunct w:val="0"/>
                                <w:jc w:val="center"/>
                                <w:rPr>
                                  <w:lang w:eastAsia="zh-CN"/>
                                </w:rPr>
                              </w:pPr>
                              <w:r>
                                <w:rPr>
                                  <w:rFonts w:hint="eastAsia"/>
                                  <w:lang w:eastAsia="zh-CN"/>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10"/>
                                <w:numPr>
                                  <w:ilvl w:val="0"/>
                                  <w:numId w:val="0"/>
                                </w:numPr>
                                <w:kinsoku w:val="0"/>
                                <w:overflowPunct w:val="0"/>
                              </w:pPr>
                            </w:p>
                            <w:p>
                              <w:pPr>
                                <w:pStyle w:val="10"/>
                                <w:numPr>
                                  <w:ilvl w:val="0"/>
                                  <w:numId w:val="0"/>
                                </w:numPr>
                                <w:kinsoku w:val="0"/>
                                <w:overflowPunct w:val="0"/>
                              </w:pPr>
                            </w:p>
                            <w:p>
                              <w:pPr>
                                <w:pStyle w:val="10"/>
                                <w:numPr>
                                  <w:ilvl w:val="0"/>
                                  <w:numId w:val="0"/>
                                </w:numPr>
                                <w:kinsoku w:val="0"/>
                                <w:overflowPunct w:val="0"/>
                                <w:rPr>
                                  <w:lang w:eastAsia="zh-CN"/>
                                </w:rPr>
                              </w:pPr>
                              <w:r>
                                <w:rPr>
                                  <w:rFonts w:hint="eastAsia"/>
                                  <w:lang w:eastAsia="zh-CN"/>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CX+X3P1gAAAAUBAAAPAAAAAAAAAAEAIAAAACIAAABkcnMvZG93bnJl&#10;di54bWxQSwECFAAUAAAACACHTuJATUzYN6sEAABeIgAADgAAAAAAAAABACAAAAAlAQAAZHJzL2Uy&#10;b0RvYy54bWxQSwUGAAAAAAYABgBZAQAAQg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10"/>
                          <w:numPr>
                            <w:ilvl w:val="0"/>
                            <w:numId w:val="0"/>
                          </w:numPr>
                          <w:kinsoku w:val="0"/>
                          <w:overflowPunct w:val="0"/>
                          <w:spacing w:before="12"/>
                          <w:rPr>
                            <w:sz w:val="28"/>
                            <w:szCs w:val="28"/>
                          </w:rPr>
                        </w:pPr>
                      </w:p>
                      <w:p>
                        <w:pPr>
                          <w:pStyle w:val="10"/>
                          <w:numPr>
                            <w:ilvl w:val="0"/>
                            <w:numId w:val="0"/>
                          </w:numPr>
                          <w:kinsoku w:val="0"/>
                          <w:overflowPunct w:val="0"/>
                          <w:jc w:val="center"/>
                        </w:pPr>
                      </w:p>
                      <w:p>
                        <w:pPr>
                          <w:pStyle w:val="10"/>
                          <w:numPr>
                            <w:ilvl w:val="0"/>
                            <w:numId w:val="0"/>
                          </w:numPr>
                          <w:kinsoku w:val="0"/>
                          <w:overflowPunct w:val="0"/>
                          <w:jc w:val="center"/>
                          <w:rPr>
                            <w:lang w:eastAsia="zh-CN"/>
                          </w:rPr>
                        </w:pPr>
                        <w:r>
                          <w:rPr>
                            <w:rFonts w:hint="eastAsia"/>
                            <w:lang w:eastAsia="zh-CN"/>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10"/>
                          <w:numPr>
                            <w:ilvl w:val="0"/>
                            <w:numId w:val="0"/>
                          </w:numPr>
                          <w:kinsoku w:val="0"/>
                          <w:overflowPunct w:val="0"/>
                        </w:pPr>
                      </w:p>
                      <w:p>
                        <w:pPr>
                          <w:pStyle w:val="10"/>
                          <w:numPr>
                            <w:ilvl w:val="0"/>
                            <w:numId w:val="0"/>
                          </w:numPr>
                          <w:kinsoku w:val="0"/>
                          <w:overflowPunct w:val="0"/>
                        </w:pPr>
                      </w:p>
                      <w:p>
                        <w:pPr>
                          <w:pStyle w:val="10"/>
                          <w:numPr>
                            <w:ilvl w:val="0"/>
                            <w:numId w:val="0"/>
                          </w:numPr>
                          <w:kinsoku w:val="0"/>
                          <w:overflowPunct w:val="0"/>
                          <w:rPr>
                            <w:lang w:eastAsia="zh-CN"/>
                          </w:rPr>
                        </w:pPr>
                        <w:r>
                          <w:rPr>
                            <w:rFonts w:hint="eastAsia"/>
                            <w:lang w:eastAsia="zh-CN"/>
                          </w:rPr>
                          <w:t>授权人身份证复印件（反面）</w:t>
                        </w:r>
                      </w:p>
                    </w:txbxContent>
                  </v:textbox>
                </v:shape>
                <w10:wrap type="none"/>
                <w10:anchorlock/>
              </v:group>
            </w:pict>
          </mc:Fallback>
        </mc:AlternateContent>
      </w:r>
    </w:p>
    <w:p>
      <w:pPr>
        <w:pStyle w:val="10"/>
        <w:numPr>
          <w:ilvl w:val="0"/>
          <w:numId w:val="0"/>
        </w:numPr>
        <w:kinsoku w:val="0"/>
        <w:overflowPunct w:val="0"/>
        <w:adjustRightInd w:val="0"/>
        <w:snapToGrid w:val="0"/>
        <w:spacing w:line="200" w:lineRule="atLeast"/>
        <w:rPr>
          <w:rFonts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rect l="0" t="0" r="0" b="0"/>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rect l="0" t="0" r="0" b="0"/>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rect l="0" t="0" r="0" b="0"/>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10"/>
                                <w:numPr>
                                  <w:ilvl w:val="0"/>
                                  <w:numId w:val="0"/>
                                </w:numPr>
                                <w:kinsoku w:val="0"/>
                                <w:overflowPunct w:val="0"/>
                              </w:pPr>
                            </w:p>
                            <w:p>
                              <w:pPr>
                                <w:pStyle w:val="10"/>
                                <w:numPr>
                                  <w:ilvl w:val="0"/>
                                  <w:numId w:val="0"/>
                                </w:numPr>
                                <w:kinsoku w:val="0"/>
                                <w:overflowPunct w:val="0"/>
                              </w:pPr>
                            </w:p>
                            <w:p>
                              <w:pPr>
                                <w:pStyle w:val="10"/>
                                <w:numPr>
                                  <w:ilvl w:val="0"/>
                                  <w:numId w:val="0"/>
                                </w:numPr>
                                <w:kinsoku w:val="0"/>
                                <w:overflowPunct w:val="0"/>
                                <w:jc w:val="center"/>
                                <w:rPr>
                                  <w:lang w:eastAsia="zh-CN"/>
                                </w:rPr>
                              </w:pPr>
                              <w:r>
                                <w:rPr>
                                  <w:rFonts w:hint="eastAsia"/>
                                  <w:lang w:eastAsia="zh-CN"/>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10"/>
                                <w:numPr>
                                  <w:ilvl w:val="0"/>
                                  <w:numId w:val="0"/>
                                </w:numPr>
                                <w:kinsoku w:val="0"/>
                                <w:overflowPunct w:val="0"/>
                              </w:pPr>
                            </w:p>
                            <w:p>
                              <w:pPr>
                                <w:pStyle w:val="10"/>
                                <w:numPr>
                                  <w:ilvl w:val="0"/>
                                  <w:numId w:val="0"/>
                                </w:numPr>
                                <w:kinsoku w:val="0"/>
                                <w:overflowPunct w:val="0"/>
                              </w:pPr>
                            </w:p>
                            <w:p>
                              <w:pPr>
                                <w:pStyle w:val="10"/>
                                <w:numPr>
                                  <w:ilvl w:val="0"/>
                                  <w:numId w:val="0"/>
                                </w:numPr>
                                <w:kinsoku w:val="0"/>
                                <w:overflowPunct w:val="0"/>
                                <w:rPr>
                                  <w:lang w:eastAsia="zh-CN"/>
                                </w:rPr>
                              </w:pPr>
                              <w:r>
                                <w:rPr>
                                  <w:rFonts w:hint="eastAsia"/>
                                  <w:lang w:eastAsia="zh-CN"/>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AhS9hM1gAAAAUBAAAPAAAAAAAAAAEAIAAAACIAAABk&#10;cnMvZG93bnJldi54bWxQSwECFAAUAAAACACHTuJABL5iqLQEAABvIgAADgAAAAAAAAABACAAAAAl&#10;AQAAZHJzL2Uyb0RvYy54bWxQSwUGAAAAAAYABgBZAQAASwg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10"/>
                          <w:numPr>
                            <w:ilvl w:val="0"/>
                            <w:numId w:val="0"/>
                          </w:numPr>
                          <w:kinsoku w:val="0"/>
                          <w:overflowPunct w:val="0"/>
                        </w:pPr>
                      </w:p>
                      <w:p>
                        <w:pPr>
                          <w:pStyle w:val="10"/>
                          <w:numPr>
                            <w:ilvl w:val="0"/>
                            <w:numId w:val="0"/>
                          </w:numPr>
                          <w:kinsoku w:val="0"/>
                          <w:overflowPunct w:val="0"/>
                        </w:pPr>
                      </w:p>
                      <w:p>
                        <w:pPr>
                          <w:pStyle w:val="10"/>
                          <w:numPr>
                            <w:ilvl w:val="0"/>
                            <w:numId w:val="0"/>
                          </w:numPr>
                          <w:kinsoku w:val="0"/>
                          <w:overflowPunct w:val="0"/>
                          <w:jc w:val="center"/>
                          <w:rPr>
                            <w:lang w:eastAsia="zh-CN"/>
                          </w:rPr>
                        </w:pPr>
                        <w:r>
                          <w:rPr>
                            <w:rFonts w:hint="eastAsia"/>
                            <w:lang w:eastAsia="zh-CN"/>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10"/>
                          <w:numPr>
                            <w:ilvl w:val="0"/>
                            <w:numId w:val="0"/>
                          </w:numPr>
                          <w:kinsoku w:val="0"/>
                          <w:overflowPunct w:val="0"/>
                        </w:pPr>
                      </w:p>
                      <w:p>
                        <w:pPr>
                          <w:pStyle w:val="10"/>
                          <w:numPr>
                            <w:ilvl w:val="0"/>
                            <w:numId w:val="0"/>
                          </w:numPr>
                          <w:kinsoku w:val="0"/>
                          <w:overflowPunct w:val="0"/>
                        </w:pPr>
                      </w:p>
                      <w:p>
                        <w:pPr>
                          <w:pStyle w:val="10"/>
                          <w:numPr>
                            <w:ilvl w:val="0"/>
                            <w:numId w:val="0"/>
                          </w:numPr>
                          <w:kinsoku w:val="0"/>
                          <w:overflowPunct w:val="0"/>
                          <w:rPr>
                            <w:lang w:eastAsia="zh-CN"/>
                          </w:rPr>
                        </w:pPr>
                        <w:r>
                          <w:rPr>
                            <w:rFonts w:hint="eastAsia"/>
                            <w:lang w:eastAsia="zh-CN"/>
                          </w:rPr>
                          <w:t>被授权代表身份证复印件（反面）</w:t>
                        </w:r>
                      </w:p>
                    </w:txbxContent>
                  </v:textbox>
                </v:shape>
                <w10:wrap type="none"/>
                <w10:anchorlock/>
              </v:group>
            </w:pict>
          </mc:Fallback>
        </mc:AlternateContent>
      </w:r>
    </w:p>
    <w:p>
      <w:pPr>
        <w:pStyle w:val="10"/>
        <w:numPr>
          <w:ilvl w:val="0"/>
          <w:numId w:val="0"/>
        </w:numPr>
        <w:tabs>
          <w:tab w:val="left" w:pos="5295"/>
        </w:tabs>
        <w:kinsoku w:val="0"/>
        <w:overflowPunct w:val="0"/>
        <w:adjustRightInd w:val="0"/>
        <w:snapToGrid w:val="0"/>
        <w:spacing w:line="360" w:lineRule="auto"/>
        <w:ind w:left="709"/>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被授权代表（签章）：          投标人法定代表人（签章）：</w:t>
      </w:r>
    </w:p>
    <w:p>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职</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务：</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职</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务：</w:t>
      </w:r>
    </w:p>
    <w:p>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电</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话：</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电</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话：</w:t>
      </w:r>
    </w:p>
    <w:p>
      <w:pPr>
        <w:pStyle w:val="10"/>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投标人：</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（盖章）</w:t>
      </w: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000000" w:themeColor="text1"/>
          <w:sz w:val="20"/>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 日期：</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年</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 xml:space="preserve">日 </w:t>
      </w:r>
      <w:r>
        <w:rPr>
          <w:rFonts w:hint="eastAsia" w:ascii="仿宋" w:hAnsi="仿宋" w:eastAsia="仿宋" w:cs="仿宋"/>
          <w:color w:val="000000" w:themeColor="text1"/>
          <w:sz w:val="20"/>
          <w:lang w:eastAsia="zh-CN"/>
          <w14:textFill>
            <w14:solidFill>
              <w14:schemeClr w14:val="tx1"/>
            </w14:solidFill>
          </w14:textFill>
        </w:rPr>
        <w:t xml:space="preserve">               </w:t>
      </w:r>
    </w:p>
    <w:p>
      <w:pPr>
        <w:pStyle w:val="41"/>
        <w:rPr>
          <w:rFonts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br w:type="page"/>
      </w:r>
    </w:p>
    <w:p>
      <w:pPr>
        <w:numPr>
          <w:ilvl w:val="0"/>
          <w:numId w:val="4"/>
        </w:numPr>
        <w:spacing w:line="440" w:lineRule="exact"/>
        <w:rPr>
          <w:rFonts w:ascii="仿宋" w:hAnsi="仿宋" w:eastAsia="仿宋" w:cs="仿宋"/>
          <w:b/>
          <w:color w:val="000000" w:themeColor="text1"/>
          <w:szCs w:val="20"/>
          <w:lang w:eastAsia="zh-CN"/>
          <w14:textFill>
            <w14:solidFill>
              <w14:schemeClr w14:val="tx1"/>
            </w14:solidFill>
          </w14:textFill>
        </w:rPr>
      </w:pPr>
      <w:r>
        <w:rPr>
          <w:rFonts w:hint="eastAsia" w:ascii="仿宋" w:hAnsi="仿宋" w:eastAsia="仿宋" w:cs="仿宋"/>
          <w:b/>
          <w:color w:val="000000" w:themeColor="text1"/>
          <w:szCs w:val="20"/>
          <w:lang w:eastAsia="zh-CN"/>
          <w14:textFill>
            <w14:solidFill>
              <w14:schemeClr w14:val="tx1"/>
            </w14:solidFill>
          </w14:textFill>
        </w:rPr>
        <w:t>满足《中华人民共和国政府采购法》第二十二条规定；</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（1）具有独立承担民事责任的能力的投标人；（</w:t>
      </w:r>
      <w:r>
        <w:rPr>
          <w:rFonts w:hint="eastAsia" w:ascii="仿宋" w:hAnsi="仿宋" w:eastAsia="仿宋" w:cs="仿宋"/>
          <w:color w:val="000000" w:themeColor="text1"/>
          <w:szCs w:val="21"/>
          <w:lang w:val="zh-CN" w:eastAsia="zh-CN"/>
          <w14:textFill>
            <w14:solidFill>
              <w14:schemeClr w14:val="tx1"/>
            </w14:solidFill>
          </w14:textFill>
        </w:rPr>
        <w:t>具有有效的营业执照、组织机构代码证、税务登记证副本（或三证合一证件）</w:t>
      </w:r>
    </w:p>
    <w:p>
      <w:pPr>
        <w:spacing w:line="440" w:lineRule="exact"/>
        <w:ind w:firstLine="599"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（2）具有良好的商业信誉和健全的财务会计制度；（</w:t>
      </w:r>
      <w:r>
        <w:rPr>
          <w:rFonts w:hint="eastAsia" w:ascii="仿宋" w:hAnsi="仿宋" w:eastAsia="仿宋" w:cs="仿宋"/>
          <w:color w:val="000000" w:themeColor="text1"/>
          <w:szCs w:val="21"/>
          <w:lang w:val="zh-CN" w:eastAsia="zh-CN"/>
          <w14:textFill>
            <w14:solidFill>
              <w14:schemeClr w14:val="tx1"/>
            </w14:solidFill>
          </w14:textFill>
        </w:rPr>
        <w:t>提供2022年度的财务审计报告（新注册企业未满一年的可不提供但需</w:t>
      </w:r>
      <w:r>
        <w:rPr>
          <w:rFonts w:hint="eastAsia" w:ascii="仿宋" w:hAnsi="仿宋" w:eastAsia="仿宋" w:cs="仿宋"/>
          <w:color w:val="000000" w:themeColor="text1"/>
          <w:szCs w:val="21"/>
          <w:lang w:eastAsia="zh-CN"/>
          <w14:textFill>
            <w14:solidFill>
              <w14:schemeClr w14:val="tx1"/>
            </w14:solidFill>
          </w14:textFill>
        </w:rPr>
        <w:t>自行承诺</w:t>
      </w:r>
      <w:r>
        <w:rPr>
          <w:rFonts w:hint="eastAsia" w:ascii="仿宋" w:hAnsi="仿宋" w:eastAsia="仿宋" w:cs="仿宋"/>
          <w:color w:val="000000" w:themeColor="text1"/>
          <w:szCs w:val="21"/>
          <w:lang w:val="zh-CN" w:eastAsia="zh-CN"/>
          <w14:textFill>
            <w14:solidFill>
              <w14:schemeClr w14:val="tx1"/>
            </w14:solidFill>
          </w14:textFill>
        </w:rPr>
        <w:t>）；</w:t>
      </w:r>
    </w:p>
    <w:p>
      <w:pPr>
        <w:spacing w:line="440" w:lineRule="exact"/>
        <w:ind w:firstLine="599"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（3）具有履行合同所必需的设备和专业技术能力（自行承诺）；</w:t>
      </w:r>
    </w:p>
    <w:p>
      <w:pPr>
        <w:spacing w:line="440" w:lineRule="exact"/>
        <w:ind w:firstLine="599"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（4）有依法缴纳税收和社会保障资金的良好记录；有依法缴纳税收和社会保障资金的良好记录（提供（2022年10月及以后）任意3个月的纳税证明及社保证明）；</w:t>
      </w:r>
    </w:p>
    <w:p>
      <w:pPr>
        <w:spacing w:line="440" w:lineRule="exact"/>
        <w:ind w:firstLine="599" w:firstLineChars="2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（5）参加本次采购活动前三年内，在经营活动中没有重大违法记录（提供书面声明）；</w:t>
      </w:r>
    </w:p>
    <w:p>
      <w:pPr>
        <w:spacing w:line="440" w:lineRule="exact"/>
        <w:ind w:firstLine="599" w:firstLineChars="247"/>
        <w:rPr>
          <w:rFonts w:ascii="仿宋" w:hAnsi="仿宋" w:eastAsia="仿宋" w:cs="仿宋"/>
          <w:color w:val="000000" w:themeColor="text1"/>
          <w:szCs w:val="21"/>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pStyle w:val="5"/>
        <w:spacing w:line="240" w:lineRule="atLeast"/>
        <w:rPr>
          <w:rFonts w:ascii="仿宋" w:hAnsi="仿宋" w:eastAsia="仿宋" w:cs="仿宋"/>
          <w:color w:val="000000" w:themeColor="text1"/>
          <w:sz w:val="24"/>
          <w:lang w:eastAsia="zh-CN"/>
          <w14:textFill>
            <w14:solidFill>
              <w14:schemeClr w14:val="tx1"/>
            </w14:solidFill>
          </w14:textFill>
        </w:rPr>
      </w:pPr>
    </w:p>
    <w:p>
      <w:pPr>
        <w:pStyle w:val="5"/>
        <w:spacing w:line="240" w:lineRule="atLeast"/>
        <w:rPr>
          <w:rFonts w:ascii="仿宋" w:hAnsi="仿宋" w:eastAsia="仿宋" w:cs="仿宋"/>
          <w:color w:val="000000" w:themeColor="text1"/>
          <w:sz w:val="24"/>
          <w:lang w:eastAsia="zh-CN"/>
          <w14:textFill>
            <w14:solidFill>
              <w14:schemeClr w14:val="tx1"/>
            </w14:solidFill>
          </w14:textFill>
        </w:rPr>
      </w:pPr>
    </w:p>
    <w:p>
      <w:pPr>
        <w:pStyle w:val="5"/>
        <w:spacing w:line="240" w:lineRule="atLeast"/>
        <w:rPr>
          <w:rFonts w:ascii="仿宋" w:hAnsi="仿宋" w:eastAsia="仿宋" w:cs="仿宋"/>
          <w:color w:val="000000" w:themeColor="text1"/>
          <w:sz w:val="24"/>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0"/>
          <w:lang w:eastAsia="zh-CN"/>
          <w14:textFill>
            <w14:solidFill>
              <w14:schemeClr w14:val="tx1"/>
            </w14:solidFill>
          </w14:textFill>
        </w:rPr>
        <w:t>3、未被列入中国执行信息公开网（http://zxgk.court.gov.cn/shixin/）失信被执行人名单、信用中国网站（www.creditchina.gov.cn）</w:t>
      </w:r>
      <w:r>
        <w:rPr>
          <w:rFonts w:hint="eastAsia" w:ascii="仿宋" w:hAnsi="仿宋" w:eastAsia="仿宋" w:cs="仿宋"/>
          <w:b/>
          <w:color w:val="000000" w:themeColor="text1"/>
          <w:szCs w:val="20"/>
          <w:lang w:val="zh-CN" w:eastAsia="zh-CN"/>
          <w14:textFill>
            <w14:solidFill>
              <w14:schemeClr w14:val="tx1"/>
            </w14:solidFill>
          </w14:textFill>
        </w:rPr>
        <w:t>重大税收违法</w:t>
      </w:r>
      <w:r>
        <w:rPr>
          <w:rFonts w:hint="eastAsia" w:ascii="仿宋" w:hAnsi="仿宋" w:eastAsia="仿宋" w:cs="仿宋"/>
          <w:b/>
          <w:color w:val="000000" w:themeColor="text1"/>
          <w:szCs w:val="20"/>
          <w:lang w:eastAsia="zh-CN"/>
          <w14:textFill>
            <w14:solidFill>
              <w14:schemeClr w14:val="tx1"/>
            </w14:solidFill>
          </w14:textFill>
        </w:rPr>
        <w:t>失信主体和中国政府采购网（www.ccgp.gov.cn）政府采购严重违法失信行为记录名单</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b/>
          <w:bCs/>
          <w:color w:val="000000" w:themeColor="text1"/>
          <w14:textFill>
            <w14:solidFill>
              <w14:schemeClr w14:val="tx1"/>
            </w14:solidFill>
          </w14:textFill>
        </w:rPr>
        <w:t>（提供查询结果网页截图并加盖供应商公章）</w:t>
      </w: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r>
        <w:rPr>
          <w:rFonts w:hint="eastAsia" w:ascii="仿宋" w:hAnsi="仿宋" w:eastAsia="仿宋" w:cs="仿宋"/>
          <w:b/>
          <w:color w:val="000000" w:themeColor="text1"/>
          <w:szCs w:val="20"/>
          <w:lang w:eastAsia="zh-CN"/>
          <w14:textFill>
            <w14:solidFill>
              <w14:schemeClr w14:val="tx1"/>
            </w14:solidFill>
          </w14:textFill>
        </w:rPr>
        <w:t>4、单位负责人为同一人或者存在直接控股、管理关系的不同供应商，不得参加同一合同下的政府采购活动（提供书面声明）。</w:t>
      </w: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r>
        <w:rPr>
          <w:rFonts w:ascii="仿宋" w:hAnsi="仿宋" w:eastAsia="仿宋" w:cs="仿宋"/>
          <w:b/>
          <w:color w:val="000000" w:themeColor="text1"/>
          <w:szCs w:val="20"/>
          <w:lang w:eastAsia="zh-CN"/>
          <w14:textFill>
            <w14:solidFill>
              <w14:schemeClr w14:val="tx1"/>
            </w14:solidFill>
          </w14:textFill>
        </w:rPr>
        <w:t>5</w:t>
      </w:r>
      <w:r>
        <w:rPr>
          <w:rFonts w:hint="eastAsia" w:ascii="仿宋" w:hAnsi="仿宋" w:eastAsia="仿宋" w:cs="仿宋"/>
          <w:b/>
          <w:color w:val="000000" w:themeColor="text1"/>
          <w:szCs w:val="20"/>
          <w:lang w:eastAsia="zh-CN"/>
          <w14:textFill>
            <w14:solidFill>
              <w14:schemeClr w14:val="tx1"/>
            </w14:solidFill>
          </w14:textFill>
        </w:rPr>
        <w:t>、投标单位（供应商）针对本次采购项目《反商业贿赂承诺书》的书面声明。</w:t>
      </w: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p>
    <w:p>
      <w:pPr>
        <w:pStyle w:val="13"/>
        <w:tabs>
          <w:tab w:val="left" w:pos="5580"/>
        </w:tabs>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p>
      <w:pPr>
        <w:pStyle w:val="6"/>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6"/>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6"/>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6"/>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6"/>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6"/>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5"/>
        <w:spacing w:line="240" w:lineRule="atLeast"/>
        <w:rPr>
          <w:rFonts w:ascii="仿宋" w:hAnsi="仿宋" w:eastAsia="仿宋" w:cs="仿宋"/>
          <w:bCs/>
          <w:color w:val="000000" w:themeColor="text1"/>
          <w:sz w:val="36"/>
          <w:szCs w:val="36"/>
          <w:lang w:eastAsia="zh-CN"/>
          <w14:textFill>
            <w14:solidFill>
              <w14:schemeClr w14:val="tx1"/>
            </w14:solidFill>
          </w14:textFill>
        </w:rPr>
      </w:pPr>
    </w:p>
    <w:p>
      <w:pPr>
        <w:spacing w:line="440" w:lineRule="exact"/>
        <w:ind w:firstLine="533" w:firstLineChars="147"/>
        <w:rPr>
          <w:rFonts w:ascii="仿宋" w:hAnsi="仿宋" w:eastAsia="仿宋" w:cs="仿宋"/>
          <w:b/>
          <w:bCs/>
          <w:color w:val="000000" w:themeColor="text1"/>
          <w:sz w:val="36"/>
          <w:szCs w:val="36"/>
          <w:lang w:eastAsia="zh-CN"/>
          <w14:textFill>
            <w14:solidFill>
              <w14:schemeClr w14:val="tx1"/>
            </w14:solidFill>
          </w14:textFill>
        </w:rPr>
      </w:pPr>
    </w:p>
    <w:p>
      <w:pPr>
        <w:spacing w:line="440" w:lineRule="exact"/>
        <w:ind w:firstLine="356" w:firstLineChars="147"/>
        <w:rPr>
          <w:rFonts w:ascii="仿宋" w:hAnsi="仿宋" w:eastAsia="仿宋" w:cs="仿宋"/>
          <w:b/>
          <w:color w:val="000000" w:themeColor="text1"/>
          <w:szCs w:val="20"/>
          <w:lang w:eastAsia="zh-CN"/>
          <w14:textFill>
            <w14:solidFill>
              <w14:schemeClr w14:val="tx1"/>
            </w14:solidFill>
          </w14:textFill>
        </w:rPr>
      </w:pPr>
      <w:r>
        <w:rPr>
          <w:rFonts w:ascii="仿宋" w:hAnsi="仿宋" w:eastAsia="仿宋" w:cs="仿宋"/>
          <w:b/>
          <w:color w:val="000000" w:themeColor="text1"/>
          <w:szCs w:val="20"/>
          <w:lang w:eastAsia="zh-CN"/>
          <w14:textFill>
            <w14:solidFill>
              <w14:schemeClr w14:val="tx1"/>
            </w14:solidFill>
          </w14:textFill>
        </w:rPr>
        <w:t>6</w:t>
      </w:r>
      <w:r>
        <w:rPr>
          <w:rFonts w:hint="eastAsia" w:ascii="仿宋" w:hAnsi="仿宋" w:eastAsia="仿宋" w:cs="仿宋"/>
          <w:b/>
          <w:color w:val="000000" w:themeColor="text1"/>
          <w:szCs w:val="20"/>
          <w:lang w:eastAsia="zh-CN"/>
          <w14:textFill>
            <w14:solidFill>
              <w14:schemeClr w14:val="tx1"/>
            </w14:solidFill>
          </w14:textFill>
        </w:rPr>
        <w:t>、缴纳保证金凭证或保函等票据。</w:t>
      </w:r>
    </w:p>
    <w:p>
      <w:pPr>
        <w:pStyle w:val="5"/>
        <w:spacing w:line="240" w:lineRule="atLeast"/>
        <w:rPr>
          <w:rFonts w:ascii="仿宋" w:hAnsi="仿宋" w:eastAsia="仿宋" w:cs="仿宋"/>
          <w:bCs/>
          <w:color w:val="000000" w:themeColor="text1"/>
          <w:sz w:val="36"/>
          <w:szCs w:val="36"/>
          <w:lang w:eastAsia="zh-CN"/>
          <w14:textFill>
            <w14:solidFill>
              <w14:schemeClr w14:val="tx1"/>
            </w14:solidFill>
          </w14:textFill>
        </w:rPr>
      </w:pPr>
    </w:p>
    <w:p>
      <w:pPr>
        <w:ind w:firstLine="486" w:firstLineChars="200"/>
        <w:rPr>
          <w:rFonts w:ascii="仿宋" w:hAnsi="仿宋" w:eastAsia="仿宋" w:cs="仿宋"/>
          <w:color w:val="000000" w:themeColor="text1"/>
          <w:lang w:eastAsia="zh-CN"/>
          <w14:textFill>
            <w14:solidFill>
              <w14:schemeClr w14:val="tx1"/>
            </w14:solidFill>
          </w14:textFill>
        </w:rPr>
      </w:pPr>
      <w:bookmarkStart w:id="68" w:name="_Toc494296991"/>
      <w:bookmarkStart w:id="69" w:name="_Toc494296665"/>
    </w:p>
    <w:bookmarkEnd w:id="68"/>
    <w:bookmarkEnd w:id="69"/>
    <w:p>
      <w:pPr>
        <w:pStyle w:val="7"/>
        <w:rPr>
          <w:rFonts w:ascii="仿宋" w:hAnsi="仿宋" w:eastAsia="仿宋" w:cs="仿宋"/>
          <w:color w:val="000000" w:themeColor="text1"/>
          <w:lang w:eastAsia="zh-CN"/>
          <w14:textFill>
            <w14:solidFill>
              <w14:schemeClr w14:val="tx1"/>
            </w14:solidFill>
          </w14:textFill>
        </w:rPr>
      </w:pPr>
    </w:p>
    <w:p>
      <w:pPr>
        <w:pStyle w:val="7"/>
        <w:rPr>
          <w:rFonts w:ascii="仿宋" w:hAnsi="仿宋" w:eastAsia="仿宋" w:cs="仿宋"/>
          <w:color w:val="000000" w:themeColor="text1"/>
          <w:lang w:eastAsia="zh-CN"/>
          <w14:textFill>
            <w14:solidFill>
              <w14:schemeClr w14:val="tx1"/>
            </w14:solidFill>
          </w14:textFill>
        </w:rPr>
      </w:pPr>
    </w:p>
    <w:p>
      <w:pPr>
        <w:spacing w:line="240" w:lineRule="atLeast"/>
        <w:ind w:left="1164" w:leftChars="257" w:hanging="540"/>
        <w:jc w:val="center"/>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sz w:val="28"/>
          <w:szCs w:val="28"/>
          <w:lang w:eastAsia="zh-CN"/>
          <w14:textFill>
            <w14:solidFill>
              <w14:schemeClr w14:val="tx1"/>
            </w14:solidFill>
          </w14:textFill>
        </w:rPr>
      </w:pPr>
    </w:p>
    <w:p>
      <w:pPr>
        <w:pStyle w:val="7"/>
        <w:rPr>
          <w:rFonts w:ascii="仿宋" w:hAnsi="仿宋" w:eastAsia="仿宋" w:cs="仿宋"/>
          <w:color w:val="000000" w:themeColor="text1"/>
          <w:lang w:eastAsia="zh-CN"/>
          <w14:textFill>
            <w14:solidFill>
              <w14:schemeClr w14:val="tx1"/>
            </w14:solidFill>
          </w14:textFill>
        </w:rPr>
      </w:pPr>
    </w:p>
    <w:p>
      <w:pPr>
        <w:pStyle w:val="7"/>
        <w:rPr>
          <w:rFonts w:ascii="仿宋" w:hAnsi="仿宋" w:eastAsia="仿宋" w:cs="仿宋"/>
          <w:color w:val="000000" w:themeColor="text1"/>
          <w:lang w:eastAsia="zh-CN"/>
          <w14:textFill>
            <w14:solidFill>
              <w14:schemeClr w14:val="tx1"/>
            </w14:solidFill>
          </w14:textFill>
        </w:rPr>
      </w:pPr>
    </w:p>
    <w:p>
      <w:pPr>
        <w:pStyle w:val="7"/>
        <w:rPr>
          <w:rFonts w:ascii="仿宋" w:hAnsi="仿宋" w:eastAsia="仿宋" w:cs="仿宋"/>
          <w:color w:val="000000" w:themeColor="text1"/>
          <w:lang w:eastAsia="zh-CN"/>
          <w14:textFill>
            <w14:solidFill>
              <w14:schemeClr w14:val="tx1"/>
            </w14:solidFill>
          </w14:textFill>
        </w:rPr>
      </w:pPr>
    </w:p>
    <w:p>
      <w:pPr>
        <w:pStyle w:val="7"/>
        <w:rPr>
          <w:rFonts w:ascii="仿宋" w:hAnsi="仿宋" w:eastAsia="仿宋" w:cs="仿宋"/>
          <w:color w:val="000000" w:themeColor="text1"/>
          <w:lang w:eastAsia="zh-CN"/>
          <w14:textFill>
            <w14:solidFill>
              <w14:schemeClr w14:val="tx1"/>
            </w14:solidFill>
          </w14:textFill>
        </w:rPr>
      </w:pPr>
    </w:p>
    <w:p>
      <w:pPr>
        <w:pStyle w:val="7"/>
        <w:rPr>
          <w:rFonts w:ascii="仿宋" w:hAnsi="仿宋" w:eastAsia="仿宋" w:cs="仿宋"/>
          <w:color w:val="000000" w:themeColor="text1"/>
          <w:lang w:eastAsia="zh-CN"/>
          <w14:textFill>
            <w14:solidFill>
              <w14:schemeClr w14:val="tx1"/>
            </w14:solidFill>
          </w14:textFill>
        </w:rPr>
      </w:pPr>
    </w:p>
    <w:p>
      <w:pPr>
        <w:pStyle w:val="7"/>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6"/>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jc w:val="center"/>
        <w:rPr>
          <w:rFonts w:ascii="仿宋" w:hAnsi="仿宋" w:eastAsia="仿宋" w:cs="仿宋"/>
          <w:color w:val="000000" w:themeColor="text1"/>
          <w:sz w:val="28"/>
          <w:szCs w:val="28"/>
          <w:lang w:eastAsia="zh-CN"/>
          <w14:textFill>
            <w14:solidFill>
              <w14:schemeClr w14:val="tx1"/>
            </w14:solidFill>
          </w14:textFill>
        </w:rPr>
      </w:pPr>
    </w:p>
    <w:p>
      <w:pPr>
        <w:jc w:val="center"/>
        <w:rPr>
          <w:rFonts w:ascii="仿宋" w:hAnsi="仿宋" w:eastAsia="仿宋" w:cs="仿宋"/>
          <w:color w:val="000000" w:themeColor="text1"/>
          <w:sz w:val="28"/>
          <w:szCs w:val="28"/>
          <w:lang w:eastAsia="zh-CN"/>
          <w14:textFill>
            <w14:solidFill>
              <w14:schemeClr w14:val="tx1"/>
            </w14:solidFill>
          </w14:textFill>
        </w:rPr>
      </w:pPr>
    </w:p>
    <w:p>
      <w:pPr>
        <w:jc w:val="center"/>
        <w:rPr>
          <w:rFonts w:ascii="仿宋" w:hAnsi="仿宋" w:eastAsia="仿宋" w:cs="仿宋"/>
          <w:color w:val="000000" w:themeColor="text1"/>
          <w:sz w:val="28"/>
          <w:szCs w:val="28"/>
          <w:lang w:eastAsia="zh-CN"/>
          <w14:textFill>
            <w14:solidFill>
              <w14:schemeClr w14:val="tx1"/>
            </w14:solidFill>
          </w14:textFill>
        </w:rPr>
      </w:pPr>
    </w:p>
    <w:p>
      <w:pPr>
        <w:jc w:val="center"/>
        <w:rPr>
          <w:rFonts w:ascii="仿宋" w:hAnsi="仿宋" w:eastAsia="仿宋" w:cs="仿宋"/>
          <w:color w:val="000000" w:themeColor="text1"/>
          <w:sz w:val="28"/>
          <w:szCs w:val="28"/>
          <w:lang w:eastAsia="zh-CN"/>
          <w14:textFill>
            <w14:solidFill>
              <w14:schemeClr w14:val="tx1"/>
            </w14:solidFill>
          </w14:textFill>
        </w:rPr>
      </w:pPr>
    </w:p>
    <w:p>
      <w:pPr>
        <w:jc w:val="center"/>
        <w:rPr>
          <w:rFonts w:ascii="仿宋" w:hAnsi="仿宋" w:eastAsia="仿宋" w:cs="仿宋"/>
          <w:color w:val="000000" w:themeColor="text1"/>
          <w:sz w:val="28"/>
          <w:szCs w:val="28"/>
          <w:lang w:eastAsia="zh-CN"/>
          <w14:textFill>
            <w14:solidFill>
              <w14:schemeClr w14:val="tx1"/>
            </w14:solidFill>
          </w14:textFill>
        </w:rPr>
      </w:pPr>
    </w:p>
    <w:p>
      <w:pPr>
        <w:jc w:val="center"/>
        <w:rPr>
          <w:rFonts w:ascii="仿宋" w:hAnsi="仿宋" w:eastAsia="仿宋" w:cs="仿宋"/>
          <w:color w:val="000000" w:themeColor="text1"/>
          <w:sz w:val="28"/>
          <w:szCs w:val="28"/>
          <w:lang w:eastAsia="zh-CN"/>
          <w14:textFill>
            <w14:solidFill>
              <w14:schemeClr w14:val="tx1"/>
            </w14:solidFill>
          </w14:textFill>
        </w:rPr>
      </w:pPr>
    </w:p>
    <w:p>
      <w:pPr>
        <w:jc w:val="center"/>
        <w:rPr>
          <w:rFonts w:ascii="仿宋" w:hAnsi="仿宋" w:eastAsia="仿宋" w:cs="仿宋"/>
          <w:color w:val="000000" w:themeColor="text1"/>
          <w:sz w:val="28"/>
          <w:szCs w:val="28"/>
          <w:lang w:eastAsia="zh-CN"/>
          <w14:textFill>
            <w14:solidFill>
              <w14:schemeClr w14:val="tx1"/>
            </w14:solidFill>
          </w14:textFill>
        </w:rPr>
      </w:pPr>
    </w:p>
    <w:p>
      <w:pPr>
        <w:jc w:val="center"/>
        <w:rPr>
          <w:rFonts w:ascii="仿宋" w:hAnsi="仿宋" w:eastAsia="仿宋" w:cs="仿宋"/>
          <w:color w:val="000000" w:themeColor="text1"/>
          <w:sz w:val="28"/>
          <w:szCs w:val="28"/>
          <w:lang w:eastAsia="zh-CN"/>
          <w14:textFill>
            <w14:solidFill>
              <w14:schemeClr w14:val="tx1"/>
            </w14:solidFill>
          </w14:textFill>
        </w:rPr>
      </w:pPr>
    </w:p>
    <w:p>
      <w:pPr>
        <w:jc w:val="center"/>
        <w:rPr>
          <w:rFonts w:ascii="仿宋" w:hAnsi="仿宋" w:eastAsia="仿宋" w:cs="仿宋"/>
          <w:color w:val="000000" w:themeColor="text1"/>
          <w:sz w:val="28"/>
          <w:szCs w:val="28"/>
          <w:lang w:eastAsia="zh-CN"/>
          <w14:textFill>
            <w14:solidFill>
              <w14:schemeClr w14:val="tx1"/>
            </w14:solidFill>
          </w14:textFill>
        </w:rPr>
      </w:pPr>
    </w:p>
    <w:p>
      <w:pPr>
        <w:jc w:val="center"/>
        <w:rPr>
          <w:rFonts w:ascii="仿宋" w:hAnsi="仿宋" w:eastAsia="仿宋" w:cs="仿宋"/>
          <w:color w:val="000000" w:themeColor="text1"/>
          <w:sz w:val="28"/>
          <w:szCs w:val="28"/>
          <w:lang w:eastAsia="zh-CN"/>
          <w14:textFill>
            <w14:solidFill>
              <w14:schemeClr w14:val="tx1"/>
            </w14:solidFill>
          </w14:textFill>
        </w:rPr>
      </w:pPr>
    </w:p>
    <w:p>
      <w:pPr>
        <w:rPr>
          <w:rFonts w:ascii="仿宋" w:hAnsi="仿宋" w:eastAsia="仿宋" w:cs="仿宋"/>
          <w:color w:val="auto"/>
          <w:sz w:val="32"/>
          <w:szCs w:val="32"/>
          <w:lang w:eastAsia="zh-CN"/>
        </w:rPr>
      </w:pPr>
      <w:bookmarkStart w:id="70" w:name="_Toc11180"/>
      <w:bookmarkStart w:id="71" w:name="_Toc5695"/>
      <w:bookmarkStart w:id="72" w:name="_Toc22967"/>
      <w:bookmarkStart w:id="73" w:name="_Toc515647816"/>
      <w:r>
        <w:rPr>
          <w:rFonts w:hint="eastAsia" w:ascii="仿宋" w:hAnsi="仿宋" w:eastAsia="仿宋" w:cs="仿宋"/>
          <w:color w:val="auto"/>
          <w:sz w:val="32"/>
          <w:szCs w:val="32"/>
          <w:lang w:eastAsia="zh-CN"/>
        </w:rPr>
        <w:t>第二部分  商务及技术文件</w:t>
      </w:r>
      <w:bookmarkEnd w:id="70"/>
      <w:bookmarkEnd w:id="71"/>
      <w:bookmarkEnd w:id="72"/>
      <w:bookmarkEnd w:id="73"/>
    </w:p>
    <w:p>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1、投标函</w:t>
      </w:r>
    </w:p>
    <w:p>
      <w:pPr>
        <w:pStyle w:val="13"/>
        <w:spacing w:line="400" w:lineRule="exact"/>
        <w:ind w:left="1164" w:leftChars="257" w:hanging="540"/>
        <w:rPr>
          <w:rFonts w:ascii="仿宋" w:hAnsi="仿宋" w:eastAsia="仿宋" w:cs="仿宋"/>
          <w:lang w:eastAsia="zh-CN"/>
        </w:rPr>
      </w:pPr>
      <w:r>
        <w:rPr>
          <w:rFonts w:hint="eastAsia" w:ascii="仿宋" w:hAnsi="仿宋" w:eastAsia="仿宋" w:cs="仿宋"/>
          <w:lang w:eastAsia="zh-CN"/>
        </w:rPr>
        <w:t>2、开标一览表</w:t>
      </w:r>
    </w:p>
    <w:p>
      <w:pPr>
        <w:pStyle w:val="13"/>
        <w:spacing w:line="400" w:lineRule="exact"/>
        <w:ind w:left="1164" w:leftChars="257" w:hanging="540"/>
        <w:rPr>
          <w:rFonts w:ascii="仿宋" w:hAnsi="仿宋" w:eastAsia="仿宋" w:cs="仿宋"/>
          <w:lang w:eastAsia="zh-CN"/>
        </w:rPr>
      </w:pPr>
      <w:r>
        <w:rPr>
          <w:rFonts w:hint="eastAsia" w:ascii="仿宋" w:hAnsi="仿宋" w:eastAsia="仿宋" w:cs="仿宋"/>
          <w:lang w:eastAsia="zh-CN"/>
        </w:rPr>
        <w:t>3、货物说明一览表</w:t>
      </w:r>
    </w:p>
    <w:p>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4、投标分项报价表</w:t>
      </w:r>
    </w:p>
    <w:p>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5、技术规格偏离表</w:t>
      </w:r>
    </w:p>
    <w:p>
      <w:pPr>
        <w:pStyle w:val="13"/>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6、商务条款偏离表</w:t>
      </w:r>
    </w:p>
    <w:p>
      <w:pPr>
        <w:pStyle w:val="13"/>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7、投标人基本情况表</w:t>
      </w:r>
    </w:p>
    <w:p>
      <w:pPr>
        <w:pStyle w:val="13"/>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8、类似项目业绩表</w:t>
      </w:r>
    </w:p>
    <w:p>
      <w:pPr>
        <w:pStyle w:val="13"/>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9、中小企业声明函(货物)</w:t>
      </w:r>
    </w:p>
    <w:p>
      <w:pPr>
        <w:pStyle w:val="13"/>
        <w:spacing w:line="400" w:lineRule="exact"/>
        <w:ind w:left="359" w:leftChars="148" w:firstLine="228"/>
        <w:rPr>
          <w:rFonts w:ascii="仿宋" w:hAnsi="仿宋" w:eastAsia="仿宋" w:cs="仿宋"/>
          <w:color w:val="auto"/>
          <w:lang w:eastAsia="zh-CN"/>
        </w:rPr>
      </w:pPr>
      <w:bookmarkStart w:id="74" w:name="_Hlk144581557"/>
      <w:r>
        <w:rPr>
          <w:rFonts w:hint="eastAsia" w:ascii="仿宋" w:hAnsi="仿宋" w:eastAsia="仿宋" w:cs="仿宋"/>
          <w:color w:val="auto"/>
          <w:lang w:eastAsia="zh-CN"/>
        </w:rPr>
        <w:t>10、《残疾人福利性单位声明函》</w:t>
      </w:r>
    </w:p>
    <w:bookmarkEnd w:id="74"/>
    <w:p>
      <w:pPr>
        <w:pStyle w:val="13"/>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w:t>
      </w:r>
      <w:r>
        <w:rPr>
          <w:rFonts w:ascii="仿宋" w:hAnsi="仿宋" w:eastAsia="仿宋" w:cs="仿宋"/>
          <w:color w:val="000000" w:themeColor="text1"/>
          <w:lang w:eastAsia="zh-CN"/>
          <w14:textFill>
            <w14:solidFill>
              <w14:schemeClr w14:val="tx1"/>
            </w14:solidFill>
          </w14:textFill>
        </w:rPr>
        <w:t>1</w:t>
      </w:r>
      <w:r>
        <w:rPr>
          <w:rFonts w:hint="eastAsia" w:ascii="仿宋" w:hAnsi="仿宋" w:eastAsia="仿宋" w:cs="仿宋"/>
          <w:color w:val="000000" w:themeColor="text1"/>
          <w:lang w:eastAsia="zh-CN"/>
          <w14:textFill>
            <w14:solidFill>
              <w14:schemeClr w14:val="tx1"/>
            </w14:solidFill>
          </w14:textFill>
        </w:rPr>
        <w:t>、《监狱企业声明函》</w:t>
      </w:r>
    </w:p>
    <w:p>
      <w:pPr>
        <w:pStyle w:val="13"/>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1</w:t>
      </w:r>
      <w:r>
        <w:rPr>
          <w:rFonts w:ascii="仿宋" w:hAnsi="仿宋" w:eastAsia="仿宋" w:cs="仿宋"/>
          <w:color w:val="auto"/>
          <w:lang w:eastAsia="zh-CN"/>
        </w:rPr>
        <w:t>2</w:t>
      </w:r>
      <w:r>
        <w:rPr>
          <w:rFonts w:hint="eastAsia" w:ascii="仿宋" w:hAnsi="仿宋" w:eastAsia="仿宋" w:cs="仿宋"/>
          <w:color w:val="auto"/>
          <w:lang w:eastAsia="zh-CN"/>
        </w:rPr>
        <w:t>、评分标准和细则中商务部分证明材料（格式自拟）</w:t>
      </w:r>
    </w:p>
    <w:p>
      <w:pPr>
        <w:pStyle w:val="13"/>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1</w:t>
      </w:r>
      <w:r>
        <w:rPr>
          <w:rFonts w:ascii="仿宋" w:hAnsi="仿宋" w:eastAsia="仿宋" w:cs="仿宋"/>
          <w:color w:val="auto"/>
          <w:lang w:eastAsia="zh-CN"/>
        </w:rPr>
        <w:t>3</w:t>
      </w:r>
      <w:r>
        <w:rPr>
          <w:rFonts w:hint="eastAsia" w:ascii="仿宋" w:hAnsi="仿宋" w:eastAsia="仿宋" w:cs="仿宋"/>
          <w:color w:val="auto"/>
          <w:lang w:eastAsia="zh-CN"/>
        </w:rPr>
        <w:t>、评分标准和细则中技术部分证明材料（格式自拟）</w:t>
      </w:r>
    </w:p>
    <w:p>
      <w:pPr>
        <w:pStyle w:val="13"/>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1</w:t>
      </w:r>
      <w:r>
        <w:rPr>
          <w:rFonts w:ascii="仿宋" w:hAnsi="仿宋" w:eastAsia="仿宋" w:cs="仿宋"/>
          <w:color w:val="auto"/>
          <w:lang w:eastAsia="zh-CN"/>
        </w:rPr>
        <w:t>4</w:t>
      </w:r>
      <w:r>
        <w:rPr>
          <w:rFonts w:hint="eastAsia" w:ascii="仿宋" w:hAnsi="仿宋" w:eastAsia="仿宋" w:cs="仿宋"/>
          <w:color w:val="auto"/>
          <w:lang w:eastAsia="zh-CN"/>
        </w:rPr>
        <w:t>、投标人认为有必要提供的其他证明材料（格式自拟）</w:t>
      </w:r>
    </w:p>
    <w:p>
      <w:pPr>
        <w:pStyle w:val="13"/>
        <w:tabs>
          <w:tab w:val="left" w:pos="5580"/>
        </w:tabs>
        <w:spacing w:line="400" w:lineRule="exact"/>
        <w:ind w:left="648" w:leftChars="267"/>
        <w:rPr>
          <w:rFonts w:ascii="仿宋" w:hAnsi="仿宋" w:eastAsia="仿宋" w:cs="仿宋"/>
          <w:color w:val="auto"/>
          <w:lang w:eastAsia="zh-CN"/>
        </w:rPr>
      </w:pPr>
      <w:r>
        <w:rPr>
          <w:rFonts w:hint="eastAsia" w:ascii="仿宋" w:hAnsi="仿宋" w:eastAsia="仿宋" w:cs="仿宋"/>
          <w:color w:val="auto"/>
          <w:lang w:eastAsia="zh-CN"/>
        </w:rPr>
        <w:br w:type="page"/>
      </w:r>
    </w:p>
    <w:p>
      <w:pPr>
        <w:pStyle w:val="10"/>
        <w:numPr>
          <w:ilvl w:val="0"/>
          <w:numId w:val="0"/>
        </w:numPr>
        <w:kinsoku w:val="0"/>
        <w:overflowPunct w:val="0"/>
        <w:spacing w:before="130" w:line="355" w:lineRule="auto"/>
        <w:ind w:left="480" w:right="7"/>
        <w:jc w:val="center"/>
        <w:rPr>
          <w:rFonts w:ascii="仿宋" w:hAnsi="仿宋" w:eastAsia="仿宋" w:cs="仿宋"/>
          <w:b/>
          <w:bCs/>
          <w:sz w:val="36"/>
          <w:szCs w:val="36"/>
          <w:lang w:eastAsia="zh-CN"/>
        </w:rPr>
      </w:pPr>
      <w:r>
        <w:rPr>
          <w:rFonts w:hint="eastAsia" w:ascii="仿宋" w:hAnsi="仿宋" w:eastAsia="仿宋" w:cs="仿宋"/>
          <w:b/>
          <w:bCs/>
          <w:sz w:val="36"/>
          <w:szCs w:val="36"/>
          <w:lang w:eastAsia="zh-CN"/>
        </w:rPr>
        <w:t>1、投标函</w:t>
      </w:r>
    </w:p>
    <w:p>
      <w:pPr>
        <w:spacing w:line="440" w:lineRule="exact"/>
        <w:ind w:firstLine="486" w:firstLineChars="200"/>
        <w:rPr>
          <w:rFonts w:ascii="仿宋" w:hAnsi="仿宋" w:eastAsia="仿宋" w:cs="仿宋"/>
          <w:u w:val="single"/>
          <w:lang w:eastAsia="zh-CN"/>
        </w:rPr>
      </w:pPr>
      <w:r>
        <w:rPr>
          <w:rFonts w:hint="eastAsia" w:ascii="仿宋" w:hAnsi="仿宋" w:eastAsia="仿宋" w:cs="仿宋"/>
          <w:lang w:eastAsia="zh-CN"/>
        </w:rPr>
        <w:t>致：</w:t>
      </w:r>
      <w:r>
        <w:rPr>
          <w:rFonts w:hint="eastAsia" w:ascii="仿宋" w:hAnsi="仿宋" w:eastAsia="仿宋" w:cs="仿宋"/>
          <w:u w:val="single"/>
          <w:lang w:eastAsia="zh-CN"/>
        </w:rPr>
        <w:t xml:space="preserve">                     </w:t>
      </w:r>
    </w:p>
    <w:p>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为响应你方组织的</w:t>
      </w:r>
      <w:r>
        <w:rPr>
          <w:rFonts w:hint="eastAsia" w:ascii="仿宋" w:hAnsi="仿宋" w:eastAsia="仿宋" w:cs="仿宋"/>
          <w:u w:val="single"/>
          <w:lang w:eastAsia="zh-CN"/>
        </w:rPr>
        <w:t xml:space="preserve">                   </w:t>
      </w:r>
      <w:r>
        <w:rPr>
          <w:rFonts w:hint="eastAsia" w:ascii="仿宋" w:hAnsi="仿宋" w:eastAsia="仿宋" w:cs="仿宋"/>
          <w:lang w:eastAsia="zh-CN"/>
        </w:rPr>
        <w:t>项目的招标[项目编号为：</w:t>
      </w:r>
      <w:r>
        <w:rPr>
          <w:rFonts w:hint="eastAsia" w:ascii="仿宋" w:hAnsi="仿宋" w:eastAsia="仿宋" w:cs="仿宋"/>
          <w:u w:val="single"/>
          <w:lang w:eastAsia="zh-CN"/>
        </w:rPr>
        <w:t xml:space="preserve">                      </w:t>
      </w:r>
      <w:r>
        <w:rPr>
          <w:rFonts w:hint="eastAsia" w:ascii="仿宋" w:hAnsi="仿宋" w:eastAsia="仿宋" w:cs="仿宋"/>
          <w:lang w:eastAsia="zh-CN"/>
        </w:rPr>
        <w:t>]，我方愿参与投标。</w:t>
      </w:r>
    </w:p>
    <w:p>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我方确认收到贵方提供的</w:t>
      </w:r>
      <w:r>
        <w:rPr>
          <w:rFonts w:hint="eastAsia" w:ascii="仿宋" w:hAnsi="仿宋" w:eastAsia="仿宋" w:cs="仿宋"/>
          <w:u w:val="single"/>
          <w:lang w:eastAsia="zh-CN"/>
        </w:rPr>
        <w:t xml:space="preserve">                                     </w:t>
      </w:r>
      <w:r>
        <w:rPr>
          <w:rFonts w:hint="eastAsia" w:ascii="仿宋" w:hAnsi="仿宋" w:eastAsia="仿宋" w:cs="仿宋"/>
          <w:lang w:eastAsia="zh-CN"/>
        </w:rPr>
        <w:t>招标文件的全部内容。</w:t>
      </w:r>
    </w:p>
    <w:p>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spacing w:line="440" w:lineRule="exact"/>
        <w:ind w:firstLine="486" w:firstLineChars="200"/>
        <w:rPr>
          <w:rFonts w:ascii="仿宋" w:hAnsi="仿宋" w:eastAsia="仿宋" w:cs="仿宋"/>
          <w:lang w:eastAsia="zh-CN"/>
        </w:rPr>
      </w:pPr>
      <w:r>
        <w:rPr>
          <w:rFonts w:hint="eastAsia" w:ascii="仿宋" w:hAnsi="仿宋" w:eastAsia="仿宋" w:cs="仿宋"/>
          <w:u w:val="single"/>
          <w:lang w:eastAsia="zh-CN"/>
        </w:rPr>
        <w:t xml:space="preserve">      (投标人名称)      </w:t>
      </w:r>
      <w:r>
        <w:rPr>
          <w:rFonts w:hint="eastAsia" w:ascii="仿宋" w:hAnsi="仿宋" w:eastAsia="仿宋" w:cs="仿宋"/>
          <w:lang w:eastAsia="zh-CN"/>
        </w:rPr>
        <w:t>作为投标人正式授权</w:t>
      </w:r>
      <w:r>
        <w:rPr>
          <w:rFonts w:hint="eastAsia" w:ascii="仿宋" w:hAnsi="仿宋" w:eastAsia="仿宋" w:cs="仿宋"/>
          <w:u w:val="single"/>
          <w:lang w:eastAsia="zh-CN"/>
        </w:rPr>
        <w:t xml:space="preserve">  (授权代表全名, 职务)  </w:t>
      </w:r>
      <w:r>
        <w:rPr>
          <w:rFonts w:hint="eastAsia" w:ascii="仿宋" w:hAnsi="仿宋" w:eastAsia="仿宋" w:cs="仿宋"/>
          <w:lang w:eastAsia="zh-CN"/>
        </w:rPr>
        <w:t>代表我方全权处理有关本报价的一切事宜。</w:t>
      </w:r>
    </w:p>
    <w:p>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我方已完全明白招标文件的所有条款要求，并申明如下：</w:t>
      </w:r>
    </w:p>
    <w:p>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（一）按招标文件提供的全部货物与相关服务的投标总价详见《报价一览表》。</w:t>
      </w:r>
    </w:p>
    <w:p>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（二）本投标文件的有效期为投标截止时间起</w:t>
      </w:r>
      <w:r>
        <w:rPr>
          <w:rFonts w:hint="eastAsia" w:ascii="仿宋" w:hAnsi="仿宋" w:eastAsia="仿宋" w:cs="仿宋"/>
          <w:u w:val="single"/>
          <w:lang w:eastAsia="zh-CN"/>
        </w:rPr>
        <w:t xml:space="preserve">     </w:t>
      </w:r>
      <w:r>
        <w:rPr>
          <w:rFonts w:hint="eastAsia" w:ascii="仿宋" w:hAnsi="仿宋" w:eastAsia="仿宋" w:cs="仿宋"/>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（三）我方同意按照贵方可能提出的要求而提供与投标有关的任何其它数据、信息或资料。</w:t>
      </w:r>
    </w:p>
    <w:p>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（四）我方理解贵方不一定接受最低投标价或任何贵方可能收到的投标。</w:t>
      </w:r>
    </w:p>
    <w:p>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（五）我方如果中标，将保证履行招标文件及其澄清、修改文件（如果有）中的全部责任和义务，按质、按量、按期完成《招标内容》及《合同书》中的全部任务。</w:t>
      </w:r>
    </w:p>
    <w:p>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（六）如我方被授予合同，我方承诺支付就本次招标应支付或将支付的中标服务费（详见按招标文件要求格式填写的《中标服务费支付承诺书》）。</w:t>
      </w:r>
    </w:p>
    <w:p>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（七）我方作为在法律、财务和运作上独立于采购人、招标代理机构的投标人，在此保证所提交的所有文件和全部说明是真实的和正确的。</w:t>
      </w:r>
    </w:p>
    <w:p>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（八）我方投标报价已包含应向知识产权所有权人支付的所有相关税费，并保证采购人在中国使用我方提供的货物时，如有第三方提出侵犯其知识产权主张的，责任由我方承担。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（九）我方与其他投标人不存在单位负责人为同一人或者存在直接控股、管理关系。</w:t>
      </w:r>
    </w:p>
    <w:p>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（十）我方承诺未为本项目提供整体设计、规范编制或者项目管理、监理、检测等服务。</w:t>
      </w:r>
    </w:p>
    <w:p>
      <w:pPr>
        <w:spacing w:line="480" w:lineRule="exact"/>
        <w:ind w:firstLine="486" w:firstLineChars="200"/>
        <w:rPr>
          <w:rFonts w:ascii="仿宋" w:hAnsi="仿宋" w:eastAsia="仿宋" w:cs="仿宋"/>
          <w:lang w:eastAsia="zh-CN"/>
        </w:rPr>
      </w:pPr>
      <w:r>
        <w:rPr>
          <w:rFonts w:hint="eastAsia" w:ascii="仿宋" w:hAnsi="仿宋" w:eastAsia="仿宋" w:cs="仿宋"/>
          <w:lang w:eastAsia="zh-CN"/>
        </w:rPr>
        <w:t>（十一）我方具备《政府采购法》第二十二条规定的条件，承诺如下：</w:t>
      </w:r>
    </w:p>
    <w:p>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（1）我方已依法缴纳了各项税费及社会保险费用，如有需要，可随时向采购人提供近三个月内的相关缴费证明，以便核查。</w:t>
      </w:r>
    </w:p>
    <w:p>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（2）我方已依法建立健全的财务会计制度，如有需要，可随时向采购人提供相关的证明材料，以便核查。</w:t>
      </w:r>
    </w:p>
    <w:p>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（3）我方参加本项目政府采购活动前3年内在经营活动中没有重大违法记录。</w:t>
      </w:r>
    </w:p>
    <w:p>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（4）我方具备履行合同所必需的设备和专业技术能力。</w:t>
      </w:r>
    </w:p>
    <w:p>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（5）我方符合法律、行政法规规定的其他条件。</w:t>
      </w:r>
    </w:p>
    <w:p>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以上内容如有虚假或与事实不符的，评审委员会可将我方做无效投标处理，我方愿意承担相应的法律责任。</w:t>
      </w:r>
    </w:p>
    <w:p>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（十三）我方对在本函及投标文件中所作的所有承诺承担法律责任。</w:t>
      </w:r>
    </w:p>
    <w:p>
      <w:pPr>
        <w:spacing w:line="440" w:lineRule="exact"/>
        <w:ind w:firstLine="486" w:firstLineChars="200"/>
        <w:rPr>
          <w:rFonts w:ascii="仿宋" w:hAnsi="仿宋" w:eastAsia="仿宋" w:cs="仿宋"/>
          <w:lang w:eastAsia="zh-CN"/>
        </w:rPr>
      </w:pPr>
      <w:r>
        <w:rPr>
          <w:rFonts w:hint="eastAsia" w:ascii="仿宋" w:hAnsi="仿宋" w:eastAsia="仿宋" w:cs="仿宋"/>
          <w:lang w:eastAsia="zh-CN"/>
        </w:rPr>
        <w:t>（十四）所有与本招标有关的函件请发往下列地址：</w:t>
      </w:r>
    </w:p>
    <w:p>
      <w:pPr>
        <w:spacing w:line="440" w:lineRule="exact"/>
        <w:rPr>
          <w:rFonts w:ascii="仿宋" w:hAnsi="仿宋" w:eastAsia="仿宋" w:cs="仿宋"/>
          <w:lang w:eastAsia="zh-CN"/>
        </w:rPr>
      </w:pPr>
      <w:r>
        <w:rPr>
          <w:rFonts w:hint="eastAsia" w:ascii="仿宋" w:hAnsi="仿宋" w:eastAsia="仿宋" w:cs="仿宋"/>
          <w:lang w:eastAsia="zh-CN"/>
        </w:rPr>
        <w:t>地    址：</w:t>
      </w:r>
      <w:r>
        <w:rPr>
          <w:rFonts w:hint="eastAsia" w:ascii="仿宋" w:hAnsi="仿宋" w:eastAsia="仿宋" w:cs="仿宋"/>
          <w:u w:val="single"/>
          <w:lang w:eastAsia="zh-CN"/>
        </w:rPr>
        <w:t xml:space="preserve">                             </w:t>
      </w:r>
      <w:r>
        <w:rPr>
          <w:rFonts w:hint="eastAsia" w:ascii="仿宋" w:hAnsi="仿宋" w:eastAsia="仿宋" w:cs="仿宋"/>
          <w:lang w:eastAsia="zh-CN"/>
        </w:rPr>
        <w:t>.邮政编码：</w:t>
      </w:r>
      <w:r>
        <w:rPr>
          <w:rFonts w:hint="eastAsia" w:ascii="仿宋" w:hAnsi="仿宋" w:eastAsia="仿宋" w:cs="仿宋"/>
          <w:u w:val="single"/>
          <w:lang w:eastAsia="zh-CN"/>
        </w:rPr>
        <w:t xml:space="preserve">                  </w:t>
      </w:r>
      <w:r>
        <w:rPr>
          <w:rFonts w:hint="eastAsia" w:ascii="仿宋" w:hAnsi="仿宋" w:eastAsia="仿宋" w:cs="仿宋"/>
          <w:lang w:eastAsia="zh-CN"/>
        </w:rPr>
        <w:t>.</w:t>
      </w:r>
    </w:p>
    <w:p>
      <w:pPr>
        <w:spacing w:line="440" w:lineRule="exact"/>
        <w:rPr>
          <w:rFonts w:ascii="仿宋" w:hAnsi="仿宋" w:eastAsia="仿宋" w:cs="仿宋"/>
          <w:lang w:eastAsia="zh-CN"/>
        </w:rPr>
      </w:pPr>
      <w:r>
        <w:rPr>
          <w:rFonts w:hint="eastAsia" w:ascii="仿宋" w:hAnsi="仿宋" w:eastAsia="仿宋" w:cs="仿宋"/>
          <w:lang w:eastAsia="zh-CN"/>
        </w:rPr>
        <w:t>电    话：</w:t>
      </w:r>
      <w:r>
        <w:rPr>
          <w:rFonts w:hint="eastAsia" w:ascii="仿宋" w:hAnsi="仿宋" w:eastAsia="仿宋" w:cs="仿宋"/>
          <w:u w:val="single"/>
          <w:lang w:eastAsia="zh-CN"/>
        </w:rPr>
        <w:t xml:space="preserve">                             </w:t>
      </w:r>
      <w:r>
        <w:rPr>
          <w:rFonts w:hint="eastAsia" w:ascii="仿宋" w:hAnsi="仿宋" w:eastAsia="仿宋" w:cs="仿宋"/>
          <w:lang w:eastAsia="zh-CN"/>
        </w:rPr>
        <w:t>.</w:t>
      </w:r>
    </w:p>
    <w:p>
      <w:pPr>
        <w:spacing w:line="440" w:lineRule="exact"/>
        <w:rPr>
          <w:rFonts w:ascii="仿宋" w:hAnsi="仿宋" w:eastAsia="仿宋" w:cs="仿宋"/>
          <w:lang w:eastAsia="zh-CN"/>
        </w:rPr>
      </w:pPr>
      <w:r>
        <w:rPr>
          <w:rFonts w:hint="eastAsia" w:ascii="仿宋" w:hAnsi="仿宋" w:eastAsia="仿宋" w:cs="仿宋"/>
          <w:lang w:eastAsia="zh-CN"/>
        </w:rPr>
        <w:t>传    真：</w:t>
      </w:r>
      <w:r>
        <w:rPr>
          <w:rFonts w:hint="eastAsia" w:ascii="仿宋" w:hAnsi="仿宋" w:eastAsia="仿宋" w:cs="仿宋"/>
          <w:u w:val="single"/>
          <w:lang w:eastAsia="zh-CN"/>
        </w:rPr>
        <w:t xml:space="preserve">                             </w:t>
      </w:r>
      <w:r>
        <w:rPr>
          <w:rFonts w:hint="eastAsia" w:ascii="仿宋" w:hAnsi="仿宋" w:eastAsia="仿宋" w:cs="仿宋"/>
          <w:lang w:eastAsia="zh-CN"/>
        </w:rPr>
        <w:t>.</w:t>
      </w:r>
    </w:p>
    <w:p>
      <w:pPr>
        <w:spacing w:line="440" w:lineRule="exact"/>
        <w:rPr>
          <w:rFonts w:ascii="仿宋" w:hAnsi="仿宋" w:eastAsia="仿宋" w:cs="仿宋"/>
          <w:lang w:eastAsia="zh-CN"/>
        </w:rPr>
      </w:pPr>
      <w:r>
        <w:rPr>
          <w:rFonts w:hint="eastAsia" w:ascii="仿宋" w:hAnsi="仿宋" w:eastAsia="仿宋" w:cs="仿宋"/>
          <w:lang w:eastAsia="zh-CN"/>
        </w:rPr>
        <w:t>代表姓名：</w:t>
      </w:r>
      <w:r>
        <w:rPr>
          <w:rFonts w:hint="eastAsia" w:ascii="仿宋" w:hAnsi="仿宋" w:eastAsia="仿宋" w:cs="仿宋"/>
          <w:u w:val="single"/>
          <w:lang w:eastAsia="zh-CN"/>
        </w:rPr>
        <w:t xml:space="preserve">                             </w:t>
      </w:r>
      <w:r>
        <w:rPr>
          <w:rFonts w:hint="eastAsia" w:ascii="仿宋" w:hAnsi="仿宋" w:eastAsia="仿宋" w:cs="仿宋"/>
          <w:lang w:eastAsia="zh-CN"/>
        </w:rPr>
        <w:t>.职    务：</w:t>
      </w:r>
      <w:r>
        <w:rPr>
          <w:rFonts w:hint="eastAsia" w:ascii="仿宋" w:hAnsi="仿宋" w:eastAsia="仿宋" w:cs="仿宋"/>
          <w:u w:val="single"/>
          <w:lang w:eastAsia="zh-CN"/>
        </w:rPr>
        <w:t xml:space="preserve">                 </w:t>
      </w:r>
      <w:r>
        <w:rPr>
          <w:rFonts w:hint="eastAsia" w:ascii="仿宋" w:hAnsi="仿宋" w:eastAsia="仿宋" w:cs="仿宋"/>
          <w:lang w:eastAsia="zh-CN"/>
        </w:rPr>
        <w:t>.</w:t>
      </w:r>
    </w:p>
    <w:p>
      <w:pPr>
        <w:spacing w:line="440" w:lineRule="exact"/>
        <w:ind w:right="480"/>
        <w:jc w:val="right"/>
        <w:rPr>
          <w:rFonts w:ascii="仿宋" w:hAnsi="仿宋" w:eastAsia="仿宋" w:cs="仿宋"/>
          <w:lang w:eastAsia="zh-CN"/>
        </w:rPr>
      </w:pPr>
      <w:r>
        <w:rPr>
          <w:rFonts w:hint="eastAsia" w:ascii="仿宋" w:hAnsi="仿宋" w:eastAsia="仿宋" w:cs="仿宋"/>
          <w:lang w:eastAsia="zh-CN"/>
        </w:rPr>
        <w:t>投标人：</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 xml:space="preserve">（公章） </w:t>
      </w:r>
    </w:p>
    <w:p>
      <w:pPr>
        <w:wordWrap w:val="0"/>
        <w:spacing w:line="440" w:lineRule="exact"/>
        <w:ind w:firstLine="486" w:firstLineChars="200"/>
        <w:jc w:val="right"/>
        <w:rPr>
          <w:rFonts w:ascii="仿宋" w:hAnsi="仿宋" w:eastAsia="仿宋" w:cs="仿宋"/>
          <w:lang w:eastAsia="zh-CN"/>
        </w:rPr>
      </w:pPr>
      <w:r>
        <w:rPr>
          <w:rFonts w:hint="eastAsia" w:ascii="仿宋" w:hAnsi="仿宋" w:eastAsia="仿宋" w:cs="仿宋"/>
          <w:lang w:eastAsia="zh-CN"/>
        </w:rPr>
        <w:t>法定代表人或委托人：</w:t>
      </w:r>
      <w:r>
        <w:rPr>
          <w:rFonts w:hint="eastAsia" w:ascii="仿宋" w:hAnsi="仿宋" w:eastAsia="仿宋" w:cs="仿宋"/>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 xml:space="preserve">（签章）  </w:t>
      </w:r>
    </w:p>
    <w:p>
      <w:pPr>
        <w:wordWrap w:val="0"/>
        <w:spacing w:line="440" w:lineRule="exact"/>
        <w:ind w:firstLine="486" w:firstLineChars="200"/>
        <w:jc w:val="right"/>
        <w:rPr>
          <w:rFonts w:ascii="仿宋" w:hAnsi="仿宋" w:eastAsia="仿宋" w:cs="仿宋"/>
          <w:lang w:eastAsia="zh-CN"/>
        </w:rPr>
      </w:pPr>
      <w:r>
        <w:rPr>
          <w:rFonts w:hint="eastAsia" w:ascii="仿宋" w:hAnsi="仿宋" w:eastAsia="仿宋" w:cs="仿宋"/>
          <w:lang w:eastAsia="zh-CN"/>
        </w:rPr>
        <w:t xml:space="preserve">  </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月</w:t>
      </w:r>
      <w:r>
        <w:rPr>
          <w:rFonts w:hint="eastAsia" w:ascii="仿宋" w:hAnsi="仿宋" w:eastAsia="仿宋" w:cs="仿宋"/>
          <w:u w:val="single"/>
          <w:lang w:eastAsia="zh-CN"/>
        </w:rPr>
        <w:t xml:space="preserve">    </w:t>
      </w:r>
      <w:r>
        <w:rPr>
          <w:rFonts w:hint="eastAsia" w:ascii="仿宋" w:hAnsi="仿宋" w:eastAsia="仿宋" w:cs="仿宋"/>
          <w:lang w:eastAsia="zh-CN"/>
        </w:rPr>
        <w:t>日</w:t>
      </w:r>
    </w:p>
    <w:p>
      <w:pPr>
        <w:pStyle w:val="41"/>
        <w:rPr>
          <w:rFonts w:ascii="仿宋" w:hAnsi="仿宋" w:eastAsia="仿宋" w:cs="仿宋"/>
          <w:color w:val="auto"/>
          <w:lang w:eastAsia="zh-CN"/>
        </w:rPr>
      </w:pPr>
      <w:r>
        <w:rPr>
          <w:rFonts w:hint="eastAsia" w:ascii="仿宋" w:hAnsi="仿宋" w:eastAsia="仿宋" w:cs="仿宋"/>
          <w:lang w:eastAsia="zh-CN"/>
        </w:rPr>
        <w:br w:type="page"/>
      </w:r>
    </w:p>
    <w:p>
      <w:pPr>
        <w:pStyle w:val="7"/>
        <w:tabs>
          <w:tab w:val="left" w:pos="5580"/>
        </w:tabs>
        <w:spacing w:line="240" w:lineRule="atLeast"/>
        <w:ind w:firstLine="3364" w:firstLineChars="927"/>
        <w:jc w:val="both"/>
        <w:rPr>
          <w:rFonts w:ascii="仿宋" w:hAnsi="仿宋" w:eastAsia="仿宋" w:cs="仿宋"/>
          <w:color w:val="auto"/>
          <w:lang w:eastAsia="zh-CN"/>
        </w:rPr>
      </w:pPr>
      <w:r>
        <w:rPr>
          <w:rFonts w:hint="eastAsia" w:ascii="仿宋" w:hAnsi="仿宋" w:eastAsia="仿宋" w:cs="仿宋"/>
          <w:bCs/>
          <w:color w:val="auto"/>
          <w:sz w:val="36"/>
          <w:szCs w:val="24"/>
          <w:lang w:eastAsia="zh-CN"/>
        </w:rPr>
        <w:t>2、开标一览表</w:t>
      </w:r>
      <w:r>
        <w:rPr>
          <w:rFonts w:hint="eastAsia" w:ascii="仿宋" w:hAnsi="仿宋" w:eastAsia="仿宋" w:cs="仿宋"/>
          <w:bCs/>
          <w:color w:val="auto"/>
          <w:sz w:val="36"/>
          <w:szCs w:val="24"/>
          <w:lang w:eastAsia="zh-CN"/>
        </w:rPr>
        <w:cr/>
      </w:r>
    </w:p>
    <w:p>
      <w:pPr>
        <w:adjustRightInd w:val="0"/>
        <w:snapToGrid w:val="0"/>
        <w:spacing w:line="500" w:lineRule="exact"/>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招标项目名称： </w:t>
      </w:r>
      <w:r>
        <w:rPr>
          <w:rFonts w:hint="eastAsia" w:ascii="仿宋" w:hAnsi="仿宋" w:eastAsia="仿宋" w:cs="仿宋"/>
          <w:color w:val="auto"/>
          <w:szCs w:val="21"/>
          <w:u w:val="single"/>
          <w:lang w:eastAsia="zh-CN"/>
        </w:rPr>
        <w:t xml:space="preserve">                         </w:t>
      </w:r>
    </w:p>
    <w:p>
      <w:pPr>
        <w:adjustRightInd w:val="0"/>
        <w:snapToGrid w:val="0"/>
        <w:spacing w:line="500" w:lineRule="exact"/>
        <w:rPr>
          <w:rFonts w:ascii="仿宋" w:hAnsi="仿宋" w:eastAsia="仿宋" w:cs="仿宋"/>
          <w:i/>
          <w:iCs/>
          <w:color w:val="auto"/>
          <w:szCs w:val="21"/>
          <w:lang w:eastAsia="zh-CN"/>
        </w:rPr>
      </w:pPr>
      <w:r>
        <w:rPr>
          <w:rFonts w:hint="eastAsia" w:ascii="仿宋" w:hAnsi="仿宋" w:eastAsia="仿宋" w:cs="仿宋"/>
          <w:color w:val="auto"/>
          <w:szCs w:val="21"/>
          <w:lang w:eastAsia="zh-CN"/>
        </w:rPr>
        <w:t>招标项目编号：</w:t>
      </w:r>
      <w:r>
        <w:rPr>
          <w:rFonts w:hint="eastAsia" w:ascii="仿宋" w:hAnsi="仿宋" w:eastAsia="仿宋" w:cs="仿宋"/>
          <w:i/>
          <w:iCs/>
          <w:color w:val="auto"/>
          <w:szCs w:val="21"/>
          <w:lang w:eastAsia="zh-CN"/>
        </w:rPr>
        <w:t xml:space="preserve"> </w:t>
      </w:r>
      <w:r>
        <w:rPr>
          <w:rFonts w:hint="eastAsia" w:ascii="仿宋" w:hAnsi="仿宋" w:eastAsia="仿宋" w:cs="仿宋"/>
          <w:color w:val="auto"/>
          <w:szCs w:val="21"/>
          <w:u w:val="single"/>
          <w:lang w:eastAsia="zh-CN"/>
        </w:rPr>
        <w:t xml:space="preserve">                         </w:t>
      </w:r>
    </w:p>
    <w:p>
      <w:pPr>
        <w:spacing w:line="5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单位：元</w:t>
      </w:r>
    </w:p>
    <w:tbl>
      <w:tblPr>
        <w:tblStyle w:val="23"/>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jc w:val="center"/>
              <w:rPr>
                <w:rFonts w:ascii="仿宋" w:hAnsi="仿宋" w:eastAsia="仿宋" w:cs="仿宋"/>
                <w:color w:val="auto"/>
                <w:szCs w:val="21"/>
              </w:rPr>
            </w:pPr>
            <w:r>
              <w:rPr>
                <w:rFonts w:hint="eastAsia" w:ascii="仿宋" w:hAnsi="仿宋" w:eastAsia="仿宋" w:cs="仿宋"/>
                <w:color w:val="auto"/>
                <w:szCs w:val="21"/>
              </w:rPr>
              <w:t>投标项目名称</w:t>
            </w:r>
          </w:p>
        </w:tc>
        <w:tc>
          <w:tcPr>
            <w:tcW w:w="6185" w:type="dxa"/>
            <w:vAlign w:val="center"/>
          </w:tcPr>
          <w:p>
            <w:pP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供货期</w:t>
            </w:r>
          </w:p>
        </w:tc>
        <w:tc>
          <w:tcPr>
            <w:tcW w:w="6185" w:type="dxa"/>
            <w:vAlign w:val="center"/>
          </w:tcPr>
          <w:p>
            <w:pPr>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jc w:val="center"/>
              <w:rPr>
                <w:rFonts w:ascii="仿宋" w:hAnsi="仿宋" w:eastAsia="仿宋" w:cs="仿宋"/>
                <w:color w:val="auto"/>
                <w:szCs w:val="21"/>
              </w:rPr>
            </w:pPr>
            <w:r>
              <w:rPr>
                <w:rFonts w:hint="eastAsia" w:ascii="仿宋" w:hAnsi="仿宋" w:eastAsia="仿宋" w:cs="仿宋"/>
                <w:color w:val="auto"/>
                <w:szCs w:val="21"/>
              </w:rPr>
              <w:t>投标有效期</w:t>
            </w:r>
          </w:p>
        </w:tc>
        <w:tc>
          <w:tcPr>
            <w:tcW w:w="6185" w:type="dxa"/>
            <w:vAlign w:val="center"/>
          </w:tcPr>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jc w:val="center"/>
              <w:rPr>
                <w:rFonts w:ascii="仿宋" w:hAnsi="仿宋" w:eastAsia="仿宋" w:cs="仿宋"/>
                <w:color w:val="auto"/>
                <w:szCs w:val="21"/>
              </w:rPr>
            </w:pPr>
            <w:r>
              <w:rPr>
                <w:rFonts w:hint="eastAsia" w:ascii="仿宋" w:hAnsi="仿宋" w:eastAsia="仿宋" w:cs="仿宋"/>
                <w:color w:val="auto"/>
                <w:szCs w:val="21"/>
              </w:rPr>
              <w:t>投标报价</w:t>
            </w:r>
          </w:p>
          <w:p>
            <w:pPr>
              <w:jc w:val="center"/>
              <w:rPr>
                <w:rFonts w:ascii="仿宋" w:hAnsi="仿宋" w:eastAsia="仿宋" w:cs="仿宋"/>
                <w:color w:val="auto"/>
                <w:szCs w:val="21"/>
              </w:rPr>
            </w:pPr>
            <w:r>
              <w:rPr>
                <w:rFonts w:hint="eastAsia" w:ascii="仿宋" w:hAnsi="仿宋" w:eastAsia="仿宋" w:cs="仿宋"/>
                <w:color w:val="auto"/>
                <w:szCs w:val="21"/>
              </w:rPr>
              <w:t>（人民币）</w:t>
            </w:r>
          </w:p>
        </w:tc>
        <w:tc>
          <w:tcPr>
            <w:tcW w:w="974" w:type="dxa"/>
            <w:tcBorders>
              <w:top w:val="single" w:color="auto" w:sz="4" w:space="0"/>
              <w:bottom w:val="single" w:color="auto" w:sz="4" w:space="0"/>
            </w:tcBorders>
            <w:vAlign w:val="center"/>
          </w:tcPr>
          <w:p>
            <w:pPr>
              <w:widowControl/>
              <w:jc w:val="center"/>
              <w:rPr>
                <w:rFonts w:ascii="仿宋" w:hAnsi="仿宋" w:eastAsia="仿宋" w:cs="仿宋"/>
                <w:color w:val="auto"/>
                <w:szCs w:val="21"/>
              </w:rPr>
            </w:pPr>
            <w:r>
              <w:rPr>
                <w:rFonts w:hint="eastAsia" w:ascii="仿宋" w:hAnsi="仿宋" w:eastAsia="仿宋" w:cs="仿宋"/>
                <w:color w:val="auto"/>
                <w:szCs w:val="21"/>
              </w:rPr>
              <w:t>小写</w:t>
            </w:r>
          </w:p>
        </w:tc>
        <w:tc>
          <w:tcPr>
            <w:tcW w:w="6185" w:type="dxa"/>
            <w:vAlign w:val="center"/>
          </w:tcPr>
          <w:p>
            <w:pPr>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trPr>
        <w:tc>
          <w:tcPr>
            <w:tcW w:w="1621" w:type="dxa"/>
            <w:vMerge w:val="continue"/>
            <w:vAlign w:val="center"/>
          </w:tcPr>
          <w:p>
            <w:pPr>
              <w:jc w:val="center"/>
              <w:rPr>
                <w:rFonts w:ascii="仿宋" w:hAnsi="仿宋" w:eastAsia="仿宋" w:cs="仿宋"/>
                <w:color w:val="auto"/>
                <w:szCs w:val="21"/>
              </w:rPr>
            </w:pPr>
          </w:p>
        </w:tc>
        <w:tc>
          <w:tcPr>
            <w:tcW w:w="974" w:type="dxa"/>
            <w:tcBorders>
              <w:top w:val="single" w:color="auto" w:sz="4" w:space="0"/>
              <w:bottom w:val="single" w:color="auto" w:sz="4" w:space="0"/>
            </w:tcBorders>
            <w:vAlign w:val="center"/>
          </w:tcPr>
          <w:p>
            <w:pPr>
              <w:widowControl/>
              <w:jc w:val="center"/>
              <w:rPr>
                <w:rFonts w:ascii="仿宋" w:hAnsi="仿宋" w:eastAsia="仿宋" w:cs="仿宋"/>
                <w:color w:val="auto"/>
                <w:szCs w:val="21"/>
                <w:lang w:eastAsia="zh-CN"/>
              </w:rPr>
            </w:pPr>
            <w:r>
              <w:rPr>
                <w:rFonts w:hint="eastAsia" w:ascii="仿宋" w:hAnsi="仿宋" w:eastAsia="仿宋" w:cs="仿宋"/>
                <w:color w:val="auto"/>
                <w:szCs w:val="21"/>
                <w:lang w:eastAsia="zh-CN"/>
              </w:rPr>
              <w:t>大写</w:t>
            </w:r>
          </w:p>
        </w:tc>
        <w:tc>
          <w:tcPr>
            <w:tcW w:w="6185" w:type="dxa"/>
            <w:vAlign w:val="center"/>
          </w:tcPr>
          <w:p>
            <w:pPr>
              <w:jc w:val="center"/>
              <w:rPr>
                <w:rFonts w:ascii="仿宋" w:hAnsi="仿宋" w:eastAsia="仿宋" w:cs="仿宋"/>
                <w:color w:val="auto"/>
                <w:szCs w:val="21"/>
              </w:rPr>
            </w:pPr>
          </w:p>
        </w:tc>
      </w:tr>
    </w:tbl>
    <w:p>
      <w:pPr>
        <w:spacing w:line="500" w:lineRule="exact"/>
        <w:ind w:firstLine="475" w:firstLineChars="196"/>
        <w:rPr>
          <w:rFonts w:ascii="仿宋" w:hAnsi="仿宋" w:eastAsia="仿宋" w:cs="仿宋"/>
          <w:color w:val="auto"/>
          <w:szCs w:val="21"/>
        </w:rPr>
      </w:pPr>
      <w:r>
        <w:rPr>
          <w:rFonts w:hint="eastAsia" w:ascii="仿宋" w:hAnsi="仿宋" w:eastAsia="仿宋" w:cs="仿宋"/>
          <w:color w:val="auto"/>
          <w:szCs w:val="21"/>
        </w:rPr>
        <w:t>填写说明：</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2.投标综合总价为招标范围所列全部招标项目的报价总和，并应与投标报价明细表及分项价格表保持一致。</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3.投标报价不得填报选择性报价。</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投标人名称：</w:t>
      </w:r>
      <w:r>
        <w:rPr>
          <w:rFonts w:hint="eastAsia" w:ascii="仿宋" w:hAnsi="仿宋" w:eastAsia="仿宋" w:cs="仿宋"/>
          <w:color w:val="auto"/>
          <w:szCs w:val="21"/>
          <w:u w:val="single"/>
          <w:lang w:eastAsia="zh-CN"/>
        </w:rPr>
        <w:t xml:space="preserve">    （加盖公章）     </w:t>
      </w:r>
      <w:r>
        <w:rPr>
          <w:rFonts w:hint="eastAsia" w:ascii="仿宋" w:hAnsi="仿宋" w:eastAsia="仿宋" w:cs="仿宋"/>
          <w:color w:val="auto"/>
          <w:szCs w:val="21"/>
          <w:lang w:eastAsia="zh-CN"/>
        </w:rPr>
        <w:t xml:space="preserve">       </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法定代表人签字或盖章：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授权代表签字或盖章：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签署日期：</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年</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月 </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日</w:t>
      </w:r>
    </w:p>
    <w:p>
      <w:pPr>
        <w:pStyle w:val="5"/>
        <w:spacing w:line="240" w:lineRule="atLeast"/>
        <w:rPr>
          <w:rFonts w:ascii="宋体" w:hAnsi="宋体" w:eastAsia="宋体" w:cs="宋体"/>
          <w:bCs/>
          <w:color w:val="auto"/>
          <w:sz w:val="24"/>
          <w:lang w:eastAsia="zh-CN"/>
        </w:rPr>
      </w:pPr>
    </w:p>
    <w:p>
      <w:pPr>
        <w:rPr>
          <w:rFonts w:ascii="宋体" w:hAnsi="宋体" w:eastAsia="宋体" w:cs="宋体"/>
          <w:b/>
          <w:bCs/>
          <w:color w:val="auto"/>
          <w:lang w:eastAsia="zh-CN"/>
        </w:rPr>
      </w:pPr>
    </w:p>
    <w:p>
      <w:pPr>
        <w:pStyle w:val="7"/>
        <w:rPr>
          <w:lang w:eastAsia="zh-CN"/>
        </w:rPr>
      </w:pPr>
    </w:p>
    <w:p>
      <w:pPr>
        <w:pStyle w:val="5"/>
        <w:spacing w:line="240" w:lineRule="atLeast"/>
        <w:rPr>
          <w:rFonts w:ascii="宋体" w:hAnsi="宋体" w:eastAsia="宋体" w:cs="宋体"/>
          <w:bCs/>
          <w:color w:val="auto"/>
          <w:sz w:val="24"/>
          <w:lang w:eastAsia="zh-CN"/>
        </w:rPr>
      </w:pPr>
    </w:p>
    <w:p>
      <w:pPr>
        <w:pStyle w:val="44"/>
        <w:keepNext/>
        <w:keepLines/>
        <w:spacing w:before="0" w:after="220"/>
        <w:rPr>
          <w:rFonts w:ascii="仿宋" w:hAnsi="仿宋" w:eastAsia="仿宋" w:cs="仿宋"/>
          <w:lang w:val="en-US" w:eastAsia="zh-CN"/>
        </w:rPr>
      </w:pPr>
      <w:r>
        <w:rPr>
          <w:rFonts w:hint="eastAsia" w:ascii="仿宋" w:hAnsi="仿宋" w:eastAsia="仿宋" w:cs="仿宋"/>
          <w:lang w:val="en-US" w:eastAsia="zh-CN"/>
        </w:rPr>
        <w:t>3、货物说明一览表</w:t>
      </w:r>
    </w:p>
    <w:p>
      <w:pPr>
        <w:pStyle w:val="13"/>
        <w:spacing w:line="240" w:lineRule="atLeast"/>
        <w:ind w:left="1164" w:leftChars="257" w:hanging="540"/>
        <w:rPr>
          <w:rFonts w:ascii="仿宋" w:hAnsi="仿宋" w:eastAsia="仿宋" w:cs="仿宋"/>
          <w:color w:val="auto"/>
          <w:lang w:eastAsia="zh-CN"/>
        </w:rPr>
      </w:pPr>
    </w:p>
    <w:p>
      <w:pPr>
        <w:pStyle w:val="13"/>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项目名称:                           </w:t>
      </w:r>
    </w:p>
    <w:p>
      <w:pPr>
        <w:pStyle w:val="13"/>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招标编号:                       包号:                      </w:t>
      </w:r>
    </w:p>
    <w:p>
      <w:pPr>
        <w:pStyle w:val="13"/>
        <w:spacing w:line="240" w:lineRule="atLeast"/>
        <w:ind w:left="1164" w:leftChars="257" w:hanging="540"/>
        <w:rPr>
          <w:rFonts w:ascii="仿宋" w:hAnsi="仿宋" w:eastAsia="仿宋" w:cs="仿宋"/>
          <w:color w:val="auto"/>
          <w:lang w:eastAsia="zh-CN"/>
        </w:rPr>
      </w:pP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54"/>
        <w:gridCol w:w="1517"/>
        <w:gridCol w:w="883"/>
        <w:gridCol w:w="675"/>
        <w:gridCol w:w="1284"/>
        <w:gridCol w:w="1284"/>
        <w:gridCol w:w="874"/>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34" w:type="pct"/>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序号</w:t>
            </w:r>
          </w:p>
        </w:tc>
        <w:tc>
          <w:tcPr>
            <w:tcW w:w="447" w:type="pct"/>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货物名称</w:t>
            </w:r>
          </w:p>
        </w:tc>
        <w:tc>
          <w:tcPr>
            <w:tcW w:w="894" w:type="pct"/>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品牌</w:t>
            </w:r>
          </w:p>
        </w:tc>
        <w:tc>
          <w:tcPr>
            <w:tcW w:w="522" w:type="pct"/>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主要规格</w:t>
            </w:r>
          </w:p>
        </w:tc>
        <w:tc>
          <w:tcPr>
            <w:tcW w:w="400" w:type="pct"/>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数量</w:t>
            </w:r>
          </w:p>
        </w:tc>
        <w:tc>
          <w:tcPr>
            <w:tcW w:w="757" w:type="pct"/>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单位</w:t>
            </w:r>
          </w:p>
        </w:tc>
        <w:tc>
          <w:tcPr>
            <w:tcW w:w="757" w:type="pct"/>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交货时间</w:t>
            </w:r>
          </w:p>
        </w:tc>
        <w:tc>
          <w:tcPr>
            <w:tcW w:w="517" w:type="pct"/>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交货地点</w:t>
            </w:r>
          </w:p>
        </w:tc>
        <w:tc>
          <w:tcPr>
            <w:tcW w:w="468" w:type="pct"/>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4" w:type="pct"/>
          </w:tcPr>
          <w:p>
            <w:pPr>
              <w:pStyle w:val="13"/>
              <w:spacing w:line="240" w:lineRule="atLeast"/>
              <w:ind w:left="1164" w:leftChars="257" w:hanging="540"/>
              <w:rPr>
                <w:rFonts w:ascii="仿宋" w:hAnsi="仿宋" w:eastAsia="仿宋" w:cs="仿宋"/>
                <w:color w:val="auto"/>
                <w:lang w:eastAsia="zh-CN"/>
              </w:rPr>
            </w:pPr>
          </w:p>
        </w:tc>
        <w:tc>
          <w:tcPr>
            <w:tcW w:w="447" w:type="pct"/>
          </w:tcPr>
          <w:p>
            <w:pPr>
              <w:pStyle w:val="13"/>
              <w:spacing w:line="240" w:lineRule="atLeast"/>
              <w:ind w:left="1164" w:leftChars="257" w:hanging="540"/>
              <w:rPr>
                <w:rFonts w:ascii="仿宋" w:hAnsi="仿宋" w:eastAsia="仿宋" w:cs="仿宋"/>
                <w:color w:val="auto"/>
                <w:lang w:eastAsia="zh-CN"/>
              </w:rPr>
            </w:pPr>
          </w:p>
        </w:tc>
        <w:tc>
          <w:tcPr>
            <w:tcW w:w="894" w:type="pct"/>
          </w:tcPr>
          <w:p>
            <w:pPr>
              <w:pStyle w:val="13"/>
              <w:spacing w:line="240" w:lineRule="atLeast"/>
              <w:ind w:left="1164" w:leftChars="257" w:hanging="540"/>
              <w:rPr>
                <w:rFonts w:ascii="仿宋" w:hAnsi="仿宋" w:eastAsia="仿宋" w:cs="仿宋"/>
                <w:color w:val="auto"/>
                <w:lang w:eastAsia="zh-CN"/>
              </w:rPr>
            </w:pPr>
          </w:p>
        </w:tc>
        <w:tc>
          <w:tcPr>
            <w:tcW w:w="522" w:type="pct"/>
          </w:tcPr>
          <w:p>
            <w:pPr>
              <w:pStyle w:val="13"/>
              <w:spacing w:line="240" w:lineRule="atLeast"/>
              <w:ind w:left="1164" w:leftChars="257" w:hanging="540"/>
              <w:rPr>
                <w:rFonts w:ascii="仿宋" w:hAnsi="仿宋" w:eastAsia="仿宋" w:cs="仿宋"/>
                <w:color w:val="auto"/>
                <w:lang w:eastAsia="zh-CN"/>
              </w:rPr>
            </w:pPr>
          </w:p>
        </w:tc>
        <w:tc>
          <w:tcPr>
            <w:tcW w:w="400"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517" w:type="pct"/>
          </w:tcPr>
          <w:p>
            <w:pPr>
              <w:pStyle w:val="13"/>
              <w:spacing w:line="240" w:lineRule="atLeast"/>
              <w:ind w:left="1164" w:leftChars="257" w:hanging="540"/>
              <w:rPr>
                <w:rFonts w:ascii="仿宋" w:hAnsi="仿宋" w:eastAsia="仿宋" w:cs="仿宋"/>
                <w:color w:val="auto"/>
                <w:lang w:eastAsia="zh-CN"/>
              </w:rPr>
            </w:pPr>
          </w:p>
        </w:tc>
        <w:tc>
          <w:tcPr>
            <w:tcW w:w="468" w:type="pct"/>
          </w:tcPr>
          <w:p>
            <w:pPr>
              <w:pStyle w:val="13"/>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4" w:type="pct"/>
          </w:tcPr>
          <w:p>
            <w:pPr>
              <w:pStyle w:val="13"/>
              <w:spacing w:line="240" w:lineRule="atLeast"/>
              <w:ind w:left="1164" w:leftChars="257" w:hanging="540"/>
              <w:rPr>
                <w:rFonts w:ascii="仿宋" w:hAnsi="仿宋" w:eastAsia="仿宋" w:cs="仿宋"/>
                <w:color w:val="auto"/>
                <w:lang w:eastAsia="zh-CN"/>
              </w:rPr>
            </w:pPr>
          </w:p>
        </w:tc>
        <w:tc>
          <w:tcPr>
            <w:tcW w:w="447" w:type="pct"/>
          </w:tcPr>
          <w:p>
            <w:pPr>
              <w:pStyle w:val="13"/>
              <w:spacing w:line="240" w:lineRule="atLeast"/>
              <w:ind w:left="1164" w:leftChars="257" w:hanging="540"/>
              <w:rPr>
                <w:rFonts w:ascii="仿宋" w:hAnsi="仿宋" w:eastAsia="仿宋" w:cs="仿宋"/>
                <w:color w:val="auto"/>
                <w:lang w:eastAsia="zh-CN"/>
              </w:rPr>
            </w:pPr>
          </w:p>
        </w:tc>
        <w:tc>
          <w:tcPr>
            <w:tcW w:w="894" w:type="pct"/>
          </w:tcPr>
          <w:p>
            <w:pPr>
              <w:pStyle w:val="13"/>
              <w:spacing w:line="240" w:lineRule="atLeast"/>
              <w:ind w:left="1164" w:leftChars="257" w:hanging="540"/>
              <w:rPr>
                <w:rFonts w:ascii="仿宋" w:hAnsi="仿宋" w:eastAsia="仿宋" w:cs="仿宋"/>
                <w:color w:val="auto"/>
                <w:lang w:eastAsia="zh-CN"/>
              </w:rPr>
            </w:pPr>
          </w:p>
        </w:tc>
        <w:tc>
          <w:tcPr>
            <w:tcW w:w="522" w:type="pct"/>
          </w:tcPr>
          <w:p>
            <w:pPr>
              <w:pStyle w:val="13"/>
              <w:spacing w:line="240" w:lineRule="atLeast"/>
              <w:ind w:left="1164" w:leftChars="257" w:hanging="540"/>
              <w:rPr>
                <w:rFonts w:ascii="仿宋" w:hAnsi="仿宋" w:eastAsia="仿宋" w:cs="仿宋"/>
                <w:color w:val="auto"/>
                <w:lang w:eastAsia="zh-CN"/>
              </w:rPr>
            </w:pPr>
          </w:p>
        </w:tc>
        <w:tc>
          <w:tcPr>
            <w:tcW w:w="400"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517" w:type="pct"/>
          </w:tcPr>
          <w:p>
            <w:pPr>
              <w:pStyle w:val="13"/>
              <w:spacing w:line="240" w:lineRule="atLeast"/>
              <w:ind w:left="1164" w:leftChars="257" w:hanging="540"/>
              <w:rPr>
                <w:rFonts w:ascii="仿宋" w:hAnsi="仿宋" w:eastAsia="仿宋" w:cs="仿宋"/>
                <w:color w:val="auto"/>
                <w:lang w:eastAsia="zh-CN"/>
              </w:rPr>
            </w:pPr>
          </w:p>
        </w:tc>
        <w:tc>
          <w:tcPr>
            <w:tcW w:w="468" w:type="pct"/>
          </w:tcPr>
          <w:p>
            <w:pPr>
              <w:pStyle w:val="13"/>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4" w:type="pct"/>
          </w:tcPr>
          <w:p>
            <w:pPr>
              <w:pStyle w:val="13"/>
              <w:spacing w:line="240" w:lineRule="atLeast"/>
              <w:ind w:left="1164" w:leftChars="257" w:hanging="540"/>
              <w:rPr>
                <w:rFonts w:ascii="仿宋" w:hAnsi="仿宋" w:eastAsia="仿宋" w:cs="仿宋"/>
                <w:color w:val="auto"/>
                <w:lang w:eastAsia="zh-CN"/>
              </w:rPr>
            </w:pPr>
          </w:p>
        </w:tc>
        <w:tc>
          <w:tcPr>
            <w:tcW w:w="447" w:type="pct"/>
          </w:tcPr>
          <w:p>
            <w:pPr>
              <w:pStyle w:val="13"/>
              <w:spacing w:line="240" w:lineRule="atLeast"/>
              <w:ind w:left="1164" w:leftChars="257" w:hanging="540"/>
              <w:rPr>
                <w:rFonts w:ascii="仿宋" w:hAnsi="仿宋" w:eastAsia="仿宋" w:cs="仿宋"/>
                <w:color w:val="auto"/>
                <w:lang w:eastAsia="zh-CN"/>
              </w:rPr>
            </w:pPr>
          </w:p>
        </w:tc>
        <w:tc>
          <w:tcPr>
            <w:tcW w:w="894" w:type="pct"/>
          </w:tcPr>
          <w:p>
            <w:pPr>
              <w:pStyle w:val="13"/>
              <w:spacing w:line="240" w:lineRule="atLeast"/>
              <w:ind w:left="1164" w:leftChars="257" w:hanging="540"/>
              <w:rPr>
                <w:rFonts w:ascii="仿宋" w:hAnsi="仿宋" w:eastAsia="仿宋" w:cs="仿宋"/>
                <w:color w:val="auto"/>
                <w:lang w:eastAsia="zh-CN"/>
              </w:rPr>
            </w:pPr>
          </w:p>
        </w:tc>
        <w:tc>
          <w:tcPr>
            <w:tcW w:w="522" w:type="pct"/>
          </w:tcPr>
          <w:p>
            <w:pPr>
              <w:pStyle w:val="13"/>
              <w:spacing w:line="240" w:lineRule="atLeast"/>
              <w:ind w:left="1164" w:leftChars="257" w:hanging="540"/>
              <w:rPr>
                <w:rFonts w:ascii="仿宋" w:hAnsi="仿宋" w:eastAsia="仿宋" w:cs="仿宋"/>
                <w:color w:val="auto"/>
                <w:lang w:eastAsia="zh-CN"/>
              </w:rPr>
            </w:pPr>
          </w:p>
        </w:tc>
        <w:tc>
          <w:tcPr>
            <w:tcW w:w="400"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517" w:type="pct"/>
          </w:tcPr>
          <w:p>
            <w:pPr>
              <w:pStyle w:val="13"/>
              <w:spacing w:line="240" w:lineRule="atLeast"/>
              <w:ind w:left="1164" w:leftChars="257" w:hanging="540"/>
              <w:rPr>
                <w:rFonts w:ascii="仿宋" w:hAnsi="仿宋" w:eastAsia="仿宋" w:cs="仿宋"/>
                <w:color w:val="auto"/>
                <w:lang w:eastAsia="zh-CN"/>
              </w:rPr>
            </w:pPr>
          </w:p>
        </w:tc>
        <w:tc>
          <w:tcPr>
            <w:tcW w:w="468" w:type="pct"/>
          </w:tcPr>
          <w:p>
            <w:pPr>
              <w:pStyle w:val="13"/>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4" w:type="pct"/>
          </w:tcPr>
          <w:p>
            <w:pPr>
              <w:pStyle w:val="13"/>
              <w:spacing w:line="240" w:lineRule="atLeast"/>
              <w:ind w:left="1164" w:leftChars="257" w:hanging="540"/>
              <w:rPr>
                <w:rFonts w:ascii="仿宋" w:hAnsi="仿宋" w:eastAsia="仿宋" w:cs="仿宋"/>
                <w:color w:val="auto"/>
                <w:lang w:eastAsia="zh-CN"/>
              </w:rPr>
            </w:pPr>
          </w:p>
        </w:tc>
        <w:tc>
          <w:tcPr>
            <w:tcW w:w="447" w:type="pct"/>
          </w:tcPr>
          <w:p>
            <w:pPr>
              <w:pStyle w:val="13"/>
              <w:spacing w:line="240" w:lineRule="atLeast"/>
              <w:ind w:left="1164" w:leftChars="257" w:hanging="540"/>
              <w:rPr>
                <w:rFonts w:ascii="仿宋" w:hAnsi="仿宋" w:eastAsia="仿宋" w:cs="仿宋"/>
                <w:color w:val="auto"/>
                <w:lang w:eastAsia="zh-CN"/>
              </w:rPr>
            </w:pPr>
          </w:p>
        </w:tc>
        <w:tc>
          <w:tcPr>
            <w:tcW w:w="894" w:type="pct"/>
          </w:tcPr>
          <w:p>
            <w:pPr>
              <w:pStyle w:val="13"/>
              <w:spacing w:line="240" w:lineRule="atLeast"/>
              <w:ind w:left="1164" w:leftChars="257" w:hanging="540"/>
              <w:rPr>
                <w:rFonts w:ascii="仿宋" w:hAnsi="仿宋" w:eastAsia="仿宋" w:cs="仿宋"/>
                <w:color w:val="auto"/>
                <w:lang w:eastAsia="zh-CN"/>
              </w:rPr>
            </w:pPr>
          </w:p>
        </w:tc>
        <w:tc>
          <w:tcPr>
            <w:tcW w:w="522" w:type="pct"/>
          </w:tcPr>
          <w:p>
            <w:pPr>
              <w:pStyle w:val="13"/>
              <w:spacing w:line="240" w:lineRule="atLeast"/>
              <w:ind w:left="1164" w:leftChars="257" w:hanging="540"/>
              <w:rPr>
                <w:rFonts w:ascii="仿宋" w:hAnsi="仿宋" w:eastAsia="仿宋" w:cs="仿宋"/>
                <w:color w:val="auto"/>
                <w:lang w:eastAsia="zh-CN"/>
              </w:rPr>
            </w:pPr>
          </w:p>
        </w:tc>
        <w:tc>
          <w:tcPr>
            <w:tcW w:w="400"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517" w:type="pct"/>
          </w:tcPr>
          <w:p>
            <w:pPr>
              <w:pStyle w:val="13"/>
              <w:spacing w:line="240" w:lineRule="atLeast"/>
              <w:ind w:left="1164" w:leftChars="257" w:hanging="540"/>
              <w:rPr>
                <w:rFonts w:ascii="仿宋" w:hAnsi="仿宋" w:eastAsia="仿宋" w:cs="仿宋"/>
                <w:color w:val="auto"/>
                <w:lang w:eastAsia="zh-CN"/>
              </w:rPr>
            </w:pPr>
          </w:p>
        </w:tc>
        <w:tc>
          <w:tcPr>
            <w:tcW w:w="468" w:type="pct"/>
          </w:tcPr>
          <w:p>
            <w:pPr>
              <w:pStyle w:val="13"/>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34" w:type="pct"/>
          </w:tcPr>
          <w:p>
            <w:pPr>
              <w:pStyle w:val="13"/>
              <w:spacing w:line="240" w:lineRule="atLeast"/>
              <w:ind w:left="1164" w:leftChars="257" w:hanging="540"/>
              <w:rPr>
                <w:rFonts w:ascii="仿宋" w:hAnsi="仿宋" w:eastAsia="仿宋" w:cs="仿宋"/>
                <w:color w:val="auto"/>
                <w:lang w:eastAsia="zh-CN"/>
              </w:rPr>
            </w:pPr>
          </w:p>
        </w:tc>
        <w:tc>
          <w:tcPr>
            <w:tcW w:w="447" w:type="pct"/>
          </w:tcPr>
          <w:p>
            <w:pPr>
              <w:pStyle w:val="13"/>
              <w:spacing w:line="240" w:lineRule="atLeast"/>
              <w:ind w:left="1164" w:leftChars="257" w:hanging="540"/>
              <w:rPr>
                <w:rFonts w:ascii="仿宋" w:hAnsi="仿宋" w:eastAsia="仿宋" w:cs="仿宋"/>
                <w:color w:val="auto"/>
                <w:lang w:eastAsia="zh-CN"/>
              </w:rPr>
            </w:pPr>
          </w:p>
        </w:tc>
        <w:tc>
          <w:tcPr>
            <w:tcW w:w="894" w:type="pct"/>
          </w:tcPr>
          <w:p>
            <w:pPr>
              <w:pStyle w:val="13"/>
              <w:spacing w:line="240" w:lineRule="atLeast"/>
              <w:ind w:left="1164" w:leftChars="257" w:hanging="540"/>
              <w:rPr>
                <w:rFonts w:ascii="仿宋" w:hAnsi="仿宋" w:eastAsia="仿宋" w:cs="仿宋"/>
                <w:color w:val="auto"/>
                <w:lang w:eastAsia="zh-CN"/>
              </w:rPr>
            </w:pPr>
          </w:p>
        </w:tc>
        <w:tc>
          <w:tcPr>
            <w:tcW w:w="522" w:type="pct"/>
          </w:tcPr>
          <w:p>
            <w:pPr>
              <w:pStyle w:val="13"/>
              <w:spacing w:line="240" w:lineRule="atLeast"/>
              <w:ind w:left="1164" w:leftChars="257" w:hanging="540"/>
              <w:rPr>
                <w:rFonts w:ascii="仿宋" w:hAnsi="仿宋" w:eastAsia="仿宋" w:cs="仿宋"/>
                <w:color w:val="auto"/>
                <w:lang w:eastAsia="zh-CN"/>
              </w:rPr>
            </w:pPr>
          </w:p>
        </w:tc>
        <w:tc>
          <w:tcPr>
            <w:tcW w:w="400"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517" w:type="pct"/>
          </w:tcPr>
          <w:p>
            <w:pPr>
              <w:pStyle w:val="13"/>
              <w:spacing w:line="240" w:lineRule="atLeast"/>
              <w:ind w:left="1164" w:leftChars="257" w:hanging="540"/>
              <w:rPr>
                <w:rFonts w:ascii="仿宋" w:hAnsi="仿宋" w:eastAsia="仿宋" w:cs="仿宋"/>
                <w:color w:val="auto"/>
                <w:lang w:eastAsia="zh-CN"/>
              </w:rPr>
            </w:pPr>
          </w:p>
        </w:tc>
        <w:tc>
          <w:tcPr>
            <w:tcW w:w="468" w:type="pct"/>
          </w:tcPr>
          <w:p>
            <w:pPr>
              <w:pStyle w:val="13"/>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34" w:type="pct"/>
          </w:tcPr>
          <w:p>
            <w:pPr>
              <w:pStyle w:val="13"/>
              <w:spacing w:line="240" w:lineRule="atLeast"/>
              <w:ind w:left="1164" w:leftChars="257" w:hanging="540"/>
              <w:rPr>
                <w:rFonts w:ascii="仿宋" w:hAnsi="仿宋" w:eastAsia="仿宋" w:cs="仿宋"/>
                <w:color w:val="auto"/>
                <w:lang w:eastAsia="zh-CN"/>
              </w:rPr>
            </w:pPr>
          </w:p>
        </w:tc>
        <w:tc>
          <w:tcPr>
            <w:tcW w:w="447" w:type="pct"/>
          </w:tcPr>
          <w:p>
            <w:pPr>
              <w:pStyle w:val="13"/>
              <w:spacing w:line="240" w:lineRule="atLeast"/>
              <w:ind w:left="1164" w:leftChars="257" w:hanging="540"/>
              <w:rPr>
                <w:rFonts w:ascii="仿宋" w:hAnsi="仿宋" w:eastAsia="仿宋" w:cs="仿宋"/>
                <w:color w:val="auto"/>
                <w:lang w:eastAsia="zh-CN"/>
              </w:rPr>
            </w:pPr>
          </w:p>
        </w:tc>
        <w:tc>
          <w:tcPr>
            <w:tcW w:w="894" w:type="pct"/>
          </w:tcPr>
          <w:p>
            <w:pPr>
              <w:pStyle w:val="13"/>
              <w:spacing w:line="240" w:lineRule="atLeast"/>
              <w:ind w:left="1164" w:leftChars="257" w:hanging="540"/>
              <w:rPr>
                <w:rFonts w:ascii="仿宋" w:hAnsi="仿宋" w:eastAsia="仿宋" w:cs="仿宋"/>
                <w:color w:val="auto"/>
                <w:lang w:eastAsia="zh-CN"/>
              </w:rPr>
            </w:pPr>
          </w:p>
        </w:tc>
        <w:tc>
          <w:tcPr>
            <w:tcW w:w="522" w:type="pct"/>
          </w:tcPr>
          <w:p>
            <w:pPr>
              <w:pStyle w:val="13"/>
              <w:spacing w:line="240" w:lineRule="atLeast"/>
              <w:ind w:left="1164" w:leftChars="257" w:hanging="540"/>
              <w:rPr>
                <w:rFonts w:ascii="仿宋" w:hAnsi="仿宋" w:eastAsia="仿宋" w:cs="仿宋"/>
                <w:color w:val="auto"/>
                <w:lang w:eastAsia="zh-CN"/>
              </w:rPr>
            </w:pPr>
          </w:p>
        </w:tc>
        <w:tc>
          <w:tcPr>
            <w:tcW w:w="400"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517" w:type="pct"/>
          </w:tcPr>
          <w:p>
            <w:pPr>
              <w:pStyle w:val="13"/>
              <w:spacing w:line="240" w:lineRule="atLeast"/>
              <w:ind w:left="1164" w:leftChars="257" w:hanging="540"/>
              <w:rPr>
                <w:rFonts w:ascii="仿宋" w:hAnsi="仿宋" w:eastAsia="仿宋" w:cs="仿宋"/>
                <w:color w:val="auto"/>
                <w:lang w:eastAsia="zh-CN"/>
              </w:rPr>
            </w:pPr>
          </w:p>
        </w:tc>
        <w:tc>
          <w:tcPr>
            <w:tcW w:w="468" w:type="pct"/>
          </w:tcPr>
          <w:p>
            <w:pPr>
              <w:pStyle w:val="13"/>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34" w:type="pct"/>
          </w:tcPr>
          <w:p>
            <w:pPr>
              <w:pStyle w:val="13"/>
              <w:spacing w:line="240" w:lineRule="atLeast"/>
              <w:ind w:left="1164" w:leftChars="257" w:hanging="540"/>
              <w:rPr>
                <w:rFonts w:ascii="仿宋" w:hAnsi="仿宋" w:eastAsia="仿宋" w:cs="仿宋"/>
                <w:color w:val="auto"/>
                <w:lang w:eastAsia="zh-CN"/>
              </w:rPr>
            </w:pPr>
          </w:p>
        </w:tc>
        <w:tc>
          <w:tcPr>
            <w:tcW w:w="447" w:type="pct"/>
          </w:tcPr>
          <w:p>
            <w:pPr>
              <w:pStyle w:val="13"/>
              <w:spacing w:line="240" w:lineRule="atLeast"/>
              <w:ind w:left="1164" w:leftChars="257" w:hanging="540"/>
              <w:rPr>
                <w:rFonts w:ascii="仿宋" w:hAnsi="仿宋" w:eastAsia="仿宋" w:cs="仿宋"/>
                <w:color w:val="auto"/>
                <w:lang w:eastAsia="zh-CN"/>
              </w:rPr>
            </w:pPr>
          </w:p>
        </w:tc>
        <w:tc>
          <w:tcPr>
            <w:tcW w:w="894" w:type="pct"/>
          </w:tcPr>
          <w:p>
            <w:pPr>
              <w:pStyle w:val="13"/>
              <w:spacing w:line="240" w:lineRule="atLeast"/>
              <w:ind w:left="1164" w:leftChars="257" w:hanging="540"/>
              <w:rPr>
                <w:rFonts w:ascii="仿宋" w:hAnsi="仿宋" w:eastAsia="仿宋" w:cs="仿宋"/>
                <w:color w:val="auto"/>
                <w:lang w:eastAsia="zh-CN"/>
              </w:rPr>
            </w:pPr>
          </w:p>
        </w:tc>
        <w:tc>
          <w:tcPr>
            <w:tcW w:w="522" w:type="pct"/>
          </w:tcPr>
          <w:p>
            <w:pPr>
              <w:pStyle w:val="13"/>
              <w:spacing w:line="240" w:lineRule="atLeast"/>
              <w:ind w:left="1164" w:leftChars="257" w:hanging="540"/>
              <w:rPr>
                <w:rFonts w:ascii="仿宋" w:hAnsi="仿宋" w:eastAsia="仿宋" w:cs="仿宋"/>
                <w:color w:val="auto"/>
                <w:lang w:eastAsia="zh-CN"/>
              </w:rPr>
            </w:pPr>
          </w:p>
        </w:tc>
        <w:tc>
          <w:tcPr>
            <w:tcW w:w="400"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517" w:type="pct"/>
          </w:tcPr>
          <w:p>
            <w:pPr>
              <w:pStyle w:val="13"/>
              <w:spacing w:line="240" w:lineRule="atLeast"/>
              <w:ind w:left="1164" w:leftChars="257" w:hanging="540"/>
              <w:rPr>
                <w:rFonts w:ascii="仿宋" w:hAnsi="仿宋" w:eastAsia="仿宋" w:cs="仿宋"/>
                <w:color w:val="auto"/>
                <w:lang w:eastAsia="zh-CN"/>
              </w:rPr>
            </w:pPr>
          </w:p>
        </w:tc>
        <w:tc>
          <w:tcPr>
            <w:tcW w:w="468" w:type="pct"/>
          </w:tcPr>
          <w:p>
            <w:pPr>
              <w:pStyle w:val="13"/>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34" w:type="pct"/>
          </w:tcPr>
          <w:p>
            <w:pPr>
              <w:pStyle w:val="13"/>
              <w:spacing w:line="240" w:lineRule="atLeast"/>
              <w:ind w:left="1164" w:leftChars="257" w:hanging="540"/>
              <w:rPr>
                <w:rFonts w:ascii="仿宋" w:hAnsi="仿宋" w:eastAsia="仿宋" w:cs="仿宋"/>
                <w:color w:val="auto"/>
                <w:lang w:eastAsia="zh-CN"/>
              </w:rPr>
            </w:pPr>
          </w:p>
        </w:tc>
        <w:tc>
          <w:tcPr>
            <w:tcW w:w="447" w:type="pct"/>
          </w:tcPr>
          <w:p>
            <w:pPr>
              <w:pStyle w:val="13"/>
              <w:spacing w:line="240" w:lineRule="atLeast"/>
              <w:ind w:left="1164" w:leftChars="257" w:hanging="540"/>
              <w:rPr>
                <w:rFonts w:ascii="仿宋" w:hAnsi="仿宋" w:eastAsia="仿宋" w:cs="仿宋"/>
                <w:color w:val="auto"/>
                <w:lang w:eastAsia="zh-CN"/>
              </w:rPr>
            </w:pPr>
          </w:p>
        </w:tc>
        <w:tc>
          <w:tcPr>
            <w:tcW w:w="894" w:type="pct"/>
          </w:tcPr>
          <w:p>
            <w:pPr>
              <w:pStyle w:val="13"/>
              <w:spacing w:line="240" w:lineRule="atLeast"/>
              <w:ind w:left="1164" w:leftChars="257" w:hanging="540"/>
              <w:rPr>
                <w:rFonts w:ascii="仿宋" w:hAnsi="仿宋" w:eastAsia="仿宋" w:cs="仿宋"/>
                <w:color w:val="auto"/>
                <w:lang w:eastAsia="zh-CN"/>
              </w:rPr>
            </w:pPr>
          </w:p>
        </w:tc>
        <w:tc>
          <w:tcPr>
            <w:tcW w:w="522" w:type="pct"/>
          </w:tcPr>
          <w:p>
            <w:pPr>
              <w:pStyle w:val="13"/>
              <w:spacing w:line="240" w:lineRule="atLeast"/>
              <w:ind w:left="1164" w:leftChars="257" w:hanging="540"/>
              <w:rPr>
                <w:rFonts w:ascii="仿宋" w:hAnsi="仿宋" w:eastAsia="仿宋" w:cs="仿宋"/>
                <w:color w:val="auto"/>
                <w:lang w:eastAsia="zh-CN"/>
              </w:rPr>
            </w:pPr>
          </w:p>
        </w:tc>
        <w:tc>
          <w:tcPr>
            <w:tcW w:w="400"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757" w:type="pct"/>
          </w:tcPr>
          <w:p>
            <w:pPr>
              <w:pStyle w:val="13"/>
              <w:spacing w:line="240" w:lineRule="atLeast"/>
              <w:ind w:left="1164" w:leftChars="257" w:hanging="540"/>
              <w:rPr>
                <w:rFonts w:ascii="仿宋" w:hAnsi="仿宋" w:eastAsia="仿宋" w:cs="仿宋"/>
                <w:color w:val="auto"/>
                <w:lang w:eastAsia="zh-CN"/>
              </w:rPr>
            </w:pPr>
          </w:p>
        </w:tc>
        <w:tc>
          <w:tcPr>
            <w:tcW w:w="517" w:type="pct"/>
          </w:tcPr>
          <w:p>
            <w:pPr>
              <w:pStyle w:val="13"/>
              <w:spacing w:line="240" w:lineRule="atLeast"/>
              <w:ind w:left="1164" w:leftChars="257" w:hanging="540"/>
              <w:rPr>
                <w:rFonts w:ascii="仿宋" w:hAnsi="仿宋" w:eastAsia="仿宋" w:cs="仿宋"/>
                <w:color w:val="auto"/>
                <w:lang w:eastAsia="zh-CN"/>
              </w:rPr>
            </w:pPr>
          </w:p>
        </w:tc>
        <w:tc>
          <w:tcPr>
            <w:tcW w:w="468" w:type="pct"/>
          </w:tcPr>
          <w:p>
            <w:pPr>
              <w:pStyle w:val="13"/>
              <w:spacing w:line="240" w:lineRule="atLeast"/>
              <w:ind w:left="1164" w:leftChars="257" w:hanging="540"/>
              <w:rPr>
                <w:rFonts w:ascii="仿宋" w:hAnsi="仿宋" w:eastAsia="仿宋" w:cs="仿宋"/>
                <w:color w:val="auto"/>
                <w:lang w:eastAsia="zh-CN"/>
              </w:rPr>
            </w:pPr>
          </w:p>
        </w:tc>
      </w:tr>
    </w:tbl>
    <w:p>
      <w:pPr>
        <w:pStyle w:val="13"/>
        <w:spacing w:line="240" w:lineRule="atLeast"/>
        <w:ind w:left="1164" w:leftChars="257" w:hanging="540"/>
        <w:rPr>
          <w:rFonts w:ascii="仿宋" w:hAnsi="仿宋" w:eastAsia="仿宋" w:cs="仿宋"/>
          <w:color w:val="auto"/>
        </w:rPr>
      </w:pPr>
    </w:p>
    <w:p>
      <w:pPr>
        <w:pStyle w:val="13"/>
        <w:spacing w:line="240" w:lineRule="atLeast"/>
        <w:ind w:left="1164" w:leftChars="257" w:hanging="540"/>
        <w:rPr>
          <w:rFonts w:hAnsi="宋体" w:eastAsia="宋体" w:cs="宋体"/>
          <w:color w:val="auto"/>
          <w:lang w:eastAsia="zh-CN"/>
        </w:rPr>
      </w:pPr>
      <w:r>
        <w:rPr>
          <w:rFonts w:hint="eastAsia" w:ascii="仿宋" w:hAnsi="仿宋" w:eastAsia="仿宋" w:cs="仿宋"/>
          <w:color w:val="auto"/>
          <w:lang w:eastAsia="zh-CN"/>
        </w:rPr>
        <w:t>法定代表人或其委托代理人签字:</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hAnsi="宋体" w:eastAsia="宋体" w:cs="宋体"/>
          <w:color w:val="auto"/>
          <w:u w:val="single"/>
          <w:lang w:eastAsia="zh-CN"/>
        </w:rPr>
        <w:t xml:space="preserve">         </w:t>
      </w:r>
    </w:p>
    <w:p>
      <w:pPr>
        <w:pStyle w:val="13"/>
        <w:tabs>
          <w:tab w:val="left" w:pos="5370"/>
        </w:tabs>
        <w:spacing w:line="240" w:lineRule="atLeast"/>
        <w:ind w:left="1164" w:leftChars="257" w:hanging="540"/>
        <w:rPr>
          <w:rFonts w:hAnsi="宋体" w:eastAsia="宋体" w:cs="宋体"/>
          <w:color w:val="auto"/>
          <w:u w:val="single"/>
          <w:lang w:eastAsia="zh-CN"/>
        </w:rPr>
      </w:pPr>
      <w:r>
        <w:rPr>
          <w:rFonts w:hint="eastAsia" w:ascii="仿宋" w:hAnsi="仿宋" w:eastAsia="仿宋" w:cs="仿宋"/>
          <w:color w:val="auto"/>
          <w:lang w:eastAsia="zh-CN"/>
        </w:rPr>
        <w:t>投标人(盖单位章)</w:t>
      </w:r>
      <w:r>
        <w:rPr>
          <w:rFonts w:hint="eastAsia" w:hAnsi="宋体" w:eastAsia="宋体" w:cs="宋体"/>
          <w:color w:val="auto"/>
          <w:lang w:eastAsia="zh-CN"/>
        </w:rPr>
        <w:t>:</w:t>
      </w:r>
      <w:r>
        <w:rPr>
          <w:rFonts w:hint="eastAsia" w:hAnsi="宋体" w:eastAsia="宋体" w:cs="宋体"/>
          <w:color w:val="auto"/>
          <w:u w:val="single"/>
          <w:lang w:eastAsia="zh-CN"/>
        </w:rPr>
        <w:tab/>
      </w:r>
    </w:p>
    <w:p>
      <w:pPr>
        <w:pStyle w:val="13"/>
        <w:spacing w:line="240" w:lineRule="atLeast"/>
        <w:ind w:left="1164" w:leftChars="257" w:hanging="540"/>
        <w:rPr>
          <w:rFonts w:hAnsi="宋体" w:eastAsia="宋体" w:cs="宋体"/>
          <w:color w:val="auto"/>
          <w:lang w:eastAsia="zh-CN"/>
        </w:rPr>
      </w:pPr>
    </w:p>
    <w:p>
      <w:pPr>
        <w:pStyle w:val="13"/>
        <w:tabs>
          <w:tab w:val="left" w:pos="5370"/>
        </w:tabs>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注: 各项货物详细技术性能应另页描述。</w:t>
      </w:r>
    </w:p>
    <w:p>
      <w:pPr>
        <w:pStyle w:val="13"/>
        <w:tabs>
          <w:tab w:val="left" w:pos="5370"/>
        </w:tabs>
        <w:spacing w:line="240" w:lineRule="atLeast"/>
        <w:ind w:left="1164" w:leftChars="257" w:hanging="540"/>
        <w:rPr>
          <w:rFonts w:ascii="仿宋" w:hAnsi="仿宋" w:eastAsia="仿宋" w:cs="仿宋"/>
          <w:color w:val="auto"/>
          <w:lang w:eastAsia="zh-CN"/>
        </w:rPr>
      </w:pPr>
    </w:p>
    <w:p>
      <w:pPr>
        <w:pStyle w:val="13"/>
        <w:tabs>
          <w:tab w:val="left" w:pos="5370"/>
        </w:tabs>
        <w:spacing w:line="240" w:lineRule="atLeast"/>
        <w:ind w:left="1164" w:leftChars="257" w:hanging="540"/>
        <w:rPr>
          <w:rFonts w:ascii="仿宋" w:hAnsi="仿宋" w:eastAsia="仿宋" w:cs="仿宋"/>
          <w:color w:val="auto"/>
          <w:lang w:eastAsia="zh-CN"/>
        </w:rPr>
        <w:sectPr>
          <w:headerReference r:id="rId7" w:type="default"/>
          <w:footerReference r:id="rId8" w:type="default"/>
          <w:pgSz w:w="11905" w:h="16838"/>
          <w:pgMar w:top="1440" w:right="1797" w:bottom="1440" w:left="1797" w:header="850" w:footer="992" w:gutter="0"/>
          <w:cols w:space="720" w:num="1"/>
          <w:docGrid w:type="linesAndChars" w:linePitch="325" w:charSpace="635"/>
        </w:sectPr>
      </w:pPr>
    </w:p>
    <w:p>
      <w:pPr>
        <w:pStyle w:val="44"/>
        <w:keepNext/>
        <w:keepLines/>
        <w:spacing w:before="0" w:after="220"/>
        <w:rPr>
          <w:rFonts w:ascii="仿宋" w:hAnsi="仿宋" w:eastAsia="仿宋" w:cs="仿宋"/>
        </w:rPr>
      </w:pPr>
      <w:r>
        <w:rPr>
          <w:rFonts w:hint="eastAsia" w:ascii="仿宋" w:hAnsi="仿宋" w:eastAsia="仿宋" w:cs="仿宋"/>
          <w:lang w:val="en-US" w:eastAsia="zh-CN"/>
        </w:rPr>
        <w:t>4</w:t>
      </w:r>
      <w:r>
        <w:rPr>
          <w:rFonts w:hint="eastAsia" w:ascii="仿宋" w:hAnsi="仿宋" w:eastAsia="仿宋" w:cs="仿宋"/>
          <w:lang w:eastAsia="zh-CN"/>
        </w:rPr>
        <w:t>、</w:t>
      </w:r>
      <w:r>
        <w:rPr>
          <w:rFonts w:hint="eastAsia" w:ascii="仿宋" w:hAnsi="仿宋" w:eastAsia="仿宋" w:cs="仿宋"/>
        </w:rPr>
        <w:t>投标报价明细表</w:t>
      </w:r>
    </w:p>
    <w:p>
      <w:pPr>
        <w:pStyle w:val="44"/>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项目名称:                      </w:t>
      </w:r>
    </w:p>
    <w:p>
      <w:pPr>
        <w:pStyle w:val="44"/>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招标编号: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包号: 　 </w:t>
      </w:r>
    </w:p>
    <w:p>
      <w:pPr>
        <w:pStyle w:val="13"/>
        <w:spacing w:line="240" w:lineRule="atLeast"/>
        <w:ind w:left="1157" w:leftChars="257" w:hanging="540"/>
        <w:jc w:val="center"/>
        <w:rPr>
          <w:rFonts w:ascii="仿宋" w:hAnsi="仿宋" w:eastAsia="仿宋" w:cs="仿宋"/>
          <w:color w:val="auto"/>
          <w:lang w:eastAsia="zh-CN"/>
        </w:rPr>
      </w:pPr>
      <w:r>
        <w:rPr>
          <w:rFonts w:hint="eastAsia" w:ascii="仿宋" w:hAnsi="仿宋" w:eastAsia="仿宋" w:cs="仿宋"/>
          <w:color w:val="auto"/>
          <w:lang w:eastAsia="zh-CN"/>
        </w:rPr>
        <w:t xml:space="preserve">                                         　单位：</w:t>
      </w:r>
      <w:r>
        <w:rPr>
          <w:rFonts w:hint="eastAsia" w:ascii="仿宋" w:hAnsi="仿宋" w:eastAsia="仿宋" w:cs="仿宋"/>
          <w:color w:val="auto"/>
          <w:szCs w:val="21"/>
          <w:lang w:eastAsia="zh-CN"/>
        </w:rPr>
        <w:t>元</w:t>
      </w:r>
    </w:p>
    <w:tbl>
      <w:tblPr>
        <w:tblStyle w:val="23"/>
        <w:tblW w:w="105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751"/>
        <w:gridCol w:w="664"/>
        <w:gridCol w:w="664"/>
        <w:gridCol w:w="819"/>
        <w:gridCol w:w="818"/>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r>
              <w:rPr>
                <w:rFonts w:hint="eastAsia" w:ascii="仿宋" w:hAnsi="仿宋" w:eastAsia="仿宋" w:cs="仿宋"/>
                <w:color w:val="auto"/>
                <w:szCs w:val="21"/>
              </w:rPr>
              <w:t>产品名称</w:t>
            </w:r>
          </w:p>
        </w:tc>
        <w:tc>
          <w:tcPr>
            <w:tcW w:w="986"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r>
              <w:rPr>
                <w:rFonts w:hint="eastAsia" w:ascii="仿宋" w:hAnsi="仿宋" w:eastAsia="仿宋" w:cs="仿宋"/>
                <w:color w:val="auto"/>
                <w:szCs w:val="21"/>
              </w:rPr>
              <w:t>规格</w:t>
            </w:r>
          </w:p>
        </w:tc>
        <w:tc>
          <w:tcPr>
            <w:tcW w:w="1267" w:type="dxa"/>
            <w:tcBorders>
              <w:top w:val="single" w:color="auto" w:sz="12"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r>
              <w:rPr>
                <w:rFonts w:hint="eastAsia" w:ascii="仿宋" w:hAnsi="仿宋" w:eastAsia="仿宋" w:cs="仿宋"/>
                <w:color w:val="auto"/>
                <w:szCs w:val="21"/>
              </w:rPr>
              <w:t>交货时间</w:t>
            </w:r>
          </w:p>
        </w:tc>
        <w:tc>
          <w:tcPr>
            <w:tcW w:w="833" w:type="dxa"/>
            <w:tcBorders>
              <w:top w:val="single" w:color="auto" w:sz="12"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r>
              <w:rPr>
                <w:rFonts w:hint="eastAsia" w:ascii="仿宋" w:hAnsi="仿宋" w:eastAsia="仿宋" w:cs="仿宋"/>
                <w:color w:val="auto"/>
                <w:szCs w:val="21"/>
              </w:rPr>
              <w:t>交货地点</w:t>
            </w:r>
          </w:p>
        </w:tc>
        <w:tc>
          <w:tcPr>
            <w:tcW w:w="1336" w:type="dxa"/>
            <w:tcBorders>
              <w:top w:val="single" w:color="auto" w:sz="12" w:space="0"/>
              <w:left w:val="single" w:color="auto" w:sz="4"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r>
              <w:rPr>
                <w:rFonts w:hint="eastAsia" w:ascii="仿宋" w:hAnsi="仿宋" w:eastAsia="仿宋" w:cs="仿宋"/>
                <w:color w:val="auto"/>
                <w:szCs w:val="21"/>
              </w:rPr>
              <w:t>数量</w:t>
            </w:r>
          </w:p>
        </w:tc>
        <w:tc>
          <w:tcPr>
            <w:tcW w:w="751"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单位</w:t>
            </w:r>
          </w:p>
        </w:tc>
        <w:tc>
          <w:tcPr>
            <w:tcW w:w="664"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rPr>
              <w:t>单价</w:t>
            </w:r>
          </w:p>
        </w:tc>
        <w:tc>
          <w:tcPr>
            <w:tcW w:w="664"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r>
              <w:rPr>
                <w:rFonts w:hint="eastAsia" w:ascii="仿宋" w:hAnsi="仿宋" w:eastAsia="仿宋" w:cs="仿宋"/>
                <w:color w:val="auto"/>
                <w:szCs w:val="21"/>
              </w:rPr>
              <w:t>总价</w:t>
            </w:r>
          </w:p>
        </w:tc>
        <w:tc>
          <w:tcPr>
            <w:tcW w:w="819" w:type="dxa"/>
            <w:tcBorders>
              <w:top w:val="single" w:color="auto" w:sz="12"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厂家</w:t>
            </w:r>
          </w:p>
        </w:tc>
        <w:tc>
          <w:tcPr>
            <w:tcW w:w="818" w:type="dxa"/>
            <w:tcBorders>
              <w:top w:val="single" w:color="auto" w:sz="12"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品牌</w:t>
            </w:r>
          </w:p>
        </w:tc>
        <w:tc>
          <w:tcPr>
            <w:tcW w:w="818" w:type="dxa"/>
            <w:tcBorders>
              <w:top w:val="single" w:color="auto" w:sz="12"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705" w:type="dxa"/>
            <w:gridSpan w:val="11"/>
            <w:tcBorders>
              <w:top w:val="single" w:color="auto" w:sz="6" w:space="0"/>
              <w:left w:val="single" w:color="auto" w:sz="12"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rPr>
              <w:t>合计</w:t>
            </w:r>
            <w:r>
              <w:rPr>
                <w:rFonts w:hint="eastAsia" w:ascii="仿宋" w:hAnsi="仿宋" w:eastAsia="仿宋" w:cs="仿宋"/>
                <w:color w:val="auto"/>
                <w:szCs w:val="21"/>
                <w:lang w:eastAsia="zh-CN"/>
              </w:rPr>
              <w:t>：</w:t>
            </w:r>
            <w:r>
              <w:rPr>
                <w:rFonts w:hint="eastAsia" w:ascii="仿宋" w:hAnsi="仿宋" w:eastAsia="仿宋" w:cs="仿宋"/>
                <w:color w:val="auto"/>
                <w:szCs w:val="21"/>
              </w:rPr>
              <w:t>（</w:t>
            </w:r>
            <w:r>
              <w:rPr>
                <w:rFonts w:hint="eastAsia" w:ascii="仿宋" w:hAnsi="仿宋" w:eastAsia="仿宋" w:cs="仿宋"/>
                <w:color w:val="auto"/>
                <w:szCs w:val="21"/>
                <w:lang w:eastAsia="zh-CN"/>
              </w:rPr>
              <w:t>元</w:t>
            </w:r>
            <w:r>
              <w:rPr>
                <w:rFonts w:hint="eastAsia" w:ascii="仿宋" w:hAnsi="仿宋" w:eastAsia="仿宋" w:cs="仿宋"/>
                <w:color w:val="auto"/>
                <w:szCs w:val="21"/>
              </w:rPr>
              <w:t>）</w:t>
            </w:r>
          </w:p>
        </w:tc>
        <w:tc>
          <w:tcPr>
            <w:tcW w:w="818" w:type="dxa"/>
            <w:tcBorders>
              <w:top w:val="single" w:color="auto" w:sz="6" w:space="0"/>
              <w:left w:val="single" w:color="auto" w:sz="12" w:space="0"/>
              <w:bottom w:val="single" w:color="auto" w:sz="6" w:space="0"/>
              <w:right w:val="single" w:color="auto" w:sz="12" w:space="0"/>
            </w:tcBorders>
            <w:vAlign w:val="center"/>
          </w:tcPr>
          <w:p>
            <w:pPr>
              <w:spacing w:line="500" w:lineRule="exact"/>
              <w:jc w:val="center"/>
              <w:rPr>
                <w:rFonts w:ascii="仿宋" w:hAnsi="仿宋" w:eastAsia="仿宋" w:cs="仿宋"/>
                <w:color w:val="auto"/>
                <w:szCs w:val="21"/>
              </w:rPr>
            </w:pPr>
          </w:p>
        </w:tc>
      </w:tr>
    </w:tbl>
    <w:p>
      <w:pPr>
        <w:pStyle w:val="48"/>
        <w:spacing w:line="317" w:lineRule="exact"/>
        <w:ind w:left="176"/>
        <w:rPr>
          <w:rFonts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sz w:val="24"/>
          <w:szCs w:val="24"/>
          <w:lang w:val="en-US" w:eastAsia="zh-CN" w:bidi="en-US"/>
        </w:rPr>
        <w:t>1.</w:t>
      </w:r>
      <w:r>
        <w:rPr>
          <w:rFonts w:hint="eastAsia" w:ascii="仿宋" w:hAnsi="仿宋" w:eastAsia="仿宋" w:cs="仿宋"/>
          <w:sz w:val="24"/>
          <w:szCs w:val="24"/>
        </w:rPr>
        <w:t>所有价格均用人民币表示，单位为元。</w:t>
      </w:r>
    </w:p>
    <w:p>
      <w:pPr>
        <w:pStyle w:val="48"/>
        <w:numPr>
          <w:ilvl w:val="0"/>
          <w:numId w:val="9"/>
        </w:numPr>
        <w:tabs>
          <w:tab w:val="left" w:pos="378"/>
        </w:tabs>
        <w:spacing w:line="317" w:lineRule="exact"/>
        <w:ind w:left="176"/>
        <w:rPr>
          <w:rFonts w:ascii="仿宋" w:hAnsi="仿宋" w:eastAsia="仿宋" w:cs="仿宋"/>
          <w:sz w:val="24"/>
          <w:szCs w:val="24"/>
        </w:rPr>
      </w:pPr>
      <w:r>
        <w:rPr>
          <w:rFonts w:hint="eastAsia" w:ascii="仿宋" w:hAnsi="仿宋" w:eastAsia="仿宋" w:cs="仿宋"/>
          <w:sz w:val="24"/>
          <w:szCs w:val="24"/>
        </w:rPr>
        <w:t>报价总计价格必须与《</w:t>
      </w:r>
      <w:r>
        <w:rPr>
          <w:rFonts w:hint="eastAsia" w:ascii="仿宋" w:hAnsi="仿宋" w:eastAsia="仿宋" w:cs="仿宋"/>
          <w:sz w:val="24"/>
          <w:szCs w:val="24"/>
          <w:lang w:eastAsia="zh-CN"/>
        </w:rPr>
        <w:t>投标报价单</w:t>
      </w:r>
      <w:r>
        <w:rPr>
          <w:rFonts w:hint="eastAsia" w:ascii="仿宋" w:hAnsi="仿宋" w:eastAsia="仿宋" w:cs="仿宋"/>
          <w:sz w:val="24"/>
          <w:szCs w:val="24"/>
        </w:rPr>
        <w:t>》报价一致。</w:t>
      </w:r>
    </w:p>
    <w:p>
      <w:pPr>
        <w:pStyle w:val="48"/>
        <w:numPr>
          <w:ilvl w:val="0"/>
          <w:numId w:val="9"/>
        </w:numPr>
        <w:tabs>
          <w:tab w:val="left" w:pos="490"/>
        </w:tabs>
        <w:spacing w:line="317" w:lineRule="exact"/>
        <w:ind w:left="176"/>
        <w:rPr>
          <w:rFonts w:ascii="仿宋" w:hAnsi="仿宋" w:eastAsia="仿宋" w:cs="仿宋"/>
          <w:sz w:val="24"/>
          <w:szCs w:val="24"/>
        </w:rPr>
      </w:pPr>
      <w:r>
        <w:rPr>
          <w:rFonts w:hint="eastAsia" w:ascii="仿宋" w:hAnsi="仿宋" w:eastAsia="仿宋" w:cs="仿宋"/>
          <w:sz w:val="24"/>
          <w:szCs w:val="24"/>
        </w:rPr>
        <w:t>如果不提供详细的分项报价表将被视为没有实质性</w:t>
      </w:r>
      <w:r>
        <w:rPr>
          <w:rFonts w:hint="eastAsia" w:ascii="仿宋" w:hAnsi="仿宋" w:eastAsia="仿宋" w:cs="仿宋"/>
          <w:sz w:val="24"/>
          <w:szCs w:val="24"/>
          <w:lang w:eastAsia="zh-CN"/>
        </w:rPr>
        <w:t>投标文件</w:t>
      </w:r>
      <w:r>
        <w:rPr>
          <w:rFonts w:hint="eastAsia" w:ascii="仿宋" w:hAnsi="仿宋" w:eastAsia="仿宋" w:cs="仿宋"/>
          <w:sz w:val="24"/>
          <w:szCs w:val="24"/>
        </w:rPr>
        <w:t>。</w:t>
      </w:r>
    </w:p>
    <w:p>
      <w:pPr>
        <w:pStyle w:val="48"/>
        <w:numPr>
          <w:ilvl w:val="0"/>
          <w:numId w:val="9"/>
        </w:numPr>
        <w:tabs>
          <w:tab w:val="left" w:pos="493"/>
        </w:tabs>
        <w:spacing w:line="317" w:lineRule="exact"/>
        <w:ind w:left="176"/>
        <w:rPr>
          <w:rFonts w:ascii="仿宋" w:hAnsi="仿宋" w:eastAsia="仿宋" w:cs="仿宋"/>
          <w:sz w:val="24"/>
          <w:szCs w:val="24"/>
        </w:rPr>
      </w:pPr>
      <w:r>
        <w:rPr>
          <w:rFonts w:hint="eastAsia" w:ascii="仿宋" w:hAnsi="仿宋" w:eastAsia="仿宋" w:cs="仿宋"/>
          <w:sz w:val="24"/>
          <w:szCs w:val="24"/>
        </w:rPr>
        <w:t>投标人必须按此表格式中的对应栏目内容填写，若需增加栏目，请在栏目</w:t>
      </w:r>
      <w:r>
        <w:rPr>
          <w:rFonts w:hint="eastAsia" w:ascii="仿宋" w:hAnsi="仿宋" w:eastAsia="仿宋" w:cs="仿宋"/>
          <w:sz w:val="24"/>
          <w:szCs w:val="24"/>
          <w:lang w:val="zh-CN" w:eastAsia="zh-CN" w:bidi="zh-CN"/>
        </w:rPr>
        <w:t>“其</w:t>
      </w:r>
      <w:r>
        <w:rPr>
          <w:rFonts w:hint="eastAsia" w:ascii="仿宋" w:hAnsi="仿宋" w:eastAsia="仿宋" w:cs="仿宋"/>
          <w:sz w:val="24"/>
          <w:szCs w:val="24"/>
        </w:rPr>
        <w:t>它”中填写，并作详细说明。</w:t>
      </w:r>
    </w:p>
    <w:p>
      <w:pPr>
        <w:pStyle w:val="48"/>
        <w:numPr>
          <w:ilvl w:val="0"/>
          <w:numId w:val="9"/>
        </w:numPr>
        <w:tabs>
          <w:tab w:val="left" w:pos="493"/>
        </w:tabs>
        <w:spacing w:line="317" w:lineRule="exact"/>
        <w:ind w:left="176"/>
        <w:rPr>
          <w:rFonts w:ascii="仿宋" w:hAnsi="仿宋" w:eastAsia="仿宋" w:cs="仿宋"/>
          <w:sz w:val="24"/>
          <w:szCs w:val="24"/>
        </w:rPr>
      </w:pPr>
      <w:r>
        <w:rPr>
          <w:rFonts w:hint="eastAsia" w:ascii="仿宋" w:hAnsi="仿宋" w:eastAsia="仿宋" w:cs="仿宋"/>
          <w:b/>
          <w:bCs/>
          <w:color w:val="000000" w:themeColor="text1"/>
          <w:sz w:val="24"/>
          <w:szCs w:val="24"/>
          <w:lang w:val="en-US" w:eastAsia="zh-CN"/>
          <w14:textFill>
            <w14:solidFill>
              <w14:schemeClr w14:val="tx1"/>
            </w14:solidFill>
          </w14:textFill>
        </w:rPr>
        <w:t>各分项</w:t>
      </w:r>
      <w:r>
        <w:rPr>
          <w:rFonts w:hint="eastAsia" w:ascii="仿宋" w:hAnsi="仿宋" w:eastAsia="仿宋" w:cs="仿宋"/>
          <w:b/>
          <w:bCs/>
          <w:color w:val="000000" w:themeColor="text1"/>
          <w:sz w:val="24"/>
          <w:szCs w:val="24"/>
          <w:lang w:eastAsia="zh-CN"/>
          <w14:textFill>
            <w14:solidFill>
              <w14:schemeClr w14:val="tx1"/>
            </w14:solidFill>
          </w14:textFill>
        </w:rPr>
        <w:t>所报单价不能超过单价控制价，否则按废标</w:t>
      </w:r>
      <w:r>
        <w:rPr>
          <w:rFonts w:hint="eastAsia" w:ascii="仿宋" w:hAnsi="仿宋" w:eastAsia="仿宋" w:cs="仿宋"/>
          <w:b/>
          <w:bCs/>
          <w:color w:val="000000" w:themeColor="text1"/>
          <w:sz w:val="24"/>
          <w:szCs w:val="24"/>
          <w:lang w:val="en-US" w:eastAsia="zh-CN"/>
          <w14:textFill>
            <w14:solidFill>
              <w14:schemeClr w14:val="tx1"/>
            </w14:solidFill>
          </w14:textFill>
        </w:rPr>
        <w:t>处理</w:t>
      </w:r>
      <w:r>
        <w:rPr>
          <w:rFonts w:hint="eastAsia" w:ascii="仿宋" w:hAnsi="仿宋" w:eastAsia="仿宋" w:cs="仿宋"/>
          <w:b/>
          <w:bCs/>
          <w:color w:val="000000" w:themeColor="text1"/>
          <w:sz w:val="24"/>
          <w:szCs w:val="24"/>
          <w:lang w:eastAsia="zh-CN"/>
          <w14:textFill>
            <w14:solidFill>
              <w14:schemeClr w14:val="tx1"/>
            </w14:solidFill>
          </w14:textFill>
        </w:rPr>
        <w:t>。</w:t>
      </w:r>
    </w:p>
    <w:p>
      <w:pPr>
        <w:pStyle w:val="48"/>
        <w:tabs>
          <w:tab w:val="left" w:pos="493"/>
        </w:tabs>
        <w:spacing w:line="317" w:lineRule="exact"/>
        <w:ind w:left="176"/>
        <w:rPr>
          <w:rFonts w:ascii="仿宋" w:hAnsi="仿宋" w:eastAsia="仿宋" w:cs="仿宋"/>
          <w:sz w:val="20"/>
          <w:szCs w:val="20"/>
        </w:rPr>
      </w:pPr>
    </w:p>
    <w:p>
      <w:pPr>
        <w:pStyle w:val="48"/>
        <w:tabs>
          <w:tab w:val="left" w:pos="493"/>
        </w:tabs>
        <w:spacing w:line="317" w:lineRule="exact"/>
        <w:ind w:left="176"/>
        <w:rPr>
          <w:rFonts w:ascii="仿宋" w:hAnsi="仿宋" w:eastAsia="仿宋" w:cs="仿宋"/>
          <w:sz w:val="20"/>
          <w:szCs w:val="20"/>
        </w:rPr>
      </w:pPr>
    </w:p>
    <w:p>
      <w:pPr>
        <w:pStyle w:val="10"/>
        <w:numPr>
          <w:ilvl w:val="0"/>
          <w:numId w:val="0"/>
        </w:numPr>
        <w:tabs>
          <w:tab w:val="left" w:pos="8227"/>
        </w:tabs>
        <w:kinsoku w:val="0"/>
        <w:overflowPunct w:val="0"/>
        <w:spacing w:line="381" w:lineRule="auto"/>
        <w:ind w:left="1680" w:right="118"/>
        <w:rPr>
          <w:rFonts w:ascii="仿宋" w:hAnsi="仿宋" w:eastAsia="仿宋" w:cs="仿宋"/>
          <w:sz w:val="24"/>
          <w:lang w:eastAsia="zh-CN"/>
        </w:rPr>
      </w:pPr>
      <w:r>
        <w:rPr>
          <w:rFonts w:hint="eastAsia" w:ascii="仿宋" w:hAnsi="仿宋" w:eastAsia="仿宋" w:cs="仿宋"/>
          <w:sz w:val="24"/>
          <w:lang w:eastAsia="zh-CN"/>
        </w:rPr>
        <w:t>投标人：</w:t>
      </w:r>
      <w:r>
        <w:rPr>
          <w:rFonts w:hint="eastAsia" w:ascii="仿宋" w:hAnsi="仿宋" w:eastAsia="仿宋" w:cs="仿宋"/>
          <w:sz w:val="24"/>
          <w:u w:val="single"/>
          <w:lang w:eastAsia="zh-CN"/>
        </w:rPr>
        <w:tab/>
      </w:r>
      <w:r>
        <w:rPr>
          <w:rFonts w:hint="eastAsia" w:ascii="仿宋" w:hAnsi="仿宋" w:eastAsia="仿宋" w:cs="仿宋"/>
          <w:w w:val="95"/>
          <w:sz w:val="24"/>
          <w:lang w:eastAsia="zh-CN"/>
        </w:rPr>
        <w:t>（盖章）</w:t>
      </w:r>
      <w:r>
        <w:rPr>
          <w:rFonts w:hint="eastAsia" w:ascii="仿宋" w:hAnsi="仿宋" w:eastAsia="仿宋" w:cs="仿宋"/>
          <w:sz w:val="24"/>
          <w:lang w:eastAsia="zh-CN"/>
        </w:rPr>
        <w:t xml:space="preserve"> </w:t>
      </w:r>
    </w:p>
    <w:p>
      <w:pPr>
        <w:pStyle w:val="10"/>
        <w:numPr>
          <w:ilvl w:val="0"/>
          <w:numId w:val="0"/>
        </w:numPr>
        <w:tabs>
          <w:tab w:val="left" w:pos="8227"/>
        </w:tabs>
        <w:kinsoku w:val="0"/>
        <w:overflowPunct w:val="0"/>
        <w:spacing w:line="381" w:lineRule="auto"/>
        <w:ind w:left="1680" w:right="118"/>
        <w:rPr>
          <w:rFonts w:ascii="仿宋" w:hAnsi="仿宋" w:eastAsia="仿宋" w:cs="仿宋"/>
          <w:w w:val="95"/>
          <w:sz w:val="24"/>
          <w:lang w:eastAsia="zh-CN"/>
        </w:rPr>
      </w:pPr>
      <w:r>
        <w:rPr>
          <w:rFonts w:hint="eastAsia" w:ascii="仿宋" w:hAnsi="仿宋" w:eastAsia="仿宋" w:cs="仿宋"/>
          <w:sz w:val="24"/>
          <w:lang w:eastAsia="zh-CN"/>
        </w:rPr>
        <w:t>法定代表人或被授权人：</w:t>
      </w:r>
      <w:r>
        <w:rPr>
          <w:rFonts w:hint="eastAsia" w:ascii="仿宋" w:hAnsi="仿宋" w:eastAsia="仿宋" w:cs="仿宋"/>
          <w:sz w:val="24"/>
          <w:u w:val="single"/>
          <w:lang w:eastAsia="zh-CN"/>
        </w:rPr>
        <w:tab/>
      </w:r>
      <w:r>
        <w:rPr>
          <w:rFonts w:hint="eastAsia" w:ascii="仿宋" w:hAnsi="仿宋" w:eastAsia="仿宋" w:cs="仿宋"/>
          <w:w w:val="95"/>
          <w:sz w:val="24"/>
          <w:lang w:eastAsia="zh-CN"/>
        </w:rPr>
        <w:t>（签章）</w:t>
      </w:r>
    </w:p>
    <w:p>
      <w:pPr>
        <w:pStyle w:val="10"/>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sz w:val="24"/>
          <w:lang w:eastAsia="zh-CN"/>
        </w:rPr>
      </w:pPr>
      <w:r>
        <w:rPr>
          <w:rFonts w:hint="eastAsia" w:ascii="仿宋" w:hAnsi="仿宋" w:eastAsia="仿宋" w:cs="仿宋"/>
          <w:sz w:val="24"/>
          <w:lang w:eastAsia="zh-CN"/>
        </w:rPr>
        <w:t>日期：</w:t>
      </w:r>
      <w:r>
        <w:rPr>
          <w:rFonts w:hint="eastAsia" w:ascii="仿宋" w:hAnsi="仿宋" w:eastAsia="仿宋" w:cs="仿宋"/>
          <w:sz w:val="24"/>
          <w:u w:val="single"/>
          <w:lang w:eastAsia="zh-CN"/>
        </w:rPr>
        <w:tab/>
      </w:r>
      <w:r>
        <w:rPr>
          <w:rFonts w:hint="eastAsia" w:ascii="仿宋" w:hAnsi="仿宋" w:eastAsia="仿宋" w:cs="仿宋"/>
          <w:sz w:val="24"/>
          <w:lang w:eastAsia="zh-CN"/>
        </w:rPr>
        <w:t>年</w:t>
      </w:r>
      <w:r>
        <w:rPr>
          <w:rFonts w:hint="eastAsia" w:ascii="仿宋" w:hAnsi="仿宋" w:eastAsia="仿宋" w:cs="仿宋"/>
          <w:sz w:val="24"/>
          <w:u w:val="single"/>
          <w:lang w:eastAsia="zh-CN"/>
        </w:rPr>
        <w:tab/>
      </w:r>
      <w:r>
        <w:rPr>
          <w:rFonts w:hint="eastAsia" w:ascii="仿宋" w:hAnsi="仿宋" w:eastAsia="仿宋" w:cs="仿宋"/>
          <w:sz w:val="24"/>
          <w:lang w:eastAsia="zh-CN"/>
        </w:rPr>
        <w:t>月</w:t>
      </w:r>
      <w:r>
        <w:rPr>
          <w:rFonts w:hint="eastAsia" w:ascii="仿宋" w:hAnsi="仿宋" w:eastAsia="仿宋" w:cs="仿宋"/>
          <w:sz w:val="24"/>
          <w:u w:val="single"/>
          <w:lang w:eastAsia="zh-CN"/>
        </w:rPr>
        <w:tab/>
      </w:r>
      <w:r>
        <w:rPr>
          <w:rFonts w:hint="eastAsia" w:ascii="仿宋" w:hAnsi="仿宋" w:eastAsia="仿宋" w:cs="仿宋"/>
          <w:sz w:val="24"/>
          <w:lang w:eastAsia="zh-CN"/>
        </w:rPr>
        <w:t>日</w:t>
      </w:r>
    </w:p>
    <w:p>
      <w:pPr>
        <w:pStyle w:val="10"/>
        <w:numPr>
          <w:ilvl w:val="0"/>
          <w:numId w:val="0"/>
        </w:numPr>
        <w:kinsoku w:val="0"/>
        <w:overflowPunct w:val="0"/>
        <w:spacing w:before="34" w:line="357" w:lineRule="auto"/>
        <w:ind w:left="480" w:right="126"/>
        <w:jc w:val="center"/>
        <w:rPr>
          <w:rFonts w:ascii="仿宋" w:hAnsi="仿宋" w:eastAsia="仿宋" w:cs="仿宋"/>
          <w:b/>
          <w:bCs/>
          <w:sz w:val="36"/>
          <w:szCs w:val="36"/>
          <w:lang w:eastAsia="zh-CN"/>
        </w:rPr>
      </w:pPr>
    </w:p>
    <w:p>
      <w:pPr>
        <w:pStyle w:val="44"/>
        <w:keepNext/>
        <w:keepLines/>
        <w:spacing w:before="0" w:after="220"/>
        <w:rPr>
          <w:rFonts w:ascii="仿宋" w:hAnsi="仿宋" w:eastAsia="仿宋" w:cs="仿宋"/>
          <w:lang w:val="en-US" w:eastAsia="zh-CN"/>
        </w:rPr>
      </w:pPr>
      <w:r>
        <w:rPr>
          <w:rFonts w:hint="eastAsia" w:ascii="仿宋" w:hAnsi="仿宋" w:eastAsia="仿宋" w:cs="仿宋"/>
          <w:lang w:val="en-US" w:eastAsia="zh-CN"/>
        </w:rPr>
        <w:t>5、技术条款偏离表</w:t>
      </w:r>
    </w:p>
    <w:tbl>
      <w:tblPr>
        <w:tblStyle w:val="23"/>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1200"/>
        <w:gridCol w:w="2155"/>
        <w:gridCol w:w="1326"/>
        <w:gridCol w:w="2335"/>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866" w:type="dxa"/>
            <w:vAlign w:val="center"/>
          </w:tcPr>
          <w:p>
            <w:pPr>
              <w:jc w:val="center"/>
              <w:rPr>
                <w:rFonts w:ascii="仿宋" w:hAnsi="仿宋" w:eastAsia="仿宋" w:cs="仿宋"/>
                <w:bCs/>
              </w:rPr>
            </w:pPr>
            <w:r>
              <w:rPr>
                <w:rFonts w:hint="eastAsia" w:ascii="仿宋" w:hAnsi="仿宋" w:eastAsia="仿宋" w:cs="仿宋"/>
                <w:bCs/>
              </w:rPr>
              <w:t>序号</w:t>
            </w:r>
          </w:p>
        </w:tc>
        <w:tc>
          <w:tcPr>
            <w:tcW w:w="1200" w:type="dxa"/>
            <w:vAlign w:val="center"/>
          </w:tcPr>
          <w:p>
            <w:pPr>
              <w:jc w:val="center"/>
              <w:rPr>
                <w:rFonts w:ascii="仿宋" w:hAnsi="仿宋" w:eastAsia="仿宋" w:cs="仿宋"/>
                <w:bCs/>
              </w:rPr>
            </w:pPr>
            <w:r>
              <w:rPr>
                <w:rFonts w:hint="eastAsia" w:ascii="仿宋" w:hAnsi="仿宋" w:eastAsia="仿宋" w:cs="仿宋"/>
                <w:bCs/>
              </w:rPr>
              <w:t>货物名称</w:t>
            </w:r>
          </w:p>
        </w:tc>
        <w:tc>
          <w:tcPr>
            <w:tcW w:w="2155" w:type="dxa"/>
            <w:vAlign w:val="center"/>
          </w:tcPr>
          <w:p>
            <w:pPr>
              <w:jc w:val="center"/>
              <w:rPr>
                <w:rFonts w:ascii="仿宋" w:hAnsi="仿宋" w:eastAsia="仿宋" w:cs="仿宋"/>
                <w:bCs/>
              </w:rPr>
            </w:pPr>
            <w:r>
              <w:rPr>
                <w:rFonts w:hint="eastAsia" w:ascii="仿宋" w:hAnsi="仿宋" w:eastAsia="仿宋" w:cs="仿宋"/>
                <w:bCs/>
              </w:rPr>
              <w:t>招标文件要求规格</w:t>
            </w:r>
          </w:p>
        </w:tc>
        <w:tc>
          <w:tcPr>
            <w:tcW w:w="1326" w:type="dxa"/>
            <w:vAlign w:val="center"/>
          </w:tcPr>
          <w:p>
            <w:pPr>
              <w:jc w:val="center"/>
              <w:rPr>
                <w:rFonts w:ascii="仿宋" w:hAnsi="仿宋" w:eastAsia="仿宋" w:cs="仿宋"/>
                <w:bCs/>
              </w:rPr>
            </w:pPr>
            <w:r>
              <w:rPr>
                <w:rFonts w:hint="eastAsia" w:ascii="仿宋" w:hAnsi="仿宋" w:eastAsia="仿宋" w:cs="仿宋"/>
                <w:bCs/>
              </w:rPr>
              <w:t>投标规格</w:t>
            </w:r>
          </w:p>
        </w:tc>
        <w:tc>
          <w:tcPr>
            <w:tcW w:w="2335" w:type="dxa"/>
            <w:vAlign w:val="center"/>
          </w:tcPr>
          <w:p>
            <w:pPr>
              <w:jc w:val="center"/>
              <w:rPr>
                <w:rFonts w:ascii="仿宋" w:hAnsi="仿宋" w:eastAsia="仿宋" w:cs="仿宋"/>
                <w:bCs/>
              </w:rPr>
            </w:pPr>
            <w:r>
              <w:rPr>
                <w:rFonts w:hint="eastAsia" w:ascii="仿宋" w:hAnsi="仿宋" w:eastAsia="仿宋" w:cs="仿宋"/>
                <w:bCs/>
              </w:rPr>
              <w:t>偏离</w:t>
            </w:r>
          </w:p>
        </w:tc>
        <w:tc>
          <w:tcPr>
            <w:tcW w:w="1073" w:type="dxa"/>
            <w:vAlign w:val="center"/>
          </w:tcPr>
          <w:p>
            <w:pPr>
              <w:jc w:val="center"/>
              <w:rPr>
                <w:rFonts w:ascii="仿宋" w:hAnsi="仿宋" w:eastAsia="仿宋" w:cs="仿宋"/>
                <w:bCs/>
              </w:rPr>
            </w:pPr>
            <w:r>
              <w:rPr>
                <w:rFonts w:hint="eastAsia" w:ascii="仿宋" w:hAnsi="仿宋" w:eastAsia="仿宋" w:cs="仿宋"/>
                <w:bC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66" w:type="dxa"/>
          </w:tcPr>
          <w:p>
            <w:pPr>
              <w:jc w:val="center"/>
              <w:rPr>
                <w:rFonts w:ascii="仿宋" w:hAnsi="仿宋" w:eastAsia="仿宋" w:cs="仿宋"/>
                <w:b/>
                <w:bCs/>
              </w:rPr>
            </w:pPr>
          </w:p>
        </w:tc>
        <w:tc>
          <w:tcPr>
            <w:tcW w:w="1200" w:type="dxa"/>
          </w:tcPr>
          <w:p>
            <w:pPr>
              <w:jc w:val="center"/>
              <w:rPr>
                <w:rFonts w:ascii="仿宋" w:hAnsi="仿宋" w:eastAsia="仿宋" w:cs="仿宋"/>
                <w:b/>
                <w:bCs/>
              </w:rPr>
            </w:pPr>
          </w:p>
        </w:tc>
        <w:tc>
          <w:tcPr>
            <w:tcW w:w="2155" w:type="dxa"/>
          </w:tcPr>
          <w:p>
            <w:pPr>
              <w:jc w:val="center"/>
              <w:rPr>
                <w:rFonts w:ascii="仿宋" w:hAnsi="仿宋" w:eastAsia="仿宋" w:cs="仿宋"/>
                <w:b/>
                <w:bCs/>
              </w:rPr>
            </w:pPr>
          </w:p>
        </w:tc>
        <w:tc>
          <w:tcPr>
            <w:tcW w:w="1326" w:type="dxa"/>
          </w:tcPr>
          <w:p>
            <w:pPr>
              <w:jc w:val="center"/>
              <w:rPr>
                <w:rFonts w:ascii="仿宋" w:hAnsi="仿宋" w:eastAsia="仿宋" w:cs="仿宋"/>
                <w:b/>
                <w:bCs/>
              </w:rPr>
            </w:pPr>
          </w:p>
        </w:tc>
        <w:tc>
          <w:tcPr>
            <w:tcW w:w="2335" w:type="dxa"/>
          </w:tcPr>
          <w:p>
            <w:pPr>
              <w:jc w:val="center"/>
              <w:rPr>
                <w:rFonts w:ascii="仿宋" w:hAnsi="仿宋" w:eastAsia="仿宋" w:cs="仿宋"/>
                <w:b/>
                <w:bCs/>
                <w:lang w:eastAsia="zh-CN"/>
              </w:rPr>
            </w:pPr>
            <w:r>
              <w:rPr>
                <w:rFonts w:hint="eastAsia" w:ascii="仿宋" w:hAnsi="仿宋" w:eastAsia="仿宋" w:cs="仿宋"/>
                <w:bCs/>
                <w:lang w:eastAsia="zh-CN"/>
              </w:rPr>
              <w:t>如有正偏离需提供证明材料，证明材料附后(并注明页码)</w:t>
            </w:r>
          </w:p>
        </w:tc>
        <w:tc>
          <w:tcPr>
            <w:tcW w:w="1073" w:type="dxa"/>
          </w:tcPr>
          <w:p>
            <w:pPr>
              <w:jc w:val="center"/>
              <w:rPr>
                <w:rFonts w:ascii="仿宋" w:hAnsi="仿宋" w:eastAsia="仿宋" w:cs="仿宋"/>
                <w:b/>
                <w:bCs/>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66" w:type="dxa"/>
          </w:tcPr>
          <w:p>
            <w:pPr>
              <w:jc w:val="center"/>
              <w:rPr>
                <w:rFonts w:ascii="仿宋" w:hAnsi="仿宋" w:eastAsia="仿宋" w:cs="仿宋"/>
                <w:b/>
                <w:bCs/>
                <w:lang w:eastAsia="zh-CN"/>
              </w:rPr>
            </w:pPr>
          </w:p>
        </w:tc>
        <w:tc>
          <w:tcPr>
            <w:tcW w:w="1200" w:type="dxa"/>
          </w:tcPr>
          <w:p>
            <w:pPr>
              <w:jc w:val="center"/>
              <w:rPr>
                <w:rFonts w:ascii="仿宋" w:hAnsi="仿宋" w:eastAsia="仿宋" w:cs="仿宋"/>
                <w:b/>
                <w:bCs/>
                <w:lang w:eastAsia="zh-CN"/>
              </w:rPr>
            </w:pPr>
          </w:p>
        </w:tc>
        <w:tc>
          <w:tcPr>
            <w:tcW w:w="2155" w:type="dxa"/>
          </w:tcPr>
          <w:p>
            <w:pPr>
              <w:jc w:val="center"/>
              <w:rPr>
                <w:rFonts w:ascii="仿宋" w:hAnsi="仿宋" w:eastAsia="仿宋" w:cs="仿宋"/>
                <w:b/>
                <w:bCs/>
                <w:lang w:eastAsia="zh-CN"/>
              </w:rPr>
            </w:pPr>
          </w:p>
        </w:tc>
        <w:tc>
          <w:tcPr>
            <w:tcW w:w="1326" w:type="dxa"/>
          </w:tcPr>
          <w:p>
            <w:pPr>
              <w:jc w:val="center"/>
              <w:rPr>
                <w:rFonts w:ascii="仿宋" w:hAnsi="仿宋" w:eastAsia="仿宋" w:cs="仿宋"/>
                <w:b/>
                <w:bCs/>
                <w:lang w:eastAsia="zh-CN"/>
              </w:rPr>
            </w:pPr>
          </w:p>
        </w:tc>
        <w:tc>
          <w:tcPr>
            <w:tcW w:w="2335" w:type="dxa"/>
          </w:tcPr>
          <w:p>
            <w:pPr>
              <w:jc w:val="center"/>
              <w:rPr>
                <w:rFonts w:ascii="仿宋" w:hAnsi="仿宋" w:eastAsia="仿宋" w:cs="仿宋"/>
                <w:b/>
                <w:bCs/>
                <w:lang w:eastAsia="zh-CN"/>
              </w:rPr>
            </w:pPr>
          </w:p>
        </w:tc>
        <w:tc>
          <w:tcPr>
            <w:tcW w:w="1073" w:type="dxa"/>
          </w:tcPr>
          <w:p>
            <w:pPr>
              <w:jc w:val="center"/>
              <w:rPr>
                <w:rFonts w:ascii="仿宋" w:hAnsi="仿宋" w:eastAsia="仿宋" w:cs="仿宋"/>
                <w:b/>
                <w:bCs/>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866" w:type="dxa"/>
          </w:tcPr>
          <w:p>
            <w:pPr>
              <w:jc w:val="center"/>
              <w:rPr>
                <w:rFonts w:ascii="仿宋" w:hAnsi="仿宋" w:eastAsia="仿宋" w:cs="仿宋"/>
                <w:b/>
                <w:bCs/>
                <w:lang w:eastAsia="zh-CN"/>
              </w:rPr>
            </w:pPr>
          </w:p>
        </w:tc>
        <w:tc>
          <w:tcPr>
            <w:tcW w:w="1200" w:type="dxa"/>
          </w:tcPr>
          <w:p>
            <w:pPr>
              <w:jc w:val="center"/>
              <w:rPr>
                <w:rFonts w:ascii="仿宋" w:hAnsi="仿宋" w:eastAsia="仿宋" w:cs="仿宋"/>
                <w:b/>
                <w:bCs/>
                <w:lang w:eastAsia="zh-CN"/>
              </w:rPr>
            </w:pPr>
          </w:p>
        </w:tc>
        <w:tc>
          <w:tcPr>
            <w:tcW w:w="2155" w:type="dxa"/>
          </w:tcPr>
          <w:p>
            <w:pPr>
              <w:jc w:val="center"/>
              <w:rPr>
                <w:rFonts w:ascii="仿宋" w:hAnsi="仿宋" w:eastAsia="仿宋" w:cs="仿宋"/>
                <w:b/>
                <w:bCs/>
                <w:lang w:eastAsia="zh-CN"/>
              </w:rPr>
            </w:pPr>
          </w:p>
        </w:tc>
        <w:tc>
          <w:tcPr>
            <w:tcW w:w="1326" w:type="dxa"/>
          </w:tcPr>
          <w:p>
            <w:pPr>
              <w:jc w:val="center"/>
              <w:rPr>
                <w:rFonts w:ascii="仿宋" w:hAnsi="仿宋" w:eastAsia="仿宋" w:cs="仿宋"/>
                <w:b/>
                <w:bCs/>
                <w:lang w:eastAsia="zh-CN"/>
              </w:rPr>
            </w:pPr>
          </w:p>
        </w:tc>
        <w:tc>
          <w:tcPr>
            <w:tcW w:w="2335" w:type="dxa"/>
          </w:tcPr>
          <w:p>
            <w:pPr>
              <w:jc w:val="center"/>
              <w:rPr>
                <w:rFonts w:ascii="仿宋" w:hAnsi="仿宋" w:eastAsia="仿宋" w:cs="仿宋"/>
                <w:b/>
                <w:bCs/>
                <w:lang w:eastAsia="zh-CN"/>
              </w:rPr>
            </w:pPr>
          </w:p>
        </w:tc>
        <w:tc>
          <w:tcPr>
            <w:tcW w:w="1073" w:type="dxa"/>
          </w:tcPr>
          <w:p>
            <w:pPr>
              <w:jc w:val="center"/>
              <w:rPr>
                <w:rFonts w:ascii="仿宋" w:hAnsi="仿宋" w:eastAsia="仿宋" w:cs="仿宋"/>
                <w:b/>
                <w:bCs/>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66" w:type="dxa"/>
          </w:tcPr>
          <w:p>
            <w:pPr>
              <w:jc w:val="center"/>
              <w:rPr>
                <w:rFonts w:ascii="仿宋" w:hAnsi="仿宋" w:eastAsia="仿宋" w:cs="仿宋"/>
                <w:b/>
                <w:bCs/>
                <w:lang w:eastAsia="zh-CN"/>
              </w:rPr>
            </w:pPr>
          </w:p>
        </w:tc>
        <w:tc>
          <w:tcPr>
            <w:tcW w:w="1200" w:type="dxa"/>
          </w:tcPr>
          <w:p>
            <w:pPr>
              <w:jc w:val="center"/>
              <w:rPr>
                <w:rFonts w:ascii="仿宋" w:hAnsi="仿宋" w:eastAsia="仿宋" w:cs="仿宋"/>
                <w:b/>
                <w:bCs/>
                <w:lang w:eastAsia="zh-CN"/>
              </w:rPr>
            </w:pPr>
          </w:p>
        </w:tc>
        <w:tc>
          <w:tcPr>
            <w:tcW w:w="2155" w:type="dxa"/>
          </w:tcPr>
          <w:p>
            <w:pPr>
              <w:jc w:val="center"/>
              <w:rPr>
                <w:rFonts w:ascii="仿宋" w:hAnsi="仿宋" w:eastAsia="仿宋" w:cs="仿宋"/>
                <w:b/>
                <w:bCs/>
                <w:lang w:eastAsia="zh-CN"/>
              </w:rPr>
            </w:pPr>
          </w:p>
        </w:tc>
        <w:tc>
          <w:tcPr>
            <w:tcW w:w="1326" w:type="dxa"/>
          </w:tcPr>
          <w:p>
            <w:pPr>
              <w:jc w:val="center"/>
              <w:rPr>
                <w:rFonts w:ascii="仿宋" w:hAnsi="仿宋" w:eastAsia="仿宋" w:cs="仿宋"/>
                <w:b/>
                <w:bCs/>
                <w:lang w:eastAsia="zh-CN"/>
              </w:rPr>
            </w:pPr>
          </w:p>
        </w:tc>
        <w:tc>
          <w:tcPr>
            <w:tcW w:w="2335" w:type="dxa"/>
          </w:tcPr>
          <w:p>
            <w:pPr>
              <w:jc w:val="center"/>
              <w:rPr>
                <w:rFonts w:ascii="仿宋" w:hAnsi="仿宋" w:eastAsia="仿宋" w:cs="仿宋"/>
                <w:b/>
                <w:bCs/>
                <w:lang w:eastAsia="zh-CN"/>
              </w:rPr>
            </w:pPr>
          </w:p>
        </w:tc>
        <w:tc>
          <w:tcPr>
            <w:tcW w:w="1073" w:type="dxa"/>
          </w:tcPr>
          <w:p>
            <w:pPr>
              <w:jc w:val="center"/>
              <w:rPr>
                <w:rFonts w:ascii="仿宋" w:hAnsi="仿宋" w:eastAsia="仿宋" w:cs="仿宋"/>
                <w:b/>
                <w:bCs/>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866" w:type="dxa"/>
          </w:tcPr>
          <w:p>
            <w:pPr>
              <w:jc w:val="center"/>
              <w:rPr>
                <w:rFonts w:ascii="仿宋" w:hAnsi="仿宋" w:eastAsia="仿宋" w:cs="仿宋"/>
                <w:b/>
                <w:bCs/>
                <w:lang w:eastAsia="zh-CN"/>
              </w:rPr>
            </w:pPr>
          </w:p>
        </w:tc>
        <w:tc>
          <w:tcPr>
            <w:tcW w:w="1200" w:type="dxa"/>
          </w:tcPr>
          <w:p>
            <w:pPr>
              <w:jc w:val="center"/>
              <w:rPr>
                <w:rFonts w:ascii="仿宋" w:hAnsi="仿宋" w:eastAsia="仿宋" w:cs="仿宋"/>
                <w:b/>
                <w:bCs/>
                <w:lang w:eastAsia="zh-CN"/>
              </w:rPr>
            </w:pPr>
          </w:p>
        </w:tc>
        <w:tc>
          <w:tcPr>
            <w:tcW w:w="2155" w:type="dxa"/>
          </w:tcPr>
          <w:p>
            <w:pPr>
              <w:jc w:val="center"/>
              <w:rPr>
                <w:rFonts w:ascii="仿宋" w:hAnsi="仿宋" w:eastAsia="仿宋" w:cs="仿宋"/>
                <w:b/>
                <w:bCs/>
                <w:lang w:eastAsia="zh-CN"/>
              </w:rPr>
            </w:pPr>
          </w:p>
        </w:tc>
        <w:tc>
          <w:tcPr>
            <w:tcW w:w="1326" w:type="dxa"/>
          </w:tcPr>
          <w:p>
            <w:pPr>
              <w:jc w:val="center"/>
              <w:rPr>
                <w:rFonts w:ascii="仿宋" w:hAnsi="仿宋" w:eastAsia="仿宋" w:cs="仿宋"/>
                <w:b/>
                <w:bCs/>
                <w:lang w:eastAsia="zh-CN"/>
              </w:rPr>
            </w:pPr>
          </w:p>
        </w:tc>
        <w:tc>
          <w:tcPr>
            <w:tcW w:w="2335" w:type="dxa"/>
          </w:tcPr>
          <w:p>
            <w:pPr>
              <w:jc w:val="center"/>
              <w:rPr>
                <w:rFonts w:ascii="仿宋" w:hAnsi="仿宋" w:eastAsia="仿宋" w:cs="仿宋"/>
                <w:b/>
                <w:bCs/>
                <w:lang w:eastAsia="zh-CN"/>
              </w:rPr>
            </w:pPr>
          </w:p>
        </w:tc>
        <w:tc>
          <w:tcPr>
            <w:tcW w:w="1073" w:type="dxa"/>
          </w:tcPr>
          <w:p>
            <w:pPr>
              <w:jc w:val="center"/>
              <w:rPr>
                <w:rFonts w:ascii="仿宋" w:hAnsi="仿宋" w:eastAsia="仿宋" w:cs="仿宋"/>
                <w:b/>
                <w:bCs/>
                <w:lang w:eastAsia="zh-CN"/>
              </w:rPr>
            </w:pPr>
          </w:p>
        </w:tc>
      </w:tr>
    </w:tbl>
    <w:p>
      <w:pPr>
        <w:spacing w:line="360" w:lineRule="auto"/>
        <w:ind w:firstLine="475" w:firstLineChars="198"/>
        <w:rPr>
          <w:rFonts w:ascii="仿宋" w:hAnsi="仿宋" w:eastAsia="仿宋" w:cs="仿宋"/>
          <w:lang w:eastAsia="zh-CN"/>
        </w:rPr>
      </w:pPr>
      <w:r>
        <w:rPr>
          <w:rFonts w:hint="eastAsia" w:ascii="仿宋" w:hAnsi="仿宋" w:eastAsia="仿宋" w:cs="仿宋"/>
          <w:lang w:eastAsia="zh-CN"/>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3"/>
        <w:tabs>
          <w:tab w:val="left" w:pos="5580"/>
        </w:tabs>
        <w:spacing w:line="360" w:lineRule="auto"/>
        <w:ind w:firstLine="3120" w:firstLineChars="1300"/>
        <w:rPr>
          <w:rFonts w:ascii="仿宋" w:hAnsi="仿宋" w:eastAsia="仿宋" w:cs="仿宋"/>
          <w:lang w:eastAsia="zh-CN"/>
        </w:rPr>
      </w:pPr>
    </w:p>
    <w:p>
      <w:pPr>
        <w:pStyle w:val="13"/>
        <w:tabs>
          <w:tab w:val="left" w:pos="5580"/>
        </w:tabs>
        <w:spacing w:line="360" w:lineRule="auto"/>
        <w:ind w:firstLine="3120" w:firstLineChars="1300"/>
        <w:rPr>
          <w:rFonts w:ascii="仿宋" w:hAnsi="仿宋" w:eastAsia="仿宋" w:cs="仿宋"/>
          <w:lang w:eastAsia="zh-CN"/>
        </w:rPr>
      </w:pPr>
      <w:r>
        <w:rPr>
          <w:rFonts w:hint="eastAsia" w:ascii="仿宋" w:hAnsi="仿宋" w:eastAsia="仿宋" w:cs="仿宋"/>
          <w:lang w:eastAsia="zh-CN"/>
        </w:rPr>
        <w:t>投标人（盖章）：</w:t>
      </w:r>
      <w:r>
        <w:rPr>
          <w:rFonts w:hint="eastAsia" w:ascii="仿宋" w:hAnsi="仿宋" w:eastAsia="仿宋" w:cs="仿宋"/>
          <w:u w:val="single"/>
          <w:lang w:eastAsia="zh-CN"/>
        </w:rPr>
        <w:t xml:space="preserve">                             </w:t>
      </w:r>
      <w:r>
        <w:rPr>
          <w:rFonts w:hint="eastAsia" w:ascii="仿宋" w:hAnsi="仿宋" w:eastAsia="仿宋" w:cs="仿宋"/>
          <w:lang w:eastAsia="zh-CN"/>
        </w:rPr>
        <w:t xml:space="preserve">                    </w:t>
      </w:r>
    </w:p>
    <w:p>
      <w:pPr>
        <w:pStyle w:val="13"/>
        <w:tabs>
          <w:tab w:val="left" w:pos="5580"/>
        </w:tabs>
        <w:spacing w:line="360" w:lineRule="auto"/>
        <w:ind w:firstLine="3120" w:firstLineChars="1300"/>
        <w:rPr>
          <w:rFonts w:ascii="仿宋" w:hAnsi="仿宋" w:eastAsia="仿宋" w:cs="仿宋"/>
          <w:szCs w:val="24"/>
          <w:u w:val="single"/>
          <w:lang w:eastAsia="zh-CN"/>
        </w:rPr>
      </w:pPr>
      <w:r>
        <w:rPr>
          <w:rFonts w:hint="eastAsia" w:ascii="仿宋" w:hAnsi="仿宋" w:eastAsia="仿宋" w:cs="仿宋"/>
          <w:lang w:eastAsia="zh-CN"/>
        </w:rPr>
        <w:t>法定代表人或</w:t>
      </w:r>
      <w:r>
        <w:rPr>
          <w:rFonts w:hint="eastAsia" w:ascii="仿宋" w:hAnsi="仿宋" w:eastAsia="仿宋" w:cs="仿宋"/>
          <w:szCs w:val="24"/>
          <w:lang w:eastAsia="zh-CN"/>
        </w:rPr>
        <w:t>委托代理人</w:t>
      </w:r>
      <w:r>
        <w:rPr>
          <w:rFonts w:hint="eastAsia" w:ascii="仿宋" w:hAnsi="仿宋" w:eastAsia="仿宋" w:cs="仿宋"/>
          <w:lang w:eastAsia="zh-CN"/>
        </w:rPr>
        <w:t>（签章）</w:t>
      </w:r>
      <w:r>
        <w:rPr>
          <w:rFonts w:hint="eastAsia" w:ascii="仿宋" w:hAnsi="仿宋" w:eastAsia="仿宋" w:cs="仿宋"/>
          <w:szCs w:val="24"/>
          <w:lang w:eastAsia="zh-CN"/>
        </w:rPr>
        <w:t>：</w:t>
      </w:r>
      <w:r>
        <w:rPr>
          <w:rFonts w:hint="eastAsia" w:ascii="仿宋" w:hAnsi="仿宋" w:eastAsia="仿宋" w:cs="仿宋"/>
          <w:szCs w:val="24"/>
          <w:u w:val="single"/>
          <w:lang w:eastAsia="zh-CN"/>
        </w:rPr>
        <w:t xml:space="preserve">             </w:t>
      </w:r>
    </w:p>
    <w:p>
      <w:pPr>
        <w:spacing w:line="360" w:lineRule="auto"/>
        <w:ind w:firstLine="3120" w:firstLineChars="1300"/>
        <w:rPr>
          <w:rFonts w:ascii="仿宋" w:hAnsi="仿宋" w:eastAsia="仿宋" w:cs="仿宋"/>
          <w:lang w:eastAsia="zh-CN"/>
        </w:rPr>
      </w:pPr>
      <w:r>
        <w:rPr>
          <w:rFonts w:hint="eastAsia" w:ascii="仿宋" w:hAnsi="仿宋" w:eastAsia="仿宋" w:cs="仿宋"/>
          <w:lang w:eastAsia="zh-CN"/>
        </w:rPr>
        <w:t>日期：       年   月   日</w:t>
      </w:r>
    </w:p>
    <w:p>
      <w:pPr>
        <w:pStyle w:val="6"/>
        <w:rPr>
          <w:rFonts w:ascii="仿宋" w:hAnsi="仿宋" w:eastAsia="仿宋" w:cs="仿宋"/>
          <w:sz w:val="36"/>
          <w:szCs w:val="36"/>
          <w:lang w:eastAsia="zh-CN"/>
        </w:rPr>
      </w:pPr>
    </w:p>
    <w:p>
      <w:pPr>
        <w:rPr>
          <w:rFonts w:ascii="仿宋" w:hAnsi="仿宋" w:eastAsia="仿宋" w:cs="仿宋"/>
          <w:lang w:eastAsia="zh-CN"/>
        </w:rPr>
      </w:pPr>
    </w:p>
    <w:p>
      <w:pPr>
        <w:pStyle w:val="45"/>
        <w:spacing w:after="0"/>
        <w:ind w:firstLine="420"/>
        <w:jc w:val="center"/>
        <w:rPr>
          <w:rFonts w:ascii="仿宋" w:hAnsi="仿宋" w:eastAsia="仿宋" w:cs="仿宋"/>
          <w:sz w:val="36"/>
          <w:szCs w:val="36"/>
          <w:lang w:eastAsia="zh-CN"/>
        </w:rPr>
      </w:pPr>
    </w:p>
    <w:p>
      <w:pPr>
        <w:pStyle w:val="45"/>
        <w:spacing w:after="0"/>
        <w:ind w:firstLine="420"/>
        <w:jc w:val="center"/>
        <w:rPr>
          <w:rFonts w:ascii="仿宋" w:hAnsi="仿宋" w:eastAsia="仿宋" w:cs="仿宋"/>
          <w:sz w:val="36"/>
          <w:szCs w:val="36"/>
          <w:lang w:eastAsia="zh-CN"/>
        </w:rPr>
      </w:pPr>
    </w:p>
    <w:p>
      <w:pPr>
        <w:pStyle w:val="45"/>
        <w:spacing w:after="0"/>
        <w:ind w:firstLine="420"/>
        <w:jc w:val="center"/>
        <w:rPr>
          <w:rFonts w:ascii="仿宋" w:hAnsi="仿宋" w:eastAsia="仿宋" w:cs="仿宋"/>
          <w:sz w:val="36"/>
          <w:szCs w:val="36"/>
          <w:lang w:eastAsia="zh-CN"/>
        </w:rPr>
      </w:pPr>
    </w:p>
    <w:p>
      <w:pPr>
        <w:pStyle w:val="45"/>
        <w:spacing w:after="0"/>
        <w:ind w:firstLine="420"/>
        <w:jc w:val="center"/>
        <w:rPr>
          <w:rFonts w:ascii="仿宋" w:hAnsi="仿宋" w:eastAsia="仿宋" w:cs="仿宋"/>
          <w:sz w:val="36"/>
          <w:szCs w:val="36"/>
          <w:lang w:eastAsia="zh-CN"/>
        </w:rPr>
      </w:pPr>
    </w:p>
    <w:p>
      <w:pPr>
        <w:pStyle w:val="45"/>
        <w:spacing w:after="0"/>
        <w:ind w:firstLine="420"/>
        <w:jc w:val="center"/>
        <w:rPr>
          <w:rFonts w:ascii="仿宋" w:hAnsi="仿宋" w:eastAsia="仿宋" w:cs="仿宋"/>
          <w:sz w:val="36"/>
          <w:szCs w:val="36"/>
          <w:lang w:eastAsia="zh-CN"/>
        </w:rPr>
      </w:pPr>
    </w:p>
    <w:p>
      <w:pPr>
        <w:pStyle w:val="45"/>
        <w:spacing w:after="0"/>
        <w:ind w:firstLine="420"/>
        <w:jc w:val="center"/>
        <w:rPr>
          <w:rFonts w:ascii="仿宋" w:hAnsi="仿宋" w:eastAsia="仿宋" w:cs="仿宋"/>
          <w:sz w:val="36"/>
          <w:szCs w:val="36"/>
          <w:lang w:eastAsia="zh-CN"/>
        </w:rPr>
      </w:pPr>
    </w:p>
    <w:p>
      <w:pPr>
        <w:pStyle w:val="45"/>
        <w:spacing w:after="0"/>
        <w:ind w:firstLine="420"/>
        <w:jc w:val="center"/>
        <w:rPr>
          <w:rFonts w:ascii="仿宋" w:hAnsi="仿宋" w:eastAsia="仿宋" w:cs="仿宋"/>
          <w:sz w:val="36"/>
          <w:szCs w:val="36"/>
          <w:lang w:eastAsia="zh-CN"/>
        </w:rPr>
      </w:pPr>
    </w:p>
    <w:p>
      <w:pPr>
        <w:pStyle w:val="45"/>
        <w:spacing w:after="0"/>
        <w:ind w:firstLine="420"/>
        <w:jc w:val="center"/>
        <w:rPr>
          <w:rFonts w:ascii="仿宋" w:hAnsi="仿宋" w:eastAsia="仿宋" w:cs="仿宋"/>
          <w:sz w:val="36"/>
          <w:szCs w:val="36"/>
          <w:lang w:eastAsia="zh-CN"/>
        </w:rPr>
      </w:pPr>
      <w:r>
        <w:rPr>
          <w:rFonts w:hint="eastAsia" w:ascii="仿宋" w:hAnsi="仿宋" w:eastAsia="仿宋" w:cs="仿宋"/>
          <w:sz w:val="36"/>
          <w:szCs w:val="36"/>
          <w:lang w:val="en-US" w:eastAsia="zh-CN"/>
        </w:rPr>
        <w:t>6</w:t>
      </w:r>
      <w:r>
        <w:rPr>
          <w:rFonts w:hint="eastAsia" w:ascii="仿宋" w:hAnsi="仿宋" w:eastAsia="仿宋" w:cs="仿宋"/>
          <w:sz w:val="36"/>
          <w:szCs w:val="36"/>
        </w:rPr>
        <w:t>、</w:t>
      </w:r>
      <w:r>
        <w:rPr>
          <w:rFonts w:hint="eastAsia" w:ascii="仿宋" w:hAnsi="仿宋" w:eastAsia="仿宋" w:cs="仿宋"/>
          <w:sz w:val="36"/>
          <w:szCs w:val="36"/>
          <w:lang w:eastAsia="zh-CN"/>
        </w:rPr>
        <w:t>商务条款偏离表</w:t>
      </w:r>
    </w:p>
    <w:tbl>
      <w:tblPr>
        <w:tblStyle w:val="23"/>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序号</w:t>
            </w:r>
          </w:p>
        </w:tc>
        <w:tc>
          <w:tcPr>
            <w:tcW w:w="2154" w:type="dxa"/>
          </w:tcPr>
          <w:p>
            <w:pPr>
              <w:pStyle w:val="13"/>
              <w:spacing w:line="240" w:lineRule="atLeast"/>
              <w:jc w:val="center"/>
              <w:rPr>
                <w:rFonts w:ascii="仿宋" w:hAnsi="仿宋" w:eastAsia="仿宋" w:cs="仿宋"/>
                <w:spacing w:val="-1"/>
              </w:rPr>
            </w:pPr>
            <w:r>
              <w:rPr>
                <w:rFonts w:hint="eastAsia" w:ascii="仿宋" w:hAnsi="仿宋" w:eastAsia="仿宋" w:cs="仿宋"/>
                <w:color w:val="auto"/>
                <w:lang w:eastAsia="zh-CN"/>
              </w:rPr>
              <w:t>招标文件的商务条款</w:t>
            </w:r>
          </w:p>
        </w:tc>
        <w:tc>
          <w:tcPr>
            <w:tcW w:w="2477" w:type="dxa"/>
          </w:tcPr>
          <w:p>
            <w:pPr>
              <w:pStyle w:val="13"/>
              <w:spacing w:line="240" w:lineRule="atLeast"/>
              <w:jc w:val="center"/>
              <w:rPr>
                <w:rFonts w:ascii="仿宋" w:hAnsi="仿宋" w:eastAsia="仿宋" w:cs="仿宋"/>
                <w:spacing w:val="-1"/>
              </w:rPr>
            </w:pPr>
            <w:r>
              <w:rPr>
                <w:rFonts w:hint="eastAsia" w:ascii="仿宋" w:hAnsi="仿宋" w:eastAsia="仿宋" w:cs="仿宋"/>
                <w:color w:val="auto"/>
                <w:lang w:eastAsia="zh-CN"/>
              </w:rPr>
              <w:t>投标文件的商务条款</w:t>
            </w:r>
          </w:p>
        </w:tc>
        <w:tc>
          <w:tcPr>
            <w:tcW w:w="2454" w:type="dxa"/>
          </w:tcPr>
          <w:p>
            <w:pPr>
              <w:pStyle w:val="13"/>
              <w:spacing w:line="240" w:lineRule="atLeast"/>
              <w:jc w:val="center"/>
              <w:rPr>
                <w:rFonts w:ascii="仿宋" w:hAnsi="仿宋" w:eastAsia="仿宋" w:cs="仿宋"/>
                <w:spacing w:val="-1"/>
              </w:rPr>
            </w:pPr>
            <w:r>
              <w:rPr>
                <w:rFonts w:hint="eastAsia" w:ascii="仿宋" w:hAnsi="仿宋" w:eastAsia="仿宋" w:cs="仿宋"/>
                <w:bCs/>
                <w:szCs w:val="24"/>
              </w:rPr>
              <w:t>偏离</w:t>
            </w:r>
          </w:p>
        </w:tc>
        <w:tc>
          <w:tcPr>
            <w:tcW w:w="1130" w:type="dxa"/>
          </w:tcPr>
          <w:p>
            <w:pPr>
              <w:pStyle w:val="13"/>
              <w:spacing w:line="240" w:lineRule="atLeast"/>
              <w:jc w:val="center"/>
              <w:rPr>
                <w:rFonts w:ascii="仿宋" w:hAnsi="仿宋" w:eastAsia="仿宋" w:cs="仿宋"/>
                <w:spacing w:val="-1"/>
              </w:rPr>
            </w:pPr>
            <w:r>
              <w:rPr>
                <w:rFonts w:hint="eastAsia" w:ascii="仿宋" w:hAnsi="仿宋" w:eastAsia="仿宋" w:cs="仿宋"/>
                <w:color w:val="auto"/>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1</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2</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3</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4</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5</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6</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7</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8</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9</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10</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11</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12</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13</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14</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spacing w:val="-1"/>
              </w:rPr>
            </w:pPr>
            <w:r>
              <w:rPr>
                <w:rFonts w:hint="eastAsia" w:ascii="仿宋" w:hAnsi="仿宋" w:eastAsia="仿宋" w:cs="仿宋"/>
                <w:spacing w:val="-1"/>
              </w:rPr>
              <w:t>15</w:t>
            </w:r>
          </w:p>
        </w:tc>
        <w:tc>
          <w:tcPr>
            <w:tcW w:w="2154" w:type="dxa"/>
            <w:vAlign w:val="center"/>
          </w:tcPr>
          <w:p>
            <w:pPr>
              <w:rPr>
                <w:rFonts w:ascii="仿宋" w:hAnsi="仿宋" w:eastAsia="仿宋" w:cs="仿宋"/>
                <w:spacing w:val="-1"/>
              </w:rPr>
            </w:pPr>
          </w:p>
        </w:tc>
        <w:tc>
          <w:tcPr>
            <w:tcW w:w="2477" w:type="dxa"/>
            <w:vAlign w:val="center"/>
          </w:tcPr>
          <w:p>
            <w:pPr>
              <w:rPr>
                <w:rFonts w:ascii="仿宋" w:hAnsi="仿宋" w:eastAsia="仿宋" w:cs="仿宋"/>
                <w:spacing w:val="-1"/>
              </w:rPr>
            </w:pPr>
          </w:p>
        </w:tc>
        <w:tc>
          <w:tcPr>
            <w:tcW w:w="2454" w:type="dxa"/>
            <w:vAlign w:val="center"/>
          </w:tcPr>
          <w:p>
            <w:pPr>
              <w:rPr>
                <w:rFonts w:ascii="仿宋" w:hAnsi="仿宋" w:eastAsia="仿宋" w:cs="仿宋"/>
                <w:spacing w:val="-1"/>
              </w:rPr>
            </w:pPr>
          </w:p>
        </w:tc>
        <w:tc>
          <w:tcPr>
            <w:tcW w:w="1130" w:type="dxa"/>
            <w:vAlign w:val="center"/>
          </w:tcPr>
          <w:p>
            <w:pPr>
              <w:rPr>
                <w:rFonts w:ascii="仿宋" w:hAnsi="仿宋" w:eastAsia="仿宋" w:cs="仿宋"/>
                <w:spacing w:val="-1"/>
              </w:rPr>
            </w:pPr>
          </w:p>
        </w:tc>
      </w:tr>
    </w:tbl>
    <w:p>
      <w:pPr>
        <w:rPr>
          <w:rFonts w:ascii="仿宋" w:hAnsi="仿宋" w:eastAsia="仿宋" w:cs="仿宋"/>
          <w:spacing w:val="-1"/>
          <w:lang w:eastAsia="zh-CN"/>
        </w:rPr>
      </w:pPr>
      <w:r>
        <w:rPr>
          <w:rFonts w:hint="eastAsia" w:ascii="仿宋" w:hAnsi="仿宋" w:eastAsia="仿宋" w:cs="仿宋"/>
          <w:spacing w:val="-1"/>
          <w:lang w:eastAsia="zh-CN"/>
        </w:rPr>
        <w:t>注：请在“偏离说明”栏内扼要说明偏离情况，如无偏离则不需列明。</w:t>
      </w:r>
    </w:p>
    <w:p>
      <w:pPr>
        <w:pStyle w:val="10"/>
        <w:numPr>
          <w:ilvl w:val="0"/>
          <w:numId w:val="0"/>
        </w:numPr>
        <w:tabs>
          <w:tab w:val="left" w:pos="8227"/>
        </w:tabs>
        <w:kinsoku w:val="0"/>
        <w:overflowPunct w:val="0"/>
        <w:spacing w:line="381" w:lineRule="auto"/>
        <w:ind w:left="1680" w:right="118"/>
        <w:rPr>
          <w:rFonts w:ascii="仿宋" w:hAnsi="仿宋" w:eastAsia="仿宋" w:cs="仿宋"/>
          <w:lang w:eastAsia="zh-CN"/>
        </w:rPr>
      </w:pPr>
    </w:p>
    <w:p>
      <w:pPr>
        <w:pStyle w:val="10"/>
        <w:numPr>
          <w:ilvl w:val="0"/>
          <w:numId w:val="0"/>
        </w:numPr>
        <w:tabs>
          <w:tab w:val="left" w:pos="8227"/>
        </w:tabs>
        <w:kinsoku w:val="0"/>
        <w:overflowPunct w:val="0"/>
        <w:spacing w:line="381" w:lineRule="auto"/>
        <w:ind w:left="1680" w:right="118"/>
        <w:rPr>
          <w:rFonts w:ascii="仿宋" w:hAnsi="仿宋" w:eastAsia="仿宋" w:cs="仿宋"/>
          <w:lang w:eastAsia="zh-CN"/>
        </w:rPr>
      </w:pPr>
    </w:p>
    <w:p>
      <w:pPr>
        <w:pStyle w:val="10"/>
        <w:numPr>
          <w:ilvl w:val="0"/>
          <w:numId w:val="0"/>
        </w:numPr>
        <w:tabs>
          <w:tab w:val="left" w:pos="8227"/>
        </w:tabs>
        <w:kinsoku w:val="0"/>
        <w:overflowPunct w:val="0"/>
        <w:spacing w:line="381" w:lineRule="auto"/>
        <w:ind w:left="1680" w:right="118"/>
        <w:rPr>
          <w:rFonts w:ascii="仿宋" w:hAnsi="仿宋" w:eastAsia="仿宋" w:cs="仿宋"/>
          <w:sz w:val="24"/>
          <w:lang w:eastAsia="zh-CN"/>
        </w:rPr>
      </w:pPr>
    </w:p>
    <w:p>
      <w:pPr>
        <w:pStyle w:val="10"/>
        <w:numPr>
          <w:ilvl w:val="0"/>
          <w:numId w:val="0"/>
        </w:numPr>
        <w:tabs>
          <w:tab w:val="left" w:pos="8227"/>
        </w:tabs>
        <w:kinsoku w:val="0"/>
        <w:overflowPunct w:val="0"/>
        <w:spacing w:line="381" w:lineRule="auto"/>
        <w:ind w:left="1680" w:right="118"/>
        <w:rPr>
          <w:rFonts w:ascii="仿宋" w:hAnsi="仿宋" w:eastAsia="仿宋" w:cs="仿宋"/>
          <w:sz w:val="24"/>
          <w:lang w:eastAsia="zh-CN"/>
        </w:rPr>
      </w:pPr>
      <w:r>
        <w:rPr>
          <w:rFonts w:hint="eastAsia" w:ascii="仿宋" w:hAnsi="仿宋" w:eastAsia="仿宋" w:cs="仿宋"/>
          <w:sz w:val="24"/>
          <w:lang w:eastAsia="zh-CN"/>
        </w:rPr>
        <w:t>投标人：</w:t>
      </w:r>
      <w:r>
        <w:rPr>
          <w:rFonts w:hint="eastAsia" w:ascii="仿宋" w:hAnsi="仿宋" w:eastAsia="仿宋" w:cs="仿宋"/>
          <w:sz w:val="24"/>
          <w:u w:val="single"/>
          <w:lang w:eastAsia="zh-CN"/>
        </w:rPr>
        <w:tab/>
      </w:r>
      <w:r>
        <w:rPr>
          <w:rFonts w:hint="eastAsia" w:ascii="仿宋" w:hAnsi="仿宋" w:eastAsia="仿宋" w:cs="仿宋"/>
          <w:w w:val="95"/>
          <w:sz w:val="24"/>
          <w:lang w:eastAsia="zh-CN"/>
        </w:rPr>
        <w:t>（盖章）</w:t>
      </w:r>
      <w:r>
        <w:rPr>
          <w:rFonts w:hint="eastAsia" w:ascii="仿宋" w:hAnsi="仿宋" w:eastAsia="仿宋" w:cs="仿宋"/>
          <w:sz w:val="24"/>
          <w:lang w:eastAsia="zh-CN"/>
        </w:rPr>
        <w:t xml:space="preserve"> </w:t>
      </w:r>
    </w:p>
    <w:p>
      <w:pPr>
        <w:pStyle w:val="10"/>
        <w:numPr>
          <w:ilvl w:val="0"/>
          <w:numId w:val="0"/>
        </w:numPr>
        <w:tabs>
          <w:tab w:val="left" w:pos="8227"/>
        </w:tabs>
        <w:kinsoku w:val="0"/>
        <w:overflowPunct w:val="0"/>
        <w:spacing w:line="381" w:lineRule="auto"/>
        <w:ind w:left="1680" w:right="118"/>
        <w:rPr>
          <w:rFonts w:ascii="仿宋" w:hAnsi="仿宋" w:eastAsia="仿宋" w:cs="仿宋"/>
          <w:w w:val="95"/>
          <w:sz w:val="24"/>
          <w:lang w:eastAsia="zh-CN"/>
        </w:rPr>
      </w:pPr>
      <w:r>
        <w:rPr>
          <w:rFonts w:hint="eastAsia" w:ascii="仿宋" w:hAnsi="仿宋" w:eastAsia="仿宋" w:cs="仿宋"/>
          <w:sz w:val="24"/>
          <w:lang w:eastAsia="zh-CN"/>
        </w:rPr>
        <w:t>法定代表人或被授权人：</w:t>
      </w:r>
      <w:r>
        <w:rPr>
          <w:rFonts w:hint="eastAsia" w:ascii="仿宋" w:hAnsi="仿宋" w:eastAsia="仿宋" w:cs="仿宋"/>
          <w:sz w:val="24"/>
          <w:u w:val="single"/>
          <w:lang w:eastAsia="zh-CN"/>
        </w:rPr>
        <w:tab/>
      </w:r>
      <w:r>
        <w:rPr>
          <w:rFonts w:hint="eastAsia" w:ascii="仿宋" w:hAnsi="仿宋" w:eastAsia="仿宋" w:cs="仿宋"/>
          <w:w w:val="95"/>
          <w:sz w:val="24"/>
          <w:lang w:eastAsia="zh-CN"/>
        </w:rPr>
        <w:t>（签章）</w:t>
      </w:r>
    </w:p>
    <w:p>
      <w:pPr>
        <w:pStyle w:val="45"/>
        <w:spacing w:after="0"/>
        <w:ind w:firstLine="420"/>
        <w:jc w:val="center"/>
        <w:rPr>
          <w:rFonts w:ascii="仿宋" w:hAnsi="仿宋" w:eastAsia="仿宋" w:cs="仿宋"/>
          <w:sz w:val="36"/>
          <w:szCs w:val="36"/>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45"/>
        <w:spacing w:after="0"/>
        <w:ind w:firstLine="420"/>
        <w:jc w:val="center"/>
        <w:rPr>
          <w:rFonts w:ascii="仿宋" w:hAnsi="仿宋" w:eastAsia="仿宋" w:cs="仿宋"/>
          <w:sz w:val="36"/>
          <w:szCs w:val="36"/>
        </w:rPr>
      </w:pPr>
    </w:p>
    <w:p>
      <w:pPr>
        <w:pStyle w:val="46"/>
        <w:tabs>
          <w:tab w:val="left" w:pos="826"/>
        </w:tabs>
        <w:spacing w:line="470" w:lineRule="exact"/>
        <w:ind w:firstLine="0"/>
        <w:jc w:val="center"/>
        <w:rPr>
          <w:rFonts w:ascii="仿宋" w:hAnsi="仿宋" w:eastAsia="仿宋" w:cs="仿宋"/>
          <w:sz w:val="21"/>
          <w:szCs w:val="21"/>
        </w:rPr>
      </w:pPr>
    </w:p>
    <w:p>
      <w:pPr>
        <w:pStyle w:val="46"/>
        <w:tabs>
          <w:tab w:val="left" w:pos="826"/>
        </w:tabs>
        <w:spacing w:line="470" w:lineRule="exact"/>
        <w:ind w:firstLine="0"/>
        <w:jc w:val="center"/>
        <w:rPr>
          <w:rFonts w:ascii="仿宋" w:hAnsi="仿宋" w:eastAsia="仿宋" w:cs="仿宋"/>
          <w:sz w:val="21"/>
          <w:szCs w:val="21"/>
        </w:rPr>
      </w:pPr>
    </w:p>
    <w:p>
      <w:pPr>
        <w:pStyle w:val="46"/>
        <w:tabs>
          <w:tab w:val="left" w:pos="826"/>
        </w:tabs>
        <w:spacing w:line="470" w:lineRule="exact"/>
        <w:ind w:firstLine="0"/>
        <w:jc w:val="center"/>
        <w:rPr>
          <w:rFonts w:ascii="仿宋" w:hAnsi="仿宋" w:eastAsia="仿宋" w:cs="仿宋"/>
          <w:sz w:val="21"/>
          <w:szCs w:val="21"/>
        </w:rPr>
      </w:pPr>
    </w:p>
    <w:p>
      <w:pPr>
        <w:pStyle w:val="46"/>
        <w:tabs>
          <w:tab w:val="left" w:pos="826"/>
        </w:tabs>
        <w:spacing w:line="470" w:lineRule="exact"/>
        <w:ind w:firstLine="0"/>
        <w:jc w:val="center"/>
        <w:rPr>
          <w:rFonts w:ascii="仿宋" w:hAnsi="仿宋" w:eastAsia="仿宋" w:cs="仿宋"/>
          <w:sz w:val="21"/>
          <w:szCs w:val="21"/>
        </w:rPr>
      </w:pPr>
    </w:p>
    <w:p>
      <w:pPr>
        <w:pStyle w:val="46"/>
        <w:tabs>
          <w:tab w:val="left" w:pos="826"/>
        </w:tabs>
        <w:spacing w:line="470" w:lineRule="exact"/>
        <w:ind w:firstLine="0"/>
        <w:jc w:val="center"/>
        <w:rPr>
          <w:rFonts w:ascii="仿宋" w:hAnsi="仿宋" w:eastAsia="仿宋" w:cs="仿宋"/>
          <w:sz w:val="21"/>
          <w:szCs w:val="21"/>
        </w:rPr>
      </w:pPr>
    </w:p>
    <w:p>
      <w:pPr>
        <w:pStyle w:val="46"/>
        <w:tabs>
          <w:tab w:val="left" w:pos="826"/>
        </w:tabs>
        <w:spacing w:line="470" w:lineRule="exact"/>
        <w:ind w:firstLine="0"/>
        <w:jc w:val="center"/>
        <w:rPr>
          <w:rFonts w:ascii="仿宋" w:hAnsi="仿宋" w:eastAsia="仿宋" w:cs="仿宋"/>
          <w:sz w:val="21"/>
          <w:szCs w:val="21"/>
        </w:rPr>
      </w:pPr>
    </w:p>
    <w:p>
      <w:pPr>
        <w:pStyle w:val="45"/>
        <w:spacing w:after="0"/>
        <w:ind w:firstLine="420"/>
        <w:jc w:val="center"/>
        <w:rPr>
          <w:rFonts w:ascii="仿宋" w:hAnsi="仿宋" w:eastAsia="仿宋" w:cs="仿宋"/>
          <w:sz w:val="36"/>
          <w:szCs w:val="36"/>
          <w:lang w:val="en-US" w:eastAsia="zh-CN"/>
        </w:rPr>
      </w:pPr>
      <w:r>
        <w:rPr>
          <w:rFonts w:hint="eastAsia" w:ascii="仿宋" w:hAnsi="仿宋" w:eastAsia="仿宋" w:cs="仿宋"/>
          <w:sz w:val="36"/>
          <w:szCs w:val="36"/>
          <w:lang w:val="en-US" w:eastAsia="zh-CN"/>
        </w:rPr>
        <w:t>7、投标人基本情况表</w:t>
      </w:r>
    </w:p>
    <w:p>
      <w:pPr>
        <w:pStyle w:val="10"/>
        <w:numPr>
          <w:ilvl w:val="0"/>
          <w:numId w:val="0"/>
        </w:numPr>
        <w:kinsoku w:val="0"/>
        <w:overflowPunct w:val="0"/>
        <w:spacing w:before="5"/>
        <w:rPr>
          <w:rFonts w:ascii="仿宋" w:hAnsi="仿宋" w:eastAsia="仿宋" w:cs="仿宋"/>
          <w:b/>
          <w:bCs/>
          <w:sz w:val="6"/>
          <w:szCs w:val="6"/>
          <w:lang w:eastAsia="zh-CN"/>
        </w:rPr>
      </w:pPr>
    </w:p>
    <w:tbl>
      <w:tblPr>
        <w:tblStyle w:val="23"/>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5"/>
              <w:ind w:left="137"/>
              <w:rPr>
                <w:rFonts w:ascii="仿宋" w:hAnsi="仿宋" w:eastAsia="仿宋" w:cs="仿宋"/>
              </w:rPr>
            </w:pPr>
            <w:r>
              <w:rPr>
                <w:rFonts w:hint="eastAsia" w:ascii="仿宋" w:hAns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5"/>
              <w:ind w:left="137"/>
              <w:rPr>
                <w:rFonts w:ascii="仿宋" w:hAnsi="仿宋" w:eastAsia="仿宋" w:cs="仿宋"/>
              </w:rPr>
            </w:pPr>
            <w:r>
              <w:rPr>
                <w:rFonts w:hint="eastAsia" w:ascii="仿宋" w:hAns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5"/>
              <w:ind w:left="137"/>
              <w:rPr>
                <w:rFonts w:ascii="仿宋" w:hAnsi="仿宋" w:eastAsia="仿宋" w:cs="仿宋"/>
              </w:rPr>
            </w:pPr>
            <w:r>
              <w:rPr>
                <w:rFonts w:hint="eastAsia" w:ascii="仿宋" w:hAnsi="仿宋" w:eastAsia="仿宋" w:cs="仿宋"/>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5"/>
              <w:ind w:left="137"/>
              <w:rPr>
                <w:rFonts w:ascii="仿宋" w:hAnsi="仿宋" w:eastAsia="仿宋" w:cs="仿宋"/>
              </w:rPr>
            </w:pPr>
            <w:r>
              <w:rPr>
                <w:rFonts w:hint="eastAsia" w:ascii="仿宋" w:hAns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5"/>
              <w:ind w:left="181"/>
              <w:rPr>
                <w:rFonts w:ascii="仿宋" w:hAnsi="仿宋" w:eastAsia="仿宋" w:cs="仿宋"/>
              </w:rPr>
            </w:pPr>
            <w:r>
              <w:rPr>
                <w:rFonts w:hint="eastAsia" w:ascii="仿宋" w:hAns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r>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6"/>
              <w:ind w:left="137"/>
              <w:rPr>
                <w:rFonts w:ascii="仿宋" w:hAnsi="仿宋" w:eastAsia="仿宋" w:cs="仿宋"/>
              </w:rPr>
            </w:pPr>
            <w:r>
              <w:rPr>
                <w:rFonts w:hint="eastAsia" w:ascii="仿宋" w:hAns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1" w:line="312" w:lineRule="exact"/>
              <w:ind w:left="257" w:right="133" w:hanging="120"/>
              <w:rPr>
                <w:rFonts w:ascii="仿宋" w:hAnsi="仿宋" w:eastAsia="仿宋" w:cs="仿宋"/>
              </w:rPr>
            </w:pPr>
            <w:r>
              <w:rPr>
                <w:rFonts w:hint="eastAsia" w:ascii="仿宋" w:hAnsi="仿宋" w:eastAsia="仿宋" w:cs="仿宋"/>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49"/>
              <w:kinsoku w:val="0"/>
              <w:overflowPunct w:val="0"/>
              <w:spacing w:before="4"/>
              <w:rPr>
                <w:rFonts w:ascii="仿宋" w:hAnsi="仿宋" w:eastAsia="仿宋" w:cs="仿宋"/>
                <w:b/>
                <w:bCs/>
                <w:sz w:val="20"/>
                <w:szCs w:val="20"/>
              </w:rPr>
            </w:pPr>
          </w:p>
          <w:p>
            <w:pPr>
              <w:pStyle w:val="49"/>
              <w:kinsoku w:val="0"/>
              <w:overflowPunct w:val="0"/>
              <w:ind w:left="366"/>
              <w:rPr>
                <w:rFonts w:ascii="仿宋" w:hAnsi="仿宋" w:eastAsia="仿宋" w:cs="仿宋"/>
              </w:rPr>
            </w:pPr>
            <w:r>
              <w:rPr>
                <w:rFonts w:hint="eastAsia" w:ascii="仿宋" w:hAnsi="仿宋" w:eastAsia="仿宋" w:cs="仿宋"/>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49"/>
              <w:kinsoku w:val="0"/>
              <w:overflowPunct w:val="0"/>
              <w:spacing w:before="4"/>
              <w:rPr>
                <w:rFonts w:ascii="仿宋" w:hAnsi="仿宋" w:eastAsia="仿宋" w:cs="仿宋"/>
                <w:b/>
                <w:bCs/>
                <w:sz w:val="20"/>
                <w:szCs w:val="20"/>
              </w:rPr>
            </w:pPr>
          </w:p>
          <w:p>
            <w:pPr>
              <w:pStyle w:val="49"/>
              <w:kinsoku w:val="0"/>
              <w:overflowPunct w:val="0"/>
              <w:ind w:left="383"/>
              <w:rPr>
                <w:rFonts w:ascii="仿宋" w:hAnsi="仿宋" w:eastAsia="仿宋" w:cs="仿宋"/>
              </w:rPr>
            </w:pPr>
            <w:r>
              <w:rPr>
                <w:rFonts w:hint="eastAsia" w:ascii="仿宋" w:hAnsi="仿宋" w:eastAsia="仿宋" w:cs="仿宋"/>
              </w:rPr>
              <w:t>传 真</w:t>
            </w:r>
          </w:p>
        </w:tc>
        <w:tc>
          <w:tcPr>
            <w:tcW w:w="196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r>
      <w:tr>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49"/>
              <w:kinsoku w:val="0"/>
              <w:overflowPunct w:val="0"/>
              <w:rPr>
                <w:rFonts w:ascii="仿宋" w:hAnsi="仿宋" w:eastAsia="仿宋" w:cs="仿宋"/>
                <w:b/>
                <w:bCs/>
              </w:rPr>
            </w:pPr>
          </w:p>
          <w:p>
            <w:pPr>
              <w:pStyle w:val="49"/>
              <w:kinsoku w:val="0"/>
              <w:overflowPunct w:val="0"/>
              <w:rPr>
                <w:rFonts w:ascii="仿宋" w:hAnsi="仿宋" w:eastAsia="仿宋" w:cs="仿宋"/>
                <w:b/>
                <w:bCs/>
              </w:rPr>
            </w:pPr>
          </w:p>
          <w:p>
            <w:pPr>
              <w:pStyle w:val="49"/>
              <w:kinsoku w:val="0"/>
              <w:overflowPunct w:val="0"/>
              <w:rPr>
                <w:rFonts w:ascii="仿宋" w:hAnsi="仿宋" w:eastAsia="仿宋" w:cs="仿宋"/>
                <w:b/>
                <w:bCs/>
              </w:rPr>
            </w:pPr>
          </w:p>
          <w:p>
            <w:pPr>
              <w:pStyle w:val="49"/>
              <w:kinsoku w:val="0"/>
              <w:overflowPunct w:val="0"/>
              <w:spacing w:line="475" w:lineRule="auto"/>
              <w:ind w:left="497" w:right="493"/>
              <w:jc w:val="both"/>
              <w:rPr>
                <w:rFonts w:ascii="仿宋" w:hAnsi="仿宋" w:eastAsia="仿宋" w:cs="仿宋"/>
              </w:rPr>
            </w:pPr>
            <w:r>
              <w:rPr>
                <w:rFonts w:hint="eastAsia" w:ascii="仿宋" w:hAnsi="仿宋" w:eastAsia="仿宋" w:cs="仿宋"/>
              </w:rPr>
              <w:t>职 工 概 况</w:t>
            </w:r>
          </w:p>
        </w:tc>
        <w:tc>
          <w:tcPr>
            <w:tcW w:w="1445" w:type="dxa"/>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4"/>
              <w:ind w:left="236"/>
              <w:rPr>
                <w:rFonts w:ascii="仿宋" w:hAnsi="仿宋" w:eastAsia="仿宋" w:cs="仿宋"/>
              </w:rPr>
            </w:pPr>
            <w:r>
              <w:rPr>
                <w:rFonts w:hint="eastAsia" w:ascii="仿宋" w:hAns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4"/>
              <w:ind w:left="118"/>
              <w:rPr>
                <w:rFonts w:ascii="仿宋" w:hAnsi="仿宋" w:eastAsia="仿宋" w:cs="仿宋"/>
              </w:rPr>
            </w:pPr>
            <w:r>
              <w:rPr>
                <w:rFonts w:hint="eastAsia" w:ascii="仿宋" w:hAnsi="仿宋" w:eastAsia="仿宋" w:cs="仿宋"/>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5"/>
              <w:jc w:val="center"/>
              <w:rPr>
                <w:rFonts w:ascii="仿宋" w:hAnsi="仿宋" w:eastAsia="仿宋" w:cs="仿宋"/>
                <w:lang w:eastAsia="zh-CN"/>
              </w:rPr>
            </w:pPr>
            <w:r>
              <w:rPr>
                <w:rFonts w:hint="eastAsia" w:ascii="仿宋" w:hAnsi="仿宋" w:eastAsia="仿宋" w:cs="仿宋"/>
                <w:lang w:eastAsia="zh-CN"/>
              </w:rPr>
              <w:t>单位行政和技术负责人</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5"/>
              <w:jc w:val="center"/>
              <w:rPr>
                <w:rFonts w:ascii="仿宋" w:hAnsi="仿宋" w:eastAsia="仿宋" w:cs="仿宋"/>
                <w:lang w:eastAsia="zh-CN"/>
              </w:rPr>
            </w:pPr>
          </w:p>
        </w:tc>
        <w:tc>
          <w:tcPr>
            <w:tcW w:w="1445" w:type="dxa"/>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5"/>
              <w:ind w:left="416"/>
              <w:rPr>
                <w:rFonts w:ascii="仿宋" w:hAnsi="仿宋" w:eastAsia="仿宋" w:cs="仿宋"/>
              </w:rPr>
            </w:pPr>
            <w:r>
              <w:rPr>
                <w:rFonts w:hint="eastAsia" w:ascii="仿宋" w:hAnsi="仿宋" w:eastAsia="仿宋" w:cs="仿宋"/>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5"/>
              <w:ind w:left="452"/>
              <w:rPr>
                <w:rFonts w:ascii="仿宋" w:hAnsi="仿宋" w:eastAsia="仿宋" w:cs="仿宋"/>
              </w:rPr>
            </w:pPr>
            <w:r>
              <w:rPr>
                <w:rFonts w:hint="eastAsia" w:ascii="仿宋" w:hAnsi="仿宋" w:eastAsia="仿宋" w:cs="仿宋"/>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49"/>
              <w:kinsoku w:val="0"/>
              <w:overflowPunct w:val="0"/>
              <w:spacing w:before="145"/>
              <w:ind w:left="450"/>
              <w:rPr>
                <w:rFonts w:ascii="仿宋" w:hAnsi="仿宋" w:eastAsia="仿宋" w:cs="仿宋"/>
              </w:rPr>
            </w:pPr>
            <w:r>
              <w:rPr>
                <w:rFonts w:hint="eastAsia" w:ascii="仿宋" w:hAnsi="仿宋" w:eastAsia="仿宋" w:cs="仿宋"/>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49"/>
              <w:tabs>
                <w:tab w:val="left" w:pos="479"/>
              </w:tabs>
              <w:kinsoku w:val="0"/>
              <w:overflowPunct w:val="0"/>
              <w:spacing w:before="145"/>
              <w:ind w:right="1"/>
              <w:jc w:val="center"/>
              <w:rPr>
                <w:rFonts w:ascii="仿宋" w:hAnsi="仿宋" w:eastAsia="仿宋" w:cs="仿宋"/>
              </w:rPr>
            </w:pPr>
            <w:r>
              <w:rPr>
                <w:rFonts w:hint="eastAsia" w:ascii="仿宋" w:hAnsi="仿宋" w:eastAsia="仿宋" w:cs="仿宋"/>
              </w:rPr>
              <w:t>专</w:t>
            </w:r>
            <w:r>
              <w:rPr>
                <w:rFonts w:hint="eastAsia" w:ascii="仿宋" w:hAnsi="仿宋" w:eastAsia="仿宋" w:cs="仿宋"/>
              </w:rPr>
              <w:tab/>
            </w:r>
            <w:r>
              <w:rPr>
                <w:rFonts w:hint="eastAsia" w:ascii="仿宋" w:hAnsi="仿宋" w:eastAsia="仿宋" w:cs="仿宋"/>
              </w:rPr>
              <w:t>业</w:t>
            </w:r>
          </w:p>
        </w:tc>
      </w:tr>
      <w:tr>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49"/>
              <w:tabs>
                <w:tab w:val="left" w:pos="479"/>
              </w:tabs>
              <w:kinsoku w:val="0"/>
              <w:overflowPunct w:val="0"/>
              <w:spacing w:before="145"/>
              <w:ind w:right="1"/>
              <w:jc w:val="center"/>
              <w:rPr>
                <w:rFonts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9"/>
              <w:kinsoku w:val="0"/>
              <w:overflowPunct w:val="0"/>
              <w:spacing w:before="1"/>
              <w:rPr>
                <w:rFonts w:ascii="仿宋" w:hAnsi="仿宋" w:eastAsia="仿宋" w:cs="仿宋"/>
                <w:b/>
                <w:bCs/>
                <w:sz w:val="23"/>
                <w:szCs w:val="23"/>
              </w:rPr>
            </w:pPr>
          </w:p>
          <w:p>
            <w:pPr>
              <w:pStyle w:val="49"/>
              <w:kinsoku w:val="0"/>
              <w:overflowPunct w:val="0"/>
              <w:spacing w:line="237" w:lineRule="auto"/>
              <w:ind w:left="497" w:right="493"/>
              <w:jc w:val="both"/>
              <w:rPr>
                <w:rFonts w:ascii="仿宋" w:hAnsi="仿宋" w:eastAsia="仿宋" w:cs="仿宋"/>
              </w:rPr>
            </w:pPr>
            <w:r>
              <w:rPr>
                <w:rFonts w:hint="eastAsia" w:ascii="仿宋" w:hAnsi="仿宋" w:eastAsia="仿宋" w:cs="仿宋"/>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rPr>
            </w:pPr>
          </w:p>
        </w:tc>
      </w:tr>
    </w:tbl>
    <w:p>
      <w:pPr>
        <w:pStyle w:val="10"/>
        <w:numPr>
          <w:ilvl w:val="0"/>
          <w:numId w:val="0"/>
        </w:numPr>
        <w:kinsoku w:val="0"/>
        <w:overflowPunct w:val="0"/>
        <w:spacing w:before="34" w:line="357" w:lineRule="auto"/>
        <w:ind w:left="480" w:right="126"/>
        <w:jc w:val="center"/>
        <w:rPr>
          <w:rFonts w:ascii="仿宋" w:hAnsi="仿宋" w:eastAsia="仿宋" w:cs="仿宋"/>
          <w:bCs/>
          <w:color w:val="auto"/>
          <w:sz w:val="36"/>
          <w:szCs w:val="36"/>
          <w:lang w:eastAsia="zh-CN"/>
        </w:rPr>
      </w:pPr>
    </w:p>
    <w:p>
      <w:pPr>
        <w:pStyle w:val="6"/>
        <w:rPr>
          <w:lang w:eastAsia="zh-CN"/>
        </w:rPr>
      </w:pPr>
    </w:p>
    <w:p>
      <w:pPr>
        <w:pStyle w:val="10"/>
        <w:numPr>
          <w:ilvl w:val="0"/>
          <w:numId w:val="0"/>
        </w:numPr>
        <w:kinsoku w:val="0"/>
        <w:overflowPunct w:val="0"/>
        <w:spacing w:before="34" w:line="357" w:lineRule="auto"/>
        <w:ind w:left="480" w:right="126"/>
        <w:jc w:val="center"/>
        <w:rPr>
          <w:rFonts w:ascii="仿宋" w:hAnsi="仿宋" w:eastAsia="仿宋" w:cs="仿宋"/>
          <w:bCs/>
          <w:color w:val="auto"/>
          <w:sz w:val="36"/>
          <w:szCs w:val="36"/>
          <w:lang w:eastAsia="zh-CN"/>
        </w:rPr>
      </w:pPr>
    </w:p>
    <w:p>
      <w:pPr>
        <w:pStyle w:val="10"/>
        <w:numPr>
          <w:ilvl w:val="0"/>
          <w:numId w:val="0"/>
        </w:numPr>
        <w:kinsoku w:val="0"/>
        <w:overflowPunct w:val="0"/>
        <w:spacing w:before="34" w:line="357" w:lineRule="auto"/>
        <w:ind w:left="480" w:right="126"/>
        <w:jc w:val="center"/>
        <w:rPr>
          <w:rFonts w:ascii="仿宋" w:hAnsi="仿宋" w:eastAsia="仿宋" w:cs="仿宋"/>
          <w:b/>
          <w:bCs/>
          <w:w w:val="90"/>
          <w:lang w:eastAsia="zh-CN"/>
        </w:rPr>
      </w:pPr>
      <w:r>
        <w:rPr>
          <w:rFonts w:hint="eastAsia" w:ascii="仿宋" w:hAnsi="仿宋" w:eastAsia="仿宋" w:cs="仿宋"/>
          <w:bCs/>
          <w:color w:val="auto"/>
          <w:sz w:val="36"/>
          <w:szCs w:val="36"/>
          <w:lang w:eastAsia="zh-CN"/>
        </w:rPr>
        <w:t>8、</w:t>
      </w:r>
      <w:r>
        <w:rPr>
          <w:rFonts w:hint="eastAsia" w:ascii="仿宋" w:hAnsi="仿宋" w:eastAsia="仿宋" w:cs="仿宋"/>
          <w:b/>
          <w:bCs/>
          <w:w w:val="90"/>
          <w:sz w:val="36"/>
          <w:szCs w:val="36"/>
        </w:rPr>
        <w:t>类似项目业绩</w:t>
      </w:r>
      <w:r>
        <w:rPr>
          <w:rFonts w:hint="eastAsia" w:ascii="仿宋" w:hAnsi="仿宋" w:eastAsia="仿宋" w:cs="仿宋"/>
          <w:b/>
          <w:bCs/>
          <w:w w:val="90"/>
          <w:sz w:val="36"/>
          <w:szCs w:val="36"/>
          <w:lang w:eastAsia="zh-CN"/>
        </w:rPr>
        <w:t>表</w:t>
      </w:r>
    </w:p>
    <w:p>
      <w:pPr>
        <w:pStyle w:val="10"/>
        <w:numPr>
          <w:ilvl w:val="0"/>
          <w:numId w:val="0"/>
        </w:numPr>
        <w:kinsoku w:val="0"/>
        <w:overflowPunct w:val="0"/>
        <w:rPr>
          <w:rFonts w:ascii="仿宋" w:hAnsi="仿宋" w:eastAsia="仿宋" w:cs="仿宋"/>
          <w:b/>
          <w:bCs/>
          <w:sz w:val="20"/>
          <w:szCs w:val="20"/>
        </w:rPr>
      </w:pPr>
    </w:p>
    <w:tbl>
      <w:tblPr>
        <w:tblStyle w:val="23"/>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47"/>
              <w:spacing w:line="240" w:lineRule="auto"/>
              <w:ind w:firstLine="0"/>
              <w:jc w:val="center"/>
              <w:rPr>
                <w:rFonts w:ascii="仿宋" w:hAnsi="仿宋" w:eastAsia="仿宋" w:cs="仿宋"/>
              </w:rPr>
            </w:pPr>
            <w:r>
              <w:rPr>
                <w:rFonts w:hint="eastAsia" w:ascii="仿宋" w:hAnsi="仿宋" w:eastAsia="仿宋" w:cs="仿宋"/>
              </w:rPr>
              <w:t>项目名称</w:t>
            </w:r>
          </w:p>
        </w:tc>
        <w:tc>
          <w:tcPr>
            <w:tcW w:w="7196" w:type="dxa"/>
            <w:tcBorders>
              <w:top w:val="single" w:color="auto" w:sz="4" w:space="0"/>
              <w:left w:val="single" w:color="auto" w:sz="4" w:space="0"/>
              <w:right w:val="single" w:color="auto" w:sz="4" w:space="0"/>
            </w:tcBorders>
            <w:shd w:val="clear" w:color="auto" w:fill="FFFFFF"/>
          </w:tcPr>
          <w:p>
            <w:pPr>
              <w:rPr>
                <w:rFonts w:ascii="仿宋" w:hAnsi="仿宋" w:eastAsia="仿宋" w:cs="仿宋"/>
                <w:sz w:val="10"/>
                <w:szCs w:val="10"/>
              </w:rPr>
            </w:pPr>
          </w:p>
        </w:tc>
      </w:tr>
      <w:tr>
        <w:tblPrEx>
          <w:tblCellMar>
            <w:top w:w="0" w:type="dxa"/>
            <w:left w:w="10" w:type="dxa"/>
            <w:bottom w:w="0" w:type="dxa"/>
            <w:right w:w="10" w:type="dxa"/>
          </w:tblCellMar>
        </w:tblPrEx>
        <w:trPr>
          <w:trHeight w:val="622" w:hRule="exact"/>
          <w:jc w:val="center"/>
        </w:trPr>
        <w:tc>
          <w:tcPr>
            <w:tcW w:w="1919" w:type="dxa"/>
            <w:tcBorders>
              <w:top w:val="single" w:color="auto" w:sz="4" w:space="0"/>
              <w:left w:val="single" w:color="auto" w:sz="4" w:space="0"/>
            </w:tcBorders>
            <w:shd w:val="clear" w:color="auto" w:fill="FFFFFF"/>
          </w:tcPr>
          <w:p>
            <w:pPr>
              <w:pStyle w:val="47"/>
              <w:spacing w:before="120" w:line="240" w:lineRule="auto"/>
              <w:ind w:firstLine="220"/>
              <w:rPr>
                <w:rFonts w:ascii="仿宋" w:hAnsi="仿宋" w:eastAsia="仿宋" w:cs="仿宋"/>
              </w:rPr>
            </w:pPr>
            <w:r>
              <w:rPr>
                <w:rFonts w:hint="eastAsia" w:ascii="仿宋" w:hAnsi="仿宋" w:eastAsia="仿宋" w:cs="仿宋"/>
              </w:rPr>
              <w:t>项目单位名称</w:t>
            </w:r>
          </w:p>
        </w:tc>
        <w:tc>
          <w:tcPr>
            <w:tcW w:w="7196" w:type="dxa"/>
            <w:tcBorders>
              <w:top w:val="single" w:color="auto" w:sz="4" w:space="0"/>
              <w:left w:val="single" w:color="auto" w:sz="4" w:space="0"/>
              <w:right w:val="single" w:color="auto" w:sz="4" w:space="0"/>
            </w:tcBorders>
            <w:shd w:val="clear" w:color="auto" w:fill="FFFFFF"/>
          </w:tcPr>
          <w:p>
            <w:pPr>
              <w:rPr>
                <w:rFonts w:ascii="仿宋" w:hAnsi="仿宋" w:eastAsia="仿宋" w:cs="仿宋"/>
                <w:sz w:val="10"/>
                <w:szCs w:val="10"/>
              </w:rPr>
            </w:pPr>
          </w:p>
        </w:tc>
      </w:tr>
      <w:tr>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tcPr>
          <w:p>
            <w:pPr>
              <w:pStyle w:val="47"/>
              <w:spacing w:line="320" w:lineRule="exact"/>
              <w:ind w:firstLine="0"/>
              <w:jc w:val="center"/>
              <w:rPr>
                <w:rFonts w:ascii="仿宋" w:hAnsi="仿宋" w:eastAsia="仿宋" w:cs="仿宋"/>
              </w:rPr>
            </w:pPr>
            <w:r>
              <w:rPr>
                <w:rFonts w:hint="eastAsia" w:ascii="仿宋" w:hAnsi="仿宋" w:eastAsia="仿宋" w:cs="仿宋"/>
              </w:rPr>
              <w:t>项目单位联系姓名及联系方式</w:t>
            </w:r>
          </w:p>
        </w:tc>
        <w:tc>
          <w:tcPr>
            <w:tcW w:w="7196" w:type="dxa"/>
            <w:tcBorders>
              <w:top w:val="single" w:color="auto" w:sz="4" w:space="0"/>
              <w:left w:val="single" w:color="auto" w:sz="4" w:space="0"/>
              <w:right w:val="single" w:color="auto" w:sz="4" w:space="0"/>
            </w:tcBorders>
            <w:shd w:val="clear" w:color="auto" w:fill="FFFFFF"/>
          </w:tcPr>
          <w:p>
            <w:pPr>
              <w:rPr>
                <w:rFonts w:ascii="仿宋" w:hAnsi="仿宋" w:eastAsia="仿宋" w:cs="仿宋"/>
                <w:sz w:val="10"/>
                <w:szCs w:val="10"/>
                <w:lang w:eastAsia="zh-CN"/>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47"/>
              <w:spacing w:line="240" w:lineRule="auto"/>
              <w:ind w:firstLine="0"/>
              <w:jc w:val="center"/>
              <w:rPr>
                <w:rFonts w:ascii="仿宋" w:hAnsi="仿宋" w:eastAsia="仿宋" w:cs="仿宋"/>
              </w:rPr>
            </w:pPr>
            <w:r>
              <w:rPr>
                <w:rFonts w:hint="eastAsia" w:ascii="仿宋" w:hAnsi="仿宋" w:eastAsia="仿宋" w:cs="仿宋"/>
              </w:rPr>
              <w:t>合同金额</w:t>
            </w:r>
          </w:p>
        </w:tc>
        <w:tc>
          <w:tcPr>
            <w:tcW w:w="7196" w:type="dxa"/>
            <w:tcBorders>
              <w:top w:val="single" w:color="auto" w:sz="4" w:space="0"/>
              <w:left w:val="single" w:color="auto" w:sz="4" w:space="0"/>
              <w:right w:val="single" w:color="auto" w:sz="4" w:space="0"/>
            </w:tcBorders>
            <w:shd w:val="clear" w:color="auto" w:fill="FFFFFF"/>
          </w:tcPr>
          <w:p>
            <w:pPr>
              <w:rPr>
                <w:rFonts w:ascii="仿宋" w:hAnsi="仿宋" w:eastAsia="仿宋" w:cs="仿宋"/>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tcPr>
          <w:p>
            <w:pPr>
              <w:pStyle w:val="47"/>
              <w:spacing w:line="306" w:lineRule="exact"/>
              <w:ind w:firstLine="0"/>
              <w:jc w:val="center"/>
              <w:rPr>
                <w:rFonts w:ascii="仿宋" w:hAnsi="仿宋" w:eastAsia="仿宋" w:cs="仿宋"/>
              </w:rPr>
            </w:pPr>
            <w:r>
              <w:rPr>
                <w:rFonts w:hint="eastAsia" w:ascii="仿宋" w:hAnsi="仿宋" w:eastAsia="仿宋" w:cs="仿宋"/>
              </w:rPr>
              <w:t>项目负责人姓名</w:t>
            </w:r>
          </w:p>
        </w:tc>
        <w:tc>
          <w:tcPr>
            <w:tcW w:w="7196" w:type="dxa"/>
            <w:tcBorders>
              <w:top w:val="single" w:color="auto" w:sz="4" w:space="0"/>
              <w:left w:val="single" w:color="auto" w:sz="4" w:space="0"/>
              <w:right w:val="single" w:color="auto" w:sz="4" w:space="0"/>
            </w:tcBorders>
            <w:shd w:val="clear" w:color="auto" w:fill="FFFFFF"/>
          </w:tcPr>
          <w:p>
            <w:pPr>
              <w:rPr>
                <w:rFonts w:ascii="仿宋" w:hAnsi="仿宋" w:eastAsia="仿宋" w:cs="仿宋"/>
                <w:sz w:val="10"/>
                <w:szCs w:val="10"/>
              </w:rPr>
            </w:pPr>
          </w:p>
        </w:tc>
      </w:tr>
      <w:tr>
        <w:tblPrEx>
          <w:tblCellMar>
            <w:top w:w="0" w:type="dxa"/>
            <w:left w:w="10" w:type="dxa"/>
            <w:bottom w:w="0" w:type="dxa"/>
            <w:right w:w="10" w:type="dxa"/>
          </w:tblCellMar>
        </w:tblPrEx>
        <w:trPr>
          <w:trHeight w:val="647" w:hRule="exact"/>
          <w:jc w:val="center"/>
        </w:trPr>
        <w:tc>
          <w:tcPr>
            <w:tcW w:w="1919" w:type="dxa"/>
            <w:tcBorders>
              <w:top w:val="single" w:color="auto" w:sz="4" w:space="0"/>
              <w:left w:val="single" w:color="auto" w:sz="4" w:space="0"/>
            </w:tcBorders>
            <w:shd w:val="clear" w:color="auto" w:fill="FFFFFF"/>
          </w:tcPr>
          <w:p>
            <w:pPr>
              <w:pStyle w:val="47"/>
              <w:spacing w:before="120" w:line="240" w:lineRule="auto"/>
              <w:ind w:firstLine="220"/>
              <w:rPr>
                <w:rFonts w:ascii="仿宋" w:hAnsi="仿宋" w:eastAsia="仿宋" w:cs="仿宋"/>
              </w:rPr>
            </w:pPr>
            <w:r>
              <w:rPr>
                <w:rFonts w:hint="eastAsia" w:ascii="仿宋" w:hAnsi="仿宋" w:eastAsia="仿宋" w:cs="仿宋"/>
              </w:rPr>
              <w:t>项目实施时间</w:t>
            </w:r>
          </w:p>
        </w:tc>
        <w:tc>
          <w:tcPr>
            <w:tcW w:w="7196" w:type="dxa"/>
            <w:tcBorders>
              <w:top w:val="single" w:color="auto" w:sz="4" w:space="0"/>
              <w:left w:val="single" w:color="auto" w:sz="4" w:space="0"/>
              <w:right w:val="single" w:color="auto" w:sz="4" w:space="0"/>
            </w:tcBorders>
            <w:shd w:val="clear" w:color="auto" w:fill="FFFFFF"/>
          </w:tcPr>
          <w:p>
            <w:pPr>
              <w:rPr>
                <w:rFonts w:ascii="仿宋" w:hAnsi="仿宋" w:eastAsia="仿宋" w:cs="仿宋"/>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47"/>
              <w:spacing w:line="240" w:lineRule="auto"/>
              <w:ind w:firstLine="220"/>
              <w:rPr>
                <w:rFonts w:ascii="仿宋" w:hAnsi="仿宋" w:eastAsia="仿宋" w:cs="仿宋"/>
              </w:rPr>
            </w:pPr>
            <w:r>
              <w:rPr>
                <w:rFonts w:hint="eastAsia" w:ascii="仿宋" w:hAnsi="仿宋" w:eastAsia="仿宋" w:cs="仿宋"/>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sz w:val="10"/>
                <w:szCs w:val="10"/>
              </w:rPr>
            </w:pPr>
          </w:p>
        </w:tc>
      </w:tr>
    </w:tbl>
    <w:p>
      <w:pPr>
        <w:rPr>
          <w:rFonts w:ascii="仿宋" w:hAnsi="仿宋" w:eastAsia="仿宋" w:cs="仿宋"/>
          <w:spacing w:val="-1"/>
          <w:lang w:eastAsia="zh-CN"/>
        </w:rPr>
      </w:pPr>
      <w:r>
        <w:rPr>
          <w:rFonts w:hint="eastAsia" w:ascii="仿宋" w:hAnsi="仿宋" w:eastAsia="仿宋" w:cs="仿宋"/>
          <w:spacing w:val="-1"/>
          <w:lang w:eastAsia="zh-CN"/>
        </w:rPr>
        <w:t>注：每个业绩须单独附表，并</w:t>
      </w:r>
      <w:r>
        <w:rPr>
          <w:rFonts w:hint="eastAsia" w:ascii="仿宋" w:hAnsi="仿宋" w:eastAsia="仿宋" w:cs="仿宋"/>
          <w:color w:val="000000" w:themeColor="text1"/>
          <w:szCs w:val="21"/>
          <w:lang w:eastAsia="zh-CN" w:bidi="ar-SA"/>
          <w14:textFill>
            <w14:solidFill>
              <w14:schemeClr w14:val="tx1"/>
            </w14:solidFill>
          </w14:textFill>
        </w:rPr>
        <w:t>附合同、中标通知书、验收报告和采购人联系方式</w:t>
      </w:r>
      <w:r>
        <w:rPr>
          <w:rFonts w:hint="eastAsia" w:ascii="仿宋" w:hAnsi="仿宋" w:eastAsia="仿宋" w:cs="仿宋"/>
          <w:spacing w:val="-1"/>
          <w:lang w:eastAsia="zh-CN"/>
        </w:rPr>
        <w:t>相关证明材料，否则专家在评审时将不予采信。</w:t>
      </w:r>
    </w:p>
    <w:p>
      <w:pPr>
        <w:pStyle w:val="10"/>
        <w:numPr>
          <w:ilvl w:val="0"/>
          <w:numId w:val="0"/>
        </w:numPr>
        <w:tabs>
          <w:tab w:val="left" w:pos="8227"/>
        </w:tabs>
        <w:kinsoku w:val="0"/>
        <w:overflowPunct w:val="0"/>
        <w:spacing w:line="381" w:lineRule="auto"/>
        <w:ind w:left="1680" w:right="118"/>
        <w:rPr>
          <w:rFonts w:ascii="仿宋" w:hAnsi="仿宋" w:eastAsia="仿宋" w:cs="仿宋"/>
          <w:sz w:val="24"/>
          <w:lang w:eastAsia="zh-CN"/>
        </w:rPr>
      </w:pPr>
    </w:p>
    <w:p>
      <w:pPr>
        <w:pStyle w:val="10"/>
        <w:numPr>
          <w:ilvl w:val="0"/>
          <w:numId w:val="0"/>
        </w:numPr>
        <w:tabs>
          <w:tab w:val="left" w:pos="8227"/>
        </w:tabs>
        <w:kinsoku w:val="0"/>
        <w:overflowPunct w:val="0"/>
        <w:spacing w:line="381" w:lineRule="auto"/>
        <w:ind w:left="1680" w:right="118"/>
        <w:rPr>
          <w:rFonts w:ascii="仿宋" w:hAnsi="仿宋" w:eastAsia="仿宋" w:cs="仿宋"/>
          <w:sz w:val="24"/>
          <w:lang w:eastAsia="zh-CN"/>
        </w:rPr>
      </w:pPr>
    </w:p>
    <w:p>
      <w:pPr>
        <w:pStyle w:val="10"/>
        <w:numPr>
          <w:ilvl w:val="0"/>
          <w:numId w:val="0"/>
        </w:numPr>
        <w:tabs>
          <w:tab w:val="left" w:pos="8227"/>
        </w:tabs>
        <w:kinsoku w:val="0"/>
        <w:overflowPunct w:val="0"/>
        <w:spacing w:line="381" w:lineRule="auto"/>
        <w:ind w:left="1680" w:right="118"/>
        <w:rPr>
          <w:rFonts w:ascii="仿宋" w:hAnsi="仿宋" w:eastAsia="仿宋" w:cs="仿宋"/>
          <w:sz w:val="24"/>
          <w:lang w:eastAsia="zh-CN"/>
        </w:rPr>
      </w:pPr>
    </w:p>
    <w:p>
      <w:pPr>
        <w:pStyle w:val="10"/>
        <w:numPr>
          <w:ilvl w:val="0"/>
          <w:numId w:val="0"/>
        </w:numPr>
        <w:tabs>
          <w:tab w:val="left" w:pos="8227"/>
        </w:tabs>
        <w:kinsoku w:val="0"/>
        <w:overflowPunct w:val="0"/>
        <w:spacing w:line="381" w:lineRule="auto"/>
        <w:ind w:left="1680" w:right="118"/>
        <w:rPr>
          <w:rFonts w:ascii="仿宋" w:hAnsi="仿宋" w:eastAsia="仿宋" w:cs="仿宋"/>
          <w:sz w:val="24"/>
          <w:lang w:eastAsia="zh-CN"/>
        </w:rPr>
      </w:pPr>
      <w:r>
        <w:rPr>
          <w:rFonts w:hint="eastAsia" w:ascii="仿宋" w:hAnsi="仿宋" w:eastAsia="仿宋" w:cs="仿宋"/>
          <w:sz w:val="24"/>
          <w:lang w:eastAsia="zh-CN"/>
        </w:rPr>
        <w:t xml:space="preserve">投标人：   </w:t>
      </w:r>
      <w:r>
        <w:rPr>
          <w:rFonts w:hint="eastAsia" w:ascii="仿宋" w:hAnsi="仿宋" w:eastAsia="仿宋" w:cs="仿宋"/>
          <w:w w:val="95"/>
          <w:sz w:val="24"/>
          <w:lang w:eastAsia="zh-CN"/>
        </w:rPr>
        <w:t>（盖章）</w:t>
      </w:r>
      <w:r>
        <w:rPr>
          <w:rFonts w:hint="eastAsia" w:ascii="仿宋" w:hAnsi="仿宋" w:eastAsia="仿宋" w:cs="仿宋"/>
          <w:sz w:val="24"/>
          <w:lang w:eastAsia="zh-CN"/>
        </w:rPr>
        <w:t xml:space="preserve"> </w:t>
      </w:r>
    </w:p>
    <w:p>
      <w:pPr>
        <w:pStyle w:val="10"/>
        <w:numPr>
          <w:ilvl w:val="0"/>
          <w:numId w:val="0"/>
        </w:numPr>
        <w:tabs>
          <w:tab w:val="left" w:pos="8227"/>
        </w:tabs>
        <w:kinsoku w:val="0"/>
        <w:overflowPunct w:val="0"/>
        <w:spacing w:line="381" w:lineRule="auto"/>
        <w:ind w:left="1680" w:right="118"/>
        <w:rPr>
          <w:rFonts w:ascii="仿宋" w:hAnsi="仿宋" w:eastAsia="仿宋" w:cs="仿宋"/>
          <w:w w:val="95"/>
          <w:sz w:val="24"/>
          <w:lang w:eastAsia="zh-CN"/>
        </w:rPr>
      </w:pPr>
      <w:r>
        <w:rPr>
          <w:rFonts w:hint="eastAsia" w:ascii="仿宋" w:hAnsi="仿宋" w:eastAsia="仿宋" w:cs="仿宋"/>
          <w:sz w:val="24"/>
          <w:lang w:eastAsia="zh-CN"/>
        </w:rPr>
        <w:t>法定代表人或被授权人：</w:t>
      </w:r>
      <w:r>
        <w:rPr>
          <w:rFonts w:hint="eastAsia" w:ascii="仿宋" w:hAnsi="仿宋" w:eastAsia="仿宋" w:cs="仿宋"/>
          <w:sz w:val="24"/>
          <w:u w:val="single"/>
          <w:lang w:eastAsia="zh-CN"/>
        </w:rPr>
        <w:tab/>
      </w:r>
      <w:r>
        <w:rPr>
          <w:rFonts w:hint="eastAsia" w:ascii="仿宋" w:hAnsi="仿宋" w:eastAsia="仿宋" w:cs="仿宋"/>
          <w:sz w:val="24"/>
          <w:u w:val="single"/>
          <w:lang w:eastAsia="zh-CN"/>
        </w:rPr>
        <w:t>(</w:t>
      </w:r>
      <w:r>
        <w:rPr>
          <w:rFonts w:hint="eastAsia" w:ascii="仿宋" w:hAnsi="仿宋" w:eastAsia="仿宋" w:cs="仿宋"/>
          <w:w w:val="95"/>
          <w:sz w:val="24"/>
          <w:lang w:eastAsia="zh-CN"/>
        </w:rPr>
        <w:t>签章）</w:t>
      </w:r>
    </w:p>
    <w:p>
      <w:pPr>
        <w:pStyle w:val="10"/>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sz w:val="24"/>
          <w:lang w:eastAsia="zh-CN"/>
        </w:rPr>
      </w:pPr>
      <w:r>
        <w:rPr>
          <w:rFonts w:hint="eastAsia" w:ascii="仿宋" w:hAnsi="仿宋" w:eastAsia="仿宋" w:cs="仿宋"/>
          <w:sz w:val="24"/>
          <w:lang w:eastAsia="zh-CN"/>
        </w:rPr>
        <w:t>日期：</w:t>
      </w:r>
      <w:r>
        <w:rPr>
          <w:rFonts w:hint="eastAsia" w:ascii="仿宋" w:hAnsi="仿宋" w:eastAsia="仿宋" w:cs="仿宋"/>
          <w:sz w:val="24"/>
          <w:u w:val="single"/>
          <w:lang w:eastAsia="zh-CN"/>
        </w:rPr>
        <w:tab/>
      </w:r>
      <w:r>
        <w:rPr>
          <w:rFonts w:hint="eastAsia" w:ascii="仿宋" w:hAnsi="仿宋" w:eastAsia="仿宋" w:cs="仿宋"/>
          <w:sz w:val="24"/>
          <w:lang w:eastAsia="zh-CN"/>
        </w:rPr>
        <w:t>年</w:t>
      </w:r>
      <w:r>
        <w:rPr>
          <w:rFonts w:hint="eastAsia" w:ascii="仿宋" w:hAnsi="仿宋" w:eastAsia="仿宋" w:cs="仿宋"/>
          <w:sz w:val="24"/>
          <w:u w:val="single"/>
          <w:lang w:eastAsia="zh-CN"/>
        </w:rPr>
        <w:tab/>
      </w:r>
      <w:r>
        <w:rPr>
          <w:rFonts w:hint="eastAsia" w:ascii="仿宋" w:hAnsi="仿宋" w:eastAsia="仿宋" w:cs="仿宋"/>
          <w:sz w:val="24"/>
          <w:lang w:eastAsia="zh-CN"/>
        </w:rPr>
        <w:t>月</w:t>
      </w:r>
      <w:r>
        <w:rPr>
          <w:rFonts w:hint="eastAsia" w:ascii="仿宋" w:hAnsi="仿宋" w:eastAsia="仿宋" w:cs="仿宋"/>
          <w:sz w:val="24"/>
          <w:u w:val="single"/>
          <w:lang w:eastAsia="zh-CN"/>
        </w:rPr>
        <w:tab/>
      </w:r>
      <w:r>
        <w:rPr>
          <w:rFonts w:hint="eastAsia" w:ascii="仿宋" w:hAnsi="仿宋" w:eastAsia="仿宋" w:cs="仿宋"/>
          <w:sz w:val="24"/>
          <w:lang w:eastAsia="zh-CN"/>
        </w:rPr>
        <w:t>日</w:t>
      </w:r>
    </w:p>
    <w:p>
      <w:pPr>
        <w:pStyle w:val="45"/>
        <w:spacing w:after="580"/>
        <w:ind w:firstLine="360"/>
        <w:rPr>
          <w:rFonts w:ascii="仿宋" w:hAnsi="仿宋" w:eastAsia="仿宋" w:cs="仿宋"/>
        </w:rPr>
      </w:pPr>
    </w:p>
    <w:p>
      <w:pPr>
        <w:spacing w:line="360" w:lineRule="auto"/>
        <w:jc w:val="center"/>
        <w:rPr>
          <w:rFonts w:ascii="仿宋" w:hAnsi="仿宋" w:eastAsia="仿宋" w:cs="仿宋"/>
          <w:bCs/>
          <w:color w:val="auto"/>
          <w:sz w:val="36"/>
          <w:szCs w:val="36"/>
          <w:lang w:eastAsia="zh-CN"/>
        </w:rPr>
      </w:pPr>
    </w:p>
    <w:p>
      <w:pPr>
        <w:spacing w:line="360" w:lineRule="auto"/>
        <w:jc w:val="center"/>
        <w:rPr>
          <w:rFonts w:ascii="仿宋" w:hAnsi="仿宋" w:eastAsia="仿宋" w:cs="仿宋"/>
          <w:bCs/>
          <w:color w:val="auto"/>
          <w:sz w:val="36"/>
          <w:szCs w:val="36"/>
          <w:lang w:eastAsia="zh-CN"/>
        </w:rPr>
      </w:pPr>
    </w:p>
    <w:p>
      <w:pPr>
        <w:keepNext/>
        <w:keepLines/>
        <w:pageBreakBefore/>
        <w:adjustRightInd w:val="0"/>
        <w:snapToGrid w:val="0"/>
        <w:spacing w:line="360" w:lineRule="auto"/>
        <w:jc w:val="center"/>
        <w:textAlignment w:val="baseline"/>
        <w:outlineLvl w:val="3"/>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政府采购优惠政策声明函</w:t>
      </w:r>
    </w:p>
    <w:p>
      <w:pPr>
        <w:snapToGrid w:val="0"/>
        <w:outlineLvl w:val="4"/>
        <w:rPr>
          <w:rFonts w:ascii="仿宋" w:hAnsi="仿宋" w:eastAsia="仿宋" w:cs="仿宋"/>
          <w:b/>
          <w:bCs/>
          <w:color w:val="auto"/>
          <w:lang w:eastAsia="zh-CN"/>
        </w:rPr>
      </w:pPr>
      <w:r>
        <w:rPr>
          <w:rFonts w:hint="eastAsia" w:ascii="仿宋" w:hAnsi="仿宋" w:eastAsia="仿宋" w:cs="仿宋"/>
          <w:b/>
          <w:bCs/>
          <w:color w:val="auto"/>
          <w:lang w:eastAsia="zh-CN"/>
        </w:rPr>
        <w:t>填写提示：</w:t>
      </w:r>
    </w:p>
    <w:p>
      <w:pPr>
        <w:snapToGrid w:val="0"/>
        <w:rPr>
          <w:rFonts w:ascii="仿宋" w:hAnsi="仿宋" w:eastAsia="仿宋" w:cs="仿宋"/>
          <w:color w:val="auto"/>
          <w:lang w:eastAsia="zh-CN"/>
        </w:rPr>
      </w:pPr>
      <w:r>
        <w:rPr>
          <w:rFonts w:hint="eastAsia" w:ascii="仿宋" w:hAnsi="仿宋" w:eastAsia="仿宋" w:cs="仿宋"/>
          <w:color w:val="auto"/>
          <w:lang w:eastAsia="zh-CN"/>
        </w:rPr>
        <w:t xml:space="preserve">    1、该部分内容由投标人根据自身实际情况选取并填写。投标人提供的声明函不属实的，属于提供虚假资料谋取中标，将依照《中华人民共和国政府采购法》等国家有关规定追究相应责任。</w:t>
      </w:r>
    </w:p>
    <w:p>
      <w:pPr>
        <w:snapToGrid w:val="0"/>
        <w:ind w:firstLine="555"/>
        <w:rPr>
          <w:rFonts w:ascii="仿宋" w:hAnsi="仿宋" w:eastAsia="仿宋" w:cs="仿宋"/>
          <w:color w:val="auto"/>
          <w:lang w:eastAsia="zh-CN"/>
        </w:rPr>
      </w:pPr>
      <w:r>
        <w:rPr>
          <w:rFonts w:hint="eastAsia" w:ascii="仿宋" w:hAnsi="仿宋" w:eastAsia="仿宋" w:cs="仿宋"/>
          <w:color w:val="auto"/>
          <w:lang w:eastAsia="zh-CN"/>
        </w:rPr>
        <w:t>2、该部分内容填写需要参考的相关文件（包括但不限于）：</w:t>
      </w:r>
    </w:p>
    <w:p>
      <w:pPr>
        <w:snapToGrid w:val="0"/>
        <w:ind w:firstLine="555"/>
        <w:rPr>
          <w:rFonts w:ascii="仿宋" w:hAnsi="仿宋" w:eastAsia="仿宋" w:cs="仿宋"/>
          <w:color w:val="auto"/>
        </w:rPr>
      </w:pPr>
      <w:r>
        <w:rPr>
          <w:rFonts w:hint="eastAsia" w:ascii="仿宋" w:hAnsi="仿宋" w:eastAsia="仿宋" w:cs="仿宋"/>
          <w:color w:val="auto"/>
        </w:rPr>
        <w:t>(1)《政府采购促进中小企业发展管理办法》（财库〔2020〕46号），链接：</w:t>
      </w:r>
      <w:r>
        <w:fldChar w:fldCharType="begin"/>
      </w:r>
      <w:r>
        <w:instrText xml:space="preserve"> HYPERLINK "http://www.ccgp.gov.cn/news/202012/t20201229_15715888.htm" </w:instrText>
      </w:r>
      <w:r>
        <w:fldChar w:fldCharType="separate"/>
      </w:r>
      <w:r>
        <w:rPr>
          <w:rFonts w:hint="eastAsia" w:ascii="仿宋" w:hAnsi="仿宋" w:eastAsia="仿宋" w:cs="仿宋"/>
          <w:color w:val="auto"/>
          <w:u w:val="single"/>
        </w:rPr>
        <w:t>www.ccgp.gov.cn/news/202012/t20201229_15715888.htm</w:t>
      </w:r>
      <w:r>
        <w:rPr>
          <w:rFonts w:hint="eastAsia" w:ascii="仿宋" w:hAnsi="仿宋" w:eastAsia="仿宋" w:cs="仿宋"/>
          <w:color w:val="auto"/>
          <w:u w:val="single"/>
        </w:rPr>
        <w:fldChar w:fldCharType="end"/>
      </w:r>
    </w:p>
    <w:p>
      <w:pPr>
        <w:snapToGrid w:val="0"/>
        <w:ind w:firstLine="555"/>
        <w:rPr>
          <w:rFonts w:ascii="仿宋" w:hAnsi="仿宋" w:eastAsia="仿宋" w:cs="仿宋"/>
          <w:color w:val="auto"/>
          <w:lang w:eastAsia="zh-CN"/>
        </w:rPr>
      </w:pPr>
      <w:r>
        <w:rPr>
          <w:rFonts w:hint="eastAsia" w:ascii="仿宋" w:hAnsi="仿宋" w:eastAsia="仿宋" w:cs="仿宋"/>
          <w:color w:val="auto"/>
          <w:lang w:eastAsia="zh-CN"/>
        </w:rPr>
        <w:t>(2)</w:t>
      </w:r>
      <w:bookmarkStart w:id="75" w:name="_Hlk71925120"/>
      <w:r>
        <w:rPr>
          <w:rFonts w:hint="eastAsia" w:ascii="仿宋" w:hAnsi="仿宋" w:eastAsia="仿宋" w:cs="仿宋"/>
          <w:color w:val="auto"/>
          <w:lang w:eastAsia="zh-CN"/>
        </w:rPr>
        <w:t>《关于印发中小企业划型标准规定的通知》（工信部联企业〔2011〕300 号</w:t>
      </w:r>
      <w:bookmarkEnd w:id="75"/>
      <w:r>
        <w:rPr>
          <w:rFonts w:hint="eastAsia" w:ascii="仿宋" w:hAnsi="仿宋" w:eastAsia="仿宋" w:cs="仿宋"/>
          <w:color w:val="auto"/>
          <w:lang w:eastAsia="zh-CN"/>
        </w:rPr>
        <w:t>），链接：</w:t>
      </w:r>
      <w:r>
        <w:fldChar w:fldCharType="begin"/>
      </w:r>
      <w:r>
        <w:instrText xml:space="preserve"> HYPERLINK "http://www.gov.cn/zwgk/2011-07/04/content_1898747.htm" </w:instrText>
      </w:r>
      <w:r>
        <w:fldChar w:fldCharType="separate"/>
      </w:r>
      <w:r>
        <w:rPr>
          <w:rFonts w:hint="eastAsia" w:ascii="仿宋" w:hAnsi="仿宋" w:eastAsia="仿宋" w:cs="仿宋"/>
          <w:color w:val="auto"/>
          <w:u w:val="single"/>
          <w:lang w:eastAsia="zh-CN"/>
        </w:rPr>
        <w:t>www.gov.cn/zwgk/2011-07/04/content_1898747.htm</w:t>
      </w:r>
      <w:r>
        <w:rPr>
          <w:rFonts w:hint="eastAsia" w:ascii="仿宋" w:hAnsi="仿宋" w:eastAsia="仿宋" w:cs="仿宋"/>
          <w:color w:val="auto"/>
          <w:u w:val="single"/>
          <w:lang w:eastAsia="zh-CN"/>
        </w:rPr>
        <w:fldChar w:fldCharType="end"/>
      </w:r>
    </w:p>
    <w:p>
      <w:pPr>
        <w:snapToGrid w:val="0"/>
        <w:ind w:firstLine="555"/>
        <w:rPr>
          <w:rFonts w:ascii="仿宋" w:hAnsi="仿宋" w:eastAsia="仿宋" w:cs="仿宋"/>
          <w:color w:val="auto"/>
          <w:lang w:eastAsia="zh-CN"/>
        </w:rPr>
      </w:pPr>
      <w:r>
        <w:rPr>
          <w:rFonts w:hint="eastAsia" w:ascii="仿宋" w:hAnsi="仿宋" w:eastAsia="仿宋" w:cs="仿宋"/>
          <w:color w:val="auto"/>
          <w:lang w:eastAsia="zh-CN"/>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hint="eastAsia" w:ascii="仿宋" w:hAnsi="仿宋" w:eastAsia="仿宋" w:cs="仿宋"/>
          <w:color w:val="auto"/>
          <w:u w:val="single"/>
          <w:lang w:eastAsia="zh-CN"/>
        </w:rPr>
        <w:t>www.stats.gov.cn/tjsj/tjbz/201801/t20180103_1569357.html</w:t>
      </w:r>
      <w:r>
        <w:rPr>
          <w:rFonts w:hint="eastAsia" w:ascii="仿宋" w:hAnsi="仿宋" w:eastAsia="仿宋" w:cs="仿宋"/>
          <w:color w:val="auto"/>
          <w:u w:val="single"/>
          <w:lang w:eastAsia="zh-CN"/>
        </w:rPr>
        <w:fldChar w:fldCharType="end"/>
      </w:r>
    </w:p>
    <w:p>
      <w:pPr>
        <w:snapToGrid w:val="0"/>
        <w:ind w:firstLine="555"/>
        <w:rPr>
          <w:rFonts w:ascii="仿宋" w:hAnsi="仿宋" w:eastAsia="仿宋" w:cs="仿宋"/>
          <w:color w:val="auto"/>
        </w:rPr>
      </w:pPr>
      <w:r>
        <w:rPr>
          <w:rFonts w:hint="eastAsia" w:ascii="仿宋" w:hAnsi="仿宋" w:eastAsia="仿宋" w:cs="仿宋"/>
          <w:color w:val="auto"/>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hint="eastAsia" w:ascii="仿宋" w:hAnsi="仿宋" w:eastAsia="仿宋" w:cs="仿宋"/>
          <w:color w:val="auto"/>
          <w:u w:val="single"/>
        </w:rPr>
        <w:t>www.ccgp.gov.cn/zcfg/mof/201709/t20170904_8787205.shtml</w:t>
      </w:r>
      <w:r>
        <w:rPr>
          <w:rFonts w:hint="eastAsia" w:ascii="仿宋" w:hAnsi="仿宋" w:eastAsia="仿宋" w:cs="仿宋"/>
          <w:color w:val="auto"/>
          <w:u w:val="single"/>
        </w:rPr>
        <w:fldChar w:fldCharType="end"/>
      </w:r>
    </w:p>
    <w:p>
      <w:pPr>
        <w:snapToGrid w:val="0"/>
        <w:ind w:firstLine="555"/>
        <w:rPr>
          <w:rFonts w:ascii="仿宋" w:hAnsi="仿宋" w:eastAsia="仿宋" w:cs="仿宋"/>
          <w:color w:val="auto"/>
        </w:rPr>
      </w:pPr>
      <w:r>
        <w:rPr>
          <w:rFonts w:hint="eastAsia" w:ascii="仿宋" w:hAnsi="仿宋" w:eastAsia="仿宋" w:cs="仿宋"/>
          <w:color w:val="auto"/>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hint="eastAsia" w:ascii="仿宋" w:hAnsi="仿宋" w:eastAsia="仿宋" w:cs="仿宋"/>
          <w:color w:val="auto"/>
          <w:u w:val="single"/>
        </w:rPr>
        <w:t>www.ccgp.gov.cn/zcfg/mof/201406/t20140616_4619272.htm</w:t>
      </w:r>
      <w:r>
        <w:rPr>
          <w:rFonts w:hint="eastAsia" w:ascii="仿宋" w:hAnsi="仿宋" w:eastAsia="仿宋" w:cs="仿宋"/>
          <w:color w:val="auto"/>
          <w:u w:val="single"/>
        </w:rPr>
        <w:fldChar w:fldCharType="end"/>
      </w:r>
    </w:p>
    <w:p>
      <w:pPr>
        <w:snapToGrid w:val="0"/>
        <w:rPr>
          <w:rFonts w:ascii="仿宋" w:hAnsi="仿宋" w:eastAsia="仿宋" w:cs="仿宋"/>
          <w:color w:val="auto"/>
          <w:lang w:eastAsia="zh-CN"/>
        </w:rPr>
      </w:pPr>
      <w:r>
        <w:rPr>
          <w:rFonts w:hint="eastAsia" w:ascii="仿宋" w:hAnsi="仿宋" w:eastAsia="仿宋" w:cs="仿宋"/>
          <w:color w:val="auto"/>
        </w:rPr>
        <w:t xml:space="preserve">    </w:t>
      </w:r>
      <w:r>
        <w:rPr>
          <w:rFonts w:hint="eastAsia" w:ascii="仿宋" w:hAnsi="仿宋" w:eastAsia="仿宋" w:cs="仿宋"/>
          <w:color w:val="auto"/>
          <w:lang w:eastAsia="zh-CN"/>
        </w:rPr>
        <w:t>3、请依照招标文件提供的格式和内容填写声明函，内容完整、不得更改格式；满足多项优惠政策的投标人，不重复享受多项价格扣除政策。</w:t>
      </w:r>
    </w:p>
    <w:p>
      <w:pPr>
        <w:snapToGrid w:val="0"/>
        <w:rPr>
          <w:rFonts w:ascii="仿宋" w:hAnsi="仿宋" w:eastAsia="仿宋" w:cs="仿宋"/>
          <w:color w:val="auto"/>
          <w:lang w:eastAsia="zh-CN"/>
        </w:rPr>
      </w:pPr>
      <w:r>
        <w:rPr>
          <w:rFonts w:hint="eastAsia" w:ascii="仿宋" w:hAnsi="仿宋" w:eastAsia="仿宋" w:cs="仿宋"/>
          <w:color w:val="auto"/>
          <w:lang w:eastAsia="zh-CN"/>
        </w:rPr>
        <w:t xml:space="preserve">    4、声明函具体填写要求：</w:t>
      </w:r>
    </w:p>
    <w:p>
      <w:pPr>
        <w:snapToGrid w:val="0"/>
        <w:rPr>
          <w:rFonts w:ascii="仿宋" w:hAnsi="仿宋" w:eastAsia="仿宋" w:cs="仿宋"/>
          <w:color w:val="auto"/>
          <w:lang w:eastAsia="zh-CN"/>
        </w:rPr>
      </w:pPr>
      <w:r>
        <w:rPr>
          <w:rFonts w:hint="eastAsia" w:ascii="仿宋" w:hAnsi="仿宋" w:eastAsia="仿宋" w:cs="仿宋"/>
          <w:color w:val="auto"/>
          <w:lang w:eastAsia="zh-CN"/>
        </w:rPr>
        <w:t xml:space="preserve">    （1）声明是符合条件的中小企业须填写《中小企业声明函》，内容如下：</w:t>
      </w:r>
    </w:p>
    <w:p>
      <w:pPr>
        <w:snapToGrid w:val="0"/>
        <w:rPr>
          <w:rFonts w:ascii="仿宋" w:hAnsi="仿宋" w:eastAsia="仿宋" w:cs="仿宋"/>
          <w:color w:val="auto"/>
          <w:lang w:eastAsia="zh-CN"/>
        </w:rPr>
      </w:pPr>
      <w:r>
        <w:rPr>
          <w:rFonts w:hint="eastAsia" w:ascii="仿宋" w:hAnsi="仿宋" w:eastAsia="仿宋" w:cs="仿宋"/>
          <w:color w:val="auto"/>
          <w:lang w:eastAsia="zh-CN"/>
        </w:rPr>
        <w:t xml:space="preserve">    第一处，在“单位名称”下划线处如实填写采购人名称；</w:t>
      </w:r>
    </w:p>
    <w:p>
      <w:pPr>
        <w:snapToGrid w:val="0"/>
        <w:rPr>
          <w:rFonts w:ascii="仿宋" w:hAnsi="仿宋" w:eastAsia="仿宋" w:cs="仿宋"/>
          <w:color w:val="auto"/>
          <w:lang w:eastAsia="zh-CN"/>
        </w:rPr>
      </w:pPr>
      <w:r>
        <w:rPr>
          <w:rFonts w:hint="eastAsia" w:ascii="仿宋" w:hAnsi="仿宋" w:eastAsia="仿宋" w:cs="仿宋"/>
          <w:color w:val="auto"/>
          <w:lang w:eastAsia="zh-CN"/>
        </w:rPr>
        <w:t xml:space="preserve">    第二处，在“项目名称”下划线处如实填写采购项目名称；</w:t>
      </w:r>
    </w:p>
    <w:p>
      <w:pPr>
        <w:snapToGrid w:val="0"/>
        <w:rPr>
          <w:rFonts w:ascii="仿宋" w:hAnsi="仿宋" w:eastAsia="仿宋" w:cs="仿宋"/>
          <w:color w:val="auto"/>
          <w:lang w:eastAsia="zh-CN"/>
        </w:rPr>
      </w:pPr>
      <w:r>
        <w:rPr>
          <w:rFonts w:hint="eastAsia" w:ascii="仿宋" w:hAnsi="仿宋" w:eastAsia="仿宋" w:cs="仿宋"/>
          <w:color w:val="auto"/>
          <w:lang w:eastAsia="zh-CN"/>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s="仿宋"/>
          <w:color w:val="auto"/>
          <w:lang w:eastAsia="zh-CN"/>
        </w:rPr>
      </w:pPr>
      <w:r>
        <w:rPr>
          <w:rFonts w:hint="eastAsia" w:ascii="仿宋" w:hAnsi="仿宋" w:eastAsia="仿宋" w:cs="仿宋"/>
          <w:color w:val="auto"/>
          <w:lang w:eastAsia="zh-CN"/>
        </w:rPr>
        <w:t xml:space="preserve">    第四处，在“招标文件中明确的所属行业”下划线处填写采购标的对应的中小企业划分标准所属行业；</w:t>
      </w:r>
    </w:p>
    <w:p>
      <w:pPr>
        <w:snapToGrid w:val="0"/>
        <w:rPr>
          <w:rFonts w:ascii="仿宋" w:hAnsi="仿宋" w:eastAsia="仿宋" w:cs="仿宋"/>
          <w:color w:val="auto"/>
          <w:lang w:eastAsia="zh-CN"/>
        </w:rPr>
      </w:pPr>
      <w:r>
        <w:rPr>
          <w:rFonts w:hint="eastAsia" w:ascii="仿宋" w:hAnsi="仿宋" w:eastAsia="仿宋" w:cs="仿宋"/>
          <w:color w:val="auto"/>
          <w:lang w:eastAsia="zh-CN"/>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s="仿宋"/>
          <w:color w:val="auto"/>
          <w:lang w:eastAsia="zh-CN"/>
        </w:rPr>
      </w:pPr>
      <w:r>
        <w:rPr>
          <w:rFonts w:hint="eastAsia" w:ascii="仿宋" w:hAnsi="仿宋" w:eastAsia="仿宋" w:cs="仿宋"/>
          <w:color w:val="auto"/>
          <w:lang w:eastAsia="zh-CN"/>
        </w:rPr>
        <w:t xml:space="preserve">    （2）声明是残疾人福利性单位须填写《残疾人福利性单位声明函》的相关内容，具体参照以上《中小企业声明函》填写要求执行。</w:t>
      </w:r>
    </w:p>
    <w:p>
      <w:pPr>
        <w:snapToGrid w:val="0"/>
        <w:rPr>
          <w:rFonts w:ascii="仿宋" w:hAnsi="仿宋" w:eastAsia="仿宋"/>
          <w:color w:val="auto"/>
          <w:sz w:val="25"/>
          <w:szCs w:val="25"/>
          <w:lang w:eastAsia="zh-CN"/>
        </w:rPr>
      </w:pPr>
      <w:r>
        <w:rPr>
          <w:rFonts w:hint="eastAsia" w:ascii="仿宋" w:hAnsi="仿宋" w:eastAsia="仿宋" w:cs="仿宋"/>
          <w:color w:val="auto"/>
          <w:lang w:eastAsia="zh-CN"/>
        </w:rPr>
        <w:t xml:space="preserve">    （3）声明是监狱企业须填写《监狱企业声明函》的相关内容（填写位置的字体已加粗），具体参照以上《中小企业声明函》填写要求执行。</w:t>
      </w:r>
    </w:p>
    <w:p>
      <w:pPr>
        <w:spacing w:line="360" w:lineRule="auto"/>
        <w:jc w:val="center"/>
        <w:rPr>
          <w:rFonts w:ascii="仿宋" w:hAnsi="仿宋" w:eastAsia="仿宋" w:cs="仿宋"/>
          <w:bCs/>
          <w:color w:val="auto"/>
          <w:sz w:val="36"/>
          <w:szCs w:val="36"/>
          <w:lang w:eastAsia="zh-CN"/>
        </w:rPr>
      </w:pPr>
    </w:p>
    <w:p>
      <w:pPr>
        <w:spacing w:line="360" w:lineRule="auto"/>
        <w:jc w:val="center"/>
        <w:rPr>
          <w:rFonts w:ascii="仿宋" w:hAnsi="仿宋" w:eastAsia="仿宋" w:cs="仿宋"/>
          <w:bCs/>
          <w:color w:val="auto"/>
          <w:sz w:val="36"/>
          <w:szCs w:val="36"/>
          <w:lang w:eastAsia="zh-CN"/>
        </w:rPr>
      </w:pPr>
    </w:p>
    <w:p>
      <w:pPr>
        <w:spacing w:line="360" w:lineRule="auto"/>
        <w:jc w:val="center"/>
        <w:rPr>
          <w:rFonts w:ascii="仿宋" w:hAnsi="仿宋" w:eastAsia="仿宋" w:cs="仿宋"/>
          <w:bCs/>
          <w:color w:val="auto"/>
          <w:sz w:val="36"/>
          <w:szCs w:val="36"/>
          <w:lang w:eastAsia="zh-CN"/>
        </w:rPr>
      </w:pPr>
    </w:p>
    <w:p>
      <w:pPr>
        <w:spacing w:line="360" w:lineRule="auto"/>
        <w:jc w:val="center"/>
        <w:rPr>
          <w:rFonts w:ascii="仿宋" w:hAnsi="仿宋" w:eastAsia="仿宋" w:cs="仿宋"/>
          <w:bCs/>
          <w:color w:val="auto"/>
          <w:sz w:val="36"/>
          <w:szCs w:val="36"/>
          <w:lang w:eastAsia="zh-CN"/>
        </w:rPr>
      </w:pPr>
      <w:r>
        <w:rPr>
          <w:rFonts w:hint="eastAsia" w:ascii="仿宋" w:hAnsi="仿宋" w:eastAsia="仿宋" w:cs="仿宋"/>
          <w:bCs/>
          <w:color w:val="auto"/>
          <w:sz w:val="36"/>
          <w:szCs w:val="36"/>
          <w:lang w:eastAsia="zh-CN"/>
        </w:rPr>
        <w:t>9、中小企业声明函(货物)</w:t>
      </w:r>
    </w:p>
    <w:p>
      <w:pPr>
        <w:ind w:left="1280"/>
        <w:rPr>
          <w:rFonts w:ascii="仿宋" w:hAnsi="仿宋" w:eastAsia="仿宋" w:cs="仿宋"/>
          <w:sz w:val="32"/>
          <w:szCs w:val="32"/>
          <w:lang w:eastAsia="zh-CN"/>
        </w:rPr>
      </w:pP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color w:val="auto"/>
          <w:u w:val="single"/>
          <w:lang w:eastAsia="zh-CN"/>
        </w:rPr>
        <w:t>（标的名称）</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（采购文件中明确的所属行业）</w:t>
      </w:r>
      <w:r>
        <w:rPr>
          <w:rFonts w:hint="eastAsia" w:ascii="仿宋" w:hAnsi="仿宋" w:eastAsia="仿宋" w:cs="仿宋"/>
          <w:color w:val="auto"/>
          <w:lang w:eastAsia="zh-CN"/>
        </w:rPr>
        <w:t>；制造商为</w:t>
      </w:r>
      <w:r>
        <w:rPr>
          <w:rFonts w:hint="eastAsia" w:ascii="仿宋" w:hAnsi="仿宋" w:eastAsia="仿宋" w:cs="仿宋"/>
          <w:color w:val="auto"/>
          <w:u w:val="single"/>
          <w:lang w:eastAsia="zh-CN"/>
        </w:rPr>
        <w:t>（企业名称）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人，营业收入为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万元，资产总额为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万元，属于</w:t>
      </w:r>
      <w:r>
        <w:rPr>
          <w:rFonts w:hint="eastAsia" w:ascii="仿宋" w:hAnsi="仿宋" w:eastAsia="仿宋" w:cs="仿宋"/>
          <w:color w:val="auto"/>
          <w:u w:val="single"/>
          <w:lang w:eastAsia="zh-CN"/>
        </w:rPr>
        <w:t>（中型企业、小型企业、微型企业）</w:t>
      </w:r>
      <w:r>
        <w:rPr>
          <w:rFonts w:hint="eastAsia" w:ascii="仿宋" w:hAnsi="仿宋" w:eastAsia="仿宋" w:cs="仿宋"/>
          <w:color w:val="auto"/>
          <w:lang w:eastAsia="zh-CN"/>
        </w:rPr>
        <w:t>；</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 xml:space="preserve">2. </w:t>
      </w:r>
      <w:r>
        <w:rPr>
          <w:rFonts w:hint="eastAsia" w:ascii="仿宋" w:hAnsi="仿宋" w:eastAsia="仿宋" w:cs="仿宋"/>
          <w:color w:val="auto"/>
          <w:u w:val="single"/>
          <w:lang w:eastAsia="zh-CN"/>
        </w:rPr>
        <w:t>（标的名称）</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（采购文件中明确的所属行业）</w:t>
      </w:r>
      <w:r>
        <w:rPr>
          <w:rFonts w:hint="eastAsia" w:ascii="仿宋" w:hAnsi="仿宋" w:eastAsia="仿宋" w:cs="仿宋"/>
          <w:color w:val="auto"/>
          <w:lang w:eastAsia="zh-CN"/>
        </w:rPr>
        <w:t>；制造商为</w:t>
      </w:r>
      <w:r>
        <w:rPr>
          <w:rFonts w:hint="eastAsia" w:ascii="仿宋" w:hAnsi="仿宋" w:eastAsia="仿宋" w:cs="仿宋"/>
          <w:color w:val="auto"/>
          <w:u w:val="single"/>
          <w:lang w:eastAsia="zh-CN"/>
        </w:rPr>
        <w:t>（企业名称）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人，营业收入为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万元，资产总额为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万元，属于</w:t>
      </w:r>
      <w:r>
        <w:rPr>
          <w:rFonts w:hint="eastAsia" w:ascii="仿宋" w:hAnsi="仿宋" w:eastAsia="仿宋" w:cs="仿宋"/>
          <w:color w:val="auto"/>
          <w:u w:val="single"/>
          <w:lang w:eastAsia="zh-CN"/>
        </w:rPr>
        <w:t>（中型企业、小型企业、微型企业）</w:t>
      </w:r>
      <w:r>
        <w:rPr>
          <w:rFonts w:hint="eastAsia" w:ascii="仿宋" w:hAnsi="仿宋" w:eastAsia="仿宋" w:cs="仿宋"/>
          <w:color w:val="auto"/>
          <w:lang w:eastAsia="zh-CN"/>
        </w:rPr>
        <w:t>；</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cs="仿宋"/>
          <w:color w:val="auto"/>
          <w:lang w:eastAsia="zh-CN"/>
        </w:rPr>
      </w:pP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本企业对上述声明内容的真实性负责。如有虚假，将依法承担相应责任。</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 xml:space="preserve">                     </w:t>
      </w:r>
    </w:p>
    <w:p>
      <w:pPr>
        <w:spacing w:line="360" w:lineRule="auto"/>
        <w:ind w:firstLine="480" w:firstLineChars="200"/>
        <w:rPr>
          <w:rFonts w:ascii="仿宋" w:hAnsi="仿宋" w:eastAsia="仿宋" w:cs="仿宋"/>
          <w:color w:val="auto"/>
          <w:lang w:eastAsia="zh-CN"/>
        </w:rPr>
      </w:pPr>
    </w:p>
    <w:p>
      <w:pPr>
        <w:spacing w:line="360" w:lineRule="auto"/>
        <w:ind w:firstLine="4560" w:firstLineChars="1900"/>
        <w:rPr>
          <w:rFonts w:ascii="仿宋" w:hAnsi="仿宋" w:eastAsia="仿宋" w:cs="仿宋"/>
          <w:color w:val="auto"/>
          <w:lang w:eastAsia="zh-CN"/>
        </w:rPr>
      </w:pPr>
      <w:r>
        <w:rPr>
          <w:rFonts w:hint="eastAsia" w:ascii="仿宋" w:hAnsi="仿宋" w:eastAsia="仿宋" w:cs="仿宋"/>
          <w:color w:val="auto"/>
          <w:lang w:eastAsia="zh-CN"/>
        </w:rPr>
        <w:t xml:space="preserve"> 企业名称（盖章）：</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 xml:space="preserve">                                               日期：</w:t>
      </w:r>
    </w:p>
    <w:p>
      <w:pPr>
        <w:pStyle w:val="17"/>
        <w:rPr>
          <w:rFonts w:ascii="仿宋" w:hAnsi="仿宋" w:eastAsia="仿宋" w:cs="仿宋"/>
          <w:lang w:eastAsia="zh-CN"/>
        </w:rPr>
      </w:pPr>
    </w:p>
    <w:p>
      <w:pPr>
        <w:pStyle w:val="17"/>
        <w:rPr>
          <w:rFonts w:ascii="仿宋" w:hAnsi="仿宋" w:eastAsia="仿宋" w:cs="仿宋"/>
          <w:lang w:eastAsia="zh-CN"/>
        </w:rPr>
      </w:pPr>
    </w:p>
    <w:p>
      <w:pPr>
        <w:pStyle w:val="17"/>
        <w:rPr>
          <w:rFonts w:ascii="仿宋" w:hAnsi="仿宋" w:eastAsia="仿宋" w:cs="仿宋"/>
          <w:lang w:eastAsia="zh-CN"/>
        </w:rPr>
      </w:pPr>
    </w:p>
    <w:p>
      <w:pPr>
        <w:pStyle w:val="17"/>
        <w:rPr>
          <w:rFonts w:ascii="仿宋" w:hAnsi="仿宋" w:eastAsia="仿宋" w:cs="仿宋"/>
          <w:lang w:eastAsia="zh-CN"/>
        </w:rPr>
      </w:pPr>
    </w:p>
    <w:p>
      <w:pPr>
        <w:pStyle w:val="17"/>
        <w:rPr>
          <w:rFonts w:ascii="仿宋" w:hAnsi="仿宋" w:eastAsia="仿宋" w:cs="仿宋"/>
          <w:lang w:eastAsia="zh-CN"/>
        </w:rPr>
      </w:pPr>
    </w:p>
    <w:p>
      <w:pPr>
        <w:pStyle w:val="17"/>
        <w:rPr>
          <w:rFonts w:ascii="仿宋" w:hAnsi="仿宋" w:eastAsia="仿宋" w:cs="仿宋"/>
          <w:lang w:eastAsia="zh-CN"/>
        </w:rPr>
      </w:pPr>
    </w:p>
    <w:p>
      <w:pPr>
        <w:pStyle w:val="17"/>
        <w:rPr>
          <w:rFonts w:ascii="仿宋" w:hAnsi="仿宋" w:eastAsia="仿宋" w:cs="仿宋"/>
          <w:lang w:eastAsia="zh-CN"/>
        </w:rPr>
      </w:pPr>
    </w:p>
    <w:p>
      <w:pPr>
        <w:pStyle w:val="17"/>
        <w:rPr>
          <w:rFonts w:ascii="仿宋" w:hAnsi="仿宋" w:eastAsia="仿宋" w:cs="仿宋"/>
          <w:lang w:eastAsia="zh-CN"/>
        </w:rPr>
      </w:pPr>
    </w:p>
    <w:p>
      <w:pPr>
        <w:pStyle w:val="17"/>
        <w:rPr>
          <w:rFonts w:ascii="仿宋" w:hAnsi="仿宋" w:eastAsia="仿宋" w:cs="仿宋"/>
          <w:lang w:eastAsia="zh-CN"/>
        </w:rPr>
      </w:pPr>
    </w:p>
    <w:p>
      <w:pPr>
        <w:pStyle w:val="17"/>
        <w:rPr>
          <w:rFonts w:ascii="仿宋" w:hAnsi="仿宋" w:eastAsia="仿宋" w:cs="仿宋"/>
          <w:lang w:eastAsia="zh-CN"/>
        </w:rPr>
      </w:pPr>
    </w:p>
    <w:p>
      <w:pPr>
        <w:pStyle w:val="17"/>
        <w:rPr>
          <w:rFonts w:ascii="仿宋" w:hAnsi="仿宋" w:eastAsia="仿宋" w:cs="仿宋"/>
          <w:lang w:eastAsia="zh-CN"/>
        </w:rPr>
      </w:pPr>
    </w:p>
    <w:p>
      <w:pPr>
        <w:tabs>
          <w:tab w:val="left" w:pos="3600"/>
        </w:tabs>
        <w:adjustRightInd w:val="0"/>
        <w:snapToGrid w:val="0"/>
        <w:spacing w:line="440" w:lineRule="exact"/>
        <w:jc w:val="center"/>
        <w:rPr>
          <w:rFonts w:ascii="仿宋" w:hAnsi="仿宋" w:eastAsia="仿宋" w:cs="仿宋"/>
          <w:sz w:val="36"/>
          <w:szCs w:val="36"/>
          <w:lang w:eastAsia="zh-CN"/>
        </w:rPr>
      </w:pPr>
    </w:p>
    <w:p>
      <w:pPr>
        <w:tabs>
          <w:tab w:val="left" w:pos="3600"/>
        </w:tabs>
        <w:adjustRightInd w:val="0"/>
        <w:snapToGrid w:val="0"/>
        <w:spacing w:line="440" w:lineRule="exact"/>
        <w:jc w:val="center"/>
        <w:rPr>
          <w:rFonts w:ascii="仿宋" w:hAnsi="仿宋" w:eastAsia="仿宋" w:cs="仿宋"/>
          <w:sz w:val="36"/>
          <w:szCs w:val="36"/>
          <w:lang w:eastAsia="zh-CN"/>
        </w:rPr>
      </w:pPr>
    </w:p>
    <w:p>
      <w:pPr>
        <w:spacing w:after="78" w:afterLines="25" w:line="300" w:lineRule="auto"/>
        <w:jc w:val="center"/>
        <w:outlineLvl w:val="4"/>
        <w:rPr>
          <w:rFonts w:ascii="仿宋" w:hAnsi="仿宋" w:eastAsia="仿宋" w:cs="仿宋"/>
          <w:b/>
          <w:color w:val="auto"/>
          <w:sz w:val="36"/>
          <w:szCs w:val="36"/>
          <w:lang w:eastAsia="zh-CN"/>
        </w:rPr>
      </w:pPr>
      <w:r>
        <w:rPr>
          <w:rFonts w:hint="eastAsia" w:ascii="仿宋" w:hAnsi="仿宋" w:eastAsia="仿宋" w:cs="仿宋"/>
          <w:sz w:val="36"/>
          <w:szCs w:val="36"/>
          <w:lang w:eastAsia="zh-CN"/>
        </w:rPr>
        <w:t>10、</w:t>
      </w:r>
      <w:r>
        <w:rPr>
          <w:rFonts w:hint="eastAsia" w:ascii="仿宋" w:hAnsi="仿宋" w:eastAsia="仿宋" w:cs="仿宋"/>
          <w:b/>
          <w:color w:val="auto"/>
          <w:sz w:val="36"/>
          <w:szCs w:val="36"/>
          <w:lang w:eastAsia="zh-CN"/>
        </w:rPr>
        <w:t>残疾人福利性单位声明函（货物）</w:t>
      </w:r>
    </w:p>
    <w:p>
      <w:pPr>
        <w:spacing w:after="78" w:afterLines="25" w:line="300" w:lineRule="auto"/>
        <w:ind w:firstLine="480" w:firstLineChars="200"/>
        <w:rPr>
          <w:rFonts w:ascii="宋体" w:hAnsi="宋体"/>
          <w:color w:val="auto"/>
          <w:szCs w:val="21"/>
          <w:lang w:eastAsia="zh-CN"/>
        </w:rPr>
      </w:pPr>
    </w:p>
    <w:p>
      <w:pPr>
        <w:spacing w:after="78"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本投标人郑重声明，根据《财政部民政部中国残疾人联合会关于促进残疾人就业政府采购政策的通知》（财库〔2017〕141 号）的规定，本投标人参加</w:t>
      </w:r>
      <w:r>
        <w:rPr>
          <w:rFonts w:hint="eastAsia" w:ascii="仿宋" w:hAnsi="仿宋" w:eastAsia="仿宋" w:cs="仿宋"/>
          <w:b/>
          <w:bCs/>
          <w:color w:val="auto"/>
          <w:szCs w:val="21"/>
          <w:u w:val="single"/>
          <w:lang w:eastAsia="zh-CN"/>
        </w:rPr>
        <w:t>（采购人名称）</w:t>
      </w:r>
      <w:r>
        <w:rPr>
          <w:rFonts w:hint="eastAsia" w:ascii="仿宋" w:hAnsi="仿宋" w:eastAsia="仿宋" w:cs="仿宋"/>
          <w:color w:val="auto"/>
          <w:szCs w:val="21"/>
          <w:lang w:eastAsia="zh-CN"/>
        </w:rPr>
        <w:t>的</w:t>
      </w:r>
      <w:r>
        <w:rPr>
          <w:rFonts w:hint="eastAsia" w:ascii="仿宋" w:hAnsi="仿宋" w:eastAsia="仿宋" w:cs="仿宋"/>
          <w:b/>
          <w:bCs/>
          <w:color w:val="auto"/>
          <w:szCs w:val="21"/>
          <w:u w:val="single"/>
          <w:lang w:eastAsia="zh-CN"/>
        </w:rPr>
        <w:t>（项目名称）</w:t>
      </w:r>
      <w:r>
        <w:rPr>
          <w:rFonts w:hint="eastAsia" w:ascii="仿宋" w:hAnsi="仿宋" w:eastAsia="仿宋" w:cs="仿宋"/>
          <w:color w:val="auto"/>
          <w:szCs w:val="21"/>
          <w:lang w:eastAsia="zh-CN"/>
        </w:rPr>
        <w:t>采购活动，提供的货物全部由符合政策要求的残疾人福利性单位制造。相关残疾人福利性单位的具体情况如下：</w:t>
      </w:r>
    </w:p>
    <w:p>
      <w:pPr>
        <w:spacing w:after="78"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w:t>
      </w:r>
      <w:r>
        <w:rPr>
          <w:rFonts w:hint="eastAsia" w:ascii="仿宋" w:hAnsi="仿宋" w:eastAsia="仿宋" w:cs="仿宋"/>
          <w:b/>
          <w:bCs/>
          <w:color w:val="auto"/>
          <w:szCs w:val="21"/>
          <w:u w:val="single"/>
          <w:lang w:eastAsia="zh-CN"/>
        </w:rPr>
        <w:t xml:space="preserve"> （标的名称）</w:t>
      </w:r>
      <w:r>
        <w:rPr>
          <w:rFonts w:hint="eastAsia" w:ascii="仿宋" w:hAnsi="仿宋" w:eastAsia="仿宋" w:cs="仿宋"/>
          <w:color w:val="auto"/>
          <w:szCs w:val="21"/>
          <w:lang w:eastAsia="zh-CN"/>
        </w:rPr>
        <w:t>，制造商为</w:t>
      </w:r>
      <w:r>
        <w:rPr>
          <w:rFonts w:hint="eastAsia" w:ascii="仿宋" w:hAnsi="仿宋" w:eastAsia="仿宋" w:cs="仿宋"/>
          <w:b/>
          <w:bCs/>
          <w:color w:val="auto"/>
          <w:szCs w:val="21"/>
          <w:u w:val="single"/>
          <w:lang w:eastAsia="zh-CN"/>
        </w:rPr>
        <w:t>（单位名称）</w:t>
      </w:r>
      <w:r>
        <w:rPr>
          <w:rFonts w:hint="eastAsia" w:ascii="仿宋" w:hAnsi="仿宋" w:eastAsia="仿宋" w:cs="仿宋"/>
          <w:color w:val="auto"/>
          <w:szCs w:val="21"/>
          <w:lang w:eastAsia="zh-CN"/>
        </w:rPr>
        <w:t>，属于</w:t>
      </w:r>
      <w:r>
        <w:rPr>
          <w:rFonts w:hint="eastAsia" w:ascii="仿宋" w:hAnsi="仿宋" w:eastAsia="仿宋" w:cs="仿宋"/>
          <w:b/>
          <w:bCs/>
          <w:color w:val="auto"/>
          <w:szCs w:val="21"/>
          <w:u w:val="single"/>
          <w:lang w:eastAsia="zh-CN"/>
        </w:rPr>
        <w:t>残疾人福利性单位</w:t>
      </w:r>
      <w:r>
        <w:rPr>
          <w:rFonts w:hint="eastAsia" w:ascii="仿宋" w:hAnsi="仿宋" w:eastAsia="仿宋" w:cs="仿宋"/>
          <w:color w:val="auto"/>
          <w:szCs w:val="21"/>
          <w:lang w:eastAsia="zh-CN"/>
        </w:rPr>
        <w:t>；</w:t>
      </w:r>
    </w:p>
    <w:p>
      <w:pPr>
        <w:spacing w:after="78"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b/>
          <w:bCs/>
          <w:color w:val="auto"/>
          <w:szCs w:val="21"/>
          <w:u w:val="single"/>
          <w:lang w:eastAsia="zh-CN"/>
        </w:rPr>
        <w:t xml:space="preserve"> （标的名称）</w:t>
      </w:r>
      <w:r>
        <w:rPr>
          <w:rFonts w:hint="eastAsia" w:ascii="仿宋" w:hAnsi="仿宋" w:eastAsia="仿宋" w:cs="仿宋"/>
          <w:color w:val="auto"/>
          <w:szCs w:val="21"/>
          <w:lang w:eastAsia="zh-CN"/>
        </w:rPr>
        <w:t>，制造商为</w:t>
      </w:r>
      <w:r>
        <w:rPr>
          <w:rFonts w:hint="eastAsia" w:ascii="仿宋" w:hAnsi="仿宋" w:eastAsia="仿宋" w:cs="仿宋"/>
          <w:b/>
          <w:bCs/>
          <w:color w:val="auto"/>
          <w:szCs w:val="21"/>
          <w:u w:val="single"/>
          <w:lang w:eastAsia="zh-CN"/>
        </w:rPr>
        <w:t>（单位名称）</w:t>
      </w:r>
      <w:r>
        <w:rPr>
          <w:rFonts w:hint="eastAsia" w:ascii="仿宋" w:hAnsi="仿宋" w:eastAsia="仿宋" w:cs="仿宋"/>
          <w:color w:val="auto"/>
          <w:szCs w:val="21"/>
          <w:lang w:eastAsia="zh-CN"/>
        </w:rPr>
        <w:t>，属于</w:t>
      </w:r>
      <w:r>
        <w:rPr>
          <w:rFonts w:hint="eastAsia" w:ascii="仿宋" w:hAnsi="仿宋" w:eastAsia="仿宋" w:cs="仿宋"/>
          <w:b/>
          <w:bCs/>
          <w:color w:val="auto"/>
          <w:szCs w:val="21"/>
          <w:u w:val="single"/>
          <w:lang w:eastAsia="zh-CN"/>
        </w:rPr>
        <w:t>残疾人福利性单位</w:t>
      </w:r>
      <w:r>
        <w:rPr>
          <w:rFonts w:hint="eastAsia" w:ascii="仿宋" w:hAnsi="仿宋" w:eastAsia="仿宋" w:cs="仿宋"/>
          <w:color w:val="auto"/>
          <w:szCs w:val="21"/>
          <w:lang w:eastAsia="zh-CN"/>
        </w:rPr>
        <w:t>。</w:t>
      </w:r>
    </w:p>
    <w:p>
      <w:pPr>
        <w:spacing w:after="78"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w:t>
      </w:r>
    </w:p>
    <w:p>
      <w:pPr>
        <w:spacing w:after="78" w:afterLines="25" w:line="300" w:lineRule="auto"/>
        <w:ind w:firstLine="480" w:firstLineChars="200"/>
        <w:rPr>
          <w:rFonts w:ascii="仿宋" w:hAnsi="仿宋" w:eastAsia="仿宋" w:cs="仿宋"/>
          <w:color w:val="auto"/>
          <w:szCs w:val="21"/>
          <w:lang w:eastAsia="zh-CN"/>
        </w:rPr>
      </w:pPr>
      <w:bookmarkStart w:id="76" w:name="_Hlk73562331"/>
      <w:r>
        <w:rPr>
          <w:rFonts w:hint="eastAsia" w:ascii="仿宋" w:hAnsi="仿宋" w:eastAsia="仿宋" w:cs="仿宋"/>
          <w:color w:val="auto"/>
          <w:szCs w:val="21"/>
          <w:lang w:eastAsia="zh-CN"/>
        </w:rPr>
        <w:t>本投标人已知悉《财政部民政部中国残疾人联合会关于促进残疾人就业政府采购政策的通知》（财库〔2017〕141 号）的规定，承诺提供的声明函内容是真实的，如提供声明函内容不实，则依法追究相关法律责任。</w:t>
      </w:r>
      <w:bookmarkEnd w:id="76"/>
    </w:p>
    <w:p>
      <w:pPr>
        <w:spacing w:after="78" w:afterLines="25"/>
        <w:ind w:right="420" w:firstLine="3840" w:firstLineChars="1600"/>
        <w:rPr>
          <w:rFonts w:ascii="仿宋" w:hAnsi="仿宋" w:eastAsia="仿宋" w:cs="仿宋"/>
          <w:color w:val="auto"/>
          <w:szCs w:val="21"/>
          <w:u w:val="single"/>
          <w:lang w:eastAsia="zh-CN"/>
        </w:rPr>
      </w:pPr>
      <w:r>
        <w:rPr>
          <w:rFonts w:hint="eastAsia" w:ascii="仿宋" w:hAnsi="仿宋" w:eastAsia="仿宋" w:cs="仿宋"/>
          <w:color w:val="auto"/>
          <w:szCs w:val="21"/>
          <w:lang w:eastAsia="zh-CN"/>
        </w:rPr>
        <w:t>投标人名称（盖章）：</w:t>
      </w:r>
      <w:r>
        <w:rPr>
          <w:rFonts w:hint="eastAsia" w:ascii="仿宋" w:hAnsi="仿宋" w:eastAsia="仿宋" w:cs="仿宋"/>
          <w:color w:val="auto"/>
          <w:szCs w:val="21"/>
          <w:u w:val="single"/>
          <w:lang w:eastAsia="zh-CN"/>
        </w:rPr>
        <w:t xml:space="preserve">                   </w:t>
      </w:r>
    </w:p>
    <w:p>
      <w:pPr>
        <w:pStyle w:val="62"/>
        <w:ind w:firstLine="3840" w:firstLineChars="1600"/>
        <w:rPr>
          <w:rFonts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p>
    <w:p>
      <w:pPr>
        <w:spacing w:after="78" w:afterLines="25"/>
        <w:ind w:right="420" w:firstLine="5520" w:firstLineChars="2300"/>
        <w:rPr>
          <w:rFonts w:ascii="仿宋" w:hAnsi="仿宋" w:eastAsia="仿宋" w:cs="仿宋"/>
          <w:color w:val="auto"/>
          <w:szCs w:val="21"/>
          <w:lang w:eastAsia="zh-CN"/>
        </w:rPr>
      </w:pPr>
      <w:r>
        <w:rPr>
          <w:rFonts w:hint="eastAsia" w:ascii="仿宋" w:hAnsi="仿宋" w:eastAsia="仿宋" w:cs="仿宋"/>
          <w:color w:val="auto"/>
          <w:szCs w:val="21"/>
          <w:lang w:eastAsia="zh-CN"/>
        </w:rPr>
        <w:t>日期：</w:t>
      </w:r>
    </w:p>
    <w:p>
      <w:pPr>
        <w:spacing w:after="78" w:afterLines="25" w:line="300" w:lineRule="auto"/>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说明：根据财库〔2017〕141号文件的规定,享受政府采购扶持政策的残疾人福利性单位应当同时满足以下条件：</w:t>
      </w:r>
    </w:p>
    <w:p>
      <w:pPr>
        <w:spacing w:after="78" w:afterLines="25" w:line="300" w:lineRule="auto"/>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（一）安置的残疾人占本单位在职职工人数的比例不低于25%（含25%），并且安置的残疾人人数不少于10人（含10人）；</w:t>
      </w:r>
    </w:p>
    <w:p>
      <w:pPr>
        <w:spacing w:after="78" w:afterLines="25" w:line="300" w:lineRule="auto"/>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（二）依法与安置的每位残疾人签订了一年以上（含一年）的劳动合同或服务协议；</w:t>
      </w:r>
    </w:p>
    <w:p>
      <w:pPr>
        <w:spacing w:after="78" w:afterLines="25" w:line="300" w:lineRule="auto"/>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（三）为安置的每位残疾人按月足额缴纳了基本养老保险、基本医疗保险、失业保险、工伤保险和生育保险等社会保险费；</w:t>
      </w:r>
    </w:p>
    <w:p>
      <w:pPr>
        <w:spacing w:after="78" w:afterLines="25" w:line="300" w:lineRule="auto"/>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（四）通过银行等金融机构向安置的每位残疾人，按月支付了不低于单位所在区县适用的经省级人民政府批准的月最低工资标准的工资；</w:t>
      </w:r>
    </w:p>
    <w:p>
      <w:pPr>
        <w:widowControl/>
        <w:adjustRightInd w:val="0"/>
        <w:snapToGrid w:val="0"/>
        <w:spacing w:line="440" w:lineRule="exact"/>
        <w:ind w:firstLine="480" w:firstLineChars="200"/>
        <w:rPr>
          <w:rFonts w:ascii="仿宋" w:hAnsi="仿宋" w:eastAsia="仿宋" w:cs="仿宋"/>
          <w:spacing w:val="6"/>
          <w:lang w:eastAsia="zh-CN"/>
        </w:rPr>
      </w:pPr>
      <w:r>
        <w:rPr>
          <w:rFonts w:hint="eastAsia" w:ascii="仿宋" w:hAnsi="仿宋" w:eastAsia="仿宋" w:cs="仿宋"/>
          <w:bCs/>
          <w:color w:val="auto"/>
          <w:szCs w:val="21"/>
          <w:lang w:eastAsia="zh-CN"/>
        </w:rPr>
        <w:t>（五）提供本单位制造的货物、承担的工程或者服务（以下简称产品），或者提供其他残疾人福利性单位制造的产品（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color w:val="auto"/>
          <w:lang w:eastAsia="zh-CN"/>
        </w:rPr>
      </w:pPr>
      <w:r>
        <w:rPr>
          <w:rFonts w:hint="eastAsia" w:ascii="仿宋" w:hAnsi="仿宋" w:eastAsia="仿宋" w:cs="仿宋"/>
          <w:b/>
          <w:bCs/>
          <w:color w:val="auto"/>
          <w:sz w:val="36"/>
          <w:szCs w:val="36"/>
          <w:lang w:eastAsia="zh-CN"/>
        </w:rPr>
        <w:t>11、监狱企业声明函（货物）</w:t>
      </w:r>
    </w:p>
    <w:p>
      <w:pPr>
        <w:pStyle w:val="63"/>
        <w:numPr>
          <w:ilvl w:val="0"/>
          <w:numId w:val="0"/>
        </w:numPr>
        <w:ind w:left="3600"/>
        <w:jc w:val="both"/>
        <w:rPr>
          <w:color w:val="auto"/>
          <w:lang w:eastAsia="zh-CN"/>
        </w:rPr>
      </w:pPr>
    </w:p>
    <w:p>
      <w:pPr>
        <w:spacing w:after="78"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本投标人郑重声明，根据《财政部司法部关于政府采购支持监狱企业发展有关问题的通知》（财库〔2014〕68号）的规定，本投标人参加</w:t>
      </w:r>
      <w:r>
        <w:rPr>
          <w:rFonts w:hint="eastAsia" w:ascii="仿宋" w:hAnsi="仿宋" w:eastAsia="仿宋" w:cs="仿宋"/>
          <w:b/>
          <w:bCs/>
          <w:color w:val="auto"/>
          <w:szCs w:val="21"/>
          <w:u w:val="single"/>
          <w:lang w:eastAsia="zh-CN"/>
        </w:rPr>
        <w:t>（采购人名称）</w:t>
      </w:r>
      <w:r>
        <w:rPr>
          <w:rFonts w:hint="eastAsia" w:ascii="仿宋" w:hAnsi="仿宋" w:eastAsia="仿宋" w:cs="仿宋"/>
          <w:color w:val="auto"/>
          <w:szCs w:val="21"/>
          <w:lang w:eastAsia="zh-CN"/>
        </w:rPr>
        <w:t>的</w:t>
      </w:r>
      <w:r>
        <w:rPr>
          <w:rFonts w:hint="eastAsia" w:ascii="仿宋" w:hAnsi="仿宋" w:eastAsia="仿宋" w:cs="仿宋"/>
          <w:b/>
          <w:bCs/>
          <w:color w:val="auto"/>
          <w:szCs w:val="21"/>
          <w:u w:val="single"/>
          <w:lang w:eastAsia="zh-CN"/>
        </w:rPr>
        <w:t>（项目名称）</w:t>
      </w:r>
      <w:r>
        <w:rPr>
          <w:rFonts w:hint="eastAsia" w:ascii="仿宋" w:hAnsi="仿宋" w:eastAsia="仿宋" w:cs="仿宋"/>
          <w:color w:val="auto"/>
          <w:szCs w:val="21"/>
          <w:lang w:eastAsia="zh-CN"/>
        </w:rPr>
        <w:t>采购活动，提供的货物全部由符合政策要求的监狱企业制造。相关监狱企业的具体情况如下：</w:t>
      </w:r>
    </w:p>
    <w:p>
      <w:pPr>
        <w:spacing w:after="78"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w:t>
      </w:r>
      <w:r>
        <w:rPr>
          <w:rFonts w:hint="eastAsia" w:ascii="仿宋" w:hAnsi="仿宋" w:eastAsia="仿宋" w:cs="仿宋"/>
          <w:b/>
          <w:bCs/>
          <w:color w:val="auto"/>
          <w:szCs w:val="21"/>
          <w:u w:val="single"/>
          <w:lang w:eastAsia="zh-CN"/>
        </w:rPr>
        <w:t>（标的名称）</w:t>
      </w:r>
      <w:r>
        <w:rPr>
          <w:rFonts w:hint="eastAsia" w:ascii="仿宋" w:hAnsi="仿宋" w:eastAsia="仿宋" w:cs="仿宋"/>
          <w:color w:val="auto"/>
          <w:szCs w:val="21"/>
          <w:lang w:eastAsia="zh-CN"/>
        </w:rPr>
        <w:t>，制造商为</w:t>
      </w:r>
      <w:r>
        <w:rPr>
          <w:rFonts w:hint="eastAsia" w:ascii="仿宋" w:hAnsi="仿宋" w:eastAsia="仿宋" w:cs="仿宋"/>
          <w:b/>
          <w:bCs/>
          <w:color w:val="auto"/>
          <w:szCs w:val="21"/>
          <w:u w:val="single"/>
          <w:lang w:eastAsia="zh-CN"/>
        </w:rPr>
        <w:t>（企业名称）</w:t>
      </w:r>
      <w:r>
        <w:rPr>
          <w:rFonts w:hint="eastAsia" w:ascii="仿宋" w:hAnsi="仿宋" w:eastAsia="仿宋" w:cs="仿宋"/>
          <w:color w:val="auto"/>
          <w:szCs w:val="21"/>
          <w:lang w:eastAsia="zh-CN"/>
        </w:rPr>
        <w:t>，属于</w:t>
      </w:r>
      <w:r>
        <w:rPr>
          <w:rFonts w:hint="eastAsia" w:ascii="仿宋" w:hAnsi="仿宋" w:eastAsia="仿宋" w:cs="仿宋"/>
          <w:b/>
          <w:bCs/>
          <w:color w:val="auto"/>
          <w:szCs w:val="21"/>
          <w:u w:val="single"/>
          <w:lang w:eastAsia="zh-CN"/>
        </w:rPr>
        <w:t>监狱企业</w:t>
      </w:r>
      <w:r>
        <w:rPr>
          <w:rFonts w:hint="eastAsia" w:ascii="仿宋" w:hAnsi="仿宋" w:eastAsia="仿宋" w:cs="仿宋"/>
          <w:color w:val="auto"/>
          <w:szCs w:val="21"/>
          <w:lang w:eastAsia="zh-CN"/>
        </w:rPr>
        <w:t>；</w:t>
      </w:r>
    </w:p>
    <w:p>
      <w:pPr>
        <w:spacing w:after="78"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b/>
          <w:bCs/>
          <w:color w:val="auto"/>
          <w:szCs w:val="21"/>
          <w:u w:val="single"/>
          <w:lang w:eastAsia="zh-CN"/>
        </w:rPr>
        <w:t>（标的名称）</w:t>
      </w:r>
      <w:r>
        <w:rPr>
          <w:rFonts w:hint="eastAsia" w:ascii="仿宋" w:hAnsi="仿宋" w:eastAsia="仿宋" w:cs="仿宋"/>
          <w:color w:val="auto"/>
          <w:szCs w:val="21"/>
          <w:lang w:eastAsia="zh-CN"/>
        </w:rPr>
        <w:t>，制造商为</w:t>
      </w:r>
      <w:r>
        <w:rPr>
          <w:rFonts w:hint="eastAsia" w:ascii="仿宋" w:hAnsi="仿宋" w:eastAsia="仿宋" w:cs="仿宋"/>
          <w:b/>
          <w:bCs/>
          <w:color w:val="auto"/>
          <w:szCs w:val="21"/>
          <w:u w:val="single"/>
          <w:lang w:eastAsia="zh-CN"/>
        </w:rPr>
        <w:t>（企业名称）</w:t>
      </w:r>
      <w:r>
        <w:rPr>
          <w:rFonts w:hint="eastAsia" w:ascii="仿宋" w:hAnsi="仿宋" w:eastAsia="仿宋" w:cs="仿宋"/>
          <w:color w:val="auto"/>
          <w:szCs w:val="21"/>
          <w:lang w:eastAsia="zh-CN"/>
        </w:rPr>
        <w:t>，属于</w:t>
      </w:r>
      <w:r>
        <w:rPr>
          <w:rFonts w:hint="eastAsia" w:ascii="仿宋" w:hAnsi="仿宋" w:eastAsia="仿宋" w:cs="仿宋"/>
          <w:b/>
          <w:bCs/>
          <w:color w:val="auto"/>
          <w:szCs w:val="21"/>
          <w:u w:val="single"/>
          <w:lang w:eastAsia="zh-CN"/>
        </w:rPr>
        <w:t>监狱企业</w:t>
      </w:r>
      <w:r>
        <w:rPr>
          <w:rFonts w:hint="eastAsia" w:ascii="仿宋" w:hAnsi="仿宋" w:eastAsia="仿宋" w:cs="仿宋"/>
          <w:color w:val="auto"/>
          <w:szCs w:val="21"/>
          <w:lang w:eastAsia="zh-CN"/>
        </w:rPr>
        <w:t>。</w:t>
      </w:r>
    </w:p>
    <w:p>
      <w:pPr>
        <w:spacing w:after="78"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w:t>
      </w:r>
    </w:p>
    <w:p>
      <w:pPr>
        <w:spacing w:after="78" w:afterLines="25" w:line="300" w:lineRule="auto"/>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本投标人对上述声明内容的真实性负责。如有虚假，将依法承担相应责任。</w:t>
      </w:r>
    </w:p>
    <w:p>
      <w:pPr>
        <w:spacing w:after="78" w:afterLines="25" w:line="300" w:lineRule="auto"/>
        <w:ind w:firstLine="482" w:firstLineChars="200"/>
        <w:rPr>
          <w:rFonts w:ascii="仿宋" w:hAnsi="仿宋" w:eastAsia="仿宋" w:cs="仿宋"/>
          <w:b/>
          <w:color w:val="auto"/>
          <w:szCs w:val="21"/>
          <w:lang w:eastAsia="zh-CN"/>
        </w:rPr>
      </w:pPr>
    </w:p>
    <w:p>
      <w:pPr>
        <w:spacing w:after="78" w:afterLines="25" w:line="300" w:lineRule="auto"/>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附：省级以上监狱管理局、戒毒管理局（含新疆生产建设兵团）出具的监狱企业证明文件。</w:t>
      </w:r>
    </w:p>
    <w:p>
      <w:pPr>
        <w:spacing w:after="78" w:afterLines="25" w:line="300" w:lineRule="auto"/>
        <w:ind w:firstLine="482" w:firstLineChars="200"/>
        <w:rPr>
          <w:rFonts w:ascii="仿宋" w:hAnsi="仿宋" w:eastAsia="仿宋" w:cs="仿宋"/>
          <w:b/>
          <w:color w:val="auto"/>
          <w:szCs w:val="21"/>
          <w:lang w:eastAsia="zh-CN"/>
        </w:rPr>
      </w:pPr>
    </w:p>
    <w:p>
      <w:pPr>
        <w:spacing w:after="78" w:afterLines="25" w:line="300" w:lineRule="auto"/>
        <w:ind w:firstLine="482" w:firstLineChars="200"/>
        <w:rPr>
          <w:rFonts w:ascii="仿宋" w:hAnsi="仿宋" w:eastAsia="仿宋" w:cs="仿宋"/>
          <w:b/>
          <w:color w:val="auto"/>
          <w:szCs w:val="21"/>
          <w:lang w:eastAsia="zh-CN"/>
        </w:rPr>
      </w:pPr>
    </w:p>
    <w:p>
      <w:pPr>
        <w:spacing w:after="78" w:afterLines="25" w:line="360" w:lineRule="auto"/>
        <w:ind w:right="420" w:firstLine="3840" w:firstLineChars="1600"/>
        <w:rPr>
          <w:rFonts w:ascii="仿宋" w:hAnsi="仿宋" w:eastAsia="仿宋" w:cs="仿宋"/>
          <w:color w:val="auto"/>
          <w:szCs w:val="21"/>
          <w:u w:val="single"/>
          <w:lang w:eastAsia="zh-CN"/>
        </w:rPr>
      </w:pPr>
      <w:r>
        <w:rPr>
          <w:rFonts w:hint="eastAsia" w:ascii="仿宋" w:hAnsi="仿宋" w:eastAsia="仿宋" w:cs="仿宋"/>
          <w:color w:val="auto"/>
          <w:szCs w:val="21"/>
          <w:lang w:eastAsia="zh-CN"/>
        </w:rPr>
        <w:t>投标人名称（盖章）：</w:t>
      </w:r>
      <w:r>
        <w:rPr>
          <w:rFonts w:hint="eastAsia" w:ascii="仿宋" w:hAnsi="仿宋" w:eastAsia="仿宋" w:cs="仿宋"/>
          <w:color w:val="auto"/>
          <w:szCs w:val="21"/>
          <w:u w:val="single"/>
          <w:lang w:eastAsia="zh-CN"/>
        </w:rPr>
        <w:t xml:space="preserve">                   </w:t>
      </w:r>
    </w:p>
    <w:p>
      <w:pPr>
        <w:pStyle w:val="62"/>
        <w:spacing w:line="360" w:lineRule="auto"/>
        <w:ind w:firstLine="3840" w:firstLineChars="1600"/>
        <w:rPr>
          <w:rFonts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p>
    <w:p>
      <w:pPr>
        <w:pStyle w:val="5"/>
        <w:numPr>
          <w:ilvl w:val="1"/>
          <w:numId w:val="0"/>
        </w:numPr>
        <w:spacing w:line="240" w:lineRule="atLeast"/>
        <w:ind w:firstLine="5520" w:firstLineChars="2300"/>
        <w:jc w:val="left"/>
        <w:rPr>
          <w:rFonts w:hint="eastAsia" w:ascii="仿宋" w:hAnsi="仿宋" w:eastAsia="仿宋" w:cs="仿宋"/>
          <w:b w:val="0"/>
          <w:bCs/>
          <w:color w:val="auto"/>
          <w:sz w:val="24"/>
          <w:szCs w:val="20"/>
          <w:u w:val="none"/>
          <w:lang w:val="zh-CN" w:eastAsia="zh-CN" w:bidi="ar-SA"/>
        </w:rPr>
      </w:pPr>
      <w:r>
        <w:rPr>
          <w:rFonts w:hint="eastAsia" w:ascii="仿宋" w:hAnsi="仿宋" w:eastAsia="仿宋" w:cs="仿宋"/>
          <w:b w:val="0"/>
          <w:bCs/>
          <w:color w:val="auto"/>
          <w:sz w:val="24"/>
          <w:szCs w:val="20"/>
          <w:u w:val="none"/>
          <w:lang w:val="zh-CN" w:eastAsia="zh-CN" w:bidi="ar-SA"/>
        </w:rPr>
        <w:t>日期：</w:t>
      </w:r>
    </w:p>
    <w:p>
      <w:pPr>
        <w:pStyle w:val="5"/>
        <w:numPr>
          <w:ilvl w:val="1"/>
          <w:numId w:val="0"/>
        </w:numPr>
        <w:spacing w:line="240" w:lineRule="atLeast"/>
        <w:jc w:val="left"/>
        <w:rPr>
          <w:rFonts w:ascii="仿宋" w:hAnsi="仿宋" w:eastAsia="仿宋" w:cs="仿宋"/>
          <w:bCs/>
          <w:color w:val="auto"/>
          <w:sz w:val="24"/>
          <w:lang w:eastAsia="zh-CN"/>
        </w:rPr>
      </w:pPr>
    </w:p>
    <w:p>
      <w:pPr>
        <w:pStyle w:val="5"/>
        <w:numPr>
          <w:ilvl w:val="1"/>
          <w:numId w:val="0"/>
        </w:numPr>
        <w:spacing w:line="240" w:lineRule="atLeast"/>
        <w:jc w:val="left"/>
        <w:rPr>
          <w:rFonts w:ascii="仿宋" w:hAnsi="仿宋" w:eastAsia="仿宋" w:cs="仿宋"/>
          <w:bCs/>
          <w:color w:val="auto"/>
          <w:sz w:val="24"/>
          <w:lang w:eastAsia="zh-CN"/>
        </w:rPr>
      </w:pPr>
    </w:p>
    <w:p>
      <w:pPr>
        <w:rPr>
          <w:rFonts w:ascii="仿宋" w:hAnsi="仿宋" w:eastAsia="仿宋" w:cs="仿宋"/>
          <w:b/>
          <w:bCs/>
          <w:color w:val="auto"/>
          <w:lang w:eastAsia="zh-CN"/>
        </w:rPr>
      </w:pPr>
    </w:p>
    <w:p>
      <w:pPr>
        <w:pStyle w:val="41"/>
        <w:rPr>
          <w:rFonts w:ascii="仿宋" w:hAnsi="仿宋" w:eastAsia="仿宋" w:cs="仿宋"/>
          <w:b/>
          <w:bCs/>
          <w:color w:val="auto"/>
          <w:lang w:eastAsia="zh-CN"/>
        </w:rPr>
      </w:pPr>
    </w:p>
    <w:p>
      <w:pPr>
        <w:pStyle w:val="41"/>
        <w:rPr>
          <w:rFonts w:ascii="仿宋" w:hAnsi="仿宋" w:eastAsia="仿宋" w:cs="仿宋"/>
          <w:b/>
          <w:bCs/>
          <w:color w:val="auto"/>
          <w:lang w:eastAsia="zh-CN"/>
        </w:rPr>
      </w:pPr>
    </w:p>
    <w:p>
      <w:pPr>
        <w:pStyle w:val="41"/>
        <w:rPr>
          <w:rFonts w:ascii="仿宋" w:hAnsi="仿宋" w:eastAsia="仿宋" w:cs="仿宋"/>
          <w:b/>
          <w:bCs/>
          <w:color w:val="auto"/>
          <w:lang w:eastAsia="zh-CN"/>
        </w:rPr>
      </w:pPr>
    </w:p>
    <w:p>
      <w:pPr>
        <w:pStyle w:val="41"/>
        <w:rPr>
          <w:rFonts w:ascii="仿宋" w:hAnsi="仿宋" w:eastAsia="仿宋" w:cs="仿宋"/>
          <w:b/>
          <w:bCs/>
          <w:color w:val="auto"/>
          <w:lang w:eastAsia="zh-CN"/>
        </w:rPr>
      </w:pPr>
    </w:p>
    <w:p>
      <w:pPr>
        <w:pStyle w:val="41"/>
        <w:rPr>
          <w:rFonts w:ascii="仿宋" w:hAnsi="仿宋" w:eastAsia="仿宋" w:cs="仿宋"/>
          <w:b/>
          <w:bCs/>
          <w:color w:val="auto"/>
          <w:lang w:eastAsia="zh-CN"/>
        </w:rPr>
      </w:pPr>
    </w:p>
    <w:p>
      <w:pPr>
        <w:pStyle w:val="41"/>
        <w:rPr>
          <w:rFonts w:ascii="仿宋" w:hAnsi="仿宋" w:eastAsia="仿宋" w:cs="仿宋"/>
          <w:b/>
          <w:bCs/>
          <w:color w:val="auto"/>
          <w:lang w:eastAsia="zh-CN"/>
        </w:rPr>
      </w:pPr>
    </w:p>
    <w:p>
      <w:pPr>
        <w:pStyle w:val="41"/>
        <w:rPr>
          <w:rFonts w:ascii="仿宋" w:hAnsi="仿宋" w:eastAsia="仿宋" w:cs="仿宋"/>
          <w:b/>
          <w:bCs/>
          <w:color w:val="auto"/>
          <w:lang w:eastAsia="zh-CN"/>
        </w:rPr>
      </w:pPr>
    </w:p>
    <w:p>
      <w:pPr>
        <w:pStyle w:val="41"/>
        <w:rPr>
          <w:rFonts w:ascii="仿宋" w:hAnsi="仿宋" w:eastAsia="仿宋" w:cs="仿宋"/>
          <w:b/>
          <w:bCs/>
          <w:color w:val="auto"/>
          <w:lang w:eastAsia="zh-CN"/>
        </w:rPr>
      </w:pPr>
    </w:p>
    <w:p>
      <w:pPr>
        <w:pStyle w:val="41"/>
        <w:rPr>
          <w:rFonts w:ascii="仿宋" w:hAnsi="仿宋" w:eastAsia="仿宋" w:cs="仿宋"/>
          <w:b/>
          <w:bCs/>
          <w:color w:val="auto"/>
          <w:lang w:eastAsia="zh-CN"/>
        </w:rPr>
      </w:pPr>
    </w:p>
    <w:p>
      <w:pPr>
        <w:pStyle w:val="41"/>
        <w:rPr>
          <w:rFonts w:ascii="仿宋" w:hAnsi="仿宋" w:eastAsia="仿宋" w:cs="仿宋"/>
          <w:b/>
          <w:bCs/>
          <w:color w:val="auto"/>
          <w:lang w:eastAsia="zh-CN"/>
        </w:rPr>
      </w:pPr>
    </w:p>
    <w:p>
      <w:pPr>
        <w:pStyle w:val="41"/>
        <w:rPr>
          <w:rFonts w:ascii="仿宋" w:hAnsi="仿宋" w:eastAsia="仿宋" w:cs="仿宋"/>
          <w:b/>
          <w:bCs/>
          <w:color w:val="auto"/>
          <w:lang w:eastAsia="zh-CN"/>
        </w:rPr>
      </w:pPr>
    </w:p>
    <w:p>
      <w:pPr>
        <w:pStyle w:val="41"/>
        <w:rPr>
          <w:rFonts w:ascii="仿宋" w:hAnsi="仿宋" w:eastAsia="仿宋" w:cs="仿宋"/>
          <w:b/>
          <w:bCs/>
          <w:color w:val="auto"/>
          <w:lang w:eastAsia="zh-CN"/>
        </w:rPr>
      </w:pPr>
    </w:p>
    <w:p>
      <w:pPr>
        <w:tabs>
          <w:tab w:val="left" w:pos="3600"/>
        </w:tabs>
        <w:adjustRightInd w:val="0"/>
        <w:snapToGrid w:val="0"/>
        <w:spacing w:line="440" w:lineRule="exact"/>
        <w:jc w:val="center"/>
        <w:rPr>
          <w:rFonts w:ascii="仿宋" w:hAnsi="仿宋" w:eastAsia="仿宋" w:cs="仿宋"/>
          <w:b/>
          <w:bCs/>
          <w:sz w:val="36"/>
          <w:szCs w:val="36"/>
          <w:lang w:eastAsia="zh-CN"/>
        </w:rPr>
      </w:pPr>
      <w:r>
        <w:rPr>
          <w:rFonts w:hint="eastAsia" w:ascii="仿宋" w:hAnsi="仿宋" w:eastAsia="仿宋" w:cs="仿宋"/>
          <w:b/>
          <w:bCs/>
          <w:sz w:val="36"/>
          <w:szCs w:val="36"/>
          <w:lang w:eastAsia="zh-CN"/>
        </w:rPr>
        <w:t>1</w:t>
      </w:r>
      <w:r>
        <w:rPr>
          <w:rFonts w:ascii="仿宋" w:hAnsi="仿宋" w:eastAsia="仿宋" w:cs="仿宋"/>
          <w:b/>
          <w:bCs/>
          <w:sz w:val="36"/>
          <w:szCs w:val="36"/>
          <w:lang w:eastAsia="zh-CN"/>
        </w:rPr>
        <w:t>2</w:t>
      </w:r>
      <w:r>
        <w:rPr>
          <w:rFonts w:hint="eastAsia" w:ascii="仿宋" w:hAnsi="仿宋" w:eastAsia="仿宋" w:cs="仿宋"/>
          <w:b/>
          <w:bCs/>
          <w:sz w:val="36"/>
          <w:szCs w:val="36"/>
          <w:lang w:eastAsia="zh-CN"/>
        </w:rPr>
        <w:t>、评分标准和细则中商务部分证明材料（格式自拟）</w:t>
      </w:r>
    </w:p>
    <w:p>
      <w:pPr>
        <w:pStyle w:val="13"/>
        <w:tabs>
          <w:tab w:val="left" w:pos="5580"/>
        </w:tabs>
        <w:spacing w:line="240" w:lineRule="atLeast"/>
        <w:rPr>
          <w:rFonts w:ascii="仿宋" w:hAnsi="仿宋" w:eastAsia="仿宋" w:cs="仿宋"/>
          <w:color w:val="auto"/>
          <w:lang w:eastAsia="zh-CN"/>
        </w:rPr>
      </w:pPr>
    </w:p>
    <w:p>
      <w:pPr>
        <w:pStyle w:val="13"/>
        <w:tabs>
          <w:tab w:val="left" w:pos="5580"/>
        </w:tabs>
        <w:spacing w:line="240" w:lineRule="atLeast"/>
        <w:ind w:left="1157" w:leftChars="257" w:hanging="540"/>
        <w:rPr>
          <w:rFonts w:ascii="仿宋" w:hAnsi="仿宋" w:eastAsia="仿宋" w:cs="仿宋"/>
          <w:color w:val="auto"/>
          <w:lang w:eastAsia="zh-CN"/>
        </w:rPr>
      </w:pPr>
      <w:r>
        <w:rPr>
          <w:rFonts w:hint="eastAsia" w:ascii="仿宋" w:hAnsi="仿宋" w:eastAsia="仿宋" w:cs="仿宋"/>
          <w:color w:val="auto"/>
          <w:lang w:eastAsia="zh-CN"/>
        </w:rPr>
        <w:t>说明：1.应提供</w:t>
      </w:r>
      <w:r>
        <w:rPr>
          <w:rFonts w:hint="eastAsia" w:ascii="仿宋" w:hAnsi="仿宋" w:eastAsia="仿宋" w:cs="仿宋"/>
          <w:color w:val="auto"/>
          <w:u w:val="single"/>
          <w:lang w:eastAsia="zh-CN"/>
        </w:rPr>
        <w:t>评分标准和细则中商务部分</w:t>
      </w:r>
      <w:r>
        <w:rPr>
          <w:rFonts w:hint="eastAsia" w:ascii="仿宋" w:hAnsi="仿宋" w:eastAsia="仿宋" w:cs="仿宋"/>
          <w:color w:val="auto"/>
          <w:lang w:eastAsia="zh-CN"/>
        </w:rPr>
        <w:t>要求的其他资格证明文件（主要包括：类似业绩；投标企业信誉；</w:t>
      </w:r>
      <w:r>
        <w:rPr>
          <w:rFonts w:hint="eastAsia" w:ascii="仿宋" w:hAnsi="仿宋" w:eastAsia="仿宋" w:cs="仿宋"/>
          <w:color w:val="000000" w:themeColor="text1"/>
          <w:szCs w:val="21"/>
          <w:highlight w:val="none"/>
          <w:lang w:val="en-US" w:eastAsia="zh-CN" w:bidi="ar-SA"/>
          <w14:textFill>
            <w14:solidFill>
              <w14:schemeClr w14:val="tx1"/>
            </w14:solidFill>
          </w14:textFill>
        </w:rPr>
        <w:t>质量保证及</w:t>
      </w:r>
      <w:r>
        <w:rPr>
          <w:rFonts w:hint="eastAsia" w:ascii="仿宋" w:hAnsi="仿宋" w:eastAsia="仿宋" w:cs="仿宋"/>
          <w:color w:val="auto"/>
          <w:lang w:eastAsia="zh-CN"/>
        </w:rPr>
        <w:t>售后服务体系；培训计划等）。</w:t>
      </w:r>
    </w:p>
    <w:p>
      <w:pPr>
        <w:pStyle w:val="13"/>
        <w:tabs>
          <w:tab w:val="left" w:pos="5580"/>
        </w:tabs>
        <w:spacing w:line="240" w:lineRule="atLeast"/>
        <w:ind w:firstLine="1200" w:firstLineChars="5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pPr>
        <w:pStyle w:val="5"/>
        <w:numPr>
          <w:ilvl w:val="1"/>
          <w:numId w:val="0"/>
        </w:numPr>
        <w:spacing w:line="240" w:lineRule="atLeast"/>
        <w:jc w:val="left"/>
        <w:rPr>
          <w:rFonts w:ascii="仿宋" w:hAnsi="仿宋" w:eastAsia="仿宋" w:cs="仿宋"/>
          <w:bCs/>
          <w:color w:val="auto"/>
          <w:sz w:val="24"/>
          <w:lang w:eastAsia="zh-CN"/>
        </w:rPr>
      </w:pPr>
    </w:p>
    <w:p>
      <w:pPr>
        <w:tabs>
          <w:tab w:val="left" w:pos="3600"/>
        </w:tabs>
        <w:adjustRightInd w:val="0"/>
        <w:snapToGrid w:val="0"/>
        <w:spacing w:line="440" w:lineRule="exact"/>
        <w:jc w:val="center"/>
        <w:rPr>
          <w:rFonts w:ascii="仿宋" w:hAnsi="仿宋" w:eastAsia="仿宋" w:cs="仿宋"/>
          <w:b/>
          <w:bCs/>
          <w:sz w:val="36"/>
          <w:szCs w:val="36"/>
          <w:lang w:eastAsia="zh-CN"/>
        </w:rPr>
      </w:pPr>
    </w:p>
    <w:p>
      <w:pPr>
        <w:tabs>
          <w:tab w:val="left" w:pos="3600"/>
        </w:tabs>
        <w:adjustRightInd w:val="0"/>
        <w:snapToGrid w:val="0"/>
        <w:spacing w:line="440" w:lineRule="exact"/>
        <w:jc w:val="center"/>
        <w:rPr>
          <w:rFonts w:ascii="仿宋" w:hAnsi="仿宋" w:eastAsia="仿宋" w:cs="仿宋"/>
          <w:b/>
          <w:bCs/>
          <w:sz w:val="36"/>
          <w:szCs w:val="36"/>
          <w:lang w:eastAsia="zh-CN"/>
        </w:rPr>
      </w:pPr>
    </w:p>
    <w:p>
      <w:pPr>
        <w:tabs>
          <w:tab w:val="left" w:pos="3600"/>
        </w:tabs>
        <w:adjustRightInd w:val="0"/>
        <w:snapToGrid w:val="0"/>
        <w:spacing w:line="440" w:lineRule="exact"/>
        <w:jc w:val="center"/>
        <w:rPr>
          <w:rFonts w:ascii="仿宋" w:hAnsi="仿宋" w:eastAsia="仿宋" w:cs="仿宋"/>
          <w:b/>
          <w:bCs/>
          <w:sz w:val="36"/>
          <w:szCs w:val="36"/>
          <w:lang w:eastAsia="zh-CN"/>
        </w:rPr>
      </w:pPr>
    </w:p>
    <w:p>
      <w:pPr>
        <w:tabs>
          <w:tab w:val="left" w:pos="3600"/>
        </w:tabs>
        <w:adjustRightInd w:val="0"/>
        <w:snapToGrid w:val="0"/>
        <w:spacing w:line="440" w:lineRule="exact"/>
        <w:jc w:val="center"/>
        <w:rPr>
          <w:rFonts w:ascii="仿宋" w:hAnsi="仿宋" w:eastAsia="仿宋" w:cs="仿宋"/>
          <w:b/>
          <w:bCs/>
          <w:sz w:val="36"/>
          <w:szCs w:val="36"/>
          <w:lang w:eastAsia="zh-CN"/>
        </w:rPr>
      </w:pPr>
    </w:p>
    <w:p>
      <w:pPr>
        <w:tabs>
          <w:tab w:val="left" w:pos="3600"/>
        </w:tabs>
        <w:adjustRightInd w:val="0"/>
        <w:snapToGrid w:val="0"/>
        <w:spacing w:line="440" w:lineRule="exact"/>
        <w:jc w:val="center"/>
        <w:rPr>
          <w:rFonts w:ascii="仿宋" w:hAnsi="仿宋" w:eastAsia="仿宋" w:cs="仿宋"/>
          <w:sz w:val="36"/>
          <w:szCs w:val="36"/>
          <w:lang w:eastAsia="zh-CN"/>
        </w:rPr>
      </w:pPr>
      <w:r>
        <w:rPr>
          <w:rFonts w:hint="eastAsia" w:ascii="仿宋" w:hAnsi="仿宋" w:eastAsia="仿宋" w:cs="仿宋"/>
          <w:b/>
          <w:bCs/>
          <w:sz w:val="36"/>
          <w:szCs w:val="36"/>
          <w:lang w:eastAsia="zh-CN"/>
        </w:rPr>
        <w:t>1</w:t>
      </w:r>
      <w:r>
        <w:rPr>
          <w:rFonts w:ascii="仿宋" w:hAnsi="仿宋" w:eastAsia="仿宋" w:cs="仿宋"/>
          <w:b/>
          <w:bCs/>
          <w:sz w:val="36"/>
          <w:szCs w:val="36"/>
          <w:lang w:eastAsia="zh-CN"/>
        </w:rPr>
        <w:t>3</w:t>
      </w:r>
      <w:r>
        <w:rPr>
          <w:rFonts w:hint="eastAsia" w:ascii="仿宋" w:hAnsi="仿宋" w:eastAsia="仿宋" w:cs="仿宋"/>
          <w:b/>
          <w:bCs/>
          <w:sz w:val="36"/>
          <w:szCs w:val="36"/>
          <w:lang w:eastAsia="zh-CN"/>
        </w:rPr>
        <w:t>、评分标准和细则中技术部分证明材料（格式自拟</w:t>
      </w:r>
      <w:r>
        <w:rPr>
          <w:rFonts w:hint="eastAsia" w:ascii="仿宋" w:hAnsi="仿宋" w:eastAsia="仿宋" w:cs="仿宋"/>
          <w:sz w:val="36"/>
          <w:szCs w:val="36"/>
          <w:lang w:eastAsia="zh-CN"/>
        </w:rPr>
        <w:t>）</w:t>
      </w:r>
    </w:p>
    <w:p>
      <w:pPr>
        <w:pStyle w:val="5"/>
        <w:numPr>
          <w:ilvl w:val="1"/>
          <w:numId w:val="0"/>
        </w:numPr>
        <w:spacing w:line="240" w:lineRule="atLeast"/>
        <w:ind w:left="617" w:leftChars="257"/>
        <w:rPr>
          <w:rFonts w:ascii="仿宋" w:hAnsi="仿宋" w:eastAsia="仿宋" w:cs="仿宋"/>
          <w:color w:val="auto"/>
          <w:sz w:val="24"/>
          <w:lang w:eastAsia="zh-CN"/>
        </w:rPr>
      </w:pPr>
    </w:p>
    <w:p>
      <w:pPr>
        <w:pStyle w:val="13"/>
        <w:tabs>
          <w:tab w:val="left" w:pos="5580"/>
        </w:tabs>
        <w:spacing w:line="240" w:lineRule="atLeast"/>
        <w:ind w:left="1157" w:leftChars="257" w:hanging="540"/>
        <w:rPr>
          <w:rFonts w:ascii="仿宋" w:hAnsi="仿宋" w:eastAsia="仿宋" w:cs="仿宋"/>
          <w:color w:val="auto"/>
          <w:lang w:eastAsia="zh-CN"/>
        </w:rPr>
      </w:pPr>
      <w:r>
        <w:rPr>
          <w:rFonts w:hint="eastAsia" w:ascii="仿宋" w:hAnsi="仿宋" w:eastAsia="仿宋" w:cs="仿宋"/>
          <w:color w:val="auto"/>
          <w:lang w:eastAsia="zh-CN"/>
        </w:rPr>
        <w:t>说明：1.应提供</w:t>
      </w:r>
      <w:r>
        <w:rPr>
          <w:rFonts w:hint="eastAsia" w:ascii="仿宋" w:hAnsi="仿宋" w:eastAsia="仿宋" w:cs="仿宋"/>
          <w:color w:val="auto"/>
          <w:u w:val="single"/>
          <w:lang w:eastAsia="zh-CN"/>
        </w:rPr>
        <w:t>评分标准和细则中技术部分</w:t>
      </w:r>
      <w:r>
        <w:rPr>
          <w:rFonts w:hint="eastAsia" w:ascii="仿宋" w:hAnsi="仿宋" w:eastAsia="仿宋" w:cs="仿宋"/>
          <w:color w:val="auto"/>
          <w:lang w:eastAsia="zh-CN"/>
        </w:rPr>
        <w:t>要求的其他资格证明文件（主要包括：技术指标、参数；项目实施方案；供货方案；交货及安装期等）。</w:t>
      </w:r>
    </w:p>
    <w:p>
      <w:pPr>
        <w:pStyle w:val="13"/>
        <w:tabs>
          <w:tab w:val="left" w:pos="5580"/>
        </w:tabs>
        <w:spacing w:line="240" w:lineRule="atLeast"/>
        <w:ind w:firstLine="1200" w:firstLineChars="5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pPr>
        <w:pStyle w:val="6"/>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pPr>
        <w:rPr>
          <w:rFonts w:ascii="仿宋" w:hAnsi="仿宋" w:eastAsia="仿宋" w:cs="仿宋"/>
          <w:lang w:eastAsia="zh-CN"/>
        </w:rPr>
      </w:pPr>
    </w:p>
    <w:p>
      <w:pPr>
        <w:pStyle w:val="5"/>
        <w:numPr>
          <w:ilvl w:val="1"/>
          <w:numId w:val="0"/>
        </w:numPr>
        <w:spacing w:line="240" w:lineRule="atLeast"/>
        <w:ind w:left="617" w:leftChars="257"/>
        <w:rPr>
          <w:rFonts w:ascii="仿宋" w:hAnsi="仿宋" w:eastAsia="仿宋" w:cs="仿宋"/>
          <w:color w:val="auto"/>
          <w:sz w:val="24"/>
          <w:lang w:eastAsia="zh-CN"/>
        </w:rPr>
      </w:pPr>
    </w:p>
    <w:p>
      <w:pPr>
        <w:pStyle w:val="5"/>
        <w:numPr>
          <w:ilvl w:val="1"/>
          <w:numId w:val="0"/>
        </w:numPr>
        <w:spacing w:line="240" w:lineRule="atLeast"/>
        <w:jc w:val="left"/>
        <w:rPr>
          <w:rFonts w:ascii="仿宋" w:hAnsi="仿宋" w:eastAsia="仿宋" w:cs="仿宋"/>
          <w:bCs/>
          <w:color w:val="auto"/>
          <w:sz w:val="24"/>
          <w:lang w:eastAsia="zh-CN"/>
        </w:rPr>
      </w:pPr>
      <w:r>
        <w:rPr>
          <w:rFonts w:hint="eastAsia" w:ascii="仿宋" w:hAnsi="仿宋" w:eastAsia="仿宋" w:cs="仿宋"/>
          <w:color w:val="auto"/>
          <w:sz w:val="24"/>
          <w:lang w:eastAsia="zh-CN"/>
        </w:rPr>
        <w:t xml:space="preserve">    </w:t>
      </w:r>
    </w:p>
    <w:p>
      <w:pPr>
        <w:tabs>
          <w:tab w:val="left" w:pos="3600"/>
        </w:tabs>
        <w:adjustRightInd w:val="0"/>
        <w:snapToGrid w:val="0"/>
        <w:spacing w:line="440" w:lineRule="exact"/>
        <w:jc w:val="center"/>
        <w:rPr>
          <w:rFonts w:ascii="仿宋" w:hAnsi="仿宋" w:eastAsia="仿宋" w:cs="仿宋"/>
          <w:b/>
          <w:bCs/>
          <w:w w:val="90"/>
          <w:sz w:val="36"/>
          <w:szCs w:val="36"/>
          <w:lang w:eastAsia="zh-CN"/>
        </w:rPr>
      </w:pPr>
      <w:r>
        <w:rPr>
          <w:rFonts w:hint="eastAsia" w:ascii="仿宋" w:hAnsi="仿宋" w:eastAsia="仿宋" w:cs="仿宋"/>
          <w:b/>
          <w:bCs/>
          <w:sz w:val="36"/>
          <w:szCs w:val="36"/>
          <w:lang w:eastAsia="zh-CN"/>
        </w:rPr>
        <w:t>14、</w:t>
      </w:r>
      <w:r>
        <w:rPr>
          <w:rFonts w:hint="eastAsia" w:ascii="仿宋" w:hAnsi="仿宋" w:eastAsia="仿宋" w:cs="仿宋"/>
          <w:b/>
          <w:bCs/>
          <w:w w:val="90"/>
          <w:sz w:val="36"/>
          <w:szCs w:val="36"/>
          <w:lang w:eastAsia="zh-CN"/>
        </w:rPr>
        <w:t>投标人认为有必要提供的其他证明材料（格式自拟）</w:t>
      </w:r>
    </w:p>
    <w:p>
      <w:pPr>
        <w:pStyle w:val="13"/>
        <w:tabs>
          <w:tab w:val="left" w:pos="5580"/>
        </w:tabs>
        <w:spacing w:line="240" w:lineRule="atLeast"/>
        <w:ind w:firstLine="480" w:firstLineChars="200"/>
        <w:rPr>
          <w:rFonts w:ascii="仿宋" w:hAnsi="仿宋" w:eastAsia="仿宋" w:cs="仿宋"/>
          <w:color w:val="auto"/>
          <w:lang w:eastAsia="zh-CN"/>
        </w:rPr>
      </w:pPr>
    </w:p>
    <w:p>
      <w:pPr>
        <w:pStyle w:val="13"/>
        <w:tabs>
          <w:tab w:val="left" w:pos="5580"/>
        </w:tabs>
        <w:spacing w:line="240" w:lineRule="atLeast"/>
        <w:ind w:firstLine="480" w:firstLineChars="200"/>
        <w:rPr>
          <w:rFonts w:ascii="仿宋" w:hAnsi="仿宋" w:eastAsia="仿宋" w:cs="仿宋"/>
          <w:b/>
          <w:bCs/>
          <w:color w:val="auto"/>
          <w:sz w:val="36"/>
          <w:szCs w:val="36"/>
          <w:lang w:eastAsia="zh-CN"/>
        </w:rPr>
      </w:pPr>
      <w:r>
        <w:rPr>
          <w:rFonts w:hint="eastAsia" w:ascii="仿宋" w:hAnsi="仿宋" w:eastAsia="仿宋" w:cs="仿宋"/>
          <w:color w:val="auto"/>
          <w:lang w:eastAsia="zh-CN"/>
        </w:rPr>
        <w:t>说明：复印件上应加盖本单位章（自然人投标的无需盖章，需要签字）。</w:t>
      </w:r>
    </w:p>
    <w:p>
      <w:pPr>
        <w:rPr>
          <w:rFonts w:ascii="宋体" w:hAnsi="宋体" w:eastAsia="宋体"/>
          <w:b/>
          <w:color w:val="auto"/>
          <w:lang w:eastAsia="zh-CN"/>
        </w:rPr>
      </w:pPr>
      <w:r>
        <w:rPr>
          <w:rFonts w:ascii="宋体" w:hAnsi="宋体" w:eastAsia="宋体"/>
          <w:b/>
          <w:color w:val="auto"/>
          <w:lang w:eastAsia="zh-CN"/>
        </w:rPr>
        <w:br w:type="page"/>
      </w:r>
    </w:p>
    <w:tbl>
      <w:tblPr>
        <w:tblStyle w:val="23"/>
        <w:tblW w:w="10938" w:type="dxa"/>
        <w:jc w:val="center"/>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tblPrEx>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行业</w:t>
            </w:r>
          </w:p>
        </w:tc>
        <w:tc>
          <w:tcPr>
            <w:tcW w:w="2284"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中小微型企业（</w:t>
            </w:r>
            <w:r>
              <w:rPr>
                <w:rFonts w:hint="eastAsia" w:ascii="仿宋" w:hAnsi="仿宋" w:eastAsia="仿宋" w:cs="仿宋"/>
                <w:b/>
                <w:color w:val="auto"/>
                <w:sz w:val="11"/>
                <w:szCs w:val="11"/>
                <w:lang w:eastAsia="zh-CN" w:bidi="ar"/>
              </w:rPr>
              <w:t>或</w:t>
            </w:r>
            <w:r>
              <w:rPr>
                <w:rStyle w:val="60"/>
                <w:rFonts w:hint="default"/>
                <w:color w:val="auto"/>
                <w:sz w:val="11"/>
                <w:szCs w:val="11"/>
                <w:lang w:eastAsia="zh-CN" w:bidi="ar"/>
              </w:rPr>
              <w:t>）</w:t>
            </w:r>
          </w:p>
        </w:tc>
        <w:tc>
          <w:tcPr>
            <w:tcW w:w="2442"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中型企业（</w:t>
            </w:r>
            <w:r>
              <w:rPr>
                <w:rFonts w:hint="eastAsia" w:ascii="仿宋" w:hAnsi="仿宋" w:eastAsia="仿宋" w:cs="仿宋"/>
                <w:b/>
                <w:color w:val="auto"/>
                <w:sz w:val="11"/>
                <w:szCs w:val="11"/>
                <w:lang w:eastAsia="zh-CN" w:bidi="ar"/>
              </w:rPr>
              <w:t>且</w:t>
            </w:r>
            <w:r>
              <w:rPr>
                <w:rStyle w:val="60"/>
                <w:rFonts w:hint="default"/>
                <w:color w:val="auto"/>
                <w:sz w:val="11"/>
                <w:szCs w:val="11"/>
                <w:lang w:eastAsia="zh-CN" w:bidi="ar"/>
              </w:rPr>
              <w:t>）</w:t>
            </w:r>
          </w:p>
        </w:tc>
        <w:tc>
          <w:tcPr>
            <w:tcW w:w="2274"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小型企业（</w:t>
            </w:r>
            <w:r>
              <w:rPr>
                <w:rFonts w:hint="eastAsia" w:ascii="仿宋" w:hAnsi="仿宋" w:eastAsia="仿宋" w:cs="仿宋"/>
                <w:b/>
                <w:color w:val="auto"/>
                <w:sz w:val="11"/>
                <w:szCs w:val="11"/>
                <w:lang w:eastAsia="zh-CN" w:bidi="ar"/>
              </w:rPr>
              <w:t>且</w:t>
            </w:r>
            <w:r>
              <w:rPr>
                <w:rStyle w:val="60"/>
                <w:rFonts w:hint="default"/>
                <w:color w:val="auto"/>
                <w:sz w:val="11"/>
                <w:szCs w:val="11"/>
                <w:lang w:eastAsia="zh-CN" w:bidi="ar"/>
              </w:rPr>
              <w:t>）</w:t>
            </w:r>
          </w:p>
        </w:tc>
        <w:tc>
          <w:tcPr>
            <w:tcW w:w="2013" w:type="dxa"/>
            <w:gridSpan w:val="3"/>
            <w:tcBorders>
              <w:top w:val="single" w:color="000000" w:sz="12" w:space="0"/>
              <w:left w:val="single" w:color="000000" w:sz="4" w:space="0"/>
              <w:bottom w:val="single" w:color="000000" w:sz="4" w:space="0"/>
              <w:right w:val="single" w:color="000000" w:sz="12" w:space="0"/>
            </w:tcBorders>
            <w:vAlign w:val="center"/>
          </w:tcPr>
          <w:p>
            <w:pPr>
              <w:widowControl/>
              <w:ind w:right="-113" w:rightChars="-47"/>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微型企业（</w:t>
            </w:r>
            <w:r>
              <w:rPr>
                <w:rFonts w:hint="eastAsia" w:ascii="仿宋" w:hAnsi="仿宋" w:eastAsia="仿宋" w:cs="仿宋"/>
                <w:b/>
                <w:color w:val="auto"/>
                <w:sz w:val="11"/>
                <w:szCs w:val="11"/>
                <w:lang w:eastAsia="zh-CN" w:bidi="ar"/>
              </w:rPr>
              <w:t>或</w:t>
            </w:r>
            <w:r>
              <w:rPr>
                <w:rStyle w:val="60"/>
                <w:rFonts w:hint="default"/>
                <w:color w:val="auto"/>
                <w:sz w:val="11"/>
                <w:szCs w:val="11"/>
                <w:lang w:eastAsia="zh-CN" w:bidi="ar"/>
              </w:rPr>
              <w:t>）</w:t>
            </w:r>
          </w:p>
        </w:tc>
      </w:tr>
      <w:tr>
        <w:tblPrEx>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vAlign w:val="center"/>
          </w:tcPr>
          <w:p>
            <w:pPr>
              <w:jc w:val="center"/>
              <w:rPr>
                <w:rFonts w:ascii="仿宋" w:hAnsi="仿宋" w:eastAsia="仿宋" w:cs="仿宋"/>
                <w:color w:val="auto"/>
                <w:sz w:val="11"/>
                <w:szCs w:val="11"/>
              </w:rPr>
            </w:pP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从业人员</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营业收入</w:t>
            </w: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资产总额</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从业人员</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营业收入</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资产总额</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从业人员</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营业收入</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资产总额</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从业人员</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营业收入</w:t>
            </w:r>
          </w:p>
        </w:tc>
        <w:tc>
          <w:tcPr>
            <w:tcW w:w="50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资产总额</w:t>
            </w:r>
          </w:p>
        </w:tc>
      </w:tr>
      <w:tr>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农、林、牧、渔业</w:t>
            </w:r>
          </w:p>
        </w:tc>
        <w:tc>
          <w:tcPr>
            <w:tcW w:w="60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lang w:eastAsia="zh-CN" w:bidi="ar"/>
              </w:rPr>
            </w:pPr>
            <w:r>
              <w:rPr>
                <w:rFonts w:hint="eastAsia" w:ascii="仿宋" w:hAnsi="仿宋" w:eastAsia="仿宋" w:cs="仿宋"/>
                <w:color w:val="auto"/>
                <w:sz w:val="11"/>
                <w:szCs w:val="11"/>
                <w:lang w:eastAsia="zh-CN" w:bidi="ar"/>
              </w:rPr>
              <w:t>20000万元</w:t>
            </w:r>
          </w:p>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以下</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auto"/>
                <w:sz w:val="11"/>
                <w:szCs w:val="11"/>
              </w:rPr>
            </w:pPr>
          </w:p>
        </w:tc>
      </w:tr>
      <w:tr>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bidi="ar"/>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lang w:eastAsia="zh-CN" w:bidi="ar"/>
              </w:rPr>
            </w:pPr>
            <w:r>
              <w:rPr>
                <w:rFonts w:hint="eastAsia" w:ascii="仿宋" w:hAnsi="仿宋" w:eastAsia="仿宋" w:cs="仿宋"/>
                <w:color w:val="auto"/>
                <w:sz w:val="11"/>
                <w:szCs w:val="11"/>
                <w:lang w:eastAsia="zh-CN" w:bidi="ar"/>
              </w:rPr>
              <w:t>40000万元</w:t>
            </w:r>
          </w:p>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以下</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auto"/>
                <w:sz w:val="11"/>
                <w:szCs w:val="11"/>
              </w:rPr>
            </w:pPr>
          </w:p>
        </w:tc>
      </w:tr>
      <w:tr>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建筑业</w:t>
            </w:r>
          </w:p>
        </w:tc>
        <w:tc>
          <w:tcPr>
            <w:tcW w:w="60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lang w:eastAsia="zh-CN" w:bidi="ar"/>
              </w:rPr>
            </w:pPr>
            <w:r>
              <w:rPr>
                <w:rFonts w:hint="eastAsia" w:ascii="仿宋" w:hAnsi="仿宋" w:eastAsia="仿宋" w:cs="仿宋"/>
                <w:color w:val="auto"/>
                <w:sz w:val="11"/>
                <w:szCs w:val="11"/>
                <w:lang w:eastAsia="zh-CN" w:bidi="ar"/>
              </w:rPr>
              <w:t>80000万元</w:t>
            </w:r>
          </w:p>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以下</w:t>
            </w: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80000万元以下</w:t>
            </w:r>
          </w:p>
        </w:tc>
        <w:tc>
          <w:tcPr>
            <w:tcW w:w="76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6000万元及以上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300万元及以上</w:t>
            </w:r>
          </w:p>
        </w:tc>
        <w:tc>
          <w:tcPr>
            <w:tcW w:w="7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300万元以下</w:t>
            </w:r>
          </w:p>
        </w:tc>
      </w:tr>
      <w:tr>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批发业</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lang w:eastAsia="zh-CN" w:bidi="ar"/>
              </w:rPr>
            </w:pPr>
            <w:r>
              <w:rPr>
                <w:rFonts w:hint="eastAsia" w:ascii="仿宋" w:hAnsi="仿宋" w:eastAsia="仿宋" w:cs="仿宋"/>
                <w:color w:val="auto"/>
                <w:sz w:val="11"/>
                <w:szCs w:val="11"/>
                <w:lang w:eastAsia="zh-CN" w:bidi="ar"/>
              </w:rPr>
              <w:t>40000万元</w:t>
            </w:r>
          </w:p>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以下</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5人以下</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auto"/>
                <w:sz w:val="11"/>
                <w:szCs w:val="11"/>
              </w:rPr>
            </w:pPr>
          </w:p>
        </w:tc>
      </w:tr>
      <w:tr>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零售业</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lang w:eastAsia="zh-CN" w:bidi="ar"/>
              </w:rPr>
            </w:pPr>
            <w:r>
              <w:rPr>
                <w:rFonts w:hint="eastAsia" w:ascii="仿宋" w:hAnsi="仿宋" w:eastAsia="仿宋" w:cs="仿宋"/>
                <w:color w:val="auto"/>
                <w:sz w:val="11"/>
                <w:szCs w:val="11"/>
                <w:lang w:eastAsia="zh-CN" w:bidi="ar"/>
              </w:rPr>
              <w:t>20000万元</w:t>
            </w:r>
          </w:p>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以下</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auto"/>
                <w:sz w:val="11"/>
                <w:szCs w:val="11"/>
              </w:rPr>
            </w:pPr>
          </w:p>
        </w:tc>
      </w:tr>
      <w:tr>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bidi="ar"/>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lang w:eastAsia="zh-CN" w:bidi="ar"/>
              </w:rPr>
            </w:pPr>
            <w:r>
              <w:rPr>
                <w:rFonts w:hint="eastAsia" w:ascii="仿宋" w:hAnsi="仿宋" w:eastAsia="仿宋" w:cs="仿宋"/>
                <w:color w:val="auto"/>
                <w:sz w:val="11"/>
                <w:szCs w:val="11"/>
                <w:lang w:eastAsia="zh-CN" w:bidi="ar"/>
              </w:rPr>
              <w:t>30000万元</w:t>
            </w:r>
          </w:p>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以下</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auto"/>
                <w:sz w:val="11"/>
                <w:szCs w:val="11"/>
              </w:rPr>
            </w:pPr>
          </w:p>
        </w:tc>
      </w:tr>
      <w:tr>
        <w:tblPrEx>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仓储业</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auto"/>
                <w:sz w:val="11"/>
                <w:szCs w:val="11"/>
              </w:rPr>
            </w:pPr>
          </w:p>
        </w:tc>
      </w:tr>
      <w:tr>
        <w:tblPrEx>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邮政业</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auto"/>
                <w:sz w:val="11"/>
                <w:szCs w:val="11"/>
              </w:rPr>
            </w:pPr>
          </w:p>
        </w:tc>
      </w:tr>
      <w:tr>
        <w:tblPrEx>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住宿业</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auto"/>
                <w:sz w:val="11"/>
                <w:szCs w:val="11"/>
              </w:rPr>
            </w:pPr>
          </w:p>
        </w:tc>
      </w:tr>
      <w:tr>
        <w:tblPrEx>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餐饮业</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auto"/>
                <w:sz w:val="11"/>
                <w:szCs w:val="11"/>
              </w:rPr>
            </w:pPr>
          </w:p>
        </w:tc>
      </w:tr>
      <w:tr>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bidi="ar"/>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2000人以下</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auto"/>
                <w:sz w:val="11"/>
                <w:szCs w:val="11"/>
              </w:rPr>
            </w:pPr>
          </w:p>
        </w:tc>
      </w:tr>
      <w:tr>
        <w:tblPrEx>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bidi="ar"/>
              </w:rPr>
              <w:t>软件和信息技术服务业</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auto"/>
                <w:sz w:val="11"/>
                <w:szCs w:val="11"/>
              </w:rPr>
            </w:pPr>
          </w:p>
        </w:tc>
      </w:tr>
      <w:tr>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房地产开发经营</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200000万元以下</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2000万元及以上</w:t>
            </w:r>
          </w:p>
        </w:tc>
        <w:tc>
          <w:tcPr>
            <w:tcW w:w="7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2000万元以下</w:t>
            </w:r>
          </w:p>
        </w:tc>
      </w:tr>
      <w:tr>
        <w:tblPrEx>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物业管理</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5000万元以下</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500万元及以上</w:t>
            </w:r>
          </w:p>
        </w:tc>
        <w:tc>
          <w:tcPr>
            <w:tcW w:w="7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100人以下</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500万元以下</w:t>
            </w:r>
          </w:p>
        </w:tc>
        <w:tc>
          <w:tcPr>
            <w:tcW w:w="501"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auto"/>
                <w:sz w:val="11"/>
                <w:szCs w:val="11"/>
              </w:rPr>
            </w:pPr>
          </w:p>
        </w:tc>
      </w:tr>
      <w:tr>
        <w:tblPrEx>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租赁和商务服务业</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120000万元以下</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8000万元及以上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100万元及以上</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11"/>
                <w:szCs w:val="11"/>
              </w:rPr>
            </w:pPr>
          </w:p>
        </w:tc>
        <w:tc>
          <w:tcPr>
            <w:tcW w:w="501" w:type="dxa"/>
            <w:tcBorders>
              <w:top w:val="single" w:color="000000" w:sz="4" w:space="0"/>
              <w:left w:val="single" w:color="000000" w:sz="4" w:space="0"/>
              <w:bottom w:val="single" w:color="000000" w:sz="4" w:space="0"/>
              <w:right w:val="single" w:color="000000" w:sz="12"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100万元以下</w:t>
            </w:r>
          </w:p>
        </w:tc>
      </w:tr>
      <w:tr>
        <w:tblPrEx>
          <w:tblCellMar>
            <w:top w:w="15" w:type="dxa"/>
            <w:left w:w="15" w:type="dxa"/>
            <w:bottom w:w="15" w:type="dxa"/>
            <w:right w:w="15" w:type="dxa"/>
          </w:tblCellMar>
        </w:tblPrEx>
        <w:trPr>
          <w:trHeight w:val="1525" w:hRule="atLeast"/>
          <w:jc w:val="center"/>
        </w:trPr>
        <w:tc>
          <w:tcPr>
            <w:tcW w:w="1925" w:type="dxa"/>
            <w:tcBorders>
              <w:top w:val="single" w:color="000000" w:sz="4" w:space="0"/>
              <w:left w:val="single" w:color="000000" w:sz="12" w:space="0"/>
              <w:bottom w:val="single" w:color="000000" w:sz="12" w:space="0"/>
              <w:right w:val="single" w:color="000000" w:sz="4" w:space="0"/>
            </w:tcBorders>
            <w:vAlign w:val="center"/>
          </w:tcPr>
          <w:p>
            <w:pPr>
              <w:widowControl/>
              <w:textAlignment w:val="center"/>
              <w:rPr>
                <w:rFonts w:ascii="仿宋" w:hAnsi="仿宋" w:eastAsia="仿宋" w:cs="仿宋"/>
                <w:color w:val="auto"/>
                <w:sz w:val="11"/>
                <w:szCs w:val="11"/>
                <w:lang w:eastAsia="zh-CN"/>
              </w:rPr>
            </w:pPr>
            <w:r>
              <w:rPr>
                <w:rFonts w:hint="eastAsia" w:ascii="仿宋" w:hAnsi="仿宋" w:eastAsia="仿宋" w:cs="仿宋"/>
                <w:color w:val="auto"/>
                <w:sz w:val="11"/>
                <w:szCs w:val="11"/>
                <w:lang w:eastAsia="zh-CN" w:bidi="ar"/>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300人以下</w:t>
            </w:r>
          </w:p>
        </w:tc>
        <w:tc>
          <w:tcPr>
            <w:tcW w:w="835"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auto"/>
                <w:sz w:val="11"/>
                <w:szCs w:val="11"/>
              </w:rPr>
            </w:pPr>
          </w:p>
        </w:tc>
        <w:tc>
          <w:tcPr>
            <w:tcW w:w="843"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auto"/>
                <w:sz w:val="11"/>
                <w:szCs w:val="11"/>
              </w:rPr>
            </w:pPr>
          </w:p>
        </w:tc>
        <w:tc>
          <w:tcPr>
            <w:tcW w:w="766" w:type="dxa"/>
            <w:tcBorders>
              <w:top w:val="single" w:color="000000" w:sz="4" w:space="0"/>
              <w:left w:val="single" w:color="000000" w:sz="4" w:space="0"/>
              <w:bottom w:val="single" w:color="000000" w:sz="12"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100人及以上</w:t>
            </w:r>
          </w:p>
        </w:tc>
        <w:tc>
          <w:tcPr>
            <w:tcW w:w="936"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auto"/>
                <w:sz w:val="11"/>
                <w:szCs w:val="11"/>
              </w:rPr>
            </w:pPr>
          </w:p>
        </w:tc>
        <w:tc>
          <w:tcPr>
            <w:tcW w:w="740"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auto"/>
                <w:sz w:val="11"/>
                <w:szCs w:val="11"/>
              </w:rPr>
            </w:pPr>
          </w:p>
        </w:tc>
        <w:tc>
          <w:tcPr>
            <w:tcW w:w="785" w:type="dxa"/>
            <w:tcBorders>
              <w:top w:val="single" w:color="000000" w:sz="4" w:space="0"/>
              <w:left w:val="single" w:color="000000" w:sz="4" w:space="0"/>
              <w:bottom w:val="single" w:color="000000" w:sz="12"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10人及以上</w:t>
            </w:r>
          </w:p>
        </w:tc>
        <w:tc>
          <w:tcPr>
            <w:tcW w:w="785"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auto"/>
                <w:sz w:val="11"/>
                <w:szCs w:val="11"/>
              </w:rPr>
            </w:pPr>
          </w:p>
        </w:tc>
        <w:tc>
          <w:tcPr>
            <w:tcW w:w="704"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auto"/>
                <w:sz w:val="11"/>
                <w:szCs w:val="11"/>
              </w:rPr>
            </w:pPr>
          </w:p>
        </w:tc>
        <w:tc>
          <w:tcPr>
            <w:tcW w:w="798" w:type="dxa"/>
            <w:tcBorders>
              <w:top w:val="single" w:color="000000" w:sz="4" w:space="0"/>
              <w:left w:val="single" w:color="000000" w:sz="4" w:space="0"/>
              <w:bottom w:val="single" w:color="000000" w:sz="12" w:space="0"/>
              <w:right w:val="single" w:color="000000" w:sz="4" w:space="0"/>
            </w:tcBorders>
            <w:vAlign w:val="center"/>
          </w:tcPr>
          <w:p>
            <w:pPr>
              <w:widowControl/>
              <w:textAlignment w:val="center"/>
              <w:rPr>
                <w:rFonts w:ascii="仿宋" w:hAnsi="仿宋" w:eastAsia="仿宋" w:cs="仿宋"/>
                <w:color w:val="auto"/>
                <w:sz w:val="11"/>
                <w:szCs w:val="11"/>
              </w:rPr>
            </w:pPr>
            <w:r>
              <w:rPr>
                <w:rFonts w:hint="eastAsia" w:ascii="仿宋" w:hAnsi="仿宋" w:eastAsia="仿宋" w:cs="仿宋"/>
                <w:color w:val="auto"/>
                <w:sz w:val="11"/>
                <w:szCs w:val="11"/>
                <w:lang w:eastAsia="zh-CN" w:bidi="ar"/>
              </w:rPr>
              <w:t>10人以下</w:t>
            </w:r>
          </w:p>
        </w:tc>
        <w:tc>
          <w:tcPr>
            <w:tcW w:w="714"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auto"/>
                <w:sz w:val="11"/>
                <w:szCs w:val="11"/>
              </w:rPr>
            </w:pPr>
          </w:p>
        </w:tc>
        <w:tc>
          <w:tcPr>
            <w:tcW w:w="501" w:type="dxa"/>
            <w:tcBorders>
              <w:top w:val="single" w:color="000000" w:sz="4" w:space="0"/>
              <w:left w:val="single" w:color="000000" w:sz="4" w:space="0"/>
              <w:bottom w:val="single" w:color="000000" w:sz="12" w:space="0"/>
              <w:right w:val="single" w:color="000000" w:sz="12" w:space="0"/>
            </w:tcBorders>
            <w:vAlign w:val="center"/>
          </w:tcPr>
          <w:p>
            <w:pPr>
              <w:rPr>
                <w:rFonts w:ascii="仿宋" w:hAnsi="仿宋" w:eastAsia="仿宋" w:cs="仿宋"/>
                <w:color w:val="auto"/>
                <w:sz w:val="11"/>
                <w:szCs w:val="11"/>
              </w:rPr>
            </w:pPr>
          </w:p>
        </w:tc>
      </w:tr>
    </w:tbl>
    <w:p>
      <w:pPr>
        <w:pStyle w:val="14"/>
        <w:ind w:left="2880"/>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_x000B__x000C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黑体_GBK">
    <w:altName w:val="微软雅黑"/>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5M2qMM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pORa0B4d0hYuPSTUUeoqRjOqTCadiovwp/3kvX0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bkzaowwEAAI8DAAAOAAAAAAAAAAEAIAAAAB4BAABkcnMvZTJvRG9jLnhtbFBL&#10;BQYAAAAABgAGAFkBAABT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36Z5c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ffpnlwwEAAI8DAAAOAAAAAAAAAAEAIAAAAB4BAABkcnMvZTJvRG9jLnhtbFBL&#10;BQYAAAAABgAGAFkBAABTBQAAAAA=&#10;">
              <v:fill on="f" focussize="0,0"/>
              <v:stroke on="f"/>
              <v:imagedata o:title=""/>
              <o:lock v:ext="edit" aspectratio="f"/>
              <v:textbox inset="0mm,0mm,0mm,0mm" style="mso-fit-shape-to-text:t;">
                <w:txbxContent>
                  <w:p>
                    <w:pPr>
                      <w:pStyle w:val="15"/>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0GZ8M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3lDhuceLnp8fzj1/nn98J&#10;+lCgPkCNeQ8BM9Pwzg+4NrMf0Jl5Dyra/EVGBOMo7+kirxwSEfnRarlaVRgSGJsviM+en4cI6b30&#10;lmSjoRHnV2Tlx4+QxtQ5JVdz/l4bU2Zo3F8OxMwelnsfe8xWGnbDRGjn2xPy6XH0DXW46ZSYDw6V&#10;zVsyG3E2dpORa0B4e0hYuPSTUUeoqRjOqTCadiovwp/3kvX8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yDQZnwwEAAI8DAAAOAAAAAAAAAAEAIAAAAB4BAABkcnMvZTJvRG9jLnhtbFBL&#10;BQYAAAAABgAGAFkBAABTBQAAAAA=&#10;">
              <v:fill on="f" focussize="0,0"/>
              <v:stroke on="f"/>
              <v:imagedata o:title=""/>
              <o:lock v:ext="edit" aspectratio="f"/>
              <v:textbox inset="0mm,0mm,0mm,0mm" style="mso-fit-shape-to-text:t;">
                <w:txbxContent>
                  <w:p>
                    <w:pPr>
                      <w:pStyle w:val="15"/>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1D1sIBAACP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8nINSDcHhMWLv1k1BFqKoZzKoymncqL8Oe9ZD3+R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C9Q9bCAQAAjw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pPr>
      <w:pStyle w:val="15"/>
      <w:autoSpaceDE w:val="0"/>
      <w:autoSpaceDN w:val="0"/>
      <w:adjustRightInd w:val="0"/>
      <w:ind w:left="7200" w:hanging="7200" w:hangingChars="4000"/>
      <w:jc w:val="both"/>
    </w:pPr>
  </w:p>
  <w:p>
    <w:pPr>
      <w:pStyle w:val="15"/>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0000000D"/>
    <w:multiLevelType w:val="multilevel"/>
    <w:tmpl w:val="0000000D"/>
    <w:lvl w:ilvl="0" w:tentative="0">
      <w:start w:val="1"/>
      <w:numFmt w:val="decimal"/>
      <w:pStyle w:val="10"/>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24E409BB"/>
    <w:multiLevelType w:val="multilevel"/>
    <w:tmpl w:val="24E409BB"/>
    <w:lvl w:ilvl="0" w:tentative="0">
      <w:start w:val="1"/>
      <w:numFmt w:val="decimal"/>
      <w:pStyle w:val="6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5CD4C99"/>
    <w:multiLevelType w:val="singleLevel"/>
    <w:tmpl w:val="55CD4C99"/>
    <w:lvl w:ilvl="0" w:tentative="0">
      <w:start w:val="1"/>
      <w:numFmt w:val="chineseCounting"/>
      <w:suff w:val="nothing"/>
      <w:lvlText w:val="%1、"/>
      <w:lvlJc w:val="left"/>
    </w:lvl>
  </w:abstractNum>
  <w:abstractNum w:abstractNumId="6">
    <w:nsid w:val="751BC711"/>
    <w:multiLevelType w:val="singleLevel"/>
    <w:tmpl w:val="751BC711"/>
    <w:lvl w:ilvl="0" w:tentative="0">
      <w:start w:val="1"/>
      <w:numFmt w:val="decimal"/>
      <w:suff w:val="nothing"/>
      <w:lvlText w:val="%1、"/>
      <w:lvlJc w:val="left"/>
    </w:lvl>
  </w:abstractNum>
  <w:abstractNum w:abstractNumId="7">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796A1B45"/>
    <w:multiLevelType w:val="singleLevel"/>
    <w:tmpl w:val="796A1B45"/>
    <w:lvl w:ilvl="0" w:tentative="0">
      <w:start w:val="5"/>
      <w:numFmt w:val="chineseCounting"/>
      <w:suff w:val="space"/>
      <w:lvlText w:val="第%1章"/>
      <w:lvlJc w:val="left"/>
      <w:rPr>
        <w:rFonts w:hint="eastAsia"/>
      </w:rPr>
    </w:lvl>
  </w:abstractNum>
  <w:num w:numId="1">
    <w:abstractNumId w:val="1"/>
  </w:num>
  <w:num w:numId="2">
    <w:abstractNumId w:val="4"/>
  </w:num>
  <w:num w:numId="3">
    <w:abstractNumId w:val="3"/>
  </w:num>
  <w:num w:numId="4">
    <w:abstractNumId w:val="6"/>
  </w:num>
  <w:num w:numId="5">
    <w:abstractNumId w:val="5"/>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ZTZmNDljMWU0MWIwMzFiZDE4ZDE3MDhhN2MxZWIifQ=="/>
  </w:docVars>
  <w:rsids>
    <w:rsidRoot w:val="430832B2"/>
    <w:rsid w:val="00036274"/>
    <w:rsid w:val="00060CE7"/>
    <w:rsid w:val="000C64FF"/>
    <w:rsid w:val="0028130A"/>
    <w:rsid w:val="002C0F93"/>
    <w:rsid w:val="00303F39"/>
    <w:rsid w:val="004145F0"/>
    <w:rsid w:val="004242FC"/>
    <w:rsid w:val="00431DC6"/>
    <w:rsid w:val="00522F22"/>
    <w:rsid w:val="005A2594"/>
    <w:rsid w:val="007D6BE9"/>
    <w:rsid w:val="00A2131B"/>
    <w:rsid w:val="00AF2B1D"/>
    <w:rsid w:val="00C56CA7"/>
    <w:rsid w:val="00D87F49"/>
    <w:rsid w:val="00E964E1"/>
    <w:rsid w:val="00ED4083"/>
    <w:rsid w:val="00EF153B"/>
    <w:rsid w:val="00FD7651"/>
    <w:rsid w:val="0123584C"/>
    <w:rsid w:val="012B1C39"/>
    <w:rsid w:val="013439C6"/>
    <w:rsid w:val="01B841E6"/>
    <w:rsid w:val="01E44B68"/>
    <w:rsid w:val="0201160A"/>
    <w:rsid w:val="02857679"/>
    <w:rsid w:val="02C1356F"/>
    <w:rsid w:val="03120DC1"/>
    <w:rsid w:val="042A106A"/>
    <w:rsid w:val="04503042"/>
    <w:rsid w:val="04722D72"/>
    <w:rsid w:val="047A5DAD"/>
    <w:rsid w:val="05133F7B"/>
    <w:rsid w:val="05782849"/>
    <w:rsid w:val="05925A9A"/>
    <w:rsid w:val="05AF76AE"/>
    <w:rsid w:val="05CE725F"/>
    <w:rsid w:val="05E47398"/>
    <w:rsid w:val="06141E47"/>
    <w:rsid w:val="063B7194"/>
    <w:rsid w:val="065A2827"/>
    <w:rsid w:val="071836A4"/>
    <w:rsid w:val="072B5291"/>
    <w:rsid w:val="07797F74"/>
    <w:rsid w:val="08002443"/>
    <w:rsid w:val="08314CF2"/>
    <w:rsid w:val="08323FEC"/>
    <w:rsid w:val="085D5AE7"/>
    <w:rsid w:val="08AD661F"/>
    <w:rsid w:val="091D420B"/>
    <w:rsid w:val="09231976"/>
    <w:rsid w:val="093F2ABC"/>
    <w:rsid w:val="096B5FE2"/>
    <w:rsid w:val="0A982D0F"/>
    <w:rsid w:val="0AEC1713"/>
    <w:rsid w:val="0AF80F8F"/>
    <w:rsid w:val="0B213EE8"/>
    <w:rsid w:val="0B2A4806"/>
    <w:rsid w:val="0B2F3756"/>
    <w:rsid w:val="0B57681E"/>
    <w:rsid w:val="0B9E39F1"/>
    <w:rsid w:val="0BF26C44"/>
    <w:rsid w:val="0C8E6853"/>
    <w:rsid w:val="0D270472"/>
    <w:rsid w:val="0D961154"/>
    <w:rsid w:val="0DBD7544"/>
    <w:rsid w:val="0E325320"/>
    <w:rsid w:val="0E4A4418"/>
    <w:rsid w:val="0E547045"/>
    <w:rsid w:val="0E7F212A"/>
    <w:rsid w:val="0F625791"/>
    <w:rsid w:val="0F6B6D3C"/>
    <w:rsid w:val="0F957915"/>
    <w:rsid w:val="10685029"/>
    <w:rsid w:val="1079177B"/>
    <w:rsid w:val="10EF349B"/>
    <w:rsid w:val="11001706"/>
    <w:rsid w:val="120510DA"/>
    <w:rsid w:val="12891287"/>
    <w:rsid w:val="12F530E2"/>
    <w:rsid w:val="130308CA"/>
    <w:rsid w:val="13725EDE"/>
    <w:rsid w:val="13B32A60"/>
    <w:rsid w:val="147A17CF"/>
    <w:rsid w:val="1525173B"/>
    <w:rsid w:val="153C6A85"/>
    <w:rsid w:val="15B268BB"/>
    <w:rsid w:val="15C0446A"/>
    <w:rsid w:val="15E839EB"/>
    <w:rsid w:val="15F01C71"/>
    <w:rsid w:val="167B61DA"/>
    <w:rsid w:val="168E11C7"/>
    <w:rsid w:val="170F61FF"/>
    <w:rsid w:val="171F0B4E"/>
    <w:rsid w:val="173901E9"/>
    <w:rsid w:val="17E05DED"/>
    <w:rsid w:val="17EB3771"/>
    <w:rsid w:val="181F6553"/>
    <w:rsid w:val="18414ADE"/>
    <w:rsid w:val="186043DF"/>
    <w:rsid w:val="18DA3421"/>
    <w:rsid w:val="18FE29CF"/>
    <w:rsid w:val="1910625E"/>
    <w:rsid w:val="19791440"/>
    <w:rsid w:val="198D3D53"/>
    <w:rsid w:val="1AA14F3E"/>
    <w:rsid w:val="1AA83E09"/>
    <w:rsid w:val="1B6B7995"/>
    <w:rsid w:val="1BE65325"/>
    <w:rsid w:val="1C02130A"/>
    <w:rsid w:val="1C752FA8"/>
    <w:rsid w:val="1CB63A74"/>
    <w:rsid w:val="1D2247B2"/>
    <w:rsid w:val="1D2C3D70"/>
    <w:rsid w:val="1DCE13A6"/>
    <w:rsid w:val="1E4379FE"/>
    <w:rsid w:val="1E6813A9"/>
    <w:rsid w:val="1ECE4F82"/>
    <w:rsid w:val="1EE5064C"/>
    <w:rsid w:val="1F232690"/>
    <w:rsid w:val="1F5B26D6"/>
    <w:rsid w:val="1F6007D8"/>
    <w:rsid w:val="206770AC"/>
    <w:rsid w:val="20EA2A0C"/>
    <w:rsid w:val="22082608"/>
    <w:rsid w:val="22965E6B"/>
    <w:rsid w:val="22A87B2E"/>
    <w:rsid w:val="22E4756A"/>
    <w:rsid w:val="22F917C9"/>
    <w:rsid w:val="234740E1"/>
    <w:rsid w:val="236A6D03"/>
    <w:rsid w:val="236F3345"/>
    <w:rsid w:val="23781A8E"/>
    <w:rsid w:val="23874BA3"/>
    <w:rsid w:val="247B2157"/>
    <w:rsid w:val="24F20F0E"/>
    <w:rsid w:val="25002F8D"/>
    <w:rsid w:val="254C061E"/>
    <w:rsid w:val="25546BA5"/>
    <w:rsid w:val="25550156"/>
    <w:rsid w:val="261F3F85"/>
    <w:rsid w:val="26655E3B"/>
    <w:rsid w:val="267D2FA7"/>
    <w:rsid w:val="269E134D"/>
    <w:rsid w:val="26D37563"/>
    <w:rsid w:val="276D1063"/>
    <w:rsid w:val="27D6235B"/>
    <w:rsid w:val="27DD0E3E"/>
    <w:rsid w:val="283B5A01"/>
    <w:rsid w:val="283D072F"/>
    <w:rsid w:val="285311F8"/>
    <w:rsid w:val="285C7E68"/>
    <w:rsid w:val="286B44D3"/>
    <w:rsid w:val="28C57065"/>
    <w:rsid w:val="291C049E"/>
    <w:rsid w:val="293F68AF"/>
    <w:rsid w:val="29973AC1"/>
    <w:rsid w:val="29D358D6"/>
    <w:rsid w:val="2A2953D2"/>
    <w:rsid w:val="2A4D3EAF"/>
    <w:rsid w:val="2A5276B0"/>
    <w:rsid w:val="2A6F2C28"/>
    <w:rsid w:val="2AB303AA"/>
    <w:rsid w:val="2AF552B4"/>
    <w:rsid w:val="2B17347C"/>
    <w:rsid w:val="2B762634"/>
    <w:rsid w:val="2C061FF9"/>
    <w:rsid w:val="2C5F332D"/>
    <w:rsid w:val="2D1B0C53"/>
    <w:rsid w:val="2D567383"/>
    <w:rsid w:val="2D6A0F15"/>
    <w:rsid w:val="2DF1140A"/>
    <w:rsid w:val="2E0F48DF"/>
    <w:rsid w:val="2E1B0C2F"/>
    <w:rsid w:val="2E352597"/>
    <w:rsid w:val="2E764B34"/>
    <w:rsid w:val="2F025775"/>
    <w:rsid w:val="2F563B1F"/>
    <w:rsid w:val="2F7013AD"/>
    <w:rsid w:val="2F8D0CD0"/>
    <w:rsid w:val="2FA0432F"/>
    <w:rsid w:val="2FA50B1C"/>
    <w:rsid w:val="2FCA119B"/>
    <w:rsid w:val="310E5321"/>
    <w:rsid w:val="314676E4"/>
    <w:rsid w:val="31721187"/>
    <w:rsid w:val="31C54436"/>
    <w:rsid w:val="32150ACC"/>
    <w:rsid w:val="32C424C8"/>
    <w:rsid w:val="335C76C1"/>
    <w:rsid w:val="33AD4708"/>
    <w:rsid w:val="34033A51"/>
    <w:rsid w:val="3412013D"/>
    <w:rsid w:val="3464452F"/>
    <w:rsid w:val="347B5013"/>
    <w:rsid w:val="34AC63E7"/>
    <w:rsid w:val="35286B09"/>
    <w:rsid w:val="35427B0F"/>
    <w:rsid w:val="36044FAD"/>
    <w:rsid w:val="36104FF7"/>
    <w:rsid w:val="364D39FB"/>
    <w:rsid w:val="36716C5B"/>
    <w:rsid w:val="36783969"/>
    <w:rsid w:val="36AA5E0A"/>
    <w:rsid w:val="3786381D"/>
    <w:rsid w:val="37D44BCF"/>
    <w:rsid w:val="38083993"/>
    <w:rsid w:val="38832CFA"/>
    <w:rsid w:val="38B45FB7"/>
    <w:rsid w:val="38C56C0D"/>
    <w:rsid w:val="38D8647A"/>
    <w:rsid w:val="392A544E"/>
    <w:rsid w:val="39AF4D5C"/>
    <w:rsid w:val="3A1273C6"/>
    <w:rsid w:val="3A4D1B8A"/>
    <w:rsid w:val="3A7502FA"/>
    <w:rsid w:val="3AE06945"/>
    <w:rsid w:val="3B446882"/>
    <w:rsid w:val="3C756255"/>
    <w:rsid w:val="3CA827C1"/>
    <w:rsid w:val="3CAD59EE"/>
    <w:rsid w:val="3CBA5115"/>
    <w:rsid w:val="3D056B6D"/>
    <w:rsid w:val="3D1C4922"/>
    <w:rsid w:val="3D540BF9"/>
    <w:rsid w:val="3D751F42"/>
    <w:rsid w:val="3DBF59D9"/>
    <w:rsid w:val="3E317086"/>
    <w:rsid w:val="3F2A5A1C"/>
    <w:rsid w:val="402266F3"/>
    <w:rsid w:val="405E6C0B"/>
    <w:rsid w:val="407056B1"/>
    <w:rsid w:val="408E72C3"/>
    <w:rsid w:val="408E7BCF"/>
    <w:rsid w:val="40B26236"/>
    <w:rsid w:val="40ED175B"/>
    <w:rsid w:val="411C52ED"/>
    <w:rsid w:val="4157061F"/>
    <w:rsid w:val="41681350"/>
    <w:rsid w:val="416F668A"/>
    <w:rsid w:val="419F6662"/>
    <w:rsid w:val="41A72D03"/>
    <w:rsid w:val="41BC55E0"/>
    <w:rsid w:val="420B7389"/>
    <w:rsid w:val="423563C7"/>
    <w:rsid w:val="425E5109"/>
    <w:rsid w:val="426D0C07"/>
    <w:rsid w:val="42C57370"/>
    <w:rsid w:val="430832B2"/>
    <w:rsid w:val="431762B8"/>
    <w:rsid w:val="43CB512D"/>
    <w:rsid w:val="43CC2324"/>
    <w:rsid w:val="44254A04"/>
    <w:rsid w:val="445769C9"/>
    <w:rsid w:val="44740DA7"/>
    <w:rsid w:val="454815E5"/>
    <w:rsid w:val="457C2033"/>
    <w:rsid w:val="46146ADE"/>
    <w:rsid w:val="46872BD3"/>
    <w:rsid w:val="46A95479"/>
    <w:rsid w:val="46F77B89"/>
    <w:rsid w:val="4743767B"/>
    <w:rsid w:val="47503B46"/>
    <w:rsid w:val="47E77823"/>
    <w:rsid w:val="48154BE8"/>
    <w:rsid w:val="488717E9"/>
    <w:rsid w:val="48E50A71"/>
    <w:rsid w:val="49726A4B"/>
    <w:rsid w:val="4AE7284A"/>
    <w:rsid w:val="4B1650A7"/>
    <w:rsid w:val="4B341D18"/>
    <w:rsid w:val="4B5D2CD5"/>
    <w:rsid w:val="4B6F49CF"/>
    <w:rsid w:val="4B9C1A50"/>
    <w:rsid w:val="4BB73B85"/>
    <w:rsid w:val="4BF478AD"/>
    <w:rsid w:val="4C003D8D"/>
    <w:rsid w:val="4C17384D"/>
    <w:rsid w:val="4C257A37"/>
    <w:rsid w:val="4C472193"/>
    <w:rsid w:val="4C82766A"/>
    <w:rsid w:val="4CB579C9"/>
    <w:rsid w:val="4CD36CBE"/>
    <w:rsid w:val="4CD6525A"/>
    <w:rsid w:val="4D2C6E03"/>
    <w:rsid w:val="4D50147C"/>
    <w:rsid w:val="4D64034B"/>
    <w:rsid w:val="4DD54DA5"/>
    <w:rsid w:val="4DDA060D"/>
    <w:rsid w:val="4DF50B78"/>
    <w:rsid w:val="4E6938E7"/>
    <w:rsid w:val="4E701DC0"/>
    <w:rsid w:val="4F006719"/>
    <w:rsid w:val="4F2E489B"/>
    <w:rsid w:val="4F5166AD"/>
    <w:rsid w:val="4F5D25FD"/>
    <w:rsid w:val="4FB41D44"/>
    <w:rsid w:val="50265D8C"/>
    <w:rsid w:val="50485D02"/>
    <w:rsid w:val="505A77E4"/>
    <w:rsid w:val="50BF6E81"/>
    <w:rsid w:val="51206F38"/>
    <w:rsid w:val="51396579"/>
    <w:rsid w:val="513F080C"/>
    <w:rsid w:val="515E50B1"/>
    <w:rsid w:val="51643181"/>
    <w:rsid w:val="51A04E60"/>
    <w:rsid w:val="52195BA8"/>
    <w:rsid w:val="52654DCD"/>
    <w:rsid w:val="52CD0741"/>
    <w:rsid w:val="52E15F9A"/>
    <w:rsid w:val="5306542C"/>
    <w:rsid w:val="533662E6"/>
    <w:rsid w:val="53390376"/>
    <w:rsid w:val="539D7E0F"/>
    <w:rsid w:val="53E61D59"/>
    <w:rsid w:val="549E4143"/>
    <w:rsid w:val="54B5309D"/>
    <w:rsid w:val="553813F1"/>
    <w:rsid w:val="558A2406"/>
    <w:rsid w:val="55BD7B2D"/>
    <w:rsid w:val="56493792"/>
    <w:rsid w:val="56B85046"/>
    <w:rsid w:val="57FE2E05"/>
    <w:rsid w:val="58417C95"/>
    <w:rsid w:val="58E42340"/>
    <w:rsid w:val="595D1EA9"/>
    <w:rsid w:val="59A73423"/>
    <w:rsid w:val="59BD150F"/>
    <w:rsid w:val="59CB361D"/>
    <w:rsid w:val="59CD5363"/>
    <w:rsid w:val="5A2E03D7"/>
    <w:rsid w:val="5AE0581C"/>
    <w:rsid w:val="5BE43388"/>
    <w:rsid w:val="5C9B365E"/>
    <w:rsid w:val="5CD53D28"/>
    <w:rsid w:val="5D2366CB"/>
    <w:rsid w:val="5D3331A6"/>
    <w:rsid w:val="5DA87520"/>
    <w:rsid w:val="5E135BA1"/>
    <w:rsid w:val="5E1D1079"/>
    <w:rsid w:val="5EDA6373"/>
    <w:rsid w:val="5EF07C91"/>
    <w:rsid w:val="5F96233B"/>
    <w:rsid w:val="601F4136"/>
    <w:rsid w:val="6033726D"/>
    <w:rsid w:val="6057789C"/>
    <w:rsid w:val="60B3541A"/>
    <w:rsid w:val="62C5683B"/>
    <w:rsid w:val="62F37D50"/>
    <w:rsid w:val="634A483E"/>
    <w:rsid w:val="636A11E6"/>
    <w:rsid w:val="636B6559"/>
    <w:rsid w:val="638D2353"/>
    <w:rsid w:val="63CB753E"/>
    <w:rsid w:val="63FD6A98"/>
    <w:rsid w:val="642B45E0"/>
    <w:rsid w:val="64604EAC"/>
    <w:rsid w:val="64740A1C"/>
    <w:rsid w:val="65843F9A"/>
    <w:rsid w:val="66457796"/>
    <w:rsid w:val="665F174A"/>
    <w:rsid w:val="66A5387A"/>
    <w:rsid w:val="66EC335E"/>
    <w:rsid w:val="67656B1B"/>
    <w:rsid w:val="67924711"/>
    <w:rsid w:val="67AE419D"/>
    <w:rsid w:val="67B22635"/>
    <w:rsid w:val="67B752D1"/>
    <w:rsid w:val="67F746C9"/>
    <w:rsid w:val="683769EB"/>
    <w:rsid w:val="68776D2D"/>
    <w:rsid w:val="687B73D6"/>
    <w:rsid w:val="68923B67"/>
    <w:rsid w:val="68DB72BC"/>
    <w:rsid w:val="68EB4DA6"/>
    <w:rsid w:val="695F613F"/>
    <w:rsid w:val="698C50B9"/>
    <w:rsid w:val="69D47128"/>
    <w:rsid w:val="6A714085"/>
    <w:rsid w:val="6ADE7537"/>
    <w:rsid w:val="6B0D5727"/>
    <w:rsid w:val="6B1B762C"/>
    <w:rsid w:val="6B221B0E"/>
    <w:rsid w:val="6B715688"/>
    <w:rsid w:val="6C7543E1"/>
    <w:rsid w:val="6C963B87"/>
    <w:rsid w:val="6CA96079"/>
    <w:rsid w:val="6CAC1F8A"/>
    <w:rsid w:val="6CB87914"/>
    <w:rsid w:val="6CC81EA4"/>
    <w:rsid w:val="6D3212BE"/>
    <w:rsid w:val="6D37776E"/>
    <w:rsid w:val="6D5835D1"/>
    <w:rsid w:val="6D714693"/>
    <w:rsid w:val="6E2434B3"/>
    <w:rsid w:val="6F450547"/>
    <w:rsid w:val="6FFC5967"/>
    <w:rsid w:val="700D7F77"/>
    <w:rsid w:val="704838FD"/>
    <w:rsid w:val="709119F6"/>
    <w:rsid w:val="70F85E07"/>
    <w:rsid w:val="71F7318A"/>
    <w:rsid w:val="721A3870"/>
    <w:rsid w:val="723D4B43"/>
    <w:rsid w:val="726447C6"/>
    <w:rsid w:val="72DB435C"/>
    <w:rsid w:val="73025D8D"/>
    <w:rsid w:val="73067955"/>
    <w:rsid w:val="739641CD"/>
    <w:rsid w:val="74C74814"/>
    <w:rsid w:val="75275C40"/>
    <w:rsid w:val="753923F0"/>
    <w:rsid w:val="75AB1C93"/>
    <w:rsid w:val="761B163F"/>
    <w:rsid w:val="76791A73"/>
    <w:rsid w:val="76810114"/>
    <w:rsid w:val="76E41762"/>
    <w:rsid w:val="7717316E"/>
    <w:rsid w:val="771E4452"/>
    <w:rsid w:val="773724A9"/>
    <w:rsid w:val="77514BED"/>
    <w:rsid w:val="77603777"/>
    <w:rsid w:val="77662B4B"/>
    <w:rsid w:val="777408D6"/>
    <w:rsid w:val="77901BB9"/>
    <w:rsid w:val="77C7479C"/>
    <w:rsid w:val="7808174F"/>
    <w:rsid w:val="783C589D"/>
    <w:rsid w:val="785C6251"/>
    <w:rsid w:val="788E3223"/>
    <w:rsid w:val="789675EF"/>
    <w:rsid w:val="78B869E4"/>
    <w:rsid w:val="78E06AB0"/>
    <w:rsid w:val="798E0318"/>
    <w:rsid w:val="7A1A7F05"/>
    <w:rsid w:val="7AD93877"/>
    <w:rsid w:val="7BAB5214"/>
    <w:rsid w:val="7BB35B1D"/>
    <w:rsid w:val="7BC12D50"/>
    <w:rsid w:val="7BFC0690"/>
    <w:rsid w:val="7C3C7968"/>
    <w:rsid w:val="7C43369E"/>
    <w:rsid w:val="7CC540BD"/>
    <w:rsid w:val="7CF340B6"/>
    <w:rsid w:val="7CF42F0C"/>
    <w:rsid w:val="7D267F44"/>
    <w:rsid w:val="7D423759"/>
    <w:rsid w:val="7D695F1A"/>
    <w:rsid w:val="7DD956AA"/>
    <w:rsid w:val="7DF23E0D"/>
    <w:rsid w:val="7DFE3170"/>
    <w:rsid w:val="7E207DCE"/>
    <w:rsid w:val="7E2D5B39"/>
    <w:rsid w:val="7E625D1A"/>
    <w:rsid w:val="7ED160D1"/>
    <w:rsid w:val="7EF26A8A"/>
    <w:rsid w:val="7EF716E0"/>
    <w:rsid w:val="7FA829A8"/>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4">
    <w:name w:val="heading 1"/>
    <w:basedOn w:val="1"/>
    <w:next w:val="1"/>
    <w:qFormat/>
    <w:uiPriority w:val="0"/>
    <w:pPr>
      <w:keepNext/>
      <w:keepLines/>
      <w:spacing w:line="360" w:lineRule="auto"/>
      <w:jc w:val="center"/>
      <w:outlineLvl w:val="0"/>
    </w:pPr>
    <w:rPr>
      <w:b/>
      <w:bCs/>
      <w:kern w:val="44"/>
      <w:sz w:val="44"/>
      <w:szCs w:val="44"/>
    </w:rPr>
  </w:style>
  <w:style w:type="paragraph" w:styleId="5">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spacing w:after="120"/>
      <w:ind w:left="420" w:leftChars="200"/>
    </w:pPr>
  </w:style>
  <w:style w:type="paragraph" w:styleId="7">
    <w:name w:val="Normal Indent"/>
    <w:basedOn w:val="1"/>
    <w:next w:val="1"/>
    <w:qFormat/>
    <w:uiPriority w:val="0"/>
    <w:pPr>
      <w:autoSpaceDE w:val="0"/>
      <w:autoSpaceDN w:val="0"/>
      <w:adjustRightInd w:val="0"/>
      <w:ind w:firstLine="420"/>
    </w:pPr>
    <w:rPr>
      <w:rFonts w:ascii="宋体"/>
      <w:szCs w:val="20"/>
    </w:rPr>
  </w:style>
  <w:style w:type="paragraph" w:styleId="8">
    <w:name w:val="toa heading"/>
    <w:basedOn w:val="1"/>
    <w:next w:val="1"/>
    <w:qFormat/>
    <w:uiPriority w:val="0"/>
    <w:pPr>
      <w:spacing w:before="120"/>
    </w:pPr>
    <w:rPr>
      <w:rFonts w:ascii="Cambria" w:hAnsi="Cambria"/>
      <w:szCs w:val="20"/>
    </w:rPr>
  </w:style>
  <w:style w:type="paragraph" w:styleId="9">
    <w:name w:val="annotation text"/>
    <w:basedOn w:val="1"/>
    <w:qFormat/>
    <w:uiPriority w:val="0"/>
  </w:style>
  <w:style w:type="paragraph" w:styleId="10">
    <w:name w:val="Body Text"/>
    <w:basedOn w:val="1"/>
    <w:next w:val="1"/>
    <w:qFormat/>
    <w:uiPriority w:val="99"/>
    <w:pPr>
      <w:numPr>
        <w:ilvl w:val="0"/>
        <w:numId w:val="1"/>
      </w:numPr>
      <w:tabs>
        <w:tab w:val="clear" w:pos="780"/>
      </w:tabs>
      <w:ind w:left="0" w:firstLine="0"/>
    </w:pPr>
    <w:rPr>
      <w:rFonts w:ascii="黑体" w:eastAsia="黑体"/>
      <w:sz w:val="22"/>
    </w:rPr>
  </w:style>
  <w:style w:type="paragraph" w:styleId="11">
    <w:name w:val="Body Text Indent"/>
    <w:basedOn w:val="1"/>
    <w:next w:val="12"/>
    <w:qFormat/>
    <w:uiPriority w:val="0"/>
    <w:pPr>
      <w:spacing w:after="120"/>
      <w:ind w:left="200" w:leftChars="200"/>
    </w:p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Plain Text"/>
    <w:basedOn w:val="1"/>
    <w:next w:val="14"/>
    <w:qFormat/>
    <w:uiPriority w:val="0"/>
    <w:rPr>
      <w:rFonts w:ascii="宋体"/>
      <w:szCs w:val="20"/>
      <w:u w:color="000000"/>
    </w:rPr>
  </w:style>
  <w:style w:type="paragraph" w:styleId="14">
    <w:name w:val="index 7"/>
    <w:basedOn w:val="1"/>
    <w:next w:val="1"/>
    <w:qFormat/>
    <w:uiPriority w:val="0"/>
    <w:pPr>
      <w:ind w:left="1200" w:leftChars="1200"/>
    </w:pPr>
    <w:rPr>
      <w:color w:val="auto"/>
      <w:kern w:val="2"/>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footnote text"/>
    <w:basedOn w:val="1"/>
    <w:semiHidden/>
    <w:unhideWhenUsed/>
    <w:qFormat/>
    <w:uiPriority w:val="99"/>
    <w:pPr>
      <w:snapToGrid w:val="0"/>
    </w:pPr>
    <w:rPr>
      <w:sz w:val="18"/>
      <w:szCs w:val="18"/>
    </w:rPr>
  </w:style>
  <w:style w:type="paragraph" w:styleId="18">
    <w:name w:val="Body Text 2"/>
    <w:basedOn w:val="1"/>
    <w:qFormat/>
    <w:uiPriority w:val="0"/>
    <w:pPr>
      <w:tabs>
        <w:tab w:val="left" w:pos="0"/>
      </w:tabs>
      <w:spacing w:line="400" w:lineRule="atLeast"/>
    </w:pPr>
    <w:rPr>
      <w:rFonts w:ascii="Arial" w:hAnsi="Arial"/>
    </w:rPr>
  </w:style>
  <w:style w:type="paragraph" w:styleId="19">
    <w:name w:val="Normal (Web)"/>
    <w:basedOn w:val="1"/>
    <w:next w:val="20"/>
    <w:qFormat/>
    <w:uiPriority w:val="99"/>
    <w:pPr>
      <w:widowControl/>
    </w:pPr>
    <w:rPr>
      <w:rFonts w:ascii="宋体" w:hAnsi="宋体" w:eastAsia="宋体" w:cs="宋体"/>
    </w:rPr>
  </w:style>
  <w:style w:type="paragraph" w:customStyle="1" w:styleId="2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1">
    <w:name w:val="Body Text First Indent"/>
    <w:basedOn w:val="10"/>
    <w:qFormat/>
    <w:uiPriority w:val="0"/>
    <w:pPr>
      <w:tabs>
        <w:tab w:val="left" w:pos="780"/>
      </w:tabs>
      <w:spacing w:line="360" w:lineRule="auto"/>
      <w:ind w:firstLine="200" w:firstLineChars="200"/>
    </w:pPr>
    <w:rPr>
      <w:rFonts w:ascii="仿宋_GB2312" w:eastAsia="仿宋_GB2312"/>
      <w:sz w:val="30"/>
      <w:szCs w:val="30"/>
    </w:rPr>
  </w:style>
  <w:style w:type="paragraph" w:styleId="22">
    <w:name w:val="Body Text First Indent 2"/>
    <w:basedOn w:val="11"/>
    <w:qFormat/>
    <w:uiPriority w:val="0"/>
    <w:pPr>
      <w:ind w:left="1588" w:leftChars="832" w:firstLine="433"/>
    </w:pPr>
    <w:rPr>
      <w:rFonts w:eastAsia="仿宋_GB2312"/>
      <w:spacing w:val="15"/>
      <w:kern w:val="1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HTML Definition"/>
    <w:basedOn w:val="25"/>
    <w:qFormat/>
    <w:uiPriority w:val="0"/>
  </w:style>
  <w:style w:type="character" w:styleId="29">
    <w:name w:val="HTML Typewriter"/>
    <w:basedOn w:val="25"/>
    <w:qFormat/>
    <w:uiPriority w:val="0"/>
    <w:rPr>
      <w:rFonts w:hint="default" w:ascii="monospace" w:hAnsi="monospace" w:eastAsia="monospace" w:cs="monospace"/>
      <w:sz w:val="20"/>
    </w:rPr>
  </w:style>
  <w:style w:type="character" w:styleId="30">
    <w:name w:val="HTML Acronym"/>
    <w:basedOn w:val="25"/>
    <w:qFormat/>
    <w:uiPriority w:val="0"/>
  </w:style>
  <w:style w:type="character" w:styleId="31">
    <w:name w:val="HTML Variable"/>
    <w:basedOn w:val="25"/>
    <w:qFormat/>
    <w:uiPriority w:val="0"/>
  </w:style>
  <w:style w:type="character" w:styleId="32">
    <w:name w:val="Hyperlink"/>
    <w:basedOn w:val="25"/>
    <w:qFormat/>
    <w:uiPriority w:val="99"/>
    <w:rPr>
      <w:color w:val="0000FF"/>
      <w:u w:val="single"/>
    </w:rPr>
  </w:style>
  <w:style w:type="character" w:styleId="33">
    <w:name w:val="HTML Code"/>
    <w:basedOn w:val="25"/>
    <w:qFormat/>
    <w:uiPriority w:val="0"/>
    <w:rPr>
      <w:rFonts w:hint="default" w:ascii="monospace" w:hAnsi="monospace" w:eastAsia="monospace" w:cs="monospace"/>
      <w:sz w:val="20"/>
    </w:rPr>
  </w:style>
  <w:style w:type="character" w:styleId="34">
    <w:name w:val="HTML Cite"/>
    <w:basedOn w:val="25"/>
    <w:qFormat/>
    <w:uiPriority w:val="0"/>
  </w:style>
  <w:style w:type="character" w:styleId="35">
    <w:name w:val="footnote reference"/>
    <w:basedOn w:val="25"/>
    <w:semiHidden/>
    <w:unhideWhenUsed/>
    <w:qFormat/>
    <w:uiPriority w:val="99"/>
    <w:rPr>
      <w:vertAlign w:val="superscript"/>
    </w:rPr>
  </w:style>
  <w:style w:type="character" w:styleId="36">
    <w:name w:val="HTML Keyboard"/>
    <w:basedOn w:val="25"/>
    <w:qFormat/>
    <w:uiPriority w:val="0"/>
    <w:rPr>
      <w:rFonts w:ascii="monospace" w:hAnsi="monospace" w:eastAsia="monospace" w:cs="monospace"/>
      <w:sz w:val="20"/>
    </w:rPr>
  </w:style>
  <w:style w:type="character" w:styleId="37">
    <w:name w:val="HTML Sample"/>
    <w:basedOn w:val="25"/>
    <w:qFormat/>
    <w:uiPriority w:val="0"/>
    <w:rPr>
      <w:rFonts w:hint="default" w:ascii="monospace" w:hAnsi="monospace" w:eastAsia="monospace" w:cs="monospace"/>
    </w:rPr>
  </w:style>
  <w:style w:type="paragraph" w:customStyle="1" w:styleId="38">
    <w:name w:val="标题 5（有编号）（绿盟科技）"/>
    <w:basedOn w:val="1"/>
    <w:next w:val="39"/>
    <w:qFormat/>
    <w:uiPriority w:val="0"/>
    <w:pPr>
      <w:keepNext/>
      <w:keepLines/>
      <w:numPr>
        <w:ilvl w:val="4"/>
        <w:numId w:val="2"/>
      </w:numPr>
      <w:spacing w:before="280" w:after="156" w:line="377" w:lineRule="auto"/>
      <w:outlineLvl w:val="4"/>
    </w:pPr>
    <w:rPr>
      <w:rFonts w:ascii="Arial" w:hAnsi="Arial" w:eastAsia="黑体"/>
      <w:b/>
      <w:szCs w:val="28"/>
    </w:rPr>
  </w:style>
  <w:style w:type="paragraph" w:customStyle="1" w:styleId="3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0">
    <w:name w:val="正文1"/>
    <w:basedOn w:val="1"/>
    <w:next w:val="1"/>
    <w:qFormat/>
    <w:uiPriority w:val="0"/>
    <w:pPr>
      <w:ind w:firstLine="880"/>
    </w:pPr>
    <w:rPr>
      <w:szCs w:val="20"/>
    </w:rPr>
  </w:style>
  <w:style w:type="paragraph" w:customStyle="1" w:styleId="41">
    <w:name w:val="正文格式"/>
    <w:basedOn w:val="1"/>
    <w:qFormat/>
    <w:uiPriority w:val="99"/>
    <w:pPr>
      <w:widowControl/>
      <w:adjustRightInd w:val="0"/>
      <w:snapToGrid w:val="0"/>
      <w:spacing w:line="400" w:lineRule="atLeast"/>
      <w:ind w:firstLine="482"/>
      <w:textAlignment w:val="baseline"/>
    </w:pPr>
  </w:style>
  <w:style w:type="paragraph" w:customStyle="1" w:styleId="42">
    <w:name w:val="文档正文"/>
    <w:basedOn w:val="7"/>
    <w:qFormat/>
    <w:uiPriority w:val="0"/>
    <w:pPr>
      <w:spacing w:line="360" w:lineRule="auto"/>
    </w:pPr>
    <w:rPr>
      <w:rFonts w:hAnsi="宋体"/>
      <w:b/>
      <w:bCs/>
    </w:rPr>
  </w:style>
  <w:style w:type="paragraph" w:customStyle="1" w:styleId="43">
    <w:name w:val="_Style 2"/>
    <w:basedOn w:val="4"/>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44">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45">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46">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7">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8">
    <w:name w:val="Table caption|1"/>
    <w:basedOn w:val="1"/>
    <w:qFormat/>
    <w:uiPriority w:val="0"/>
    <w:rPr>
      <w:rFonts w:ascii="宋体" w:hAnsi="宋体" w:eastAsia="宋体" w:cs="宋体"/>
      <w:sz w:val="22"/>
      <w:szCs w:val="22"/>
      <w:lang w:val="zh-TW" w:eastAsia="zh-TW" w:bidi="zh-TW"/>
    </w:rPr>
  </w:style>
  <w:style w:type="paragraph" w:customStyle="1" w:styleId="49">
    <w:name w:val="Table Paragraph"/>
    <w:basedOn w:val="1"/>
    <w:qFormat/>
    <w:uiPriority w:val="1"/>
    <w:pPr>
      <w:autoSpaceDE w:val="0"/>
      <w:autoSpaceDN w:val="0"/>
      <w:adjustRightInd w:val="0"/>
    </w:pPr>
    <w:rPr>
      <w:rFonts w:eastAsia="宋体"/>
    </w:rPr>
  </w:style>
  <w:style w:type="paragraph" w:customStyle="1" w:styleId="50">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51">
    <w:name w:val="图例"/>
    <w:basedOn w:val="1"/>
    <w:qFormat/>
    <w:uiPriority w:val="0"/>
    <w:pPr>
      <w:spacing w:before="120" w:after="120" w:line="360" w:lineRule="auto"/>
      <w:jc w:val="center"/>
    </w:pPr>
    <w:rPr>
      <w:rFonts w:eastAsia="仿宋_GB2312"/>
      <w:b/>
    </w:rPr>
  </w:style>
  <w:style w:type="paragraph" w:customStyle="1" w:styleId="52">
    <w:name w:val="WPS Plain"/>
    <w:qFormat/>
    <w:uiPriority w:val="0"/>
    <w:rPr>
      <w:rFonts w:ascii="Times New Roman" w:hAnsi="Times New Roman" w:eastAsia="宋体" w:cs="Times New Roman"/>
      <w:lang w:val="en-US" w:eastAsia="zh-CN" w:bidi="ar-SA"/>
    </w:rPr>
  </w:style>
  <w:style w:type="paragraph" w:customStyle="1" w:styleId="53">
    <w:name w:val="样式 左侧:  0 厘米 悬挂缩进: 2.5 字符"/>
    <w:basedOn w:val="1"/>
    <w:qFormat/>
    <w:uiPriority w:val="0"/>
    <w:pPr>
      <w:ind w:left="525" w:hanging="525" w:hangingChars="250"/>
    </w:pPr>
    <w:rPr>
      <w:szCs w:val="20"/>
    </w:rPr>
  </w:style>
  <w:style w:type="character" w:customStyle="1" w:styleId="54">
    <w:name w:val="font11"/>
    <w:basedOn w:val="25"/>
    <w:qFormat/>
    <w:uiPriority w:val="0"/>
    <w:rPr>
      <w:rFonts w:ascii="Calibri" w:hAnsi="Calibri" w:cs="Calibri"/>
      <w:color w:val="000000"/>
      <w:sz w:val="20"/>
      <w:szCs w:val="20"/>
      <w:u w:val="none"/>
    </w:rPr>
  </w:style>
  <w:style w:type="paragraph" w:customStyle="1" w:styleId="55">
    <w:name w:val="正文缩进1"/>
    <w:basedOn w:val="1"/>
    <w:qFormat/>
    <w:uiPriority w:val="0"/>
    <w:pPr>
      <w:autoSpaceDE w:val="0"/>
      <w:autoSpaceDN w:val="0"/>
      <w:ind w:firstLine="420" w:firstLineChars="200"/>
    </w:pPr>
    <w:rPr>
      <w:rFonts w:ascii="宋体" w:hAnsi="宋体" w:cs="宋体"/>
      <w:sz w:val="22"/>
      <w:szCs w:val="22"/>
      <w:lang w:val="zh-CN" w:bidi="zh-CN"/>
    </w:rPr>
  </w:style>
  <w:style w:type="paragraph" w:styleId="56">
    <w:name w:val="No Spacing"/>
    <w:qFormat/>
    <w:uiPriority w:val="1"/>
    <w:rPr>
      <w:rFonts w:ascii="Times New Roman" w:hAnsi="Times New Roman" w:eastAsia="宋体" w:cs="Times New Roman"/>
      <w:sz w:val="22"/>
      <w:szCs w:val="22"/>
      <w:lang w:val="en-US" w:eastAsia="zh-CN" w:bidi="ar-SA"/>
    </w:rPr>
  </w:style>
  <w:style w:type="character" w:customStyle="1" w:styleId="57">
    <w:name w:val="font21"/>
    <w:basedOn w:val="25"/>
    <w:qFormat/>
    <w:uiPriority w:val="0"/>
    <w:rPr>
      <w:rFonts w:hint="eastAsia" w:ascii="宋体" w:hAnsi="宋体" w:eastAsia="宋体" w:cs="宋体"/>
      <w:color w:val="000000"/>
      <w:sz w:val="21"/>
      <w:szCs w:val="21"/>
      <w:u w:val="none"/>
    </w:rPr>
  </w:style>
  <w:style w:type="character" w:customStyle="1" w:styleId="58">
    <w:name w:val="layui-layer-tabnow"/>
    <w:basedOn w:val="25"/>
    <w:qFormat/>
    <w:uiPriority w:val="0"/>
    <w:rPr>
      <w:bdr w:val="single" w:color="CCCCCC" w:sz="6" w:space="0"/>
      <w:shd w:val="clear" w:color="auto" w:fill="FFFFFF"/>
    </w:rPr>
  </w:style>
  <w:style w:type="character" w:customStyle="1" w:styleId="59">
    <w:name w:val="first-child"/>
    <w:basedOn w:val="25"/>
    <w:qFormat/>
    <w:uiPriority w:val="0"/>
  </w:style>
  <w:style w:type="character" w:customStyle="1" w:styleId="60">
    <w:name w:val="font61"/>
    <w:basedOn w:val="25"/>
    <w:qFormat/>
    <w:uiPriority w:val="0"/>
    <w:rPr>
      <w:rFonts w:hint="eastAsia" w:ascii="仿宋" w:hAnsi="仿宋" w:eastAsia="仿宋" w:cs="仿宋"/>
      <w:color w:val="000000"/>
      <w:sz w:val="16"/>
      <w:szCs w:val="16"/>
      <w:u w:val="none"/>
    </w:rPr>
  </w:style>
  <w:style w:type="paragraph" w:customStyle="1" w:styleId="6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Cs w:val="20"/>
    </w:rPr>
  </w:style>
  <w:style w:type="paragraph" w:customStyle="1" w:styleId="62">
    <w:name w:val="Heading3"/>
    <w:basedOn w:val="1"/>
    <w:next w:val="1"/>
    <w:qFormat/>
    <w:uiPriority w:val="0"/>
    <w:pPr>
      <w:keepNext/>
      <w:keepLines/>
      <w:spacing w:before="360" w:after="120"/>
      <w:textAlignment w:val="baseline"/>
    </w:pPr>
    <w:rPr>
      <w:rFonts w:ascii="宋体"/>
      <w:b/>
      <w:szCs w:val="20"/>
      <w:u w:val="single"/>
      <w:lang w:eastAsia="zh-CN" w:bidi="ar-SA"/>
    </w:rPr>
  </w:style>
  <w:style w:type="paragraph" w:customStyle="1" w:styleId="63">
    <w:name w:val="表名称"/>
    <w:basedOn w:val="7"/>
    <w:qFormat/>
    <w:uiPriority w:val="0"/>
    <w:pPr>
      <w:numPr>
        <w:ilvl w:val="0"/>
        <w:numId w:val="3"/>
      </w:numPr>
      <w:ind w:firstLine="0"/>
      <w:jc w:val="center"/>
    </w:pPr>
  </w:style>
  <w:style w:type="paragraph" w:customStyle="1" w:styleId="64">
    <w:name w:val="正文_3"/>
    <w:basedOn w:val="40"/>
    <w:qFormat/>
    <w:uiPriority w:val="0"/>
  </w:style>
  <w:style w:type="character" w:customStyle="1" w:styleId="65">
    <w:name w:val="font51"/>
    <w:basedOn w:val="25"/>
    <w:qFormat/>
    <w:uiPriority w:val="0"/>
    <w:rPr>
      <w:rFonts w:hint="eastAsia" w:ascii="黑体" w:hAnsi="宋体" w:eastAsia="黑体" w:cs="黑体"/>
      <w:color w:val="000000"/>
      <w:sz w:val="20"/>
      <w:szCs w:val="20"/>
      <w:u w:val="none"/>
    </w:rPr>
  </w:style>
  <w:style w:type="character" w:customStyle="1" w:styleId="66">
    <w:name w:val="font112"/>
    <w:basedOn w:val="25"/>
    <w:qFormat/>
    <w:uiPriority w:val="0"/>
    <w:rPr>
      <w:rFonts w:ascii="Symbol" w:hAnsi="Symbol" w:cs="Symbol"/>
      <w:color w:val="000000"/>
      <w:sz w:val="20"/>
      <w:szCs w:val="20"/>
      <w:u w:val="none"/>
    </w:rPr>
  </w:style>
  <w:style w:type="character" w:customStyle="1" w:styleId="67">
    <w:name w:val="font71"/>
    <w:basedOn w:val="25"/>
    <w:qFormat/>
    <w:uiPriority w:val="0"/>
    <w:rPr>
      <w:rFonts w:hint="eastAsia" w:ascii="黑体" w:hAnsi="宋体" w:eastAsia="黑体" w:cs="黑体"/>
      <w:color w:val="000000"/>
      <w:sz w:val="20"/>
      <w:szCs w:val="20"/>
      <w:u w:val="none"/>
    </w:rPr>
  </w:style>
  <w:style w:type="character" w:customStyle="1" w:styleId="68">
    <w:name w:val="font121"/>
    <w:basedOn w:val="25"/>
    <w:qFormat/>
    <w:uiPriority w:val="0"/>
    <w:rPr>
      <w:rFonts w:ascii="Arial" w:hAnsi="Arial" w:cs="Arial"/>
      <w:color w:val="000000"/>
      <w:sz w:val="20"/>
      <w:szCs w:val="20"/>
      <w:u w:val="none"/>
    </w:rPr>
  </w:style>
  <w:style w:type="character" w:customStyle="1" w:styleId="69">
    <w:name w:val="font131"/>
    <w:basedOn w:val="25"/>
    <w:qFormat/>
    <w:uiPriority w:val="0"/>
    <w:rPr>
      <w:rFonts w:ascii="方正仿宋_GBK" w:hAnsi="方正仿宋_GBK" w:eastAsia="方正仿宋_GBK" w:cs="方正仿宋_GBK"/>
      <w:color w:val="000000"/>
      <w:sz w:val="24"/>
      <w:szCs w:val="24"/>
      <w:u w:val="none"/>
    </w:rPr>
  </w:style>
  <w:style w:type="character" w:customStyle="1" w:styleId="70">
    <w:name w:val="font141"/>
    <w:basedOn w:val="25"/>
    <w:qFormat/>
    <w:uiPriority w:val="0"/>
    <w:rPr>
      <w:rFonts w:hint="eastAsia" w:ascii="宋体" w:hAnsi="宋体" w:eastAsia="宋体" w:cs="宋体"/>
      <w:color w:val="000000"/>
      <w:sz w:val="20"/>
      <w:szCs w:val="20"/>
      <w:u w:val="none"/>
    </w:rPr>
  </w:style>
  <w:style w:type="character" w:customStyle="1" w:styleId="71">
    <w:name w:val="font151"/>
    <w:basedOn w:val="25"/>
    <w:qFormat/>
    <w:uiPriority w:val="0"/>
    <w:rPr>
      <w:rFonts w:hint="eastAsia" w:ascii="宋体" w:hAnsi="宋体" w:eastAsia="宋体" w:cs="宋体"/>
      <w:color w:val="000000"/>
      <w:sz w:val="20"/>
      <w:szCs w:val="20"/>
      <w:u w:val="none"/>
    </w:rPr>
  </w:style>
  <w:style w:type="character" w:customStyle="1" w:styleId="72">
    <w:name w:val="font161"/>
    <w:basedOn w:val="25"/>
    <w:qFormat/>
    <w:uiPriority w:val="0"/>
    <w:rPr>
      <w:rFonts w:hint="default" w:ascii="Times New Roman" w:hAnsi="Times New Roman" w:cs="Times New Roman"/>
      <w:color w:val="000000"/>
      <w:sz w:val="20"/>
      <w:szCs w:val="20"/>
      <w:u w:val="none"/>
    </w:rPr>
  </w:style>
  <w:style w:type="character" w:customStyle="1" w:styleId="73">
    <w:name w:val="font31"/>
    <w:basedOn w:val="25"/>
    <w:qFormat/>
    <w:uiPriority w:val="0"/>
    <w:rPr>
      <w:rFonts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70856</Words>
  <Characters>79162</Characters>
  <Lines>648</Lines>
  <Paragraphs>182</Paragraphs>
  <TotalTime>28</TotalTime>
  <ScaleCrop>false</ScaleCrop>
  <LinksUpToDate>false</LinksUpToDate>
  <CharactersWithSpaces>86946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水仙花</cp:lastModifiedBy>
  <cp:lastPrinted>2023-08-04T02:28:00Z</cp:lastPrinted>
  <dcterms:modified xsi:type="dcterms:W3CDTF">2023-09-04T02:19:23Z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FDC25A18BCAB455DB4A761C565E4F536</vt:lpwstr>
  </property>
</Properties>
</file>