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8"/>
        <w:kinsoku w:val="0"/>
        <w:overflowPunct w:val="0"/>
        <w:spacing w:before="0"/>
        <w:ind w:left="0"/>
        <w:rPr>
          <w:rFonts w:hint="default" w:ascii="Times New Roman" w:eastAsia="Times New Roman" w:cs="Times New Roman"/>
          <w:color w:val="auto"/>
          <w:sz w:val="14"/>
          <w:szCs w:val="14"/>
        </w:rPr>
      </w:pPr>
    </w:p>
    <w:p>
      <w:pPr>
        <w:pStyle w:val="8"/>
        <w:kinsoku w:val="0"/>
        <w:overflowPunct w:val="0"/>
        <w:spacing w:before="0" w:line="817" w:lineRule="exact"/>
        <w:ind w:left="0" w:right="1"/>
        <w:jc w:val="center"/>
        <w:rPr>
          <w:rFonts w:hint="default"/>
          <w:color w:val="auto"/>
          <w:sz w:val="72"/>
          <w:szCs w:val="72"/>
        </w:rPr>
      </w:pPr>
      <w:r>
        <w:rPr>
          <w:color w:val="auto"/>
          <w:sz w:val="72"/>
          <w:szCs w:val="72"/>
        </w:rPr>
        <w:t>政府采购</w:t>
      </w:r>
    </w:p>
    <w:p>
      <w:pPr>
        <w:pStyle w:val="8"/>
        <w:kinsoku w:val="0"/>
        <w:overflowPunct w:val="0"/>
        <w:spacing w:before="0" w:line="939" w:lineRule="exact"/>
        <w:ind w:left="0" w:right="1"/>
        <w:jc w:val="center"/>
        <w:rPr>
          <w:rFonts w:hint="default"/>
          <w:color w:val="auto"/>
          <w:sz w:val="72"/>
          <w:szCs w:val="72"/>
        </w:rPr>
      </w:pPr>
      <w:r>
        <w:rPr>
          <w:color w:val="auto"/>
          <w:sz w:val="72"/>
          <w:szCs w:val="72"/>
        </w:rPr>
        <w:t>招标文件</w:t>
      </w:r>
    </w:p>
    <w:p>
      <w:pPr>
        <w:pStyle w:val="8"/>
        <w:kinsoku w:val="0"/>
        <w:overflowPunct w:val="0"/>
        <w:spacing w:before="0"/>
        <w:ind w:left="0"/>
        <w:rPr>
          <w:rFonts w:hint="default"/>
          <w:color w:val="auto"/>
          <w:sz w:val="20"/>
          <w:szCs w:val="20"/>
        </w:rPr>
      </w:pPr>
    </w:p>
    <w:p>
      <w:pPr>
        <w:pStyle w:val="8"/>
        <w:kinsoku w:val="0"/>
        <w:overflowPunct w:val="0"/>
        <w:spacing w:before="0"/>
        <w:ind w:left="0"/>
        <w:rPr>
          <w:rFonts w:hint="default"/>
          <w:color w:val="auto"/>
          <w:sz w:val="20"/>
          <w:szCs w:val="20"/>
        </w:rPr>
      </w:pPr>
    </w:p>
    <w:p>
      <w:pPr>
        <w:pStyle w:val="8"/>
        <w:kinsoku w:val="0"/>
        <w:overflowPunct w:val="0"/>
        <w:spacing w:before="0"/>
        <w:ind w:left="0"/>
        <w:rPr>
          <w:rFonts w:hint="default"/>
          <w:color w:val="auto"/>
          <w:sz w:val="20"/>
          <w:szCs w:val="20"/>
        </w:rPr>
      </w:pPr>
    </w:p>
    <w:p>
      <w:pPr>
        <w:pStyle w:val="8"/>
        <w:kinsoku w:val="0"/>
        <w:overflowPunct w:val="0"/>
        <w:spacing w:before="0"/>
        <w:ind w:left="0"/>
        <w:rPr>
          <w:rFonts w:hint="default"/>
          <w:color w:val="auto"/>
          <w:sz w:val="20"/>
          <w:szCs w:val="20"/>
        </w:rPr>
      </w:pPr>
    </w:p>
    <w:p>
      <w:pPr>
        <w:pStyle w:val="8"/>
        <w:kinsoku w:val="0"/>
        <w:overflowPunct w:val="0"/>
        <w:spacing w:before="0"/>
        <w:ind w:left="0"/>
        <w:rPr>
          <w:rFonts w:hint="default"/>
          <w:color w:val="auto"/>
          <w:sz w:val="20"/>
          <w:szCs w:val="20"/>
        </w:rPr>
      </w:pPr>
    </w:p>
    <w:p>
      <w:pPr>
        <w:pStyle w:val="8"/>
        <w:kinsoku w:val="0"/>
        <w:overflowPunct w:val="0"/>
        <w:spacing w:before="0"/>
        <w:ind w:left="0"/>
        <w:rPr>
          <w:rFonts w:hint="default"/>
          <w:color w:val="auto"/>
          <w:sz w:val="20"/>
          <w:szCs w:val="20"/>
        </w:rPr>
      </w:pPr>
    </w:p>
    <w:p>
      <w:pPr>
        <w:pStyle w:val="8"/>
        <w:kinsoku w:val="0"/>
        <w:overflowPunct w:val="0"/>
        <w:spacing w:before="0"/>
        <w:ind w:left="0"/>
        <w:rPr>
          <w:rFonts w:hint="default"/>
          <w:color w:val="auto"/>
          <w:sz w:val="20"/>
          <w:szCs w:val="20"/>
        </w:rPr>
      </w:pPr>
    </w:p>
    <w:p>
      <w:pPr>
        <w:pStyle w:val="8"/>
        <w:kinsoku w:val="0"/>
        <w:overflowPunct w:val="0"/>
        <w:spacing w:before="7"/>
        <w:ind w:left="0"/>
        <w:rPr>
          <w:rFonts w:hint="default"/>
          <w:color w:val="auto"/>
          <w:sz w:val="15"/>
          <w:szCs w:val="15"/>
        </w:rPr>
      </w:pPr>
    </w:p>
    <w:p>
      <w:pPr>
        <w:pStyle w:val="3"/>
        <w:kinsoku w:val="0"/>
        <w:overflowPunct w:val="0"/>
        <w:spacing w:line="480" w:lineRule="auto"/>
        <w:ind w:left="967"/>
        <w:rPr>
          <w:rFonts w:hint="default" w:ascii="宋体" w:eastAsia="宋体" w:cs="宋体"/>
          <w:b w:val="0"/>
          <w:color w:val="auto"/>
          <w:lang w:val="en-US" w:eastAsia="zh-CN"/>
        </w:rPr>
      </w:pPr>
      <w:r>
        <w:rPr>
          <w:rFonts w:ascii="宋体" w:eastAsia="宋体" w:cs="宋体"/>
          <w:color w:val="auto"/>
          <w:spacing w:val="-10"/>
        </w:rPr>
        <w:t>项目名称：</w:t>
      </w:r>
      <w:r>
        <w:rPr>
          <w:rFonts w:hint="eastAsia" w:ascii="宋体" w:eastAsia="宋体" w:cs="宋体"/>
          <w:color w:val="auto"/>
          <w:spacing w:val="-10"/>
          <w:lang w:eastAsia="zh-CN"/>
        </w:rPr>
        <w:t>尼勒克县人民医院临床及医技医疗设备购置项目（包二）</w:t>
      </w:r>
    </w:p>
    <w:p>
      <w:pPr>
        <w:pStyle w:val="8"/>
        <w:kinsoku w:val="0"/>
        <w:overflowPunct w:val="0"/>
        <w:spacing w:before="205" w:line="480" w:lineRule="auto"/>
        <w:ind w:left="967"/>
        <w:rPr>
          <w:rFonts w:hint="eastAsia" w:eastAsia="宋体"/>
          <w:color w:val="auto"/>
          <w:sz w:val="32"/>
          <w:szCs w:val="32"/>
          <w:lang w:eastAsia="zh-CN"/>
        </w:rPr>
      </w:pPr>
      <w:r>
        <w:rPr>
          <w:b/>
          <w:color w:val="auto"/>
          <w:sz w:val="32"/>
          <w:szCs w:val="32"/>
        </w:rPr>
        <w:t>分包编号：</w:t>
      </w:r>
      <w:r>
        <w:rPr>
          <w:rFonts w:hint="eastAsia"/>
          <w:b/>
          <w:color w:val="auto"/>
          <w:sz w:val="32"/>
          <w:szCs w:val="32"/>
          <w:lang w:eastAsia="zh-CN"/>
        </w:rPr>
        <w:t>SXZB-2023-208-2</w:t>
      </w:r>
    </w:p>
    <w:p>
      <w:pPr>
        <w:pStyle w:val="8"/>
        <w:kinsoku w:val="0"/>
        <w:overflowPunct w:val="0"/>
        <w:spacing w:before="205" w:line="480" w:lineRule="auto"/>
        <w:ind w:left="967"/>
        <w:rPr>
          <w:rFonts w:hint="default"/>
          <w:color w:val="auto"/>
          <w:sz w:val="32"/>
          <w:szCs w:val="32"/>
        </w:rPr>
      </w:pPr>
      <w:r>
        <w:rPr>
          <w:b/>
          <w:color w:val="auto"/>
          <w:sz w:val="32"/>
          <w:szCs w:val="32"/>
        </w:rPr>
        <w:t>采购代理机构：伊犁双信招投标代理有限责任公司</w:t>
      </w:r>
    </w:p>
    <w:p>
      <w:pPr>
        <w:pStyle w:val="8"/>
        <w:kinsoku w:val="0"/>
        <w:overflowPunct w:val="0"/>
        <w:spacing w:before="205" w:line="480" w:lineRule="auto"/>
        <w:ind w:left="679" w:leftChars="283" w:right="1" w:firstLine="321" w:firstLineChars="100"/>
        <w:rPr>
          <w:rFonts w:hint="default"/>
          <w:color w:val="auto"/>
          <w:sz w:val="32"/>
          <w:szCs w:val="32"/>
        </w:rPr>
      </w:pPr>
      <w:r>
        <w:rPr>
          <w:b/>
          <w:color w:val="auto"/>
          <w:sz w:val="32"/>
          <w:szCs w:val="32"/>
        </w:rPr>
        <w:t>日期：2023年</w:t>
      </w:r>
      <w:r>
        <w:rPr>
          <w:rFonts w:hint="eastAsia"/>
          <w:b/>
          <w:color w:val="auto"/>
          <w:sz w:val="32"/>
          <w:szCs w:val="32"/>
          <w:lang w:val="en-US" w:eastAsia="zh-CN"/>
        </w:rPr>
        <w:t>8</w:t>
      </w:r>
      <w:r>
        <w:rPr>
          <w:b/>
          <w:color w:val="auto"/>
          <w:sz w:val="32"/>
          <w:szCs w:val="32"/>
        </w:rPr>
        <w:t>月</w:t>
      </w:r>
      <w:r>
        <w:rPr>
          <w:rFonts w:hint="eastAsia"/>
          <w:b/>
          <w:color w:val="auto"/>
          <w:sz w:val="32"/>
          <w:szCs w:val="32"/>
          <w:lang w:val="en-US" w:eastAsia="zh-CN"/>
        </w:rPr>
        <w:t>31</w:t>
      </w:r>
      <w:r>
        <w:rPr>
          <w:b/>
          <w:color w:val="auto"/>
          <w:sz w:val="32"/>
          <w:szCs w:val="32"/>
        </w:rPr>
        <w:t>日</w:t>
      </w:r>
    </w:p>
    <w:p>
      <w:pPr>
        <w:pStyle w:val="8"/>
        <w:kinsoku w:val="0"/>
        <w:overflowPunct w:val="0"/>
        <w:spacing w:before="205" w:line="480" w:lineRule="auto"/>
        <w:ind w:left="680" w:right="1"/>
        <w:jc w:val="center"/>
        <w:rPr>
          <w:rFonts w:hint="default"/>
          <w:color w:val="auto"/>
          <w:sz w:val="32"/>
          <w:szCs w:val="32"/>
        </w:rPr>
        <w:sectPr>
          <w:footerReference r:id="rId3" w:type="default"/>
          <w:pgSz w:w="11910" w:h="16840"/>
          <w:pgMar w:top="1580" w:right="1680" w:bottom="1600" w:left="1680" w:header="0" w:footer="1415" w:gutter="0"/>
          <w:pgNumType w:start="1"/>
          <w:cols w:space="720" w:num="1"/>
        </w:sectPr>
      </w:pPr>
    </w:p>
    <w:p>
      <w:pPr>
        <w:pStyle w:val="6"/>
        <w:kinsoku w:val="0"/>
        <w:overflowPunct w:val="0"/>
        <w:spacing w:line="355" w:lineRule="exact"/>
        <w:ind w:left="474" w:right="1"/>
        <w:jc w:val="center"/>
        <w:rPr>
          <w:rFonts w:hint="default"/>
          <w:b w:val="0"/>
          <w:color w:val="auto"/>
        </w:rPr>
      </w:pPr>
      <w:r>
        <w:rPr>
          <w:color w:val="auto"/>
        </w:rPr>
        <w:t>目录</w:t>
      </w:r>
    </w:p>
    <w:p>
      <w:pPr>
        <w:pStyle w:val="8"/>
        <w:tabs>
          <w:tab w:val="right" w:leader="dot" w:pos="8421"/>
        </w:tabs>
        <w:kinsoku w:val="0"/>
        <w:overflowPunct w:val="0"/>
        <w:spacing w:before="260"/>
        <w:rPr>
          <w:rFonts w:hint="default" w:ascii="微软雅黑" w:eastAsia="微软雅黑" w:cs="微软雅黑"/>
          <w:color w:val="auto"/>
          <w:sz w:val="21"/>
          <w:szCs w:val="21"/>
        </w:rPr>
      </w:pPr>
      <w:r>
        <w:rPr>
          <w:b/>
          <w:color w:val="auto"/>
          <w:sz w:val="21"/>
          <w:szCs w:val="21"/>
        </w:rPr>
        <w:t>第一部分招标公告</w:t>
      </w:r>
      <w:r>
        <w:rPr>
          <w:rFonts w:ascii="Times New Roman" w:eastAsia="Times New Roman" w:cs="Times New Roman"/>
          <w:color w:val="auto"/>
          <w:sz w:val="21"/>
          <w:szCs w:val="21"/>
        </w:rPr>
        <w:tab/>
      </w:r>
      <w:r>
        <w:rPr>
          <w:rFonts w:ascii="微软雅黑" w:eastAsia="微软雅黑" w:cs="微软雅黑"/>
          <w:color w:val="auto"/>
          <w:sz w:val="21"/>
          <w:szCs w:val="21"/>
        </w:rPr>
        <w:t>4</w:t>
      </w:r>
    </w:p>
    <w:p>
      <w:pPr>
        <w:pStyle w:val="8"/>
        <w:tabs>
          <w:tab w:val="right" w:leader="dot" w:pos="8421"/>
        </w:tabs>
        <w:kinsoku w:val="0"/>
        <w:overflowPunct w:val="0"/>
        <w:spacing w:before="261"/>
        <w:rPr>
          <w:rFonts w:hint="default" w:ascii="微软雅黑" w:eastAsia="微软雅黑" w:cs="微软雅黑"/>
          <w:color w:val="auto"/>
          <w:sz w:val="21"/>
          <w:szCs w:val="21"/>
        </w:rPr>
      </w:pPr>
      <w:r>
        <w:rPr>
          <w:b/>
          <w:color w:val="auto"/>
          <w:sz w:val="21"/>
          <w:szCs w:val="21"/>
        </w:rPr>
        <w:t>第二部分</w:t>
      </w:r>
      <w:r>
        <w:rPr>
          <w:rFonts w:hint="eastAsia"/>
          <w:b/>
          <w:color w:val="auto"/>
          <w:sz w:val="21"/>
          <w:szCs w:val="21"/>
          <w:lang w:eastAsia="zh-CN"/>
        </w:rPr>
        <w:t>供应商</w:t>
      </w:r>
      <w:r>
        <w:rPr>
          <w:b/>
          <w:color w:val="auto"/>
          <w:sz w:val="21"/>
          <w:szCs w:val="21"/>
        </w:rPr>
        <w:t>须知</w:t>
      </w:r>
      <w:r>
        <w:rPr>
          <w:rFonts w:ascii="Times New Roman" w:eastAsia="Times New Roman" w:cs="Times New Roman"/>
          <w:color w:val="auto"/>
          <w:sz w:val="21"/>
          <w:szCs w:val="21"/>
        </w:rPr>
        <w:tab/>
      </w:r>
      <w:r>
        <w:rPr>
          <w:rFonts w:ascii="微软雅黑" w:eastAsia="微软雅黑" w:cs="微软雅黑"/>
          <w:color w:val="auto"/>
          <w:sz w:val="21"/>
          <w:szCs w:val="21"/>
        </w:rPr>
        <w:t>7</w:t>
      </w:r>
    </w:p>
    <w:p>
      <w:pPr>
        <w:pStyle w:val="8"/>
        <w:tabs>
          <w:tab w:val="right" w:leader="dot" w:pos="8297"/>
        </w:tabs>
        <w:kinsoku w:val="0"/>
        <w:overflowPunct w:val="0"/>
        <w:spacing w:before="261"/>
        <w:ind w:left="415"/>
        <w:rPr>
          <w:rFonts w:hint="default" w:ascii="微软雅黑" w:eastAsia="微软雅黑" w:cs="微软雅黑"/>
          <w:color w:val="auto"/>
          <w:sz w:val="21"/>
          <w:szCs w:val="21"/>
        </w:rPr>
      </w:pPr>
      <w:r>
        <w:rPr>
          <w:rFonts w:hint="eastAsia"/>
          <w:b/>
          <w:color w:val="auto"/>
          <w:sz w:val="21"/>
          <w:szCs w:val="21"/>
          <w:lang w:eastAsia="zh-CN"/>
        </w:rPr>
        <w:t>供应商</w:t>
      </w:r>
      <w:r>
        <w:rPr>
          <w:b/>
          <w:color w:val="auto"/>
          <w:sz w:val="21"/>
          <w:szCs w:val="21"/>
        </w:rPr>
        <w:t>须知正文部分</w:t>
      </w:r>
      <w:r>
        <w:rPr>
          <w:rFonts w:ascii="Times New Roman" w:eastAsia="Times New Roman" w:cs="Times New Roman"/>
          <w:color w:val="auto"/>
          <w:sz w:val="21"/>
          <w:szCs w:val="21"/>
        </w:rPr>
        <w:tab/>
      </w:r>
      <w:r>
        <w:rPr>
          <w:rFonts w:ascii="微软雅黑" w:eastAsia="微软雅黑" w:cs="微软雅黑"/>
          <w:color w:val="auto"/>
          <w:sz w:val="21"/>
          <w:szCs w:val="21"/>
        </w:rPr>
        <w:t>19</w:t>
      </w:r>
    </w:p>
    <w:p>
      <w:pPr>
        <w:pStyle w:val="8"/>
        <w:tabs>
          <w:tab w:val="right" w:leader="dot" w:pos="8421"/>
        </w:tabs>
        <w:kinsoku w:val="0"/>
        <w:overflowPunct w:val="0"/>
        <w:spacing w:before="261"/>
        <w:ind w:left="960"/>
        <w:rPr>
          <w:rFonts w:hint="default" w:ascii="微软雅黑" w:eastAsia="微软雅黑" w:cs="微软雅黑"/>
          <w:color w:val="auto"/>
          <w:sz w:val="21"/>
          <w:szCs w:val="21"/>
        </w:rPr>
      </w:pPr>
      <w:r>
        <w:rPr>
          <w:b/>
          <w:color w:val="auto"/>
          <w:sz w:val="21"/>
          <w:szCs w:val="21"/>
        </w:rPr>
        <w:t>一、总则</w:t>
      </w:r>
      <w:r>
        <w:rPr>
          <w:rFonts w:ascii="Times New Roman" w:eastAsia="Times New Roman" w:cs="Times New Roman"/>
          <w:color w:val="auto"/>
          <w:sz w:val="21"/>
          <w:szCs w:val="21"/>
        </w:rPr>
        <w:tab/>
      </w:r>
      <w:r>
        <w:rPr>
          <w:rFonts w:ascii="微软雅黑" w:eastAsia="微软雅黑" w:cs="微软雅黑"/>
          <w:color w:val="auto"/>
          <w:sz w:val="21"/>
          <w:szCs w:val="21"/>
        </w:rPr>
        <w:t>19</w:t>
      </w:r>
    </w:p>
    <w:p>
      <w:pPr>
        <w:pStyle w:val="8"/>
        <w:tabs>
          <w:tab w:val="right" w:leader="dot" w:pos="8419"/>
        </w:tabs>
        <w:kinsoku w:val="0"/>
        <w:overflowPunct w:val="0"/>
        <w:spacing w:before="261"/>
        <w:ind w:left="960"/>
        <w:rPr>
          <w:rFonts w:hint="default" w:ascii="微软雅黑" w:eastAsia="微软雅黑" w:cs="微软雅黑"/>
          <w:color w:val="auto"/>
          <w:sz w:val="21"/>
          <w:szCs w:val="21"/>
        </w:rPr>
      </w:pPr>
      <w:r>
        <w:rPr>
          <w:b/>
          <w:color w:val="auto"/>
          <w:sz w:val="21"/>
          <w:szCs w:val="21"/>
        </w:rPr>
        <w:t>二、招标文件</w:t>
      </w:r>
      <w:r>
        <w:rPr>
          <w:rFonts w:ascii="Times New Roman" w:eastAsia="Times New Roman" w:cs="Times New Roman"/>
          <w:color w:val="auto"/>
          <w:sz w:val="21"/>
          <w:szCs w:val="21"/>
        </w:rPr>
        <w:tab/>
      </w:r>
      <w:r>
        <w:rPr>
          <w:rFonts w:ascii="微软雅黑" w:eastAsia="微软雅黑" w:cs="微软雅黑"/>
          <w:color w:val="auto"/>
          <w:sz w:val="21"/>
          <w:szCs w:val="21"/>
        </w:rPr>
        <w:t>22</w:t>
      </w:r>
    </w:p>
    <w:p>
      <w:pPr>
        <w:pStyle w:val="8"/>
        <w:tabs>
          <w:tab w:val="right" w:leader="dot" w:pos="8419"/>
        </w:tabs>
        <w:kinsoku w:val="0"/>
        <w:overflowPunct w:val="0"/>
        <w:spacing w:before="261"/>
        <w:ind w:left="960"/>
        <w:rPr>
          <w:rFonts w:hint="default" w:ascii="微软雅黑" w:eastAsia="微软雅黑" w:cs="微软雅黑"/>
          <w:color w:val="auto"/>
          <w:sz w:val="21"/>
          <w:szCs w:val="21"/>
        </w:rPr>
      </w:pPr>
      <w:r>
        <w:rPr>
          <w:b/>
          <w:color w:val="auto"/>
          <w:sz w:val="21"/>
          <w:szCs w:val="21"/>
        </w:rPr>
        <w:t>三、投标文件</w:t>
      </w:r>
      <w:r>
        <w:rPr>
          <w:rFonts w:ascii="Times New Roman" w:eastAsia="Times New Roman" w:cs="Times New Roman"/>
          <w:color w:val="auto"/>
          <w:sz w:val="21"/>
          <w:szCs w:val="21"/>
        </w:rPr>
        <w:tab/>
      </w:r>
      <w:r>
        <w:rPr>
          <w:rFonts w:ascii="微软雅黑" w:eastAsia="微软雅黑" w:cs="微软雅黑"/>
          <w:color w:val="auto"/>
          <w:sz w:val="21"/>
          <w:szCs w:val="21"/>
        </w:rPr>
        <w:t>24</w:t>
      </w:r>
    </w:p>
    <w:p>
      <w:pPr>
        <w:pStyle w:val="8"/>
        <w:tabs>
          <w:tab w:val="right" w:leader="dot" w:pos="8419"/>
        </w:tabs>
        <w:kinsoku w:val="0"/>
        <w:overflowPunct w:val="0"/>
        <w:spacing w:before="261"/>
        <w:ind w:left="960"/>
        <w:rPr>
          <w:rFonts w:hint="default" w:ascii="微软雅黑" w:eastAsia="微软雅黑" w:cs="微软雅黑"/>
          <w:color w:val="auto"/>
          <w:sz w:val="21"/>
          <w:szCs w:val="21"/>
        </w:rPr>
      </w:pPr>
      <w:r>
        <w:rPr>
          <w:b/>
          <w:color w:val="auto"/>
          <w:sz w:val="21"/>
          <w:szCs w:val="21"/>
        </w:rPr>
        <w:t>四、投标保证金</w:t>
      </w:r>
      <w:r>
        <w:rPr>
          <w:rFonts w:ascii="Times New Roman" w:eastAsia="Times New Roman" w:cs="Times New Roman"/>
          <w:color w:val="auto"/>
          <w:sz w:val="21"/>
          <w:szCs w:val="21"/>
        </w:rPr>
        <w:tab/>
      </w:r>
      <w:r>
        <w:rPr>
          <w:rFonts w:ascii="微软雅黑" w:eastAsia="微软雅黑" w:cs="微软雅黑"/>
          <w:color w:val="auto"/>
          <w:sz w:val="21"/>
          <w:szCs w:val="21"/>
        </w:rPr>
        <w:t>28</w:t>
      </w:r>
    </w:p>
    <w:p>
      <w:pPr>
        <w:pStyle w:val="8"/>
        <w:tabs>
          <w:tab w:val="right" w:leader="dot" w:pos="8421"/>
        </w:tabs>
        <w:kinsoku w:val="0"/>
        <w:overflowPunct w:val="0"/>
        <w:spacing w:before="261"/>
        <w:ind w:left="960"/>
        <w:rPr>
          <w:rFonts w:hint="default" w:ascii="微软雅黑" w:eastAsia="微软雅黑" w:cs="微软雅黑"/>
          <w:color w:val="auto"/>
          <w:sz w:val="21"/>
          <w:szCs w:val="21"/>
        </w:rPr>
      </w:pPr>
      <w:r>
        <w:rPr>
          <w:b/>
          <w:color w:val="auto"/>
          <w:sz w:val="21"/>
          <w:szCs w:val="21"/>
        </w:rPr>
        <w:t>五、投标文件的递交</w:t>
      </w:r>
      <w:r>
        <w:rPr>
          <w:rFonts w:ascii="Times New Roman" w:eastAsia="Times New Roman" w:cs="Times New Roman"/>
          <w:color w:val="auto"/>
          <w:sz w:val="21"/>
          <w:szCs w:val="21"/>
        </w:rPr>
        <w:tab/>
      </w:r>
      <w:r>
        <w:rPr>
          <w:rFonts w:ascii="微软雅黑" w:eastAsia="微软雅黑" w:cs="微软雅黑"/>
          <w:color w:val="auto"/>
          <w:sz w:val="21"/>
          <w:szCs w:val="21"/>
        </w:rPr>
        <w:t>29</w:t>
      </w:r>
    </w:p>
    <w:p>
      <w:pPr>
        <w:pStyle w:val="8"/>
        <w:tabs>
          <w:tab w:val="right" w:leader="dot" w:pos="8421"/>
        </w:tabs>
        <w:kinsoku w:val="0"/>
        <w:overflowPunct w:val="0"/>
        <w:spacing w:before="261"/>
        <w:ind w:left="960"/>
        <w:rPr>
          <w:rFonts w:hint="default" w:ascii="微软雅黑" w:eastAsia="微软雅黑" w:cs="微软雅黑"/>
          <w:color w:val="auto"/>
          <w:sz w:val="21"/>
          <w:szCs w:val="21"/>
        </w:rPr>
      </w:pPr>
      <w:r>
        <w:rPr>
          <w:b/>
          <w:color w:val="auto"/>
          <w:sz w:val="21"/>
          <w:szCs w:val="21"/>
        </w:rPr>
        <w:t>六、开标</w:t>
      </w:r>
      <w:r>
        <w:rPr>
          <w:rFonts w:ascii="Times New Roman" w:eastAsia="Times New Roman" w:cs="Times New Roman"/>
          <w:color w:val="auto"/>
          <w:sz w:val="21"/>
          <w:szCs w:val="21"/>
        </w:rPr>
        <w:tab/>
      </w:r>
      <w:r>
        <w:rPr>
          <w:rFonts w:ascii="微软雅黑" w:eastAsia="微软雅黑" w:cs="微软雅黑"/>
          <w:color w:val="auto"/>
          <w:sz w:val="21"/>
          <w:szCs w:val="21"/>
        </w:rPr>
        <w:t>30</w:t>
      </w:r>
    </w:p>
    <w:p>
      <w:pPr>
        <w:pStyle w:val="8"/>
        <w:tabs>
          <w:tab w:val="right" w:leader="dot" w:pos="8421"/>
        </w:tabs>
        <w:kinsoku w:val="0"/>
        <w:overflowPunct w:val="0"/>
        <w:spacing w:before="261"/>
        <w:ind w:left="960"/>
        <w:rPr>
          <w:rFonts w:hint="default" w:ascii="微软雅黑" w:eastAsia="微软雅黑" w:cs="微软雅黑"/>
          <w:color w:val="auto"/>
          <w:sz w:val="21"/>
          <w:szCs w:val="21"/>
        </w:rPr>
      </w:pPr>
      <w:r>
        <w:rPr>
          <w:b/>
          <w:color w:val="auto"/>
          <w:sz w:val="21"/>
          <w:szCs w:val="21"/>
        </w:rPr>
        <w:t>七、评标步骤和要求</w:t>
      </w:r>
      <w:r>
        <w:rPr>
          <w:rFonts w:ascii="Times New Roman" w:eastAsia="Times New Roman" w:cs="Times New Roman"/>
          <w:color w:val="auto"/>
          <w:sz w:val="21"/>
          <w:szCs w:val="21"/>
        </w:rPr>
        <w:tab/>
      </w:r>
      <w:r>
        <w:rPr>
          <w:rFonts w:ascii="微软雅黑" w:eastAsia="微软雅黑" w:cs="微软雅黑"/>
          <w:color w:val="auto"/>
          <w:sz w:val="21"/>
          <w:szCs w:val="21"/>
        </w:rPr>
        <w:t>31</w:t>
      </w:r>
    </w:p>
    <w:p>
      <w:pPr>
        <w:pStyle w:val="8"/>
        <w:tabs>
          <w:tab w:val="right" w:leader="dot" w:pos="8419"/>
        </w:tabs>
        <w:kinsoku w:val="0"/>
        <w:overflowPunct w:val="0"/>
        <w:spacing w:before="261"/>
        <w:ind w:left="960"/>
        <w:rPr>
          <w:rFonts w:hint="default" w:ascii="微软雅黑" w:eastAsia="微软雅黑" w:cs="微软雅黑"/>
          <w:color w:val="auto"/>
          <w:sz w:val="21"/>
          <w:szCs w:val="21"/>
        </w:rPr>
      </w:pPr>
      <w:r>
        <w:rPr>
          <w:b/>
          <w:color w:val="auto"/>
          <w:sz w:val="21"/>
          <w:szCs w:val="21"/>
        </w:rPr>
        <w:t>八、履约保证金</w:t>
      </w:r>
      <w:r>
        <w:rPr>
          <w:rFonts w:ascii="Times New Roman" w:eastAsia="Times New Roman" w:cs="Times New Roman"/>
          <w:color w:val="auto"/>
          <w:sz w:val="21"/>
          <w:szCs w:val="21"/>
        </w:rPr>
        <w:tab/>
      </w:r>
      <w:r>
        <w:rPr>
          <w:rFonts w:ascii="微软雅黑" w:eastAsia="微软雅黑" w:cs="微软雅黑"/>
          <w:color w:val="auto"/>
          <w:sz w:val="21"/>
          <w:szCs w:val="21"/>
        </w:rPr>
        <w:t>35</w:t>
      </w:r>
    </w:p>
    <w:p>
      <w:pPr>
        <w:pStyle w:val="8"/>
        <w:tabs>
          <w:tab w:val="right" w:leader="dot" w:pos="8421"/>
        </w:tabs>
        <w:kinsoku w:val="0"/>
        <w:overflowPunct w:val="0"/>
        <w:spacing w:before="261"/>
        <w:ind w:left="960"/>
        <w:rPr>
          <w:rFonts w:hint="default" w:ascii="微软雅黑" w:eastAsia="微软雅黑" w:cs="微软雅黑"/>
          <w:color w:val="auto"/>
          <w:sz w:val="21"/>
          <w:szCs w:val="21"/>
        </w:rPr>
      </w:pPr>
      <w:r>
        <w:rPr>
          <w:b/>
          <w:color w:val="auto"/>
          <w:sz w:val="21"/>
          <w:szCs w:val="21"/>
        </w:rPr>
        <w:t>九、代理服务费、公证费</w:t>
      </w:r>
      <w:r>
        <w:rPr>
          <w:rFonts w:ascii="Times New Roman" w:eastAsia="Times New Roman" w:cs="Times New Roman"/>
          <w:color w:val="auto"/>
          <w:sz w:val="21"/>
          <w:szCs w:val="21"/>
        </w:rPr>
        <w:tab/>
      </w:r>
      <w:r>
        <w:rPr>
          <w:rFonts w:ascii="微软雅黑" w:eastAsia="微软雅黑" w:cs="微软雅黑"/>
          <w:color w:val="auto"/>
          <w:sz w:val="21"/>
          <w:szCs w:val="21"/>
        </w:rPr>
        <w:t>35</w:t>
      </w:r>
    </w:p>
    <w:p>
      <w:pPr>
        <w:pStyle w:val="8"/>
        <w:tabs>
          <w:tab w:val="right" w:leader="dot" w:pos="8421"/>
        </w:tabs>
        <w:kinsoku w:val="0"/>
        <w:overflowPunct w:val="0"/>
        <w:spacing w:before="261"/>
        <w:ind w:left="960"/>
        <w:rPr>
          <w:rFonts w:hint="default" w:ascii="微软雅黑" w:eastAsia="微软雅黑" w:cs="微软雅黑"/>
          <w:color w:val="auto"/>
          <w:sz w:val="21"/>
          <w:szCs w:val="21"/>
        </w:rPr>
      </w:pPr>
      <w:r>
        <w:rPr>
          <w:b/>
          <w:color w:val="auto"/>
          <w:sz w:val="21"/>
          <w:szCs w:val="21"/>
        </w:rPr>
        <w:t>十、签订、审核合同</w:t>
      </w:r>
      <w:r>
        <w:rPr>
          <w:rFonts w:ascii="Times New Roman" w:eastAsia="Times New Roman" w:cs="Times New Roman"/>
          <w:color w:val="auto"/>
          <w:sz w:val="21"/>
          <w:szCs w:val="21"/>
        </w:rPr>
        <w:tab/>
      </w:r>
      <w:r>
        <w:rPr>
          <w:rFonts w:ascii="微软雅黑" w:eastAsia="微软雅黑" w:cs="微软雅黑"/>
          <w:color w:val="auto"/>
          <w:sz w:val="21"/>
          <w:szCs w:val="21"/>
        </w:rPr>
        <w:t>35</w:t>
      </w:r>
    </w:p>
    <w:p>
      <w:pPr>
        <w:pStyle w:val="8"/>
        <w:tabs>
          <w:tab w:val="right" w:leader="dot" w:pos="8421"/>
        </w:tabs>
        <w:kinsoku w:val="0"/>
        <w:overflowPunct w:val="0"/>
        <w:spacing w:before="261"/>
        <w:ind w:left="960"/>
        <w:rPr>
          <w:rFonts w:hint="default" w:ascii="微软雅黑" w:eastAsia="微软雅黑" w:cs="微软雅黑"/>
          <w:color w:val="auto"/>
          <w:sz w:val="21"/>
          <w:szCs w:val="21"/>
        </w:rPr>
      </w:pPr>
      <w:r>
        <w:rPr>
          <w:b/>
          <w:color w:val="auto"/>
          <w:sz w:val="21"/>
          <w:szCs w:val="21"/>
        </w:rPr>
        <w:t>十一、处罚、询问和质疑</w:t>
      </w:r>
      <w:r>
        <w:rPr>
          <w:rFonts w:ascii="Times New Roman" w:eastAsia="Times New Roman" w:cs="Times New Roman"/>
          <w:color w:val="auto"/>
          <w:sz w:val="21"/>
          <w:szCs w:val="21"/>
        </w:rPr>
        <w:tab/>
      </w:r>
      <w:r>
        <w:rPr>
          <w:rFonts w:ascii="微软雅黑" w:eastAsia="微软雅黑" w:cs="微软雅黑"/>
          <w:color w:val="auto"/>
          <w:sz w:val="21"/>
          <w:szCs w:val="21"/>
        </w:rPr>
        <w:t>36</w:t>
      </w:r>
    </w:p>
    <w:p>
      <w:pPr>
        <w:pStyle w:val="8"/>
        <w:tabs>
          <w:tab w:val="right" w:leader="dot" w:pos="8421"/>
        </w:tabs>
        <w:kinsoku w:val="0"/>
        <w:overflowPunct w:val="0"/>
        <w:spacing w:before="261"/>
        <w:ind w:left="960"/>
        <w:rPr>
          <w:rFonts w:hint="default" w:ascii="微软雅黑" w:eastAsia="微软雅黑" w:cs="微软雅黑"/>
          <w:color w:val="auto"/>
          <w:sz w:val="21"/>
          <w:szCs w:val="21"/>
        </w:rPr>
      </w:pPr>
      <w:r>
        <w:rPr>
          <w:b/>
          <w:color w:val="auto"/>
          <w:sz w:val="21"/>
          <w:szCs w:val="21"/>
        </w:rPr>
        <w:t>十二、保密和披露</w:t>
      </w:r>
      <w:r>
        <w:rPr>
          <w:rFonts w:ascii="Times New Roman" w:eastAsia="Times New Roman" w:cs="Times New Roman"/>
          <w:color w:val="auto"/>
          <w:sz w:val="21"/>
          <w:szCs w:val="21"/>
        </w:rPr>
        <w:tab/>
      </w:r>
      <w:r>
        <w:rPr>
          <w:rFonts w:ascii="微软雅黑" w:eastAsia="微软雅黑" w:cs="微软雅黑"/>
          <w:color w:val="auto"/>
          <w:sz w:val="21"/>
          <w:szCs w:val="21"/>
        </w:rPr>
        <w:t>37</w:t>
      </w:r>
    </w:p>
    <w:p>
      <w:pPr>
        <w:pStyle w:val="8"/>
        <w:tabs>
          <w:tab w:val="right" w:leader="dot" w:pos="8419"/>
        </w:tabs>
        <w:kinsoku w:val="0"/>
        <w:overflowPunct w:val="0"/>
        <w:spacing w:before="261"/>
        <w:rPr>
          <w:rFonts w:hint="default" w:ascii="微软雅黑" w:eastAsia="微软雅黑" w:cs="微软雅黑"/>
          <w:color w:val="auto"/>
          <w:sz w:val="21"/>
          <w:szCs w:val="21"/>
        </w:rPr>
      </w:pPr>
      <w:r>
        <w:rPr>
          <w:b/>
          <w:color w:val="auto"/>
          <w:sz w:val="21"/>
          <w:szCs w:val="21"/>
        </w:rPr>
        <w:t>第三部分</w:t>
      </w:r>
      <w:r>
        <w:rPr>
          <w:b/>
          <w:color w:val="auto"/>
          <w:spacing w:val="-2"/>
          <w:sz w:val="21"/>
          <w:szCs w:val="21"/>
        </w:rPr>
        <w:t xml:space="preserve"> </w:t>
      </w:r>
      <w:r>
        <w:rPr>
          <w:b/>
          <w:color w:val="auto"/>
          <w:sz w:val="21"/>
          <w:szCs w:val="21"/>
        </w:rPr>
        <w:t>采购需求</w:t>
      </w:r>
      <w:r>
        <w:rPr>
          <w:rFonts w:ascii="Times New Roman" w:eastAsia="Times New Roman" w:cs="Times New Roman"/>
          <w:color w:val="auto"/>
          <w:sz w:val="21"/>
          <w:szCs w:val="21"/>
        </w:rPr>
        <w:tab/>
      </w:r>
      <w:r>
        <w:rPr>
          <w:rFonts w:ascii="微软雅黑" w:eastAsia="微软雅黑" w:cs="微软雅黑"/>
          <w:color w:val="auto"/>
          <w:sz w:val="21"/>
          <w:szCs w:val="21"/>
        </w:rPr>
        <w:t>39</w:t>
      </w:r>
    </w:p>
    <w:p>
      <w:pPr>
        <w:pStyle w:val="8"/>
        <w:tabs>
          <w:tab w:val="right" w:leader="dot" w:pos="8419"/>
        </w:tabs>
        <w:kinsoku w:val="0"/>
        <w:overflowPunct w:val="0"/>
        <w:spacing w:before="261"/>
        <w:rPr>
          <w:rFonts w:hint="default" w:ascii="微软雅黑" w:eastAsia="微软雅黑" w:cs="微软雅黑"/>
          <w:color w:val="auto"/>
          <w:sz w:val="21"/>
          <w:szCs w:val="21"/>
        </w:rPr>
      </w:pPr>
      <w:r>
        <w:rPr>
          <w:b/>
          <w:color w:val="auto"/>
          <w:sz w:val="21"/>
          <w:szCs w:val="21"/>
        </w:rPr>
        <w:t>第四部分</w:t>
      </w:r>
      <w:r>
        <w:rPr>
          <w:b/>
          <w:color w:val="auto"/>
          <w:spacing w:val="-2"/>
          <w:sz w:val="21"/>
          <w:szCs w:val="21"/>
        </w:rPr>
        <w:t xml:space="preserve"> </w:t>
      </w:r>
      <w:r>
        <w:rPr>
          <w:b/>
          <w:color w:val="auto"/>
          <w:sz w:val="21"/>
          <w:szCs w:val="21"/>
        </w:rPr>
        <w:t>评审方法（综合评标法）</w:t>
      </w:r>
      <w:r>
        <w:rPr>
          <w:rFonts w:ascii="Times New Roman" w:eastAsia="Times New Roman" w:cs="Times New Roman"/>
          <w:color w:val="auto"/>
          <w:sz w:val="21"/>
          <w:szCs w:val="21"/>
        </w:rPr>
        <w:tab/>
      </w:r>
      <w:r>
        <w:rPr>
          <w:rFonts w:ascii="微软雅黑" w:eastAsia="微软雅黑" w:cs="微软雅黑"/>
          <w:color w:val="auto"/>
          <w:sz w:val="21"/>
          <w:szCs w:val="21"/>
        </w:rPr>
        <w:t>55</w:t>
      </w:r>
    </w:p>
    <w:p>
      <w:pPr>
        <w:pStyle w:val="8"/>
        <w:tabs>
          <w:tab w:val="right" w:leader="dot" w:pos="8421"/>
        </w:tabs>
        <w:kinsoku w:val="0"/>
        <w:overflowPunct w:val="0"/>
        <w:spacing w:before="261"/>
        <w:rPr>
          <w:rFonts w:hint="default" w:ascii="微软雅黑" w:eastAsia="微软雅黑" w:cs="微软雅黑"/>
          <w:color w:val="auto"/>
          <w:sz w:val="21"/>
          <w:szCs w:val="21"/>
        </w:rPr>
      </w:pPr>
      <w:r>
        <w:rPr>
          <w:b/>
          <w:color w:val="auto"/>
          <w:sz w:val="21"/>
          <w:szCs w:val="21"/>
        </w:rPr>
        <w:t>第五部分</w:t>
      </w:r>
      <w:r>
        <w:rPr>
          <w:b/>
          <w:color w:val="auto"/>
          <w:spacing w:val="-2"/>
          <w:sz w:val="21"/>
          <w:szCs w:val="21"/>
        </w:rPr>
        <w:t xml:space="preserve"> </w:t>
      </w:r>
      <w:r>
        <w:rPr>
          <w:b/>
          <w:color w:val="auto"/>
          <w:sz w:val="21"/>
          <w:szCs w:val="21"/>
        </w:rPr>
        <w:t>政府采购合同</w:t>
      </w:r>
      <w:r>
        <w:rPr>
          <w:rFonts w:ascii="Times New Roman" w:eastAsia="Times New Roman" w:cs="Times New Roman"/>
          <w:color w:val="auto"/>
          <w:sz w:val="21"/>
          <w:szCs w:val="21"/>
        </w:rPr>
        <w:tab/>
      </w:r>
      <w:r>
        <w:rPr>
          <w:rFonts w:ascii="微软雅黑" w:eastAsia="微软雅黑" w:cs="微软雅黑"/>
          <w:color w:val="auto"/>
          <w:sz w:val="21"/>
          <w:szCs w:val="21"/>
        </w:rPr>
        <w:t>62</w:t>
      </w:r>
    </w:p>
    <w:p>
      <w:pPr>
        <w:pStyle w:val="8"/>
        <w:tabs>
          <w:tab w:val="right" w:leader="dot" w:pos="8421"/>
        </w:tabs>
        <w:kinsoku w:val="0"/>
        <w:overflowPunct w:val="0"/>
        <w:spacing w:before="261"/>
        <w:rPr>
          <w:rFonts w:hint="default" w:ascii="微软雅黑" w:eastAsia="微软雅黑" w:cs="微软雅黑"/>
          <w:color w:val="auto"/>
          <w:sz w:val="21"/>
          <w:szCs w:val="21"/>
        </w:rPr>
      </w:pPr>
      <w:r>
        <w:rPr>
          <w:b/>
          <w:color w:val="auto"/>
          <w:sz w:val="21"/>
          <w:szCs w:val="21"/>
        </w:rPr>
        <w:t>第六部分</w:t>
      </w:r>
      <w:r>
        <w:rPr>
          <w:b/>
          <w:color w:val="auto"/>
          <w:spacing w:val="-2"/>
          <w:sz w:val="21"/>
          <w:szCs w:val="21"/>
        </w:rPr>
        <w:t xml:space="preserve"> </w:t>
      </w:r>
      <w:r>
        <w:rPr>
          <w:b/>
          <w:color w:val="auto"/>
          <w:sz w:val="21"/>
          <w:szCs w:val="21"/>
        </w:rPr>
        <w:t>投标文件格式</w:t>
      </w:r>
      <w:r>
        <w:rPr>
          <w:rFonts w:ascii="Times New Roman" w:eastAsia="Times New Roman" w:cs="Times New Roman"/>
          <w:color w:val="auto"/>
          <w:sz w:val="21"/>
          <w:szCs w:val="21"/>
        </w:rPr>
        <w:tab/>
      </w:r>
      <w:r>
        <w:rPr>
          <w:rFonts w:ascii="微软雅黑" w:eastAsia="微软雅黑" w:cs="微软雅黑"/>
          <w:color w:val="auto"/>
          <w:sz w:val="21"/>
          <w:szCs w:val="21"/>
        </w:rPr>
        <w:t>62</w:t>
      </w:r>
    </w:p>
    <w:p>
      <w:pPr>
        <w:pStyle w:val="8"/>
        <w:tabs>
          <w:tab w:val="right" w:leader="dot" w:pos="8297"/>
        </w:tabs>
        <w:kinsoku w:val="0"/>
        <w:overflowPunct w:val="0"/>
        <w:spacing w:before="261"/>
        <w:ind w:left="415"/>
        <w:rPr>
          <w:rFonts w:hint="default" w:ascii="微软雅黑" w:eastAsia="微软雅黑" w:cs="微软雅黑"/>
          <w:color w:val="auto"/>
          <w:sz w:val="21"/>
          <w:szCs w:val="21"/>
        </w:rPr>
      </w:pPr>
      <w:r>
        <w:rPr>
          <w:rFonts w:ascii="微软雅黑" w:eastAsia="微软雅黑" w:cs="微软雅黑"/>
          <w:color w:val="auto"/>
          <w:sz w:val="21"/>
          <w:szCs w:val="21"/>
        </w:rPr>
        <w:t>一、投标文件格式</w:t>
      </w:r>
      <w:r>
        <w:rPr>
          <w:rFonts w:ascii="Times New Roman" w:eastAsia="Times New Roman" w:cs="Times New Roman"/>
          <w:color w:val="auto"/>
          <w:sz w:val="21"/>
          <w:szCs w:val="21"/>
        </w:rPr>
        <w:tab/>
      </w:r>
      <w:r>
        <w:rPr>
          <w:rFonts w:ascii="微软雅黑" w:eastAsia="微软雅黑" w:cs="微软雅黑"/>
          <w:color w:val="auto"/>
          <w:sz w:val="21"/>
          <w:szCs w:val="21"/>
        </w:rPr>
        <w:t>66</w:t>
      </w:r>
    </w:p>
    <w:p>
      <w:pPr>
        <w:pStyle w:val="8"/>
        <w:tabs>
          <w:tab w:val="right" w:leader="dot" w:pos="8297"/>
        </w:tabs>
        <w:kinsoku w:val="0"/>
        <w:overflowPunct w:val="0"/>
        <w:spacing w:before="261"/>
        <w:ind w:left="415"/>
        <w:rPr>
          <w:rFonts w:hint="default" w:ascii="微软雅黑" w:eastAsia="微软雅黑" w:cs="微软雅黑"/>
          <w:color w:val="auto"/>
          <w:sz w:val="21"/>
          <w:szCs w:val="21"/>
        </w:rPr>
      </w:pPr>
      <w:r>
        <w:rPr>
          <w:rFonts w:ascii="微软雅黑" w:eastAsia="微软雅黑" w:cs="微软雅黑"/>
          <w:color w:val="auto"/>
          <w:sz w:val="21"/>
          <w:szCs w:val="21"/>
        </w:rPr>
        <w:t>二、资格审查材料</w:t>
      </w:r>
      <w:r>
        <w:rPr>
          <w:rFonts w:ascii="Times New Roman" w:eastAsia="Times New Roman" w:cs="Times New Roman"/>
          <w:color w:val="auto"/>
          <w:sz w:val="21"/>
          <w:szCs w:val="21"/>
        </w:rPr>
        <w:tab/>
      </w:r>
      <w:r>
        <w:rPr>
          <w:rFonts w:ascii="微软雅黑" w:eastAsia="微软雅黑" w:cs="微软雅黑"/>
          <w:color w:val="auto"/>
          <w:sz w:val="21"/>
          <w:szCs w:val="21"/>
        </w:rPr>
        <w:t>68</w:t>
      </w:r>
    </w:p>
    <w:p>
      <w:pPr>
        <w:pStyle w:val="8"/>
        <w:tabs>
          <w:tab w:val="right" w:leader="dot" w:pos="8297"/>
        </w:tabs>
        <w:kinsoku w:val="0"/>
        <w:overflowPunct w:val="0"/>
        <w:spacing w:before="261"/>
        <w:ind w:left="415"/>
        <w:jc w:val="center"/>
        <w:rPr>
          <w:rFonts w:hint="default" w:ascii="微软雅黑" w:eastAsia="微软雅黑" w:cs="微软雅黑"/>
          <w:color w:val="auto"/>
          <w:sz w:val="21"/>
          <w:szCs w:val="21"/>
        </w:rPr>
        <w:sectPr>
          <w:pgSz w:w="11910" w:h="16840"/>
          <w:pgMar w:top="1520" w:right="1680" w:bottom="1600" w:left="1680" w:header="0" w:footer="1415" w:gutter="0"/>
          <w:cols w:space="720" w:num="1"/>
        </w:sectPr>
      </w:pPr>
    </w:p>
    <w:p>
      <w:pPr>
        <w:pStyle w:val="2"/>
        <w:tabs>
          <w:tab w:val="left" w:pos="4451"/>
        </w:tabs>
        <w:kinsoku w:val="0"/>
        <w:overflowPunct w:val="0"/>
        <w:spacing w:line="433" w:lineRule="exact"/>
        <w:ind w:left="2644"/>
        <w:rPr>
          <w:rFonts w:hint="default"/>
          <w:b w:val="0"/>
          <w:color w:val="auto"/>
        </w:rPr>
      </w:pPr>
      <w:bookmarkStart w:id="0" w:name="第一部分__招标公告"/>
      <w:bookmarkEnd w:id="0"/>
      <w:r>
        <w:rPr>
          <w:color w:val="auto"/>
          <w:w w:val="95"/>
        </w:rPr>
        <w:t>第一部分</w:t>
      </w:r>
      <w:r>
        <w:rPr>
          <w:color w:val="auto"/>
          <w:w w:val="95"/>
        </w:rPr>
        <w:tab/>
      </w:r>
      <w:r>
        <w:rPr>
          <w:color w:val="auto"/>
        </w:rPr>
        <w:t>招标公告</w:t>
      </w:r>
    </w:p>
    <w:p>
      <w:pPr>
        <w:pStyle w:val="8"/>
        <w:kinsoku w:val="0"/>
        <w:overflowPunct w:val="0"/>
        <w:spacing w:before="7"/>
        <w:ind w:left="0"/>
        <w:rPr>
          <w:rFonts w:hint="default"/>
          <w:b/>
          <w:color w:val="auto"/>
          <w:sz w:val="33"/>
          <w:szCs w:val="33"/>
        </w:rPr>
      </w:pPr>
    </w:p>
    <w:p>
      <w:pPr>
        <w:pStyle w:val="8"/>
        <w:kinsoku w:val="0"/>
        <w:overflowPunct w:val="0"/>
        <w:spacing w:before="0" w:line="312" w:lineRule="exact"/>
        <w:ind w:leftChars="50" w:right="117" w:firstLine="476" w:firstLineChars="200"/>
        <w:jc w:val="both"/>
        <w:rPr>
          <w:rFonts w:hint="default"/>
          <w:color w:val="auto"/>
        </w:rPr>
      </w:pPr>
      <w:r>
        <w:rPr>
          <w:color w:val="auto"/>
          <w:spacing w:val="-1"/>
        </w:rPr>
        <w:t>受伊</w:t>
      </w:r>
      <w:r>
        <w:rPr>
          <w:rFonts w:hint="eastAsia"/>
          <w:color w:val="auto"/>
          <w:spacing w:val="-1"/>
          <w:u w:val="single"/>
          <w:lang w:val="en-US" w:eastAsia="zh-CN"/>
        </w:rPr>
        <w:t xml:space="preserve"> </w:t>
      </w:r>
      <w:r>
        <w:rPr>
          <w:rFonts w:hint="eastAsia"/>
          <w:color w:val="auto"/>
          <w:spacing w:val="-1"/>
          <w:u w:val="single"/>
          <w:lang w:eastAsia="zh-CN"/>
        </w:rPr>
        <w:t>尼勒克县人民医院</w:t>
      </w:r>
      <w:r>
        <w:rPr>
          <w:color w:val="auto"/>
          <w:spacing w:val="-1"/>
          <w:u w:val="single"/>
        </w:rPr>
        <w:t xml:space="preserve"> </w:t>
      </w:r>
      <w:r>
        <w:rPr>
          <w:color w:val="auto"/>
          <w:spacing w:val="-1"/>
        </w:rPr>
        <w:t>委托，伊犁双信招投标代理有限责任公司</w:t>
      </w:r>
      <w:r>
        <w:rPr>
          <w:color w:val="auto"/>
          <w:spacing w:val="2"/>
        </w:rPr>
        <w:t>对</w:t>
      </w:r>
      <w:r>
        <w:rPr>
          <w:color w:val="auto"/>
          <w:spacing w:val="-47"/>
        </w:rPr>
        <w:t xml:space="preserve"> </w:t>
      </w:r>
      <w:r>
        <w:rPr>
          <w:rFonts w:hint="eastAsia"/>
          <w:color w:val="auto"/>
          <w:lang w:eastAsia="zh-CN"/>
        </w:rPr>
        <w:t>SXZB-2023-208-2</w:t>
      </w:r>
      <w:r>
        <w:rPr>
          <w:color w:val="auto"/>
        </w:rPr>
        <w:t>（项目编号）</w:t>
      </w:r>
      <w:r>
        <w:rPr>
          <w:rFonts w:hint="eastAsia"/>
          <w:color w:val="auto"/>
          <w:u w:val="single"/>
          <w:lang w:eastAsia="zh-CN"/>
        </w:rPr>
        <w:t>尼勒克县人民医院临床及医技医疗设备购置项目（包二）</w:t>
      </w:r>
      <w:r>
        <w:rPr>
          <w:color w:val="auto"/>
          <w:spacing w:val="-3"/>
        </w:rPr>
        <w:t>（项目名称）组织进行公开招标，现欢迎合格的</w:t>
      </w:r>
      <w:r>
        <w:rPr>
          <w:rFonts w:hint="eastAsia"/>
          <w:color w:val="auto"/>
          <w:spacing w:val="-3"/>
          <w:lang w:eastAsia="zh-CN"/>
        </w:rPr>
        <w:t>供应商</w:t>
      </w:r>
      <w:r>
        <w:rPr>
          <w:color w:val="auto"/>
          <w:spacing w:val="-113"/>
        </w:rPr>
        <w:t xml:space="preserve"> </w:t>
      </w:r>
      <w:r>
        <w:rPr>
          <w:color w:val="auto"/>
        </w:rPr>
        <w:t>前来投标。</w:t>
      </w:r>
    </w:p>
    <w:p>
      <w:pPr>
        <w:pStyle w:val="8"/>
        <w:kinsoku w:val="0"/>
        <w:overflowPunct w:val="0"/>
        <w:spacing w:before="46" w:line="357" w:lineRule="auto"/>
        <w:ind w:left="360" w:right="3646" w:hanging="240"/>
        <w:rPr>
          <w:rFonts w:hint="default"/>
          <w:b/>
          <w:color w:val="auto"/>
          <w:w w:val="99"/>
        </w:rPr>
      </w:pPr>
      <w:r>
        <w:rPr>
          <w:b/>
          <w:color w:val="auto"/>
        </w:rPr>
        <w:t>一、项目基本情况</w:t>
      </w:r>
      <w:r>
        <w:rPr>
          <w:b/>
          <w:color w:val="auto"/>
          <w:w w:val="99"/>
        </w:rPr>
        <w:t xml:space="preserve"> </w:t>
      </w:r>
    </w:p>
    <w:p>
      <w:pPr>
        <w:pStyle w:val="8"/>
        <w:kinsoku w:val="0"/>
        <w:overflowPunct w:val="0"/>
        <w:spacing w:before="46" w:line="357" w:lineRule="auto"/>
        <w:ind w:left="360" w:leftChars="150" w:right="3646"/>
        <w:rPr>
          <w:rFonts w:hint="eastAsia" w:eastAsia="宋体"/>
          <w:color w:val="auto"/>
          <w:lang w:eastAsia="zh-CN"/>
        </w:rPr>
      </w:pPr>
      <w:r>
        <w:rPr>
          <w:color w:val="auto"/>
        </w:rPr>
        <w:t>1、招标编号：</w:t>
      </w:r>
      <w:r>
        <w:rPr>
          <w:rFonts w:hint="eastAsia"/>
          <w:color w:val="auto"/>
          <w:lang w:eastAsia="zh-CN"/>
        </w:rPr>
        <w:t>SXZB-2023-208-2</w:t>
      </w:r>
    </w:p>
    <w:p>
      <w:pPr>
        <w:pStyle w:val="8"/>
        <w:kinsoku w:val="0"/>
        <w:overflowPunct w:val="0"/>
        <w:ind w:left="360"/>
        <w:rPr>
          <w:rFonts w:hint="default"/>
          <w:color w:val="auto"/>
        </w:rPr>
      </w:pPr>
      <w:r>
        <w:rPr>
          <w:color w:val="auto"/>
        </w:rPr>
        <w:t>2、项目名称：</w:t>
      </w:r>
      <w:r>
        <w:rPr>
          <w:rFonts w:hint="eastAsia"/>
          <w:color w:val="auto"/>
          <w:lang w:eastAsia="zh-CN"/>
        </w:rPr>
        <w:t>尼勒克县人民医院临床及医技医疗设备购置项目（包二）</w:t>
      </w:r>
      <w:r>
        <w:rPr>
          <w:color w:val="auto"/>
        </w:rPr>
        <w:t xml:space="preserve"> </w:t>
      </w:r>
    </w:p>
    <w:p>
      <w:pPr>
        <w:pStyle w:val="8"/>
        <w:kinsoku w:val="0"/>
        <w:overflowPunct w:val="0"/>
        <w:spacing w:before="154"/>
        <w:ind w:left="360"/>
        <w:rPr>
          <w:rFonts w:hint="default"/>
          <w:color w:val="auto"/>
        </w:rPr>
      </w:pPr>
      <w:r>
        <w:rPr>
          <w:color w:val="auto"/>
        </w:rPr>
        <w:t>3、采购方式：公开招标</w:t>
      </w:r>
    </w:p>
    <w:p>
      <w:pPr>
        <w:pStyle w:val="8"/>
        <w:kinsoku w:val="0"/>
        <w:overflowPunct w:val="0"/>
        <w:spacing w:before="154"/>
        <w:ind w:left="360"/>
        <w:rPr>
          <w:rFonts w:hint="default"/>
          <w:color w:val="auto"/>
        </w:rPr>
      </w:pPr>
      <w:r>
        <w:rPr>
          <w:color w:val="auto"/>
        </w:rPr>
        <w:t>4、项目地点：新疆伊犁州尼勒克县</w:t>
      </w:r>
    </w:p>
    <w:p>
      <w:pPr>
        <w:pStyle w:val="8"/>
        <w:kinsoku w:val="0"/>
        <w:overflowPunct w:val="0"/>
        <w:spacing w:before="154"/>
        <w:ind w:left="360"/>
        <w:rPr>
          <w:rFonts w:hint="default"/>
          <w:color w:val="auto"/>
        </w:rPr>
      </w:pPr>
      <w:r>
        <w:rPr>
          <w:rFonts w:hint="default"/>
          <w:color w:val="auto"/>
        </w:rPr>
        <w:t>5</w:t>
      </w:r>
      <w:r>
        <w:rPr>
          <w:color w:val="auto"/>
        </w:rPr>
        <w:t>、招标内容及要求：</w:t>
      </w:r>
    </w:p>
    <w:p>
      <w:pPr>
        <w:pStyle w:val="8"/>
        <w:kinsoku w:val="0"/>
        <w:overflowPunct w:val="0"/>
        <w:spacing w:before="9"/>
        <w:ind w:left="0"/>
        <w:rPr>
          <w:rFonts w:hint="default"/>
          <w:color w:val="auto"/>
          <w:sz w:val="8"/>
          <w:szCs w:val="8"/>
        </w:rPr>
      </w:pPr>
    </w:p>
    <w:tbl>
      <w:tblPr>
        <w:tblStyle w:val="17"/>
        <w:tblW w:w="0" w:type="auto"/>
        <w:tblInd w:w="100" w:type="dxa"/>
        <w:tblLayout w:type="fixed"/>
        <w:tblCellMar>
          <w:top w:w="0" w:type="dxa"/>
          <w:left w:w="0" w:type="dxa"/>
          <w:bottom w:w="0" w:type="dxa"/>
          <w:right w:w="0" w:type="dxa"/>
        </w:tblCellMar>
      </w:tblPr>
      <w:tblGrid>
        <w:gridCol w:w="876"/>
        <w:gridCol w:w="2116"/>
        <w:gridCol w:w="2862"/>
        <w:gridCol w:w="1559"/>
        <w:gridCol w:w="819"/>
      </w:tblGrid>
      <w:tr>
        <w:tblPrEx>
          <w:tblCellMar>
            <w:top w:w="0" w:type="dxa"/>
            <w:left w:w="0" w:type="dxa"/>
            <w:bottom w:w="0" w:type="dxa"/>
            <w:right w:w="0" w:type="dxa"/>
          </w:tblCellMar>
        </w:tblPrEx>
        <w:trPr>
          <w:trHeight w:val="886" w:hRule="exact"/>
        </w:trPr>
        <w:tc>
          <w:tcPr>
            <w:tcW w:w="876"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136"/>
              <w:ind w:left="192"/>
              <w:rPr>
                <w:rFonts w:hint="default" w:ascii="Times New Roman" w:eastAsia="Times New Roman"/>
                <w:color w:val="auto"/>
              </w:rPr>
            </w:pPr>
            <w:r>
              <w:rPr>
                <w:rFonts w:cs="宋体"/>
                <w:b/>
                <w:color w:val="auto"/>
              </w:rPr>
              <w:t>序号</w:t>
            </w:r>
          </w:p>
        </w:tc>
        <w:tc>
          <w:tcPr>
            <w:tcW w:w="2116"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159"/>
              <w:ind w:left="631"/>
              <w:rPr>
                <w:rFonts w:hint="default" w:ascii="Times New Roman" w:eastAsia="Times New Roman"/>
                <w:color w:val="auto"/>
              </w:rPr>
            </w:pPr>
            <w:r>
              <w:rPr>
                <w:rFonts w:cs="宋体"/>
                <w:b/>
                <w:color w:val="auto"/>
                <w:sz w:val="21"/>
                <w:szCs w:val="21"/>
              </w:rPr>
              <w:t>标项名称</w:t>
            </w:r>
          </w:p>
        </w:tc>
        <w:tc>
          <w:tcPr>
            <w:tcW w:w="2862"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159"/>
              <w:ind w:left="205"/>
              <w:jc w:val="center"/>
              <w:rPr>
                <w:rFonts w:hint="default" w:ascii="Times New Roman" w:eastAsia="Times New Roman"/>
                <w:color w:val="auto"/>
              </w:rPr>
            </w:pPr>
            <w:r>
              <w:rPr>
                <w:rFonts w:cs="宋体"/>
                <w:b/>
                <w:color w:val="auto"/>
                <w:sz w:val="21"/>
                <w:szCs w:val="21"/>
              </w:rPr>
              <w:t>简要要求描述</w:t>
            </w:r>
          </w:p>
        </w:tc>
        <w:tc>
          <w:tcPr>
            <w:tcW w:w="1559"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159"/>
              <w:ind w:left="72"/>
              <w:rPr>
                <w:rFonts w:hint="default" w:ascii="Times New Roman" w:eastAsia="Times New Roman"/>
                <w:color w:val="auto"/>
              </w:rPr>
            </w:pPr>
            <w:r>
              <w:rPr>
                <w:rFonts w:cs="宋体"/>
                <w:b/>
                <w:color w:val="auto"/>
                <w:sz w:val="21"/>
                <w:szCs w:val="21"/>
              </w:rPr>
              <w:t>预算金额（元）</w:t>
            </w:r>
          </w:p>
        </w:tc>
        <w:tc>
          <w:tcPr>
            <w:tcW w:w="819"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159"/>
              <w:ind w:right="1"/>
              <w:jc w:val="center"/>
              <w:rPr>
                <w:rFonts w:hint="default" w:ascii="Times New Roman" w:eastAsia="Times New Roman"/>
                <w:color w:val="auto"/>
              </w:rPr>
            </w:pPr>
            <w:r>
              <w:rPr>
                <w:rFonts w:cs="宋体"/>
                <w:b/>
                <w:color w:val="auto"/>
                <w:sz w:val="21"/>
                <w:szCs w:val="21"/>
              </w:rPr>
              <w:t>备注</w:t>
            </w:r>
          </w:p>
        </w:tc>
      </w:tr>
      <w:tr>
        <w:tblPrEx>
          <w:tblCellMar>
            <w:top w:w="0" w:type="dxa"/>
            <w:left w:w="0" w:type="dxa"/>
            <w:bottom w:w="0" w:type="dxa"/>
            <w:right w:w="0" w:type="dxa"/>
          </w:tblCellMar>
        </w:tblPrEx>
        <w:trPr>
          <w:trHeight w:val="2032" w:hRule="exact"/>
        </w:trPr>
        <w:tc>
          <w:tcPr>
            <w:tcW w:w="87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1"/>
              <w:kinsoku w:val="0"/>
              <w:overflowPunct w:val="0"/>
              <w:spacing w:before="5"/>
              <w:jc w:val="center"/>
              <w:rPr>
                <w:rFonts w:hint="default" w:cs="宋体"/>
                <w:color w:val="auto"/>
                <w:sz w:val="21"/>
                <w:szCs w:val="21"/>
              </w:rPr>
            </w:pPr>
          </w:p>
          <w:p>
            <w:pPr>
              <w:pStyle w:val="21"/>
              <w:kinsoku w:val="0"/>
              <w:overflowPunct w:val="0"/>
              <w:ind w:right="1"/>
              <w:jc w:val="center"/>
              <w:rPr>
                <w:rFonts w:hint="default" w:ascii="Times New Roman" w:eastAsia="Times New Roman"/>
                <w:color w:val="auto"/>
              </w:rPr>
            </w:pPr>
            <w:r>
              <w:rPr>
                <w:rFonts w:cs="宋体"/>
                <w:color w:val="auto"/>
              </w:rPr>
              <w:t>1</w:t>
            </w:r>
          </w:p>
        </w:tc>
        <w:tc>
          <w:tcPr>
            <w:tcW w:w="2116"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hint="eastAsia" w:eastAsia="宋体"/>
                <w:color w:val="auto"/>
                <w:lang w:eastAsia="zh-CN"/>
              </w:rPr>
            </w:pPr>
            <w:r>
              <w:rPr>
                <w:rFonts w:hint="eastAsia"/>
                <w:color w:val="auto"/>
                <w:lang w:eastAsia="zh-CN"/>
              </w:rPr>
              <w:t>尼勒克县人民医院临床及医技医疗设备购置项目（包二）</w:t>
            </w:r>
          </w:p>
        </w:tc>
        <w:tc>
          <w:tcPr>
            <w:tcW w:w="2862"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1"/>
              <w:kinsoku w:val="0"/>
              <w:overflowPunct w:val="0"/>
              <w:spacing w:before="154" w:line="312" w:lineRule="exact"/>
              <w:ind w:left="118" w:right="115"/>
              <w:rPr>
                <w:rFonts w:hint="default" w:ascii="Times New Roman" w:eastAsia="Times New Roman"/>
                <w:color w:val="auto"/>
              </w:rPr>
            </w:pPr>
            <w:r>
              <w:rPr>
                <w:rFonts w:hint="eastAsia"/>
                <w:color w:val="auto"/>
                <w:lang w:eastAsia="zh-CN"/>
              </w:rPr>
              <w:t>采购关节镜系统（</w:t>
            </w:r>
            <w:r>
              <w:rPr>
                <w:rFonts w:cs="宋体"/>
                <w:color w:val="auto"/>
              </w:rPr>
              <w:t>具体详见招标文件采购需求</w:t>
            </w:r>
            <w:r>
              <w:rPr>
                <w:rFonts w:hint="eastAsia"/>
                <w:color w:val="auto"/>
                <w:lang w:eastAsia="zh-CN"/>
              </w:rPr>
              <w:t>）</w:t>
            </w:r>
          </w:p>
        </w:tc>
        <w:tc>
          <w:tcPr>
            <w:tcW w:w="155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1"/>
              <w:kinsoku w:val="0"/>
              <w:overflowPunct w:val="0"/>
              <w:jc w:val="center"/>
              <w:rPr>
                <w:rFonts w:hint="eastAsia" w:ascii="Times New Roman" w:eastAsia="宋体"/>
                <w:color w:val="auto"/>
                <w:sz w:val="18"/>
                <w:szCs w:val="18"/>
                <w:lang w:eastAsia="zh-CN"/>
              </w:rPr>
            </w:pPr>
            <w:r>
              <w:rPr>
                <w:rFonts w:hint="eastAsia" w:cs="宋体"/>
                <w:color w:val="auto"/>
                <w:lang w:eastAsia="zh-CN"/>
              </w:rPr>
              <w:t>1300000.00</w:t>
            </w:r>
          </w:p>
        </w:tc>
        <w:tc>
          <w:tcPr>
            <w:tcW w:w="819" w:type="dxa"/>
            <w:tcBorders>
              <w:top w:val="single" w:color="000000" w:sz="4" w:space="0"/>
              <w:left w:val="single" w:color="000000" w:sz="4" w:space="0"/>
              <w:bottom w:val="single" w:color="000000" w:sz="4" w:space="0"/>
              <w:right w:val="single" w:color="000000" w:sz="4" w:space="0"/>
              <w:tl2br w:val="nil"/>
              <w:tr2bl w:val="nil"/>
            </w:tcBorders>
            <w:vAlign w:val="center"/>
          </w:tcPr>
          <w:p>
            <w:pPr>
              <w:rPr>
                <w:rFonts w:hint="default" w:ascii="Times New Roman" w:eastAsia="Times New Roman"/>
                <w:color w:val="auto"/>
              </w:rPr>
            </w:pPr>
          </w:p>
        </w:tc>
      </w:tr>
    </w:tbl>
    <w:p>
      <w:pPr>
        <w:pStyle w:val="8"/>
        <w:kinsoku w:val="0"/>
        <w:overflowPunct w:val="0"/>
        <w:spacing w:before="42"/>
        <w:ind w:left="360"/>
        <w:rPr>
          <w:rFonts w:hint="default"/>
          <w:color w:val="auto"/>
        </w:rPr>
      </w:pPr>
      <w:r>
        <w:rPr>
          <w:color w:val="auto"/>
        </w:rPr>
        <w:t>5、合同履约期限: 签订合同</w:t>
      </w:r>
      <w:r>
        <w:rPr>
          <w:rFonts w:hint="eastAsia"/>
          <w:color w:val="auto"/>
          <w:lang w:val="en-US" w:eastAsia="zh-CN"/>
        </w:rPr>
        <w:t>后</w:t>
      </w:r>
      <w:r>
        <w:rPr>
          <w:color w:val="auto"/>
        </w:rPr>
        <w:t>30日内到货并安装完毕</w:t>
      </w:r>
    </w:p>
    <w:p>
      <w:pPr>
        <w:pStyle w:val="8"/>
        <w:kinsoku w:val="0"/>
        <w:overflowPunct w:val="0"/>
        <w:spacing w:before="154" w:line="357" w:lineRule="auto"/>
        <w:ind w:right="3646" w:firstLine="240"/>
        <w:rPr>
          <w:rFonts w:hint="default"/>
          <w:b/>
          <w:color w:val="auto"/>
        </w:rPr>
      </w:pPr>
      <w:r>
        <w:rPr>
          <w:color w:val="auto"/>
        </w:rPr>
        <w:t>6、本项目（是/否）接受联合体投标:否</w:t>
      </w:r>
    </w:p>
    <w:p>
      <w:pPr>
        <w:pStyle w:val="8"/>
        <w:kinsoku w:val="0"/>
        <w:overflowPunct w:val="0"/>
        <w:spacing w:before="154" w:line="357" w:lineRule="auto"/>
        <w:ind w:right="3646" w:firstLine="240"/>
        <w:rPr>
          <w:rFonts w:hint="default"/>
          <w:color w:val="auto"/>
        </w:rPr>
      </w:pPr>
      <w:r>
        <w:rPr>
          <w:b/>
          <w:color w:val="auto"/>
        </w:rPr>
        <w:t>二、申请人的资格要求：</w:t>
      </w:r>
    </w:p>
    <w:p>
      <w:pPr>
        <w:widowControl/>
        <w:autoSpaceDE/>
        <w:autoSpaceDN/>
        <w:adjustRightInd/>
        <w:spacing w:before="75" w:after="75" w:line="358" w:lineRule="auto"/>
        <w:ind w:firstLine="539"/>
        <w:rPr>
          <w:rFonts w:cs="宋体"/>
          <w:color w:val="auto"/>
        </w:rPr>
      </w:pPr>
      <w:r>
        <w:rPr>
          <w:rFonts w:cs="宋体"/>
          <w:color w:val="auto"/>
        </w:rPr>
        <w:t>(1)符合《中华人民共和国政府采购法》第二十二条规定条件，并提供《中华人民共和国政府采购法实施条例》第十七条规定提供的证明材料；</w:t>
      </w:r>
    </w:p>
    <w:p>
      <w:pPr>
        <w:widowControl/>
        <w:autoSpaceDE/>
        <w:autoSpaceDN/>
        <w:adjustRightInd/>
        <w:spacing w:before="75" w:after="75" w:line="358" w:lineRule="auto"/>
        <w:ind w:firstLine="539"/>
        <w:rPr>
          <w:rFonts w:hint="default" w:cs="宋体"/>
          <w:color w:val="auto"/>
        </w:rPr>
      </w:pPr>
      <w:r>
        <w:rPr>
          <w:rFonts w:cs="宋体"/>
          <w:color w:val="auto"/>
        </w:rPr>
        <w:t>①具有独立承担民事责任的能力；</w:t>
      </w:r>
    </w:p>
    <w:p>
      <w:pPr>
        <w:widowControl/>
        <w:autoSpaceDE/>
        <w:autoSpaceDN/>
        <w:adjustRightInd/>
        <w:spacing w:before="75" w:after="75" w:line="358" w:lineRule="auto"/>
        <w:ind w:firstLine="539"/>
        <w:rPr>
          <w:rFonts w:hint="default" w:cs="宋体"/>
          <w:color w:val="auto"/>
        </w:rPr>
      </w:pPr>
      <w:r>
        <w:rPr>
          <w:rFonts w:cs="宋体"/>
          <w:color w:val="auto"/>
        </w:rPr>
        <w:t>②具有良好的商业信誉和健全的财务会计制度；</w:t>
      </w:r>
    </w:p>
    <w:p>
      <w:pPr>
        <w:widowControl/>
        <w:autoSpaceDE/>
        <w:autoSpaceDN/>
        <w:adjustRightInd/>
        <w:spacing w:before="75" w:after="75" w:line="358" w:lineRule="auto"/>
        <w:ind w:firstLine="539"/>
        <w:rPr>
          <w:rFonts w:hint="default" w:cs="宋体"/>
          <w:color w:val="auto"/>
        </w:rPr>
      </w:pPr>
      <w:r>
        <w:rPr>
          <w:rFonts w:cs="宋体"/>
          <w:color w:val="auto"/>
        </w:rPr>
        <w:t>③具有履行合同所必需的设备和专业技术能力；</w:t>
      </w:r>
    </w:p>
    <w:p>
      <w:pPr>
        <w:widowControl/>
        <w:autoSpaceDE/>
        <w:autoSpaceDN/>
        <w:adjustRightInd/>
        <w:spacing w:before="75" w:after="75" w:line="358" w:lineRule="auto"/>
        <w:ind w:firstLine="539"/>
        <w:rPr>
          <w:rFonts w:hint="default" w:cs="宋体"/>
          <w:color w:val="auto"/>
        </w:rPr>
      </w:pPr>
      <w:r>
        <w:rPr>
          <w:rFonts w:cs="宋体"/>
          <w:color w:val="auto"/>
        </w:rPr>
        <w:t>④有依法缴纳税收和社会保障资金的良好记录；</w:t>
      </w:r>
    </w:p>
    <w:p>
      <w:pPr>
        <w:widowControl/>
        <w:autoSpaceDE/>
        <w:autoSpaceDN/>
        <w:adjustRightInd/>
        <w:spacing w:before="75" w:after="75" w:line="358" w:lineRule="auto"/>
        <w:ind w:firstLine="539"/>
        <w:rPr>
          <w:rFonts w:hint="default" w:cs="宋体"/>
          <w:color w:val="auto"/>
        </w:rPr>
      </w:pPr>
      <w:r>
        <w:rPr>
          <w:rFonts w:cs="宋体"/>
          <w:color w:val="auto"/>
        </w:rPr>
        <w:t>⑤参加招标采购活动前三年内，在经营活动中没有重大违法记录；</w:t>
      </w:r>
    </w:p>
    <w:p>
      <w:pPr>
        <w:widowControl/>
        <w:autoSpaceDE/>
        <w:autoSpaceDN/>
        <w:adjustRightInd/>
        <w:spacing w:before="75" w:after="75" w:line="358" w:lineRule="auto"/>
        <w:ind w:firstLine="539"/>
        <w:rPr>
          <w:rFonts w:hint="default" w:cs="宋体"/>
          <w:color w:val="auto"/>
        </w:rPr>
      </w:pPr>
      <w:r>
        <w:rPr>
          <w:rFonts w:cs="宋体"/>
          <w:color w:val="auto"/>
        </w:rPr>
        <w:t>⑥法律、行政法规规定的其他条件。</w:t>
      </w:r>
    </w:p>
    <w:p>
      <w:pPr>
        <w:widowControl/>
        <w:autoSpaceDE/>
        <w:autoSpaceDN/>
        <w:adjustRightInd/>
        <w:spacing w:before="75" w:after="75" w:line="358" w:lineRule="auto"/>
        <w:ind w:firstLine="539"/>
        <w:rPr>
          <w:rFonts w:cs="宋体"/>
          <w:color w:val="auto"/>
        </w:rPr>
      </w:pPr>
      <w:r>
        <w:rPr>
          <w:rFonts w:cs="宋体"/>
          <w:color w:val="auto"/>
        </w:rPr>
        <w:t>（2）</w:t>
      </w:r>
      <w:r>
        <w:rPr>
          <w:rFonts w:hint="eastAsia" w:cs="宋体"/>
          <w:color w:val="auto"/>
        </w:rPr>
        <w:t>落实政府采购政策需满足的资格要求：标项1：无</w:t>
      </w:r>
    </w:p>
    <w:p>
      <w:pPr>
        <w:widowControl/>
        <w:autoSpaceDE/>
        <w:autoSpaceDN/>
        <w:adjustRightInd/>
        <w:spacing w:before="75" w:after="75" w:line="358" w:lineRule="auto"/>
        <w:ind w:firstLine="539"/>
        <w:rPr>
          <w:rFonts w:hint="default" w:cs="宋体"/>
          <w:color w:val="auto"/>
        </w:rPr>
      </w:pPr>
      <w:r>
        <w:rPr>
          <w:rFonts w:hint="eastAsia" w:cs="宋体"/>
          <w:color w:val="auto"/>
          <w:lang w:eastAsia="zh-CN"/>
        </w:rPr>
        <w:t>（</w:t>
      </w:r>
      <w:r>
        <w:rPr>
          <w:rFonts w:hint="eastAsia" w:cs="宋体"/>
          <w:color w:val="auto"/>
          <w:lang w:val="en-US" w:eastAsia="zh-CN"/>
        </w:rPr>
        <w:t>3</w:t>
      </w:r>
      <w:r>
        <w:rPr>
          <w:rFonts w:hint="eastAsia" w:cs="宋体"/>
          <w:color w:val="auto"/>
          <w:lang w:eastAsia="zh-CN"/>
        </w:rPr>
        <w:t>）</w:t>
      </w:r>
      <w:r>
        <w:rPr>
          <w:rFonts w:cs="宋体"/>
          <w:color w:val="auto"/>
        </w:rPr>
        <w:t>具有有效期内的工商营业执照；</w:t>
      </w:r>
    </w:p>
    <w:p>
      <w:pPr>
        <w:widowControl/>
        <w:autoSpaceDE/>
        <w:autoSpaceDN/>
        <w:adjustRightInd/>
        <w:spacing w:before="75" w:after="75" w:line="358" w:lineRule="auto"/>
        <w:ind w:firstLine="539"/>
        <w:rPr>
          <w:rFonts w:hint="default" w:ascii="Times New Roman" w:eastAsia="Times New Roman"/>
          <w:color w:val="auto"/>
        </w:rPr>
      </w:pPr>
      <w:r>
        <w:rPr>
          <w:color w:val="auto"/>
        </w:rPr>
        <w:t>（</w:t>
      </w:r>
      <w:r>
        <w:rPr>
          <w:rFonts w:hint="eastAsia" w:ascii="Times New Roman" w:eastAsia="宋体"/>
          <w:color w:val="auto"/>
          <w:lang w:val="en-US" w:eastAsia="zh-CN"/>
        </w:rPr>
        <w:t>4</w:t>
      </w:r>
      <w:r>
        <w:rPr>
          <w:color w:val="auto"/>
        </w:rPr>
        <w:t>）</w:t>
      </w:r>
      <w:r>
        <w:rPr>
          <w:rFonts w:hint="eastAsia"/>
          <w:color w:val="auto"/>
          <w:lang w:eastAsia="zh-CN"/>
        </w:rPr>
        <w:t>供应商</w:t>
      </w:r>
      <w:r>
        <w:rPr>
          <w:color w:val="auto"/>
        </w:rPr>
        <w:t>不得为“信用中国”网站（网址</w:t>
      </w:r>
      <w:r>
        <w:rPr>
          <w:rFonts w:ascii="Times New Roman" w:eastAsia="Times New Roman"/>
          <w:color w:val="auto"/>
        </w:rPr>
        <w:t>http://www.creditchina.gov.cn </w:t>
      </w:r>
      <w:r>
        <w:rPr>
          <w:color w:val="auto"/>
        </w:rPr>
        <w:t>）</w:t>
      </w:r>
    </w:p>
    <w:p>
      <w:pPr>
        <w:widowControl/>
        <w:autoSpaceDE/>
        <w:autoSpaceDN/>
        <w:adjustRightInd/>
        <w:spacing w:before="75" w:after="75" w:line="358" w:lineRule="auto"/>
        <w:ind w:firstLine="539"/>
        <w:rPr>
          <w:rFonts w:hint="default" w:cs="宋体"/>
          <w:color w:val="auto"/>
        </w:rPr>
      </w:pPr>
      <w:r>
        <w:rPr>
          <w:rFonts w:cs="宋体"/>
          <w:color w:val="auto"/>
        </w:rPr>
        <w:t>中列入失信被执行人和重大税收违法案件当事人名单的</w:t>
      </w:r>
      <w:r>
        <w:rPr>
          <w:rFonts w:hint="eastAsia" w:cs="宋体"/>
          <w:color w:val="auto"/>
          <w:lang w:eastAsia="zh-CN"/>
        </w:rPr>
        <w:t>供应商</w:t>
      </w:r>
      <w:r>
        <w:rPr>
          <w:rFonts w:cs="宋体"/>
          <w:color w:val="auto"/>
        </w:rPr>
        <w:t>；不得为“国家企业信用信息公示系统”网站（网址http://www.gsxt.gov.cn/corp-query-homepage.html）列入严重违法失信企业名单（黑名单）的</w:t>
      </w:r>
      <w:r>
        <w:rPr>
          <w:rFonts w:hint="eastAsia" w:cs="宋体"/>
          <w:color w:val="auto"/>
          <w:lang w:eastAsia="zh-CN"/>
        </w:rPr>
        <w:t>供应商</w:t>
      </w:r>
      <w:r>
        <w:rPr>
          <w:rFonts w:cs="宋体"/>
          <w:color w:val="auto"/>
        </w:rPr>
        <w:t>；不得为中国政府采购网（网址http://www.ccgp.gov.cn ）政府采购严重违法失信行为记录名单中被财政部门禁止参加政府采购活动的</w:t>
      </w:r>
      <w:r>
        <w:rPr>
          <w:rFonts w:hint="eastAsia" w:cs="宋体"/>
          <w:color w:val="auto"/>
          <w:lang w:eastAsia="zh-CN"/>
        </w:rPr>
        <w:t>供应商</w:t>
      </w:r>
      <w:r>
        <w:rPr>
          <w:rFonts w:cs="宋体"/>
          <w:color w:val="auto"/>
        </w:rPr>
        <w:t>（处罚决定规定的时间和地域范围内）；</w:t>
      </w:r>
    </w:p>
    <w:p>
      <w:pPr>
        <w:pStyle w:val="8"/>
        <w:spacing w:line="430" w:lineRule="exact"/>
        <w:ind w:firstLine="240" w:firstLineChars="100"/>
        <w:rPr>
          <w:rFonts w:hint="eastAsia" w:ascii="宋体" w:hAnsi="宋体" w:cs="宋体"/>
          <w:color w:val="auto"/>
          <w:kern w:val="0"/>
          <w:sz w:val="24"/>
          <w:szCs w:val="24"/>
        </w:rPr>
      </w:pPr>
      <w:r>
        <w:rPr>
          <w:rFonts w:cs="宋体"/>
          <w:color w:val="auto"/>
        </w:rPr>
        <w:t>（</w:t>
      </w:r>
      <w:r>
        <w:rPr>
          <w:rFonts w:hint="eastAsia" w:cs="宋体"/>
          <w:color w:val="auto"/>
          <w:lang w:val="en-US" w:eastAsia="zh-CN"/>
        </w:rPr>
        <w:t>5</w:t>
      </w:r>
      <w:r>
        <w:rPr>
          <w:rFonts w:cs="宋体"/>
          <w:color w:val="auto"/>
        </w:rPr>
        <w:t>）本项目的特定资格要求：具有《医疗器械生产许可证》或《医疗器械经营许可证》</w:t>
      </w:r>
      <w:r>
        <w:rPr>
          <w:rFonts w:hint="eastAsia" w:cs="宋体"/>
          <w:color w:val="auto"/>
          <w:lang w:eastAsia="zh-CN"/>
        </w:rPr>
        <w:t>，</w:t>
      </w:r>
      <w:r>
        <w:rPr>
          <w:rFonts w:ascii="宋体" w:hAnsi="宋体" w:cs="宋体"/>
          <w:color w:val="auto"/>
          <w:kern w:val="0"/>
          <w:sz w:val="24"/>
          <w:szCs w:val="24"/>
        </w:rPr>
        <w:t>须具有生产厂家（总代理）就本项目的产品授权书和售后服务承诺书（产品授权书中须写明所投进口产品的型号、产地和生产厂家名称，并必须有生产企业（总代理）法定代表人签章）。</w:t>
      </w:r>
    </w:p>
    <w:p>
      <w:pPr>
        <w:pStyle w:val="7"/>
        <w:kinsoku w:val="0"/>
        <w:overflowPunct w:val="0"/>
        <w:jc w:val="both"/>
        <w:rPr>
          <w:rFonts w:hint="default"/>
          <w:b w:val="0"/>
          <w:color w:val="auto"/>
        </w:rPr>
      </w:pPr>
      <w:r>
        <w:rPr>
          <w:color w:val="auto"/>
        </w:rPr>
        <w:t>三、获取招标文件</w:t>
      </w:r>
      <w:r>
        <w:rPr>
          <w:b w:val="0"/>
          <w:color w:val="auto"/>
        </w:rPr>
        <w:t>：</w:t>
      </w:r>
    </w:p>
    <w:p>
      <w:pPr>
        <w:widowControl/>
        <w:autoSpaceDE/>
        <w:autoSpaceDN/>
        <w:adjustRightInd/>
        <w:spacing w:before="75" w:after="75" w:line="358" w:lineRule="auto"/>
        <w:ind w:firstLine="539"/>
        <w:rPr>
          <w:rFonts w:cs="宋体"/>
          <w:color w:val="auto"/>
        </w:rPr>
      </w:pPr>
      <w:r>
        <w:rPr>
          <w:color w:val="auto"/>
        </w:rPr>
        <w:t xml:space="preserve">时间: </w:t>
      </w:r>
      <w:r>
        <w:rPr>
          <w:rFonts w:hint="eastAsia"/>
          <w:color w:val="auto"/>
          <w:lang w:eastAsia="zh-CN"/>
        </w:rPr>
        <w:t>2023年</w:t>
      </w:r>
      <w:r>
        <w:rPr>
          <w:rFonts w:hint="eastAsia"/>
          <w:color w:val="auto"/>
          <w:lang w:val="en-US" w:eastAsia="zh-CN"/>
        </w:rPr>
        <w:t>9</w:t>
      </w:r>
      <w:r>
        <w:rPr>
          <w:rFonts w:hint="eastAsia"/>
          <w:color w:val="auto"/>
          <w:lang w:eastAsia="zh-CN"/>
        </w:rPr>
        <w:t>月1日</w:t>
      </w:r>
      <w:r>
        <w:rPr>
          <w:color w:val="auto"/>
        </w:rPr>
        <w:t>到</w:t>
      </w:r>
      <w:r>
        <w:rPr>
          <w:color w:val="auto"/>
          <w:spacing w:val="-60"/>
        </w:rPr>
        <w:t xml:space="preserve"> </w:t>
      </w:r>
      <w:r>
        <w:rPr>
          <w:rFonts w:hint="eastAsia"/>
          <w:color w:val="auto"/>
          <w:lang w:eastAsia="zh-CN"/>
        </w:rPr>
        <w:t>2023年</w:t>
      </w:r>
      <w:r>
        <w:rPr>
          <w:rFonts w:hint="eastAsia"/>
          <w:color w:val="auto"/>
          <w:lang w:val="en-US" w:eastAsia="zh-CN"/>
        </w:rPr>
        <w:t>9</w:t>
      </w:r>
      <w:r>
        <w:rPr>
          <w:rFonts w:hint="eastAsia"/>
          <w:color w:val="auto"/>
          <w:lang w:eastAsia="zh-CN"/>
        </w:rPr>
        <w:t>月</w:t>
      </w:r>
      <w:r>
        <w:rPr>
          <w:rFonts w:hint="eastAsia"/>
          <w:color w:val="auto"/>
          <w:lang w:val="en-US" w:eastAsia="zh-CN"/>
        </w:rPr>
        <w:t>11</w:t>
      </w:r>
      <w:r>
        <w:rPr>
          <w:rFonts w:hint="eastAsia"/>
          <w:color w:val="auto"/>
          <w:lang w:eastAsia="zh-CN"/>
        </w:rPr>
        <w:t>日</w:t>
      </w:r>
      <w:r>
        <w:rPr>
          <w:rFonts w:cs="宋体"/>
          <w:color w:val="auto"/>
        </w:rPr>
        <w:fldChar w:fldCharType="begin"/>
      </w:r>
      <w:r>
        <w:rPr>
          <w:rFonts w:cs="宋体"/>
          <w:color w:val="auto"/>
        </w:rPr>
        <w:instrText xml:space="preserve"> HYPERLINK "http://www.zcygov.cn/" </w:instrText>
      </w:r>
      <w:r>
        <w:rPr>
          <w:rFonts w:cs="宋体"/>
          <w:color w:val="auto"/>
        </w:rPr>
        <w:fldChar w:fldCharType="separate"/>
      </w:r>
    </w:p>
    <w:p>
      <w:pPr>
        <w:widowControl/>
        <w:autoSpaceDE/>
        <w:autoSpaceDN/>
        <w:adjustRightInd/>
        <w:spacing w:before="75" w:after="75" w:line="358" w:lineRule="auto"/>
        <w:ind w:firstLine="539"/>
        <w:rPr>
          <w:rFonts w:cs="宋体"/>
          <w:color w:val="auto"/>
        </w:rPr>
      </w:pPr>
      <w:r>
        <w:rPr>
          <w:rFonts w:cs="宋体"/>
          <w:color w:val="auto"/>
        </w:rPr>
        <w:t>地点：政采云平台线上报名及获取采购文件（http://www.ccgp-xinjiang.gov.cn/</w:t>
      </w:r>
      <w:r>
        <w:rPr>
          <w:rFonts w:cs="宋体"/>
          <w:color w:val="auto"/>
        </w:rPr>
        <w:fldChar w:fldCharType="end"/>
      </w:r>
      <w:r>
        <w:rPr>
          <w:rFonts w:cs="宋体"/>
          <w:color w:val="auto"/>
        </w:rPr>
        <w:t>）</w:t>
      </w:r>
    </w:p>
    <w:p>
      <w:pPr>
        <w:widowControl/>
        <w:autoSpaceDE/>
        <w:autoSpaceDN/>
        <w:adjustRightInd/>
        <w:spacing w:before="75" w:after="75" w:line="358" w:lineRule="auto"/>
        <w:ind w:firstLine="539"/>
        <w:rPr>
          <w:rFonts w:hint="default"/>
          <w:color w:val="auto"/>
          <w:spacing w:val="-3"/>
        </w:rPr>
      </w:pPr>
      <w:r>
        <w:rPr>
          <w:rFonts w:cs="宋体"/>
          <w:color w:val="auto"/>
        </w:rPr>
        <w:t>方式：供应商登录政采云平台（https://</w:t>
      </w:r>
      <w:r>
        <w:rPr>
          <w:rFonts w:cs="宋体"/>
          <w:color w:val="auto"/>
        </w:rPr>
        <w:fldChar w:fldCharType="begin"/>
      </w:r>
      <w:r>
        <w:rPr>
          <w:rFonts w:cs="宋体"/>
          <w:color w:val="auto"/>
        </w:rPr>
        <w:instrText xml:space="preserve"> HYPERLINK "http://www.zcygov.cn/" </w:instrText>
      </w:r>
      <w:r>
        <w:rPr>
          <w:rFonts w:cs="宋体"/>
          <w:color w:val="auto"/>
        </w:rPr>
        <w:fldChar w:fldCharType="separate"/>
      </w:r>
      <w:r>
        <w:rPr>
          <w:rFonts w:cs="宋体"/>
          <w:color w:val="auto"/>
        </w:rPr>
        <w:t>www.zcygov.cn/</w:t>
      </w:r>
      <w:r>
        <w:rPr>
          <w:rFonts w:cs="宋体"/>
          <w:color w:val="auto"/>
        </w:rPr>
        <w:fldChar w:fldCharType="end"/>
      </w:r>
      <w:r>
        <w:rPr>
          <w:rFonts w:cs="宋体"/>
          <w:color w:val="auto"/>
        </w:rPr>
        <w:t>）在线申请获取采购文件（进入“项目采购”应用，在获取采购文件菜单中选择项目，申请获取采 购文件）。</w:t>
      </w:r>
    </w:p>
    <w:p>
      <w:pPr>
        <w:pStyle w:val="7"/>
        <w:kinsoku w:val="0"/>
        <w:overflowPunct w:val="0"/>
        <w:jc w:val="both"/>
        <w:rPr>
          <w:rFonts w:hint="default"/>
          <w:b w:val="0"/>
          <w:color w:val="auto"/>
        </w:rPr>
      </w:pPr>
      <w:r>
        <w:rPr>
          <w:color w:val="auto"/>
        </w:rPr>
        <w:t>四、提交投标文件截止时间、开标时间和地点：</w:t>
      </w:r>
    </w:p>
    <w:p>
      <w:pPr>
        <w:pStyle w:val="8"/>
        <w:kinsoku w:val="0"/>
        <w:overflowPunct w:val="0"/>
        <w:spacing w:before="154" w:line="357" w:lineRule="auto"/>
        <w:ind w:right="117" w:firstLine="480"/>
        <w:jc w:val="both"/>
        <w:rPr>
          <w:rFonts w:hint="default"/>
          <w:color w:val="auto"/>
        </w:rPr>
      </w:pPr>
      <w:r>
        <w:rPr>
          <w:color w:val="auto"/>
        </w:rPr>
        <w:t>1、投标截止时间：</w:t>
      </w:r>
      <w:r>
        <w:rPr>
          <w:rFonts w:hint="eastAsia"/>
          <w:color w:val="auto"/>
          <w:lang w:eastAsia="zh-CN"/>
        </w:rPr>
        <w:t>2023年9月25日12:00</w:t>
      </w:r>
      <w:r>
        <w:rPr>
          <w:color w:val="auto"/>
        </w:rPr>
        <w:t xml:space="preserve"> (北京时间)，供应商应在此之 </w:t>
      </w:r>
      <w:r>
        <w:rPr>
          <w:color w:val="auto"/>
          <w:spacing w:val="-3"/>
        </w:rPr>
        <w:t>前将加密的投标文件上传至政采云</w:t>
      </w:r>
      <w:r>
        <w:rPr>
          <w:color w:val="auto"/>
        </w:rPr>
        <w:fldChar w:fldCharType="begin"/>
      </w:r>
      <w:r>
        <w:rPr>
          <w:color w:val="auto"/>
        </w:rPr>
        <w:instrText xml:space="preserve"> HYPERLINK "http://www.zcygov.cn/" </w:instrText>
      </w:r>
      <w:r>
        <w:rPr>
          <w:color w:val="auto"/>
        </w:rPr>
        <w:fldChar w:fldCharType="separate"/>
      </w:r>
      <w:r>
        <w:rPr>
          <w:color w:val="auto"/>
          <w:spacing w:val="-3"/>
        </w:rPr>
        <w:t>（http://www.ccgp-xinjiang.gov.cn/</w:t>
      </w:r>
      <w:r>
        <w:rPr>
          <w:color w:val="auto"/>
          <w:spacing w:val="-3"/>
        </w:rPr>
        <w:fldChar w:fldCharType="end"/>
      </w:r>
      <w:r>
        <w:rPr>
          <w:color w:val="auto"/>
          <w:spacing w:val="-3"/>
        </w:rPr>
        <w:t>）（逾期未上传的</w:t>
      </w:r>
      <w:r>
        <w:rPr>
          <w:color w:val="auto"/>
          <w:spacing w:val="-77"/>
        </w:rPr>
        <w:t xml:space="preserve"> </w:t>
      </w:r>
      <w:r>
        <w:rPr>
          <w:color w:val="auto"/>
        </w:rPr>
        <w:t>或不符合规定的投标文件将被拒绝接收）。</w:t>
      </w:r>
    </w:p>
    <w:p>
      <w:pPr>
        <w:pStyle w:val="8"/>
        <w:kinsoku w:val="0"/>
        <w:overflowPunct w:val="0"/>
        <w:spacing w:line="357" w:lineRule="auto"/>
        <w:ind w:leftChars="50" w:firstLine="480" w:firstLineChars="200"/>
        <w:rPr>
          <w:rFonts w:hint="default"/>
          <w:color w:val="auto"/>
        </w:rPr>
      </w:pPr>
      <w:r>
        <w:rPr>
          <w:color w:val="auto"/>
        </w:rPr>
        <w:t>2、开标时间：</w:t>
      </w:r>
      <w:bookmarkStart w:id="73" w:name="_GoBack"/>
      <w:bookmarkEnd w:id="73"/>
      <w:r>
        <w:rPr>
          <w:rFonts w:hint="eastAsia"/>
          <w:color w:val="auto"/>
          <w:lang w:eastAsia="zh-CN"/>
        </w:rPr>
        <w:t>2023年9月25日12:00</w:t>
      </w:r>
      <w:r>
        <w:rPr>
          <w:color w:val="auto"/>
        </w:rPr>
        <w:t>（北京时间）</w:t>
      </w:r>
    </w:p>
    <w:p>
      <w:pPr>
        <w:pStyle w:val="8"/>
        <w:kinsoku w:val="0"/>
        <w:overflowPunct w:val="0"/>
        <w:spacing w:line="357" w:lineRule="auto"/>
        <w:ind w:leftChars="50" w:firstLine="240" w:firstLineChars="100"/>
        <w:rPr>
          <w:rFonts w:hint="default"/>
          <w:color w:val="auto"/>
        </w:rPr>
      </w:pPr>
      <w:r>
        <w:rPr>
          <w:color w:val="auto"/>
        </w:rPr>
        <w:fldChar w:fldCharType="begin"/>
      </w:r>
      <w:r>
        <w:rPr>
          <w:color w:val="auto"/>
        </w:rPr>
        <w:instrText xml:space="preserve"> HYPERLINK "http://www.zcygov.cn/" </w:instrText>
      </w:r>
      <w:r>
        <w:rPr>
          <w:color w:val="auto"/>
        </w:rPr>
        <w:fldChar w:fldCharType="separate"/>
      </w:r>
      <w:r>
        <w:rPr>
          <w:color w:val="auto"/>
        </w:rPr>
        <w:t xml:space="preserve"> </w:t>
      </w:r>
      <w:r>
        <w:rPr>
          <w:rFonts w:hint="eastAsia"/>
          <w:color w:val="auto"/>
          <w:lang w:val="en-US" w:eastAsia="zh-CN"/>
        </w:rPr>
        <w:t xml:space="preserve"> </w:t>
      </w:r>
      <w:r>
        <w:rPr>
          <w:color w:val="auto"/>
        </w:rPr>
        <w:t>3、开标地点：新疆政采云（http://www.ccgp-xinjiang.gov.cn/</w:t>
      </w:r>
      <w:r>
        <w:rPr>
          <w:color w:val="auto"/>
        </w:rPr>
        <w:fldChar w:fldCharType="end"/>
      </w:r>
      <w:r>
        <w:rPr>
          <w:color w:val="auto"/>
        </w:rPr>
        <w:t>）不见面开标大厅。</w:t>
      </w:r>
    </w:p>
    <w:p>
      <w:pPr>
        <w:pStyle w:val="7"/>
        <w:kinsoku w:val="0"/>
        <w:overflowPunct w:val="0"/>
        <w:jc w:val="both"/>
        <w:rPr>
          <w:rFonts w:hint="default"/>
          <w:b w:val="0"/>
          <w:color w:val="auto"/>
        </w:rPr>
      </w:pPr>
      <w:r>
        <w:rPr>
          <w:color w:val="auto"/>
        </w:rPr>
        <w:t>五、公告期限</w:t>
      </w:r>
    </w:p>
    <w:p>
      <w:pPr>
        <w:pStyle w:val="8"/>
        <w:kinsoku w:val="0"/>
        <w:overflowPunct w:val="0"/>
        <w:spacing w:before="154" w:line="357" w:lineRule="auto"/>
        <w:ind w:right="3646" w:firstLine="480"/>
        <w:rPr>
          <w:rFonts w:hint="default"/>
          <w:color w:val="auto"/>
        </w:rPr>
      </w:pPr>
      <w:bookmarkStart w:id="1" w:name="自本公告发布之日起5个工作日"/>
      <w:bookmarkEnd w:id="1"/>
      <w:r>
        <w:rPr>
          <w:color w:val="auto"/>
        </w:rPr>
        <w:t>自本公告发布之日起</w:t>
      </w:r>
      <w:r>
        <w:rPr>
          <w:color w:val="auto"/>
          <w:spacing w:val="-60"/>
        </w:rPr>
        <w:t xml:space="preserve"> </w:t>
      </w:r>
      <w:r>
        <w:rPr>
          <w:color w:val="auto"/>
        </w:rPr>
        <w:t>5</w:t>
      </w:r>
      <w:r>
        <w:rPr>
          <w:color w:val="auto"/>
          <w:spacing w:val="-60"/>
        </w:rPr>
        <w:t xml:space="preserve"> </w:t>
      </w:r>
      <w:r>
        <w:rPr>
          <w:color w:val="auto"/>
        </w:rPr>
        <w:t xml:space="preserve">个工作日 </w:t>
      </w:r>
      <w:bookmarkStart w:id="2" w:name="六、其他补充事宜"/>
      <w:bookmarkEnd w:id="2"/>
    </w:p>
    <w:p>
      <w:pPr>
        <w:pStyle w:val="8"/>
        <w:kinsoku w:val="0"/>
        <w:overflowPunct w:val="0"/>
        <w:spacing w:before="154" w:line="357" w:lineRule="auto"/>
        <w:ind w:right="3646"/>
        <w:rPr>
          <w:rFonts w:hint="default"/>
          <w:color w:val="auto"/>
        </w:rPr>
      </w:pPr>
      <w:r>
        <w:rPr>
          <w:b/>
          <w:color w:val="auto"/>
        </w:rPr>
        <w:t>六、其他补充事宜</w:t>
      </w:r>
    </w:p>
    <w:p>
      <w:pPr>
        <w:pStyle w:val="8"/>
        <w:kinsoku w:val="0"/>
        <w:overflowPunct w:val="0"/>
        <w:spacing w:before="2" w:line="358" w:lineRule="auto"/>
        <w:ind w:right="237" w:firstLine="720" w:firstLineChars="300"/>
        <w:rPr>
          <w:rFonts w:hint="eastAsia" w:ascii="宋体" w:eastAsia="宋体" w:cs="宋体"/>
          <w:color w:val="auto"/>
        </w:rPr>
      </w:pPr>
      <w:bookmarkStart w:id="3" w:name="1、本项目实行网上投标，采用电子投标文件；"/>
      <w:bookmarkEnd w:id="3"/>
      <w:r>
        <w:rPr>
          <w:rFonts w:hint="eastAsia" w:ascii="宋体" w:eastAsia="宋体" w:cs="宋体"/>
          <w:color w:val="auto"/>
        </w:rPr>
        <w:t>1、需落实政府采购政策：（1）财政部、国家发展改革委、生态环境部、市场监管总局《关于调整优化节能产品、环境标志产品政府采购执行机制的通知》（财库[2019]9号文）；（2）财政部、生态环境部《关于印发环境标志产品政府采购品目清单的通知》（财库[2019]18号文）；（3）财政部、发展改革委《关于印发节能产品政府采购品目清单的通知》（财库[2019]19号文）；（4）市场监管总局《市场监管总局关于发布参与实施政府采购节能产品、环境标志产品认证机构名录的公告》（2019年第16号）；（5）财政部、工业和信息化部制定的《关于印发《政府采购促进中小企业发展管理办法》的通知》（财库〔2020〕46号）；（6）《关于落实好政府采购支持中小企业发展的通知》（新财购 〔2022〕22号）；（7）财政部、民政部、中国残疾人联合会《关于促进残疾人就业政府采购政策的通知》（财库[2017]141号）；（8）财政部、司法部《关于政府采购支持监狱企业发展有关问题的通知》（财库[2014]68号文）。</w:t>
      </w:r>
    </w:p>
    <w:p>
      <w:pPr>
        <w:pStyle w:val="8"/>
        <w:kinsoku w:val="0"/>
        <w:overflowPunct w:val="0"/>
        <w:spacing w:before="2" w:line="358" w:lineRule="auto"/>
        <w:ind w:right="237" w:firstLine="480" w:firstLineChars="200"/>
        <w:rPr>
          <w:rFonts w:hint="default"/>
          <w:color w:val="auto"/>
        </w:rPr>
      </w:pPr>
      <w:r>
        <w:rPr>
          <w:rFonts w:hint="eastAsia"/>
          <w:color w:val="auto"/>
          <w:lang w:val="en-US" w:eastAsia="zh-CN"/>
        </w:rPr>
        <w:t>2</w:t>
      </w:r>
      <w:r>
        <w:rPr>
          <w:color w:val="auto"/>
        </w:rPr>
        <w:t>、本项目实行网上投标，采用电子投标文件；</w:t>
      </w:r>
      <w:r>
        <w:rPr>
          <w:rFonts w:hint="eastAsia"/>
          <w:color w:val="auto"/>
        </w:rPr>
        <w:t>若</w:t>
      </w:r>
      <w:r>
        <w:rPr>
          <w:rFonts w:hint="eastAsia"/>
          <w:color w:val="auto"/>
          <w:lang w:val="en-US" w:eastAsia="zh-CN"/>
        </w:rPr>
        <w:t>供应商</w:t>
      </w:r>
      <w:r>
        <w:rPr>
          <w:rFonts w:hint="eastAsia"/>
          <w:color w:val="auto"/>
        </w:rPr>
        <w:t>参与投标，自行承担投标一切费用。</w:t>
      </w:r>
    </w:p>
    <w:p>
      <w:pPr>
        <w:pStyle w:val="8"/>
        <w:kinsoku w:val="0"/>
        <w:overflowPunct w:val="0"/>
        <w:spacing w:before="2" w:line="358" w:lineRule="auto"/>
        <w:ind w:right="237" w:firstLine="480" w:firstLineChars="200"/>
        <w:rPr>
          <w:rFonts w:hint="default"/>
          <w:color w:val="auto"/>
        </w:rPr>
      </w:pPr>
      <w:bookmarkStart w:id="4" w:name="2、各供应商应在开标前应确保成为新疆生产建设兵团政府采购网正式注册入库供应商，并"/>
      <w:bookmarkEnd w:id="4"/>
      <w:r>
        <w:rPr>
          <w:rFonts w:hint="eastAsia"/>
          <w:color w:val="auto"/>
          <w:lang w:val="en-US" w:eastAsia="zh-CN"/>
        </w:rPr>
        <w:t>3</w:t>
      </w:r>
      <w:r>
        <w:rPr>
          <w:color w:val="auto"/>
        </w:rPr>
        <w:t>、各供应商应在开标前应确保成为新疆政府采购网正式注册 入库供应商，并完成</w:t>
      </w:r>
      <w:r>
        <w:rPr>
          <w:color w:val="auto"/>
          <w:spacing w:val="-50"/>
        </w:rPr>
        <w:t xml:space="preserve"> </w:t>
      </w:r>
      <w:r>
        <w:rPr>
          <w:color w:val="auto"/>
        </w:rPr>
        <w:t>CA</w:t>
      </w:r>
      <w:r>
        <w:rPr>
          <w:color w:val="auto"/>
          <w:spacing w:val="-50"/>
        </w:rPr>
        <w:t xml:space="preserve"> </w:t>
      </w:r>
      <w:r>
        <w:rPr>
          <w:color w:val="auto"/>
        </w:rPr>
        <w:t>数字证书（符合国密标准）申领。因未注册入库、未办 理</w:t>
      </w:r>
      <w:r>
        <w:rPr>
          <w:color w:val="auto"/>
          <w:spacing w:val="-51"/>
        </w:rPr>
        <w:t xml:space="preserve"> </w:t>
      </w:r>
      <w:r>
        <w:rPr>
          <w:color w:val="auto"/>
        </w:rPr>
        <w:t>CA</w:t>
      </w:r>
      <w:r>
        <w:rPr>
          <w:color w:val="auto"/>
          <w:spacing w:val="-51"/>
        </w:rPr>
        <w:t xml:space="preserve"> </w:t>
      </w:r>
      <w:r>
        <w:rPr>
          <w:color w:val="auto"/>
        </w:rPr>
        <w:t>数字证书等原因造成无法投标或投标失败等后果由供应商自行承担。有意</w:t>
      </w:r>
      <w:r>
        <w:rPr>
          <w:color w:val="auto"/>
          <w:spacing w:val="3"/>
        </w:rPr>
        <w:t>向参与电子开评标的供应商，可访问新疆数字证书认证中心官方网站</w:t>
      </w:r>
      <w:r>
        <w:rPr>
          <w:color w:val="auto"/>
        </w:rPr>
        <w:fldChar w:fldCharType="begin"/>
      </w:r>
      <w:r>
        <w:rPr>
          <w:color w:val="auto"/>
        </w:rPr>
        <w:instrText xml:space="preserve"> HYPERLINK "https://www.xjca.com.cn/%C3%AF%C2%BC%C2%89%C3%A6%C2%88%C2%96%C3%A4%C2%B8%C2%8B%C3%A8%C2%BD%C2%BD" </w:instrText>
      </w:r>
      <w:r>
        <w:rPr>
          <w:color w:val="auto"/>
        </w:rPr>
        <w:fldChar w:fldCharType="separate"/>
      </w:r>
      <w:r>
        <w:rPr>
          <w:color w:val="auto"/>
        </w:rPr>
        <w:t>（https://www.xjca.com.cn/）或下载“新疆政务通”APP</w:t>
      </w:r>
      <w:r>
        <w:rPr>
          <w:color w:val="auto"/>
          <w:spacing w:val="-91"/>
        </w:rPr>
        <w:t xml:space="preserve"> </w:t>
      </w:r>
      <w:r>
        <w:rPr>
          <w:color w:val="auto"/>
        </w:rPr>
        <w:t>自行进行申领。如需</w:t>
      </w:r>
      <w:r>
        <w:rPr>
          <w:color w:val="auto"/>
        </w:rPr>
        <w:fldChar w:fldCharType="end"/>
      </w:r>
      <w:r>
        <w:rPr>
          <w:color w:val="auto"/>
        </w:rPr>
        <w:t xml:space="preserve"> 咨询，请联系新疆</w:t>
      </w:r>
      <w:r>
        <w:rPr>
          <w:color w:val="auto"/>
          <w:spacing w:val="-60"/>
        </w:rPr>
        <w:t xml:space="preserve"> </w:t>
      </w:r>
      <w:r>
        <w:rPr>
          <w:color w:val="auto"/>
        </w:rPr>
        <w:t>CA</w:t>
      </w:r>
      <w:r>
        <w:rPr>
          <w:color w:val="auto"/>
          <w:spacing w:val="-60"/>
        </w:rPr>
        <w:t xml:space="preserve"> </w:t>
      </w:r>
      <w:r>
        <w:rPr>
          <w:color w:val="auto"/>
        </w:rPr>
        <w:t>服务热线</w:t>
      </w:r>
      <w:r>
        <w:rPr>
          <w:color w:val="auto"/>
          <w:spacing w:val="-60"/>
        </w:rPr>
        <w:t xml:space="preserve"> </w:t>
      </w:r>
      <w:r>
        <w:rPr>
          <w:color w:val="auto"/>
        </w:rPr>
        <w:t>0991-2819290；</w:t>
      </w:r>
    </w:p>
    <w:p>
      <w:pPr>
        <w:pStyle w:val="8"/>
        <w:kinsoku w:val="0"/>
        <w:overflowPunct w:val="0"/>
        <w:spacing w:line="358" w:lineRule="auto"/>
        <w:ind w:right="117" w:firstLine="480"/>
        <w:rPr>
          <w:color w:val="auto"/>
        </w:rPr>
      </w:pPr>
      <w:bookmarkStart w:id="5" w:name="3、供应商将政采云电子交易客户端下载、安装完成后，可通过账号密码或CA登录客户端"/>
      <w:bookmarkEnd w:id="5"/>
      <w:r>
        <w:rPr>
          <w:rFonts w:hint="eastAsia"/>
          <w:color w:val="auto"/>
          <w:lang w:val="en-US" w:eastAsia="zh-CN"/>
        </w:rPr>
        <w:t>4</w:t>
      </w:r>
      <w:r>
        <w:rPr>
          <w:color w:val="auto"/>
        </w:rPr>
        <w:t>、供应商将政采云电子交易客户端下载、安装完成后，可通过账号密码或 CA</w:t>
      </w:r>
      <w:r>
        <w:rPr>
          <w:color w:val="auto"/>
          <w:spacing w:val="-58"/>
        </w:rPr>
        <w:t xml:space="preserve"> </w:t>
      </w:r>
      <w:r>
        <w:rPr>
          <w:color w:val="auto"/>
          <w:spacing w:val="-7"/>
        </w:rPr>
        <w:t>登录客户端进行投标文件的制作。在使用政采云投标客户端时，建议使用</w:t>
      </w:r>
      <w:r>
        <w:rPr>
          <w:color w:val="auto"/>
          <w:spacing w:val="-59"/>
        </w:rPr>
        <w:t xml:space="preserve"> </w:t>
      </w:r>
      <w:r>
        <w:rPr>
          <w:color w:val="auto"/>
        </w:rPr>
        <w:t>WIN7</w:t>
      </w:r>
      <w:r>
        <w:rPr>
          <w:color w:val="auto"/>
          <w:spacing w:val="-115"/>
        </w:rPr>
        <w:t xml:space="preserve"> </w:t>
      </w:r>
      <w:r>
        <w:rPr>
          <w:color w:val="auto"/>
          <w:spacing w:val="-5"/>
        </w:rPr>
        <w:t>及以上操作系统。客户端请至新疆政府采购网</w:t>
      </w:r>
      <w:r>
        <w:rPr>
          <w:color w:val="auto"/>
        </w:rPr>
        <w:fldChar w:fldCharType="begin"/>
      </w:r>
      <w:r>
        <w:rPr>
          <w:color w:val="auto"/>
        </w:rPr>
        <w:instrText xml:space="preserve"> HYPERLINK "http://ccgp-bingtuan.gov.cn/" </w:instrText>
      </w:r>
      <w:r>
        <w:rPr>
          <w:color w:val="auto"/>
        </w:rPr>
        <w:fldChar w:fldCharType="separate"/>
      </w:r>
      <w:r>
        <w:rPr>
          <w:color w:val="auto"/>
          <w:spacing w:val="-5"/>
        </w:rPr>
        <w:t>（http://www.ccgp-xinjiang.gov.cn/</w:t>
      </w:r>
      <w:r>
        <w:rPr>
          <w:color w:val="auto"/>
          <w:spacing w:val="-5"/>
        </w:rPr>
        <w:fldChar w:fldCharType="end"/>
      </w:r>
      <w:r>
        <w:rPr>
          <w:color w:val="auto"/>
          <w:spacing w:val="-5"/>
        </w:rPr>
        <w:t>）</w:t>
      </w:r>
      <w:r>
        <w:rPr>
          <w:color w:val="auto"/>
          <w:spacing w:val="-85"/>
        </w:rPr>
        <w:t xml:space="preserve"> </w:t>
      </w:r>
      <w:r>
        <w:rPr>
          <w:color w:val="auto"/>
        </w:rPr>
        <w:t>下载专区查看，如有问题可拨打政采云客户服务热线</w:t>
      </w:r>
      <w:r>
        <w:rPr>
          <w:color w:val="auto"/>
          <w:spacing w:val="-55"/>
        </w:rPr>
        <w:t xml:space="preserve"> </w:t>
      </w:r>
      <w:r>
        <w:rPr>
          <w:color w:val="auto"/>
        </w:rPr>
        <w:t>400-881-7190</w:t>
      </w:r>
      <w:r>
        <w:rPr>
          <w:color w:val="auto"/>
          <w:spacing w:val="-55"/>
        </w:rPr>
        <w:t xml:space="preserve"> </w:t>
      </w:r>
      <w:r>
        <w:rPr>
          <w:color w:val="auto"/>
        </w:rPr>
        <w:t>进行咨询。</w:t>
      </w:r>
      <w:r>
        <w:rPr>
          <w:color w:val="auto"/>
          <w:spacing w:val="-109"/>
        </w:rPr>
        <w:t xml:space="preserve"> </w:t>
      </w:r>
      <w:r>
        <w:rPr>
          <w:color w:val="auto"/>
          <w:spacing w:val="-3"/>
        </w:rPr>
        <w:t>如因供应商自身原因导致在规定时间内无法正常解密的（如：浏览器故障、未安</w:t>
      </w:r>
      <w:r>
        <w:rPr>
          <w:color w:val="auto"/>
          <w:spacing w:val="-111"/>
        </w:rPr>
        <w:t xml:space="preserve"> </w:t>
      </w:r>
      <w:r>
        <w:rPr>
          <w:color w:val="auto"/>
        </w:rPr>
        <w:t>装相关驱动、网络故障、加密</w:t>
      </w:r>
      <w:r>
        <w:rPr>
          <w:color w:val="auto"/>
          <w:spacing w:val="-58"/>
        </w:rPr>
        <w:t xml:space="preserve"> </w:t>
      </w:r>
      <w:r>
        <w:rPr>
          <w:color w:val="auto"/>
        </w:rPr>
        <w:t>CA</w:t>
      </w:r>
      <w:r>
        <w:rPr>
          <w:color w:val="auto"/>
          <w:spacing w:val="-56"/>
        </w:rPr>
        <w:t xml:space="preserve"> </w:t>
      </w:r>
      <w:r>
        <w:rPr>
          <w:color w:val="auto"/>
        </w:rPr>
        <w:t>与解密</w:t>
      </w:r>
      <w:r>
        <w:rPr>
          <w:color w:val="auto"/>
          <w:spacing w:val="-61"/>
        </w:rPr>
        <w:t xml:space="preserve"> </w:t>
      </w:r>
      <w:r>
        <w:rPr>
          <w:color w:val="auto"/>
        </w:rPr>
        <w:t>CA</w:t>
      </w:r>
      <w:r>
        <w:rPr>
          <w:color w:val="auto"/>
          <w:spacing w:val="-56"/>
        </w:rPr>
        <w:t xml:space="preserve"> </w:t>
      </w:r>
      <w:r>
        <w:rPr>
          <w:color w:val="auto"/>
        </w:rPr>
        <w:t>不一致等），采购中心/代理机构不</w:t>
      </w:r>
      <w:r>
        <w:rPr>
          <w:color w:val="auto"/>
          <w:spacing w:val="-114"/>
        </w:rPr>
        <w:t xml:space="preserve"> </w:t>
      </w:r>
      <w:r>
        <w:rPr>
          <w:color w:val="auto"/>
        </w:rPr>
        <w:t>予异常处理，视为供应商自动弃标。</w:t>
      </w:r>
    </w:p>
    <w:p>
      <w:pPr>
        <w:pStyle w:val="8"/>
        <w:kinsoku w:val="0"/>
        <w:overflowPunct w:val="0"/>
        <w:spacing w:line="358" w:lineRule="auto"/>
        <w:ind w:right="117" w:firstLine="480"/>
        <w:rPr>
          <w:rFonts w:hint="default"/>
          <w:color w:val="auto"/>
        </w:rPr>
      </w:pPr>
      <w:r>
        <w:rPr>
          <w:rFonts w:hint="eastAsia"/>
          <w:color w:val="auto"/>
          <w:lang w:val="en-US" w:eastAsia="zh-CN"/>
        </w:rPr>
        <w:t>5、请在领取招标文件的有效日期内领取文件，过期将无法领取。本项目招标公告发布截止日后，请持续关注本项目后续网上发布澄清变更等内容。若再次发布招标公告，第一次成功领取招标文件的潜在服务商应重新领取招标文件。</w:t>
      </w:r>
      <w:r>
        <w:rPr>
          <w:color w:val="auto"/>
        </w:rPr>
        <w:t xml:space="preserve"> </w:t>
      </w:r>
      <w:bookmarkStart w:id="6" w:name="七、对本次采购提出询问，请按以下方式联系"/>
      <w:bookmarkEnd w:id="6"/>
    </w:p>
    <w:p>
      <w:pPr>
        <w:pStyle w:val="8"/>
        <w:kinsoku w:val="0"/>
        <w:overflowPunct w:val="0"/>
        <w:spacing w:line="240" w:lineRule="auto"/>
        <w:ind w:right="117" w:firstLine="480"/>
        <w:rPr>
          <w:rFonts w:hint="default" w:eastAsia="宋体"/>
          <w:b/>
          <w:bCs/>
          <w:color w:val="auto"/>
          <w:lang w:val="en-US" w:eastAsia="zh-CN"/>
        </w:rPr>
      </w:pPr>
      <w:r>
        <w:rPr>
          <w:rFonts w:hint="eastAsia"/>
          <w:b/>
          <w:bCs/>
          <w:color w:val="auto"/>
          <w:lang w:val="en-US" w:eastAsia="zh-CN"/>
        </w:rPr>
        <w:t>特别提示：</w:t>
      </w:r>
    </w:p>
    <w:p>
      <w:pPr>
        <w:pStyle w:val="8"/>
        <w:kinsoku w:val="0"/>
        <w:overflowPunct w:val="0"/>
        <w:spacing w:line="240" w:lineRule="auto"/>
        <w:ind w:right="117" w:firstLine="480"/>
        <w:rPr>
          <w:rFonts w:hint="default"/>
          <w:b/>
          <w:bCs/>
          <w:color w:val="auto"/>
        </w:rPr>
      </w:pPr>
      <w:r>
        <w:rPr>
          <w:b/>
          <w:bCs/>
          <w:color w:val="auto"/>
        </w:rPr>
        <w:t>超过200万元的货物和服务采购项目、超过400万元的工程采购项目中适宜由中小企业提供的，预留该部分采购项目预算总额的40%以上专门面向中小企业采购，其中预留给小微企业的比例不低于60%。</w:t>
      </w:r>
    </w:p>
    <w:p>
      <w:pPr>
        <w:pStyle w:val="8"/>
        <w:kinsoku w:val="0"/>
        <w:overflowPunct w:val="0"/>
        <w:spacing w:line="240" w:lineRule="auto"/>
        <w:ind w:right="117" w:firstLine="480"/>
        <w:rPr>
          <w:rFonts w:hint="default"/>
          <w:b/>
          <w:bCs/>
          <w:color w:val="auto"/>
        </w:rPr>
      </w:pPr>
      <w:r>
        <w:rPr>
          <w:b/>
          <w:bCs/>
          <w:color w:val="auto"/>
        </w:rPr>
        <w:t>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8"/>
        <w:kinsoku w:val="0"/>
        <w:overflowPunct w:val="0"/>
        <w:spacing w:line="240" w:lineRule="auto"/>
        <w:ind w:right="117" w:firstLine="480"/>
        <w:rPr>
          <w:rFonts w:hint="default"/>
          <w:color w:val="auto"/>
        </w:rPr>
      </w:pPr>
      <w:r>
        <w:rPr>
          <w:b/>
          <w:bCs/>
          <w:color w:val="auto"/>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8"/>
        <w:kinsoku w:val="0"/>
        <w:overflowPunct w:val="0"/>
        <w:spacing w:line="357" w:lineRule="auto"/>
        <w:ind w:right="117"/>
        <w:rPr>
          <w:b/>
          <w:color w:val="auto"/>
        </w:rPr>
      </w:pPr>
    </w:p>
    <w:p>
      <w:pPr>
        <w:pStyle w:val="8"/>
        <w:kinsoku w:val="0"/>
        <w:overflowPunct w:val="0"/>
        <w:spacing w:line="357" w:lineRule="auto"/>
        <w:ind w:right="117"/>
        <w:rPr>
          <w:rFonts w:hint="default"/>
          <w:color w:val="auto"/>
        </w:rPr>
      </w:pPr>
      <w:r>
        <w:rPr>
          <w:b/>
          <w:color w:val="auto"/>
        </w:rPr>
        <w:t>七、对本次采购提出询问，请按以下方式联系</w:t>
      </w:r>
    </w:p>
    <w:p>
      <w:pPr>
        <w:pStyle w:val="8"/>
        <w:kinsoku w:val="0"/>
        <w:overflowPunct w:val="0"/>
        <w:spacing w:line="357" w:lineRule="auto"/>
        <w:ind w:right="1251"/>
        <w:rPr>
          <w:rFonts w:hint="default"/>
          <w:color w:val="auto"/>
        </w:rPr>
      </w:pPr>
      <w:bookmarkStart w:id="7" w:name="1.采购人信息"/>
      <w:bookmarkEnd w:id="7"/>
      <w:r>
        <w:rPr>
          <w:color w:val="auto"/>
        </w:rPr>
        <w:t>1.采购人信息</w:t>
      </w:r>
      <w:bookmarkStart w:id="8" w:name="名称：新疆生产建设兵团第十四师昆玉市一牧场农业发展服务中心"/>
      <w:bookmarkEnd w:id="8"/>
      <w:r>
        <w:rPr>
          <w:color w:val="auto"/>
        </w:rPr>
        <w:t>名称：</w:t>
      </w:r>
      <w:r>
        <w:rPr>
          <w:rFonts w:hint="eastAsia"/>
          <w:color w:val="auto"/>
          <w:lang w:eastAsia="zh-CN"/>
        </w:rPr>
        <w:t>尼勒克县人民医院</w:t>
      </w:r>
      <w:r>
        <w:rPr>
          <w:color w:val="auto"/>
        </w:rPr>
        <w:t xml:space="preserve">  </w:t>
      </w:r>
    </w:p>
    <w:p>
      <w:pPr>
        <w:pStyle w:val="8"/>
        <w:kinsoku w:val="0"/>
        <w:overflowPunct w:val="0"/>
        <w:spacing w:line="357" w:lineRule="auto"/>
        <w:ind w:right="1251"/>
        <w:rPr>
          <w:rFonts w:hint="default"/>
          <w:color w:val="auto"/>
        </w:rPr>
      </w:pPr>
      <w:r>
        <w:rPr>
          <w:color w:val="auto"/>
        </w:rPr>
        <w:t>地址：</w:t>
      </w:r>
      <w:r>
        <w:rPr>
          <w:rFonts w:hint="eastAsia" w:ascii="宋体" w:hAnsi="宋体"/>
          <w:bCs/>
          <w:color w:val="auto"/>
          <w:szCs w:val="21"/>
          <w:lang w:eastAsia="zh-CN"/>
        </w:rPr>
        <w:t>尼勒克县城镇健康路12号</w:t>
      </w:r>
    </w:p>
    <w:p>
      <w:pPr>
        <w:pStyle w:val="8"/>
        <w:kinsoku w:val="0"/>
        <w:overflowPunct w:val="0"/>
        <w:spacing w:line="357" w:lineRule="auto"/>
        <w:ind w:right="5292"/>
        <w:rPr>
          <w:rFonts w:hint="default"/>
          <w:color w:val="auto"/>
        </w:rPr>
      </w:pPr>
      <w:bookmarkStart w:id="9" w:name="项目联系人：_申键"/>
      <w:bookmarkEnd w:id="9"/>
      <w:r>
        <w:rPr>
          <w:color w:val="auto"/>
        </w:rPr>
        <w:t>项目联系人：</w:t>
      </w:r>
      <w:bookmarkStart w:id="10" w:name="项目联系方式：_15352633996"/>
      <w:bookmarkEnd w:id="10"/>
      <w:r>
        <w:rPr>
          <w:color w:val="auto"/>
        </w:rPr>
        <w:t>刘晓燕</w:t>
      </w:r>
    </w:p>
    <w:p>
      <w:pPr>
        <w:pStyle w:val="8"/>
        <w:kinsoku w:val="0"/>
        <w:overflowPunct w:val="0"/>
        <w:spacing w:line="357" w:lineRule="auto"/>
        <w:ind w:right="5292"/>
        <w:rPr>
          <w:rFonts w:hint="default"/>
          <w:color w:val="auto"/>
        </w:rPr>
      </w:pPr>
      <w:r>
        <w:rPr>
          <w:color w:val="auto"/>
        </w:rPr>
        <w:t>项目联系方式：0999-4639238</w:t>
      </w:r>
    </w:p>
    <w:p>
      <w:pPr>
        <w:pStyle w:val="8"/>
        <w:kinsoku w:val="0"/>
        <w:overflowPunct w:val="0"/>
        <w:spacing w:before="190" w:line="357" w:lineRule="auto"/>
        <w:ind w:right="3046"/>
        <w:rPr>
          <w:rFonts w:hint="default"/>
          <w:color w:val="auto"/>
        </w:rPr>
      </w:pPr>
      <w:bookmarkStart w:id="11" w:name="2.采购代理机构信息"/>
      <w:bookmarkEnd w:id="11"/>
      <w:r>
        <w:rPr>
          <w:color w:val="auto"/>
        </w:rPr>
        <w:t xml:space="preserve">2.采购代理机构信息 </w:t>
      </w:r>
      <w:bookmarkStart w:id="12" w:name="名称：新疆经纬招标有限责任公司"/>
      <w:bookmarkEnd w:id="12"/>
    </w:p>
    <w:p>
      <w:pPr>
        <w:pStyle w:val="8"/>
        <w:kinsoku w:val="0"/>
        <w:overflowPunct w:val="0"/>
        <w:spacing w:before="190" w:line="357" w:lineRule="auto"/>
        <w:ind w:right="3046"/>
        <w:rPr>
          <w:rFonts w:hint="default"/>
          <w:color w:val="auto"/>
        </w:rPr>
      </w:pPr>
      <w:r>
        <w:rPr>
          <w:color w:val="auto"/>
        </w:rPr>
        <w:t>名称：伊犁双信招投标代理有限责任公司</w:t>
      </w:r>
    </w:p>
    <w:p>
      <w:pPr>
        <w:pStyle w:val="8"/>
        <w:kinsoku w:val="0"/>
        <w:overflowPunct w:val="0"/>
        <w:spacing w:before="190" w:line="357" w:lineRule="auto"/>
        <w:ind w:right="3046"/>
        <w:rPr>
          <w:rFonts w:hint="eastAsia" w:eastAsia="宋体"/>
          <w:color w:val="auto"/>
          <w:lang w:eastAsia="zh-CN"/>
        </w:rPr>
      </w:pPr>
      <w:r>
        <w:rPr>
          <w:color w:val="auto"/>
        </w:rPr>
        <w:t xml:space="preserve"> </w:t>
      </w:r>
      <w:bookmarkStart w:id="13" w:name="地址：新疆昆玉市阳光苑小区2栋2单元101室"/>
      <w:bookmarkEnd w:id="13"/>
      <w:r>
        <w:rPr>
          <w:color w:val="auto"/>
        </w:rPr>
        <w:t>地址：</w:t>
      </w:r>
      <w:bookmarkStart w:id="14" w:name="项目联系人：庞_兵_王梦月"/>
      <w:bookmarkEnd w:id="14"/>
      <w:r>
        <w:rPr>
          <w:rFonts w:hint="eastAsia"/>
          <w:color w:val="auto"/>
          <w:lang w:eastAsia="zh-CN"/>
        </w:rPr>
        <w:t>新疆伊宁市公园街9号5楼</w:t>
      </w:r>
    </w:p>
    <w:p>
      <w:pPr>
        <w:pStyle w:val="8"/>
        <w:kinsoku w:val="0"/>
        <w:overflowPunct w:val="0"/>
        <w:spacing w:before="190" w:line="357" w:lineRule="auto"/>
        <w:ind w:right="3046"/>
        <w:rPr>
          <w:rFonts w:hint="default"/>
          <w:color w:val="auto"/>
        </w:rPr>
      </w:pPr>
      <w:r>
        <w:rPr>
          <w:color w:val="auto"/>
        </w:rPr>
        <w:t>项目联系人：王学伟</w:t>
      </w:r>
    </w:p>
    <w:p>
      <w:pPr>
        <w:pStyle w:val="8"/>
        <w:kinsoku w:val="0"/>
        <w:overflowPunct w:val="0"/>
        <w:spacing w:before="190" w:line="357" w:lineRule="auto"/>
        <w:ind w:right="3046"/>
        <w:rPr>
          <w:rFonts w:hint="default"/>
          <w:color w:val="auto"/>
        </w:rPr>
      </w:pPr>
      <w:r>
        <w:rPr>
          <w:color w:val="auto"/>
        </w:rPr>
        <w:t>项目联系方式：18999595698</w:t>
      </w:r>
    </w:p>
    <w:p>
      <w:pPr>
        <w:pStyle w:val="8"/>
        <w:kinsoku w:val="0"/>
        <w:overflowPunct w:val="0"/>
        <w:spacing w:before="190" w:line="357" w:lineRule="auto"/>
        <w:ind w:right="3046"/>
        <w:rPr>
          <w:rFonts w:hint="default"/>
          <w:color w:val="auto"/>
        </w:rPr>
        <w:sectPr>
          <w:pgSz w:w="11910" w:h="16840"/>
          <w:pgMar w:top="1460" w:right="1560" w:bottom="1600" w:left="1680" w:header="0" w:footer="1395" w:gutter="0"/>
          <w:cols w:space="720" w:num="1"/>
        </w:sectPr>
      </w:pPr>
    </w:p>
    <w:p>
      <w:pPr>
        <w:pStyle w:val="2"/>
        <w:tabs>
          <w:tab w:val="left" w:pos="4911"/>
        </w:tabs>
        <w:kinsoku w:val="0"/>
        <w:overflowPunct w:val="0"/>
        <w:spacing w:line="433" w:lineRule="exact"/>
        <w:ind w:left="3104" w:right="1166"/>
        <w:rPr>
          <w:rFonts w:hint="default"/>
          <w:b w:val="0"/>
          <w:color w:val="auto"/>
        </w:rPr>
      </w:pPr>
      <w:bookmarkStart w:id="15" w:name="第二部分__投标人须知"/>
      <w:bookmarkEnd w:id="15"/>
      <w:r>
        <w:rPr>
          <w:color w:val="auto"/>
          <w:w w:val="95"/>
        </w:rPr>
        <w:t>第二部分</w:t>
      </w:r>
      <w:r>
        <w:rPr>
          <w:color w:val="auto"/>
          <w:w w:val="95"/>
        </w:rPr>
        <w:tab/>
      </w:r>
      <w:r>
        <w:rPr>
          <w:rFonts w:hint="eastAsia"/>
          <w:color w:val="auto"/>
          <w:lang w:eastAsia="zh-CN"/>
        </w:rPr>
        <w:t>供应商</w:t>
      </w:r>
      <w:r>
        <w:rPr>
          <w:color w:val="auto"/>
        </w:rPr>
        <w:t>须知</w:t>
      </w:r>
    </w:p>
    <w:p>
      <w:pPr>
        <w:pStyle w:val="8"/>
        <w:kinsoku w:val="0"/>
        <w:overflowPunct w:val="0"/>
        <w:spacing w:before="10"/>
        <w:ind w:left="0"/>
        <w:rPr>
          <w:rFonts w:hint="default"/>
          <w:b/>
          <w:color w:val="auto"/>
          <w:sz w:val="14"/>
          <w:szCs w:val="14"/>
        </w:rPr>
      </w:pPr>
    </w:p>
    <w:p>
      <w:pPr>
        <w:pStyle w:val="6"/>
        <w:kinsoku w:val="0"/>
        <w:overflowPunct w:val="0"/>
        <w:spacing w:before="14"/>
        <w:ind w:left="760" w:right="1166"/>
        <w:rPr>
          <w:rFonts w:hint="default"/>
          <w:b w:val="0"/>
          <w:color w:val="auto"/>
        </w:rPr>
      </w:pPr>
      <w:bookmarkStart w:id="16" w:name="投标人须知前附表"/>
      <w:bookmarkEnd w:id="16"/>
      <w:r>
        <w:rPr>
          <w:rFonts w:hint="eastAsia"/>
          <w:color w:val="auto"/>
          <w:lang w:eastAsia="zh-CN"/>
        </w:rPr>
        <w:t>供应商</w:t>
      </w:r>
      <w:r>
        <w:rPr>
          <w:color w:val="auto"/>
        </w:rPr>
        <w:t>须知前附表</w:t>
      </w:r>
    </w:p>
    <w:p>
      <w:pPr>
        <w:pStyle w:val="8"/>
        <w:kinsoku w:val="0"/>
        <w:overflowPunct w:val="0"/>
        <w:spacing w:before="6"/>
        <w:ind w:left="0"/>
        <w:rPr>
          <w:rFonts w:hint="default"/>
          <w:b/>
          <w:color w:val="auto"/>
          <w:sz w:val="4"/>
          <w:szCs w:val="4"/>
        </w:rPr>
      </w:pPr>
    </w:p>
    <w:tbl>
      <w:tblPr>
        <w:tblStyle w:val="17"/>
        <w:tblW w:w="0" w:type="auto"/>
        <w:tblInd w:w="107" w:type="dxa"/>
        <w:tblLayout w:type="fixed"/>
        <w:tblCellMar>
          <w:top w:w="0" w:type="dxa"/>
          <w:left w:w="0" w:type="dxa"/>
          <w:bottom w:w="0" w:type="dxa"/>
          <w:right w:w="0" w:type="dxa"/>
        </w:tblCellMar>
      </w:tblPr>
      <w:tblGrid>
        <w:gridCol w:w="735"/>
        <w:gridCol w:w="2664"/>
        <w:gridCol w:w="6203"/>
      </w:tblGrid>
      <w:tr>
        <w:tblPrEx>
          <w:tblCellMar>
            <w:top w:w="0" w:type="dxa"/>
            <w:left w:w="0" w:type="dxa"/>
            <w:bottom w:w="0" w:type="dxa"/>
            <w:right w:w="0" w:type="dxa"/>
          </w:tblCellMar>
        </w:tblPrEx>
        <w:trPr>
          <w:trHeight w:val="478" w:hRule="exact"/>
        </w:trPr>
        <w:tc>
          <w:tcPr>
            <w:tcW w:w="73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1"/>
              <w:ind w:left="120"/>
              <w:rPr>
                <w:rFonts w:hint="default" w:ascii="Times New Roman" w:eastAsia="Times New Roman"/>
                <w:color w:val="auto"/>
              </w:rPr>
            </w:pPr>
            <w:r>
              <w:rPr>
                <w:rFonts w:cs="宋体"/>
                <w:b/>
                <w:color w:val="auto"/>
              </w:rPr>
              <w:t>序号</w:t>
            </w:r>
          </w:p>
        </w:tc>
        <w:tc>
          <w:tcPr>
            <w:tcW w:w="2664"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1"/>
              <w:ind w:right="1"/>
              <w:jc w:val="center"/>
              <w:rPr>
                <w:rFonts w:hint="default" w:ascii="Times New Roman" w:eastAsia="Times New Roman"/>
                <w:color w:val="auto"/>
              </w:rPr>
            </w:pPr>
            <w:r>
              <w:rPr>
                <w:rFonts w:cs="宋体"/>
                <w:b/>
                <w:color w:val="auto"/>
              </w:rPr>
              <w:t>内容</w:t>
            </w: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1"/>
              <w:jc w:val="center"/>
              <w:rPr>
                <w:rFonts w:hint="default" w:ascii="Times New Roman" w:eastAsia="Times New Roman"/>
                <w:color w:val="auto"/>
              </w:rPr>
            </w:pPr>
            <w:r>
              <w:rPr>
                <w:rFonts w:cs="宋体"/>
                <w:b/>
                <w:color w:val="auto"/>
              </w:rPr>
              <w:t>说明与要求</w:t>
            </w:r>
          </w:p>
        </w:tc>
      </w:tr>
      <w:tr>
        <w:tblPrEx>
          <w:tblCellMar>
            <w:top w:w="0" w:type="dxa"/>
            <w:left w:w="0" w:type="dxa"/>
            <w:bottom w:w="0" w:type="dxa"/>
            <w:right w:w="0" w:type="dxa"/>
          </w:tblCellMar>
        </w:tblPrEx>
        <w:trPr>
          <w:trHeight w:val="601" w:hRule="exact"/>
        </w:trPr>
        <w:tc>
          <w:tcPr>
            <w:tcW w:w="73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1"/>
              <w:jc w:val="center"/>
              <w:rPr>
                <w:rFonts w:hint="default" w:ascii="Times New Roman" w:eastAsia="Times New Roman"/>
                <w:color w:val="auto"/>
              </w:rPr>
            </w:pPr>
            <w:r>
              <w:rPr>
                <w:rFonts w:cs="宋体"/>
                <w:b/>
                <w:color w:val="auto"/>
                <w:w w:val="99"/>
              </w:rPr>
              <w:t>1</w:t>
            </w:r>
          </w:p>
        </w:tc>
        <w:tc>
          <w:tcPr>
            <w:tcW w:w="2664"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1"/>
              <w:ind w:left="844"/>
              <w:rPr>
                <w:rFonts w:hint="default" w:ascii="Times New Roman" w:eastAsia="Times New Roman"/>
                <w:color w:val="auto"/>
              </w:rPr>
            </w:pPr>
            <w:r>
              <w:rPr>
                <w:rFonts w:cs="宋体"/>
                <w:b/>
                <w:color w:val="auto"/>
              </w:rPr>
              <w:t>项目名称</w:t>
            </w: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1"/>
              <w:ind w:left="102"/>
              <w:rPr>
                <w:rFonts w:hint="default" w:ascii="Times New Roman" w:eastAsia="Times New Roman"/>
                <w:color w:val="auto"/>
              </w:rPr>
            </w:pPr>
            <w:r>
              <w:rPr>
                <w:rFonts w:hint="eastAsia" w:cs="宋体"/>
                <w:color w:val="auto"/>
                <w:lang w:eastAsia="zh-CN"/>
              </w:rPr>
              <w:t>尼勒克县人民医院临床及医技医疗设备购置项目（包二）</w:t>
            </w:r>
            <w:r>
              <w:rPr>
                <w:rFonts w:cs="宋体"/>
                <w:color w:val="auto"/>
              </w:rPr>
              <w:t xml:space="preserve"> </w:t>
            </w:r>
          </w:p>
        </w:tc>
      </w:tr>
      <w:tr>
        <w:tblPrEx>
          <w:tblCellMar>
            <w:top w:w="0" w:type="dxa"/>
            <w:left w:w="0" w:type="dxa"/>
            <w:bottom w:w="0" w:type="dxa"/>
            <w:right w:w="0" w:type="dxa"/>
          </w:tblCellMar>
        </w:tblPrEx>
        <w:trPr>
          <w:trHeight w:val="1275" w:hRule="exact"/>
        </w:trPr>
        <w:tc>
          <w:tcPr>
            <w:tcW w:w="73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cs="宋体"/>
                <w:b/>
                <w:color w:val="auto"/>
              </w:rPr>
            </w:pPr>
          </w:p>
          <w:p>
            <w:pPr>
              <w:pStyle w:val="21"/>
              <w:kinsoku w:val="0"/>
              <w:overflowPunct w:val="0"/>
              <w:jc w:val="center"/>
              <w:rPr>
                <w:rFonts w:hint="default" w:ascii="Times New Roman" w:eastAsia="Times New Roman"/>
                <w:color w:val="auto"/>
              </w:rPr>
            </w:pPr>
            <w:r>
              <w:rPr>
                <w:rFonts w:cs="宋体"/>
                <w:b/>
                <w:color w:val="auto"/>
                <w:w w:val="99"/>
              </w:rPr>
              <w:t>2</w:t>
            </w:r>
          </w:p>
        </w:tc>
        <w:tc>
          <w:tcPr>
            <w:tcW w:w="2664"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cs="宋体"/>
                <w:b/>
                <w:color w:val="auto"/>
              </w:rPr>
            </w:pPr>
          </w:p>
          <w:p>
            <w:pPr>
              <w:pStyle w:val="21"/>
              <w:kinsoku w:val="0"/>
              <w:overflowPunct w:val="0"/>
              <w:ind w:right="1"/>
              <w:jc w:val="center"/>
              <w:rPr>
                <w:rFonts w:hint="default" w:ascii="Times New Roman" w:eastAsia="Times New Roman"/>
                <w:color w:val="auto"/>
              </w:rPr>
            </w:pPr>
            <w:r>
              <w:rPr>
                <w:rFonts w:cs="宋体"/>
                <w:b/>
                <w:color w:val="auto"/>
              </w:rPr>
              <w:t>采购人</w:t>
            </w: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r>
              <w:rPr>
                <w:color w:val="auto"/>
              </w:rPr>
              <w:t>名称：</w:t>
            </w:r>
            <w:r>
              <w:rPr>
                <w:rFonts w:hint="eastAsia"/>
                <w:color w:val="auto"/>
                <w:lang w:eastAsia="zh-CN"/>
              </w:rPr>
              <w:t>尼勒克县人民医院</w:t>
            </w:r>
            <w:r>
              <w:rPr>
                <w:color w:val="auto"/>
              </w:rPr>
              <w:t xml:space="preserve">  </w:t>
            </w:r>
          </w:p>
          <w:p>
            <w:pPr>
              <w:rPr>
                <w:rFonts w:hint="default" w:ascii="Times New Roman" w:eastAsia="Times New Roman"/>
                <w:color w:val="auto"/>
              </w:rPr>
            </w:pPr>
            <w:r>
              <w:rPr>
                <w:color w:val="auto"/>
              </w:rPr>
              <w:t>地址：</w:t>
            </w:r>
            <w:r>
              <w:rPr>
                <w:rFonts w:hint="eastAsia"/>
                <w:color w:val="auto"/>
              </w:rPr>
              <w:t>尼勒克县城镇健康路12号</w:t>
            </w:r>
          </w:p>
          <w:p>
            <w:pPr>
              <w:rPr>
                <w:rFonts w:hint="default"/>
                <w:color w:val="auto"/>
              </w:rPr>
            </w:pPr>
            <w:r>
              <w:rPr>
                <w:color w:val="auto"/>
              </w:rPr>
              <w:t>联系人：刘晓燕</w:t>
            </w:r>
          </w:p>
          <w:p>
            <w:pPr>
              <w:rPr>
                <w:rFonts w:hint="default"/>
                <w:color w:val="auto"/>
              </w:rPr>
            </w:pPr>
            <w:r>
              <w:rPr>
                <w:color w:val="auto"/>
              </w:rPr>
              <w:t>联系电话：0999-4639238</w:t>
            </w:r>
          </w:p>
        </w:tc>
      </w:tr>
      <w:tr>
        <w:tblPrEx>
          <w:tblCellMar>
            <w:top w:w="0" w:type="dxa"/>
            <w:left w:w="0" w:type="dxa"/>
            <w:bottom w:w="0" w:type="dxa"/>
            <w:right w:w="0" w:type="dxa"/>
          </w:tblCellMar>
        </w:tblPrEx>
        <w:trPr>
          <w:trHeight w:val="1273" w:hRule="exact"/>
        </w:trPr>
        <w:tc>
          <w:tcPr>
            <w:tcW w:w="73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8"/>
              <w:rPr>
                <w:rFonts w:hint="default" w:cs="宋体"/>
                <w:b/>
                <w:color w:val="auto"/>
                <w:sz w:val="26"/>
                <w:szCs w:val="26"/>
              </w:rPr>
            </w:pPr>
          </w:p>
          <w:p>
            <w:pPr>
              <w:pStyle w:val="21"/>
              <w:kinsoku w:val="0"/>
              <w:overflowPunct w:val="0"/>
              <w:jc w:val="center"/>
              <w:rPr>
                <w:rFonts w:hint="default" w:ascii="Times New Roman" w:eastAsia="Times New Roman"/>
                <w:color w:val="auto"/>
              </w:rPr>
            </w:pPr>
            <w:r>
              <w:rPr>
                <w:rFonts w:cs="宋体"/>
                <w:b/>
                <w:color w:val="auto"/>
                <w:w w:val="99"/>
              </w:rPr>
              <w:t>3</w:t>
            </w:r>
          </w:p>
        </w:tc>
        <w:tc>
          <w:tcPr>
            <w:tcW w:w="2664"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ind w:left="604"/>
              <w:rPr>
                <w:rFonts w:hint="default" w:cs="宋体"/>
                <w:b/>
                <w:color w:val="auto"/>
              </w:rPr>
            </w:pPr>
          </w:p>
          <w:p>
            <w:pPr>
              <w:pStyle w:val="21"/>
              <w:kinsoku w:val="0"/>
              <w:overflowPunct w:val="0"/>
              <w:ind w:left="604"/>
              <w:rPr>
                <w:rFonts w:hint="default" w:ascii="Times New Roman" w:eastAsia="Times New Roman"/>
                <w:color w:val="auto"/>
              </w:rPr>
            </w:pPr>
            <w:r>
              <w:rPr>
                <w:rFonts w:cs="宋体"/>
                <w:b/>
                <w:color w:val="auto"/>
              </w:rPr>
              <w:t>采购代理机构</w:t>
            </w: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r>
              <w:rPr>
                <w:color w:val="auto"/>
              </w:rPr>
              <w:t>名称：伊犁双信招投标代理有限责任公司</w:t>
            </w:r>
            <w:r>
              <w:rPr>
                <w:rFonts w:ascii="Times New Roman" w:eastAsia="Times New Roman"/>
                <w:color w:val="auto"/>
              </w:rPr>
              <w:t xml:space="preserve"> </w:t>
            </w:r>
          </w:p>
          <w:p>
            <w:pPr>
              <w:rPr>
                <w:rFonts w:hint="eastAsia" w:ascii="Times New Roman" w:eastAsia="宋体"/>
                <w:color w:val="auto"/>
                <w:lang w:eastAsia="zh-CN"/>
              </w:rPr>
            </w:pPr>
            <w:r>
              <w:rPr>
                <w:color w:val="auto"/>
              </w:rPr>
              <w:t>地址：</w:t>
            </w:r>
            <w:r>
              <w:rPr>
                <w:rFonts w:hint="eastAsia"/>
                <w:color w:val="auto"/>
                <w:lang w:eastAsia="zh-CN"/>
              </w:rPr>
              <w:t>新疆伊宁市公园街9号5楼</w:t>
            </w:r>
          </w:p>
          <w:p>
            <w:pPr>
              <w:rPr>
                <w:rFonts w:hint="default" w:ascii="Times New Roman" w:eastAsia="Times New Roman"/>
                <w:color w:val="auto"/>
              </w:rPr>
            </w:pPr>
            <w:r>
              <w:rPr>
                <w:color w:val="auto"/>
              </w:rPr>
              <w:t>联系人：王学伟</w:t>
            </w:r>
          </w:p>
          <w:p>
            <w:pPr>
              <w:rPr>
                <w:rFonts w:hint="default" w:ascii="Times New Roman" w:eastAsia="Times New Roman"/>
                <w:color w:val="auto"/>
              </w:rPr>
            </w:pPr>
            <w:r>
              <w:rPr>
                <w:color w:val="auto"/>
              </w:rPr>
              <w:t>联系电话：</w:t>
            </w:r>
            <w:r>
              <w:rPr>
                <w:rFonts w:ascii="Times New Roman" w:eastAsia="Times New Roman"/>
                <w:color w:val="auto"/>
              </w:rPr>
              <w:t>18999595698</w:t>
            </w:r>
          </w:p>
        </w:tc>
      </w:tr>
      <w:tr>
        <w:tblPrEx>
          <w:tblCellMar>
            <w:top w:w="0" w:type="dxa"/>
            <w:left w:w="0" w:type="dxa"/>
            <w:bottom w:w="0" w:type="dxa"/>
            <w:right w:w="0" w:type="dxa"/>
          </w:tblCellMar>
        </w:tblPrEx>
        <w:trPr>
          <w:trHeight w:val="478" w:hRule="exact"/>
        </w:trPr>
        <w:tc>
          <w:tcPr>
            <w:tcW w:w="73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jc w:val="center"/>
              <w:rPr>
                <w:rFonts w:hint="default" w:ascii="Times New Roman" w:eastAsia="Times New Roman"/>
                <w:color w:val="auto"/>
              </w:rPr>
            </w:pPr>
            <w:r>
              <w:rPr>
                <w:rFonts w:cs="宋体"/>
                <w:b/>
                <w:color w:val="auto"/>
                <w:w w:val="99"/>
              </w:rPr>
              <w:t>4</w:t>
            </w:r>
          </w:p>
        </w:tc>
        <w:tc>
          <w:tcPr>
            <w:tcW w:w="2664"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844"/>
              <w:rPr>
                <w:rFonts w:hint="default" w:ascii="Times New Roman" w:eastAsia="Times New Roman"/>
                <w:color w:val="auto"/>
              </w:rPr>
            </w:pPr>
            <w:r>
              <w:rPr>
                <w:rFonts w:cs="宋体"/>
                <w:b/>
                <w:color w:val="auto"/>
              </w:rPr>
              <w:t>采购内容</w:t>
            </w: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r>
              <w:rPr>
                <w:rFonts w:hint="eastAsia"/>
                <w:color w:val="auto"/>
                <w:lang w:eastAsia="zh-CN"/>
              </w:rPr>
              <w:t>采购关节镜系统（</w:t>
            </w:r>
            <w:r>
              <w:rPr>
                <w:rFonts w:cs="宋体"/>
                <w:color w:val="auto"/>
              </w:rPr>
              <w:t>具体详见招标文件采购需求</w:t>
            </w:r>
            <w:r>
              <w:rPr>
                <w:rFonts w:hint="eastAsia"/>
                <w:color w:val="auto"/>
                <w:lang w:eastAsia="zh-CN"/>
              </w:rPr>
              <w:t>）</w:t>
            </w:r>
          </w:p>
        </w:tc>
      </w:tr>
      <w:tr>
        <w:tblPrEx>
          <w:tblCellMar>
            <w:top w:w="0" w:type="dxa"/>
            <w:left w:w="0" w:type="dxa"/>
            <w:bottom w:w="0" w:type="dxa"/>
            <w:right w:w="0" w:type="dxa"/>
          </w:tblCellMar>
        </w:tblPrEx>
        <w:trPr>
          <w:trHeight w:val="8260" w:hRule="exact"/>
        </w:trPr>
        <w:tc>
          <w:tcPr>
            <w:tcW w:w="73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cs="宋体"/>
                <w:b/>
                <w:color w:val="auto"/>
              </w:rPr>
            </w:pPr>
          </w:p>
          <w:p>
            <w:pPr>
              <w:pStyle w:val="21"/>
              <w:kinsoku w:val="0"/>
              <w:overflowPunct w:val="0"/>
              <w:rPr>
                <w:rFonts w:hint="default" w:cs="宋体"/>
                <w:b/>
                <w:color w:val="auto"/>
              </w:rPr>
            </w:pPr>
          </w:p>
          <w:p>
            <w:pPr>
              <w:pStyle w:val="21"/>
              <w:kinsoku w:val="0"/>
              <w:overflowPunct w:val="0"/>
              <w:rPr>
                <w:rFonts w:hint="default" w:cs="宋体"/>
                <w:b/>
                <w:color w:val="auto"/>
              </w:rPr>
            </w:pPr>
          </w:p>
          <w:p>
            <w:pPr>
              <w:pStyle w:val="21"/>
              <w:kinsoku w:val="0"/>
              <w:overflowPunct w:val="0"/>
              <w:rPr>
                <w:rFonts w:hint="default" w:cs="宋体"/>
                <w:b/>
                <w:color w:val="auto"/>
              </w:rPr>
            </w:pPr>
          </w:p>
          <w:p>
            <w:pPr>
              <w:pStyle w:val="21"/>
              <w:kinsoku w:val="0"/>
              <w:overflowPunct w:val="0"/>
              <w:rPr>
                <w:rFonts w:hint="default" w:cs="宋体"/>
                <w:b/>
                <w:color w:val="auto"/>
              </w:rPr>
            </w:pPr>
          </w:p>
          <w:p>
            <w:pPr>
              <w:pStyle w:val="21"/>
              <w:kinsoku w:val="0"/>
              <w:overflowPunct w:val="0"/>
              <w:rPr>
                <w:rFonts w:hint="default" w:cs="宋体"/>
                <w:b/>
                <w:color w:val="auto"/>
              </w:rPr>
            </w:pPr>
          </w:p>
          <w:p>
            <w:pPr>
              <w:pStyle w:val="21"/>
              <w:kinsoku w:val="0"/>
              <w:overflowPunct w:val="0"/>
              <w:rPr>
                <w:rFonts w:hint="default" w:cs="宋体"/>
                <w:b/>
                <w:color w:val="auto"/>
              </w:rPr>
            </w:pPr>
          </w:p>
          <w:p>
            <w:pPr>
              <w:pStyle w:val="21"/>
              <w:kinsoku w:val="0"/>
              <w:overflowPunct w:val="0"/>
              <w:rPr>
                <w:rFonts w:hint="default" w:cs="宋体"/>
                <w:b/>
                <w:color w:val="auto"/>
              </w:rPr>
            </w:pPr>
          </w:p>
          <w:p>
            <w:pPr>
              <w:pStyle w:val="21"/>
              <w:kinsoku w:val="0"/>
              <w:overflowPunct w:val="0"/>
              <w:spacing w:before="10"/>
              <w:rPr>
                <w:rFonts w:hint="default" w:cs="宋体"/>
                <w:b/>
                <w:color w:val="auto"/>
                <w:sz w:val="25"/>
                <w:szCs w:val="25"/>
              </w:rPr>
            </w:pPr>
          </w:p>
          <w:p>
            <w:pPr>
              <w:pStyle w:val="21"/>
              <w:kinsoku w:val="0"/>
              <w:overflowPunct w:val="0"/>
              <w:jc w:val="center"/>
              <w:rPr>
                <w:rFonts w:hint="default" w:ascii="Times New Roman" w:eastAsia="Times New Roman"/>
                <w:color w:val="auto"/>
              </w:rPr>
            </w:pPr>
            <w:r>
              <w:rPr>
                <w:rFonts w:cs="宋体"/>
                <w:b/>
                <w:color w:val="auto"/>
                <w:w w:val="99"/>
              </w:rPr>
              <w:t>5</w:t>
            </w:r>
          </w:p>
        </w:tc>
        <w:tc>
          <w:tcPr>
            <w:tcW w:w="2664"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cs="宋体"/>
                <w:b/>
                <w:color w:val="auto"/>
              </w:rPr>
            </w:pPr>
          </w:p>
          <w:p>
            <w:pPr>
              <w:pStyle w:val="21"/>
              <w:kinsoku w:val="0"/>
              <w:overflowPunct w:val="0"/>
              <w:rPr>
                <w:rFonts w:hint="default" w:cs="宋体"/>
                <w:b/>
                <w:color w:val="auto"/>
              </w:rPr>
            </w:pPr>
          </w:p>
          <w:p>
            <w:pPr>
              <w:pStyle w:val="21"/>
              <w:kinsoku w:val="0"/>
              <w:overflowPunct w:val="0"/>
              <w:rPr>
                <w:rFonts w:hint="default" w:cs="宋体"/>
                <w:b/>
                <w:color w:val="auto"/>
              </w:rPr>
            </w:pPr>
          </w:p>
          <w:p>
            <w:pPr>
              <w:pStyle w:val="21"/>
              <w:kinsoku w:val="0"/>
              <w:overflowPunct w:val="0"/>
              <w:rPr>
                <w:rFonts w:hint="default" w:cs="宋体"/>
                <w:b/>
                <w:color w:val="auto"/>
              </w:rPr>
            </w:pPr>
          </w:p>
          <w:p>
            <w:pPr>
              <w:pStyle w:val="21"/>
              <w:kinsoku w:val="0"/>
              <w:overflowPunct w:val="0"/>
              <w:rPr>
                <w:rFonts w:hint="default" w:cs="宋体"/>
                <w:b/>
                <w:color w:val="auto"/>
              </w:rPr>
            </w:pPr>
          </w:p>
          <w:p>
            <w:pPr>
              <w:pStyle w:val="21"/>
              <w:kinsoku w:val="0"/>
              <w:overflowPunct w:val="0"/>
              <w:rPr>
                <w:rFonts w:hint="default" w:cs="宋体"/>
                <w:b/>
                <w:color w:val="auto"/>
              </w:rPr>
            </w:pPr>
          </w:p>
          <w:p>
            <w:pPr>
              <w:pStyle w:val="21"/>
              <w:kinsoku w:val="0"/>
              <w:overflowPunct w:val="0"/>
              <w:rPr>
                <w:rFonts w:hint="default" w:cs="宋体"/>
                <w:b/>
                <w:color w:val="auto"/>
              </w:rPr>
            </w:pPr>
          </w:p>
          <w:p>
            <w:pPr>
              <w:pStyle w:val="21"/>
              <w:kinsoku w:val="0"/>
              <w:overflowPunct w:val="0"/>
              <w:rPr>
                <w:rFonts w:hint="default" w:cs="宋体"/>
                <w:b/>
                <w:color w:val="auto"/>
              </w:rPr>
            </w:pPr>
          </w:p>
          <w:p>
            <w:pPr>
              <w:pStyle w:val="21"/>
              <w:kinsoku w:val="0"/>
              <w:overflowPunct w:val="0"/>
              <w:spacing w:before="10"/>
              <w:rPr>
                <w:rFonts w:hint="default" w:cs="宋体"/>
                <w:b/>
                <w:color w:val="auto"/>
                <w:sz w:val="25"/>
                <w:szCs w:val="25"/>
              </w:rPr>
            </w:pPr>
          </w:p>
          <w:p>
            <w:pPr>
              <w:pStyle w:val="21"/>
              <w:kinsoku w:val="0"/>
              <w:overflowPunct w:val="0"/>
              <w:ind w:left="378"/>
              <w:rPr>
                <w:rFonts w:hint="default" w:ascii="Times New Roman" w:eastAsia="Times New Roman"/>
                <w:color w:val="auto"/>
              </w:rPr>
            </w:pPr>
            <w:r>
              <w:rPr>
                <w:rFonts w:cs="宋体"/>
                <w:color w:val="auto"/>
                <w:sz w:val="21"/>
                <w:szCs w:val="21"/>
              </w:rPr>
              <w:t>★</w:t>
            </w:r>
            <w:r>
              <w:rPr>
                <w:rFonts w:hint="eastAsia" w:cs="宋体"/>
                <w:b/>
                <w:color w:val="auto"/>
                <w:lang w:eastAsia="zh-CN"/>
              </w:rPr>
              <w:t>供应商</w:t>
            </w:r>
            <w:r>
              <w:rPr>
                <w:rFonts w:cs="宋体"/>
                <w:b/>
                <w:color w:val="auto"/>
              </w:rPr>
              <w:t>资格要求</w:t>
            </w: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36"/>
              <w:ind w:left="102"/>
              <w:rPr>
                <w:rFonts w:hint="default" w:ascii="Times New Roman"/>
                <w:color w:val="auto"/>
              </w:rPr>
            </w:pPr>
            <w:r>
              <w:rPr>
                <w:rFonts w:hint="default" w:ascii="Times New Roman"/>
                <w:color w:val="auto"/>
              </w:rPr>
              <w:t>(1)符合《中华人民共和国政府采购法》第二十二条规定条件，并提供《中华人民共和国政府采购法实施条例》第十七条规定提供的证明材料；</w:t>
            </w:r>
          </w:p>
          <w:p>
            <w:pPr>
              <w:pStyle w:val="21"/>
              <w:kinsoku w:val="0"/>
              <w:overflowPunct w:val="0"/>
              <w:spacing w:before="36"/>
              <w:ind w:left="102"/>
              <w:rPr>
                <w:rFonts w:hint="default" w:ascii="Times New Roman"/>
                <w:color w:val="auto"/>
              </w:rPr>
            </w:pPr>
            <w:r>
              <w:rPr>
                <w:rFonts w:hint="default" w:ascii="Times New Roman"/>
                <w:color w:val="auto"/>
              </w:rPr>
              <w:t>①具有独立承担民事责任的能力；</w:t>
            </w:r>
          </w:p>
          <w:p>
            <w:pPr>
              <w:pStyle w:val="21"/>
              <w:kinsoku w:val="0"/>
              <w:overflowPunct w:val="0"/>
              <w:spacing w:before="36"/>
              <w:ind w:left="102"/>
              <w:rPr>
                <w:rFonts w:hint="default" w:ascii="Times New Roman"/>
                <w:color w:val="auto"/>
              </w:rPr>
            </w:pPr>
            <w:r>
              <w:rPr>
                <w:rFonts w:hint="default" w:ascii="Times New Roman"/>
                <w:color w:val="auto"/>
              </w:rPr>
              <w:t>②具有良好的商业信誉和健全的财务会计制度；</w:t>
            </w:r>
          </w:p>
          <w:p>
            <w:pPr>
              <w:pStyle w:val="21"/>
              <w:kinsoku w:val="0"/>
              <w:overflowPunct w:val="0"/>
              <w:spacing w:before="36"/>
              <w:ind w:left="102"/>
              <w:rPr>
                <w:rFonts w:hint="default" w:ascii="Times New Roman"/>
                <w:color w:val="auto"/>
              </w:rPr>
            </w:pPr>
            <w:r>
              <w:rPr>
                <w:rFonts w:hint="default" w:ascii="Times New Roman"/>
                <w:color w:val="auto"/>
              </w:rPr>
              <w:t>③具有履行合同所必需的设备和专业技术能力；</w:t>
            </w:r>
          </w:p>
          <w:p>
            <w:pPr>
              <w:pStyle w:val="21"/>
              <w:kinsoku w:val="0"/>
              <w:overflowPunct w:val="0"/>
              <w:spacing w:before="36"/>
              <w:ind w:left="102"/>
              <w:rPr>
                <w:rFonts w:hint="default" w:ascii="Times New Roman"/>
                <w:color w:val="auto"/>
              </w:rPr>
            </w:pPr>
            <w:r>
              <w:rPr>
                <w:rFonts w:hint="default" w:ascii="Times New Roman"/>
                <w:color w:val="auto"/>
              </w:rPr>
              <w:t>④有依法缴纳税收和社会保障资金的良好记录；</w:t>
            </w:r>
          </w:p>
          <w:p>
            <w:pPr>
              <w:pStyle w:val="21"/>
              <w:kinsoku w:val="0"/>
              <w:overflowPunct w:val="0"/>
              <w:spacing w:before="36"/>
              <w:ind w:left="102"/>
              <w:rPr>
                <w:rFonts w:hint="default" w:ascii="Times New Roman"/>
                <w:color w:val="auto"/>
              </w:rPr>
            </w:pPr>
            <w:r>
              <w:rPr>
                <w:rFonts w:hint="default" w:ascii="Times New Roman"/>
                <w:color w:val="auto"/>
              </w:rPr>
              <w:t>⑤参加招标采购活动前三年内，在经营活动中没有重大违法记录；</w:t>
            </w:r>
          </w:p>
          <w:p>
            <w:pPr>
              <w:pStyle w:val="21"/>
              <w:kinsoku w:val="0"/>
              <w:overflowPunct w:val="0"/>
              <w:spacing w:before="36"/>
              <w:ind w:left="102"/>
              <w:rPr>
                <w:rFonts w:hint="default" w:ascii="Times New Roman"/>
                <w:color w:val="auto"/>
              </w:rPr>
            </w:pPr>
            <w:r>
              <w:rPr>
                <w:rFonts w:hint="default" w:ascii="Times New Roman"/>
                <w:color w:val="auto"/>
              </w:rPr>
              <w:t>⑥法律、行政法规规定的其他条件。</w:t>
            </w:r>
          </w:p>
          <w:p>
            <w:pPr>
              <w:pStyle w:val="21"/>
              <w:kinsoku w:val="0"/>
              <w:overflowPunct w:val="0"/>
              <w:spacing w:before="36"/>
              <w:ind w:left="102"/>
              <w:rPr>
                <w:rFonts w:hint="default" w:ascii="Times New Roman"/>
                <w:color w:val="auto"/>
              </w:rPr>
            </w:pPr>
            <w:r>
              <w:rPr>
                <w:rFonts w:hint="default" w:ascii="Times New Roman"/>
                <w:color w:val="auto"/>
              </w:rPr>
              <w:t>（2）具有有效期内的工商营业执照；</w:t>
            </w:r>
          </w:p>
          <w:p>
            <w:pPr>
              <w:pStyle w:val="21"/>
              <w:kinsoku w:val="0"/>
              <w:overflowPunct w:val="0"/>
              <w:spacing w:before="36"/>
              <w:ind w:left="102"/>
              <w:rPr>
                <w:rFonts w:hint="default" w:ascii="Times New Roman"/>
                <w:color w:val="auto"/>
              </w:rPr>
            </w:pPr>
            <w:r>
              <w:rPr>
                <w:rFonts w:hint="default" w:ascii="Times New Roman"/>
                <w:color w:val="auto"/>
              </w:rPr>
              <w:t>（3）</w:t>
            </w:r>
            <w:r>
              <w:rPr>
                <w:rFonts w:hint="eastAsia" w:ascii="Times New Roman"/>
                <w:color w:val="auto"/>
                <w:lang w:eastAsia="zh-CN"/>
              </w:rPr>
              <w:t>供应商</w:t>
            </w:r>
            <w:r>
              <w:rPr>
                <w:rFonts w:hint="default" w:ascii="Times New Roman"/>
                <w:color w:val="auto"/>
              </w:rPr>
              <w:t>不得为“信用中国”网站（网址http://www.creditchina.gov.cn ）中列入失信被执行人和重大税收违法案件当事人名单的</w:t>
            </w:r>
            <w:r>
              <w:rPr>
                <w:rFonts w:hint="eastAsia" w:ascii="Times New Roman"/>
                <w:color w:val="auto"/>
                <w:lang w:eastAsia="zh-CN"/>
              </w:rPr>
              <w:t>供应商</w:t>
            </w:r>
            <w:r>
              <w:rPr>
                <w:rFonts w:hint="default" w:ascii="Times New Roman"/>
                <w:color w:val="auto"/>
              </w:rPr>
              <w:t>；不得为“国家企业信用信息公示系统”网站（网址http://www.gsxt.gov.cn/corp-query-homepage.html）列入严重违法失信企业名单（黑名单）的</w:t>
            </w:r>
            <w:r>
              <w:rPr>
                <w:rFonts w:hint="eastAsia" w:ascii="Times New Roman"/>
                <w:color w:val="auto"/>
                <w:lang w:eastAsia="zh-CN"/>
              </w:rPr>
              <w:t>供应商</w:t>
            </w:r>
            <w:r>
              <w:rPr>
                <w:rFonts w:hint="default" w:ascii="Times New Roman"/>
                <w:color w:val="auto"/>
              </w:rPr>
              <w:t>；不得为中国政府采购网（网址http://www.ccgp.gov.cn ）政府采购严重违法失信行为记录名单中被财政部门禁止参加政府采购活动的</w:t>
            </w:r>
            <w:r>
              <w:rPr>
                <w:rFonts w:hint="eastAsia" w:ascii="Times New Roman"/>
                <w:color w:val="auto"/>
                <w:lang w:eastAsia="zh-CN"/>
              </w:rPr>
              <w:t>供应商</w:t>
            </w:r>
            <w:r>
              <w:rPr>
                <w:rFonts w:hint="default" w:ascii="Times New Roman"/>
                <w:color w:val="auto"/>
              </w:rPr>
              <w:t>（处罚决定规定的时间和地域范围内）；</w:t>
            </w:r>
          </w:p>
          <w:p>
            <w:pPr>
              <w:pStyle w:val="21"/>
              <w:kinsoku w:val="0"/>
              <w:overflowPunct w:val="0"/>
              <w:spacing w:before="36"/>
              <w:ind w:left="102"/>
              <w:rPr>
                <w:rFonts w:hint="default" w:ascii="Times New Roman"/>
                <w:color w:val="auto"/>
              </w:rPr>
            </w:pPr>
            <w:r>
              <w:rPr>
                <w:rFonts w:hint="default" w:ascii="Times New Roman"/>
                <w:color w:val="auto"/>
              </w:rPr>
              <w:t>（4）</w:t>
            </w:r>
            <w:r>
              <w:rPr>
                <w:rFonts w:cs="宋体"/>
                <w:color w:val="auto"/>
              </w:rPr>
              <w:t>本项目的特定资格要求：具有《医疗器械生产许可证》或《医疗器械经营许可证》</w:t>
            </w:r>
            <w:r>
              <w:rPr>
                <w:rFonts w:hint="eastAsia" w:cs="宋体"/>
                <w:color w:val="auto"/>
                <w:lang w:eastAsia="zh-CN"/>
              </w:rPr>
              <w:t>，</w:t>
            </w:r>
            <w:r>
              <w:rPr>
                <w:rFonts w:ascii="宋体" w:hAnsi="宋体" w:cs="宋体"/>
                <w:color w:val="auto"/>
                <w:kern w:val="0"/>
                <w:sz w:val="24"/>
                <w:szCs w:val="24"/>
              </w:rPr>
              <w:t>须具有生产厂家（总代理）就本项目的产品授权书和售后服务承诺书（产品授权书中须写明所投进口产品的型号、产地和生产厂家名称，并必须有生产企业（总代理）法定代表人签章）。</w:t>
            </w:r>
          </w:p>
        </w:tc>
      </w:tr>
    </w:tbl>
    <w:p>
      <w:pPr>
        <w:rPr>
          <w:rFonts w:hint="default" w:ascii="Times New Roman" w:eastAsia="Times New Roman"/>
          <w:color w:val="auto"/>
        </w:rPr>
        <w:sectPr>
          <w:footerReference r:id="rId4" w:type="default"/>
          <w:pgSz w:w="11910" w:h="16840"/>
          <w:pgMar w:top="1480" w:right="1040" w:bottom="1600" w:left="1040" w:header="0" w:footer="1395" w:gutter="0"/>
          <w:cols w:space="720" w:num="1"/>
        </w:sectPr>
      </w:pPr>
    </w:p>
    <w:p>
      <w:pPr>
        <w:pStyle w:val="8"/>
        <w:kinsoku w:val="0"/>
        <w:overflowPunct w:val="0"/>
        <w:spacing w:before="2"/>
        <w:ind w:left="0"/>
        <w:rPr>
          <w:rFonts w:hint="default" w:ascii="Times New Roman" w:eastAsia="Times New Roman" w:cs="Times New Roman"/>
          <w:color w:val="auto"/>
          <w:sz w:val="7"/>
          <w:szCs w:val="7"/>
        </w:rPr>
      </w:pPr>
    </w:p>
    <w:tbl>
      <w:tblPr>
        <w:tblStyle w:val="17"/>
        <w:tblW w:w="0" w:type="auto"/>
        <w:jc w:val="center"/>
        <w:tblLayout w:type="fixed"/>
        <w:tblCellMar>
          <w:top w:w="0" w:type="dxa"/>
          <w:left w:w="0" w:type="dxa"/>
          <w:bottom w:w="0" w:type="dxa"/>
          <w:right w:w="0" w:type="dxa"/>
        </w:tblCellMar>
      </w:tblPr>
      <w:tblGrid>
        <w:gridCol w:w="735"/>
        <w:gridCol w:w="1609"/>
        <w:gridCol w:w="1055"/>
        <w:gridCol w:w="6203"/>
      </w:tblGrid>
      <w:tr>
        <w:tblPrEx>
          <w:tblCellMar>
            <w:top w:w="0" w:type="dxa"/>
            <w:left w:w="0" w:type="dxa"/>
            <w:bottom w:w="0" w:type="dxa"/>
            <w:right w:w="0" w:type="dxa"/>
          </w:tblCellMar>
        </w:tblPrEx>
        <w:trPr>
          <w:trHeight w:val="478" w:hRule="exact"/>
          <w:jc w:val="center"/>
        </w:trPr>
        <w:tc>
          <w:tcPr>
            <w:tcW w:w="735" w:type="dxa"/>
            <w:vMerge w:val="restart"/>
            <w:tcBorders>
              <w:top w:val="single" w:color="000000" w:sz="4" w:space="0"/>
              <w:left w:val="single" w:color="000000" w:sz="4" w:space="0"/>
              <w:bottom w:val="single" w:color="000000" w:sz="4" w:space="0"/>
              <w:right w:val="single" w:color="000000" w:sz="4" w:space="0"/>
              <w:tl2br w:val="nil"/>
              <w:tr2bl w:val="nil"/>
            </w:tcBorders>
            <w:vAlign w:val="top"/>
          </w:tcPr>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before="10" w:line="240" w:lineRule="auto"/>
              <w:rPr>
                <w:rFonts w:hint="default" w:ascii="Times New Roman" w:eastAsia="Times New Roman"/>
                <w:color w:val="auto"/>
                <w:sz w:val="21"/>
                <w:szCs w:val="21"/>
              </w:rPr>
            </w:pPr>
          </w:p>
          <w:p>
            <w:pPr>
              <w:pStyle w:val="21"/>
              <w:kinsoku w:val="0"/>
              <w:overflowPunct w:val="0"/>
              <w:spacing w:line="240" w:lineRule="auto"/>
              <w:jc w:val="center"/>
              <w:rPr>
                <w:rFonts w:hint="default" w:ascii="Times New Roman" w:eastAsia="Times New Roman"/>
                <w:color w:val="auto"/>
              </w:rPr>
            </w:pPr>
            <w:r>
              <w:rPr>
                <w:rFonts w:cs="宋体"/>
                <w:b/>
                <w:color w:val="auto"/>
                <w:w w:val="99"/>
              </w:rPr>
              <w:t>6</w:t>
            </w:r>
          </w:p>
        </w:tc>
        <w:tc>
          <w:tcPr>
            <w:tcW w:w="1609" w:type="dxa"/>
            <w:vMerge w:val="restart"/>
            <w:tcBorders>
              <w:top w:val="single" w:color="000000" w:sz="4" w:space="0"/>
              <w:left w:val="single" w:color="000000" w:sz="4" w:space="0"/>
              <w:bottom w:val="single" w:color="000000" w:sz="4" w:space="0"/>
              <w:right w:val="single" w:color="000000" w:sz="4" w:space="0"/>
              <w:tl2br w:val="nil"/>
              <w:tr2bl w:val="nil"/>
            </w:tcBorders>
            <w:vAlign w:val="top"/>
          </w:tcPr>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before="5" w:line="240" w:lineRule="auto"/>
              <w:rPr>
                <w:rFonts w:hint="default" w:ascii="Times New Roman" w:eastAsia="Times New Roman"/>
                <w:color w:val="auto"/>
                <w:sz w:val="25"/>
                <w:szCs w:val="25"/>
              </w:rPr>
            </w:pPr>
          </w:p>
          <w:p>
            <w:pPr>
              <w:pStyle w:val="21"/>
              <w:kinsoku w:val="0"/>
              <w:overflowPunct w:val="0"/>
              <w:spacing w:line="240" w:lineRule="auto"/>
              <w:ind w:left="316" w:right="196" w:hanging="120"/>
              <w:rPr>
                <w:rFonts w:hint="default" w:ascii="Times New Roman" w:eastAsia="Times New Roman"/>
                <w:color w:val="auto"/>
              </w:rPr>
            </w:pPr>
            <w:r>
              <w:rPr>
                <w:rFonts w:cs="宋体"/>
                <w:b/>
                <w:color w:val="auto"/>
              </w:rPr>
              <w:t>投标文件的</w:t>
            </w:r>
            <w:r>
              <w:rPr>
                <w:rFonts w:cs="宋体"/>
                <w:b/>
                <w:color w:val="auto"/>
                <w:w w:val="99"/>
              </w:rPr>
              <w:t xml:space="preserve"> </w:t>
            </w:r>
            <w:r>
              <w:rPr>
                <w:rFonts w:cs="宋体"/>
                <w:b/>
                <w:color w:val="auto"/>
              </w:rPr>
              <w:t>组成部分</w:t>
            </w:r>
          </w:p>
        </w:tc>
        <w:tc>
          <w:tcPr>
            <w:tcW w:w="1055" w:type="dxa"/>
            <w:tcBorders>
              <w:top w:val="single" w:color="000000" w:sz="4" w:space="0"/>
              <w:left w:val="single" w:color="000000" w:sz="4" w:space="0"/>
              <w:bottom w:val="single" w:color="000000" w:sz="4" w:space="0"/>
              <w:right w:val="single" w:color="000000" w:sz="4" w:space="0"/>
              <w:tl2br w:val="nil"/>
              <w:tr2bl w:val="nil"/>
            </w:tcBorders>
            <w:vAlign w:val="top"/>
          </w:tcPr>
          <w:p>
            <w:pPr>
              <w:pStyle w:val="21"/>
              <w:kinsoku w:val="0"/>
              <w:overflowPunct w:val="0"/>
              <w:spacing w:before="40" w:line="240" w:lineRule="auto"/>
              <w:ind w:left="281"/>
              <w:rPr>
                <w:rFonts w:hint="default" w:ascii="Times New Roman" w:eastAsia="Times New Roman"/>
                <w:color w:val="auto"/>
              </w:rPr>
            </w:pPr>
            <w:r>
              <w:rPr>
                <w:rFonts w:cs="宋体"/>
                <w:b/>
                <w:color w:val="auto"/>
              </w:rPr>
              <w:t>封面</w:t>
            </w:r>
          </w:p>
        </w:tc>
        <w:tc>
          <w:tcPr>
            <w:tcW w:w="62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21"/>
              <w:kinsoku w:val="0"/>
              <w:overflowPunct w:val="0"/>
              <w:spacing w:before="40" w:line="240" w:lineRule="auto"/>
              <w:ind w:left="102"/>
              <w:rPr>
                <w:rFonts w:hint="default" w:ascii="Times New Roman" w:eastAsia="Times New Roman"/>
                <w:color w:val="auto"/>
              </w:rPr>
            </w:pPr>
            <w:r>
              <w:rPr>
                <w:rFonts w:cs="宋体"/>
                <w:color w:val="auto"/>
              </w:rPr>
              <w:t>(1)投标文件封面；</w:t>
            </w:r>
          </w:p>
        </w:tc>
      </w:tr>
      <w:tr>
        <w:tblPrEx>
          <w:tblCellMar>
            <w:top w:w="0" w:type="dxa"/>
            <w:left w:w="0" w:type="dxa"/>
            <w:bottom w:w="0" w:type="dxa"/>
            <w:right w:w="0" w:type="dxa"/>
          </w:tblCellMar>
        </w:tblPrEx>
        <w:trPr>
          <w:trHeight w:val="8997" w:hRule="exact"/>
          <w:jc w:val="center"/>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vAlign w:val="top"/>
          </w:tcPr>
          <w:p>
            <w:pPr>
              <w:pStyle w:val="21"/>
              <w:kinsoku w:val="0"/>
              <w:overflowPunct w:val="0"/>
              <w:spacing w:before="40" w:line="240" w:lineRule="auto"/>
              <w:ind w:left="102"/>
              <w:rPr>
                <w:rFonts w:hint="default" w:ascii="Times New Roman" w:eastAsia="Times New Roman"/>
                <w:color w:val="auto"/>
              </w:rPr>
            </w:pPr>
          </w:p>
        </w:tc>
        <w:tc>
          <w:tcPr>
            <w:tcW w:w="1609" w:type="dxa"/>
            <w:vMerge w:val="continue"/>
            <w:tcBorders>
              <w:top w:val="single" w:color="000000" w:sz="4" w:space="0"/>
              <w:left w:val="single" w:color="000000" w:sz="4" w:space="0"/>
              <w:bottom w:val="single" w:color="000000" w:sz="4" w:space="0"/>
              <w:right w:val="single" w:color="000000" w:sz="4" w:space="0"/>
              <w:tl2br w:val="nil"/>
              <w:tr2bl w:val="nil"/>
            </w:tcBorders>
            <w:vAlign w:val="top"/>
          </w:tcPr>
          <w:p>
            <w:pPr>
              <w:pStyle w:val="21"/>
              <w:kinsoku w:val="0"/>
              <w:overflowPunct w:val="0"/>
              <w:spacing w:before="40" w:line="240" w:lineRule="auto"/>
              <w:ind w:left="102"/>
              <w:rPr>
                <w:rFonts w:hint="default" w:ascii="Times New Roman" w:eastAsia="Times New Roman"/>
                <w:color w:val="auto"/>
              </w:rPr>
            </w:pPr>
          </w:p>
        </w:tc>
        <w:tc>
          <w:tcPr>
            <w:tcW w:w="1055" w:type="dxa"/>
            <w:vMerge w:val="restart"/>
            <w:tcBorders>
              <w:top w:val="single" w:color="000000" w:sz="4" w:space="0"/>
              <w:left w:val="single" w:color="000000" w:sz="4" w:space="0"/>
              <w:right w:val="single" w:color="000000" w:sz="4" w:space="0"/>
              <w:tl2br w:val="nil"/>
              <w:tr2bl w:val="nil"/>
            </w:tcBorders>
            <w:vAlign w:val="top"/>
          </w:tcPr>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line="240" w:lineRule="auto"/>
              <w:rPr>
                <w:rFonts w:hint="default" w:ascii="Times New Roman" w:eastAsia="Times New Roman"/>
                <w:color w:val="auto"/>
              </w:rPr>
            </w:pPr>
          </w:p>
          <w:p>
            <w:pPr>
              <w:pStyle w:val="21"/>
              <w:kinsoku w:val="0"/>
              <w:overflowPunct w:val="0"/>
              <w:spacing w:before="8" w:line="240" w:lineRule="auto"/>
              <w:rPr>
                <w:rFonts w:hint="default" w:ascii="Times New Roman" w:eastAsia="Times New Roman"/>
                <w:color w:val="auto"/>
                <w:sz w:val="28"/>
                <w:szCs w:val="28"/>
              </w:rPr>
            </w:pPr>
          </w:p>
          <w:p>
            <w:pPr>
              <w:pStyle w:val="21"/>
              <w:kinsoku w:val="0"/>
              <w:overflowPunct w:val="0"/>
              <w:spacing w:line="240" w:lineRule="auto"/>
              <w:ind w:left="161" w:right="159"/>
              <w:rPr>
                <w:rFonts w:hint="default" w:ascii="Times New Roman" w:eastAsia="Times New Roman"/>
                <w:color w:val="auto"/>
              </w:rPr>
            </w:pPr>
            <w:r>
              <w:rPr>
                <w:rFonts w:cs="宋体"/>
                <w:b/>
                <w:color w:val="auto"/>
              </w:rPr>
              <w:t>资格审</w:t>
            </w:r>
            <w:r>
              <w:rPr>
                <w:rFonts w:cs="宋体"/>
                <w:b/>
                <w:color w:val="auto"/>
                <w:w w:val="99"/>
              </w:rPr>
              <w:t xml:space="preserve"> </w:t>
            </w:r>
            <w:r>
              <w:rPr>
                <w:rFonts w:cs="宋体"/>
                <w:b/>
                <w:color w:val="auto"/>
              </w:rPr>
              <w:t>查材料</w:t>
            </w:r>
          </w:p>
        </w:tc>
        <w:tc>
          <w:tcPr>
            <w:tcW w:w="6203" w:type="dxa"/>
            <w:vMerge w:val="restart"/>
            <w:tcBorders>
              <w:top w:val="single" w:color="000000" w:sz="4" w:space="0"/>
              <w:left w:val="single" w:color="000000" w:sz="4" w:space="0"/>
              <w:right w:val="single" w:color="000000" w:sz="4" w:space="0"/>
              <w:tl2br w:val="nil"/>
              <w:tr2bl w:val="nil"/>
            </w:tcBorders>
            <w:vAlign w:val="top"/>
          </w:tcPr>
          <w:p>
            <w:pPr>
              <w:pStyle w:val="21"/>
              <w:kinsoku w:val="0"/>
              <w:overflowPunct w:val="0"/>
              <w:spacing w:before="42" w:line="240" w:lineRule="auto"/>
              <w:ind w:left="102" w:right="3688"/>
              <w:rPr>
                <w:rFonts w:hint="default" w:cs="宋体"/>
                <w:color w:val="auto"/>
              </w:rPr>
            </w:pPr>
            <w:r>
              <w:rPr>
                <w:rFonts w:cs="宋体"/>
                <w:color w:val="auto"/>
              </w:rPr>
              <w:t>(2)</w:t>
            </w:r>
            <w:r>
              <w:rPr>
                <w:rFonts w:cs="宋体"/>
                <w:color w:val="auto"/>
                <w:sz w:val="21"/>
                <w:szCs w:val="21"/>
              </w:rPr>
              <w:t>★</w:t>
            </w:r>
            <w:r>
              <w:rPr>
                <w:rFonts w:cs="宋体"/>
                <w:color w:val="auto"/>
              </w:rPr>
              <w:t>营业执照；</w:t>
            </w:r>
          </w:p>
          <w:p>
            <w:pPr>
              <w:pStyle w:val="21"/>
              <w:kinsoku w:val="0"/>
              <w:overflowPunct w:val="0"/>
              <w:spacing w:before="42" w:line="240" w:lineRule="auto"/>
              <w:ind w:left="102" w:right="3688"/>
              <w:rPr>
                <w:rFonts w:hint="default" w:cs="宋体"/>
                <w:color w:val="auto"/>
              </w:rPr>
            </w:pPr>
            <w:r>
              <w:rPr>
                <w:rFonts w:cs="宋体"/>
                <w:color w:val="auto"/>
              </w:rPr>
              <w:t>备注：自然人无需提供</w:t>
            </w:r>
          </w:p>
          <w:p>
            <w:pPr>
              <w:pStyle w:val="21"/>
              <w:kinsoku w:val="0"/>
              <w:overflowPunct w:val="0"/>
              <w:spacing w:before="36" w:line="240" w:lineRule="auto"/>
              <w:ind w:left="102" w:right="1677"/>
              <w:rPr>
                <w:rFonts w:hint="default" w:cs="宋体"/>
                <w:color w:val="auto"/>
              </w:rPr>
            </w:pPr>
            <w:r>
              <w:rPr>
                <w:rFonts w:cs="宋体"/>
                <w:color w:val="auto"/>
              </w:rPr>
              <w:t>(3)</w:t>
            </w:r>
            <w:r>
              <w:rPr>
                <w:rFonts w:cs="宋体"/>
                <w:color w:val="auto"/>
                <w:sz w:val="21"/>
                <w:szCs w:val="21"/>
              </w:rPr>
              <w:t>★</w:t>
            </w:r>
            <w:r>
              <w:rPr>
                <w:rFonts w:cs="宋体"/>
                <w:color w:val="auto"/>
              </w:rPr>
              <w:t xml:space="preserve">法定代表人身份证明及授权委托书； 备注：自然人提供身份证明 </w:t>
            </w:r>
          </w:p>
          <w:p>
            <w:pPr>
              <w:pStyle w:val="21"/>
              <w:kinsoku w:val="0"/>
              <w:overflowPunct w:val="0"/>
              <w:spacing w:before="36" w:line="240" w:lineRule="auto"/>
              <w:ind w:left="102" w:right="1677"/>
              <w:rPr>
                <w:rFonts w:hint="default" w:cs="宋体"/>
                <w:color w:val="auto"/>
              </w:rPr>
            </w:pPr>
            <w:r>
              <w:rPr>
                <w:rFonts w:cs="宋体"/>
                <w:color w:val="auto"/>
              </w:rPr>
              <w:t>(4)</w:t>
            </w:r>
            <w:r>
              <w:rPr>
                <w:rFonts w:cs="宋体"/>
                <w:color w:val="auto"/>
                <w:sz w:val="21"/>
                <w:szCs w:val="21"/>
              </w:rPr>
              <w:t>★</w:t>
            </w:r>
            <w:r>
              <w:rPr>
                <w:rFonts w:cs="宋体"/>
                <w:color w:val="auto"/>
              </w:rPr>
              <w:t>投标保证金；</w:t>
            </w:r>
          </w:p>
          <w:p>
            <w:pPr>
              <w:pStyle w:val="21"/>
              <w:kinsoku w:val="0"/>
              <w:overflowPunct w:val="0"/>
              <w:spacing w:before="36" w:line="240" w:lineRule="auto"/>
              <w:ind w:left="102"/>
              <w:rPr>
                <w:rFonts w:hint="default" w:eastAsia="宋体" w:cs="宋体"/>
                <w:color w:val="auto"/>
                <w:lang w:val="en-US" w:eastAsia="zh-CN"/>
              </w:rPr>
            </w:pPr>
            <w:r>
              <w:rPr>
                <w:rFonts w:cs="宋体"/>
                <w:color w:val="auto"/>
              </w:rPr>
              <w:t>(5)供应商认为有必要提供的声明及文件资料：</w:t>
            </w:r>
          </w:p>
          <w:p>
            <w:pPr>
              <w:pStyle w:val="21"/>
              <w:kinsoku w:val="0"/>
              <w:overflowPunct w:val="0"/>
              <w:spacing w:before="154" w:line="240" w:lineRule="auto"/>
              <w:ind w:left="102" w:right="100"/>
              <w:rPr>
                <w:rFonts w:hint="default" w:cs="宋体"/>
                <w:color w:val="auto"/>
              </w:rPr>
            </w:pPr>
            <w:r>
              <w:rPr>
                <w:rFonts w:cs="宋体"/>
                <w:color w:val="auto"/>
              </w:rPr>
              <w:t xml:space="preserve">(6) </w:t>
            </w:r>
            <w:r>
              <w:rPr>
                <w:rFonts w:cs="宋体"/>
                <w:color w:val="auto"/>
                <w:spacing w:val="-4"/>
                <w:sz w:val="21"/>
                <w:szCs w:val="21"/>
              </w:rPr>
              <w:t>★</w:t>
            </w:r>
            <w:r>
              <w:rPr>
                <w:rFonts w:cs="宋体"/>
                <w:color w:val="auto"/>
                <w:spacing w:val="-4"/>
              </w:rPr>
              <w:t>《中华人民共和国政府采购法》第二十二条应当具备</w:t>
            </w:r>
            <w:r>
              <w:rPr>
                <w:rFonts w:cs="宋体"/>
                <w:color w:val="auto"/>
                <w:spacing w:val="-115"/>
              </w:rPr>
              <w:t xml:space="preserve"> </w:t>
            </w:r>
            <w:r>
              <w:rPr>
                <w:rFonts w:cs="宋体"/>
                <w:color w:val="auto"/>
              </w:rPr>
              <w:t>的条件；并在投标文件中提供下列材料：</w:t>
            </w:r>
          </w:p>
          <w:p>
            <w:pPr>
              <w:pStyle w:val="21"/>
              <w:kinsoku w:val="0"/>
              <w:overflowPunct w:val="0"/>
              <w:spacing w:before="36" w:line="240" w:lineRule="auto"/>
              <w:ind w:left="102"/>
              <w:rPr>
                <w:rFonts w:hint="default" w:cs="宋体"/>
                <w:color w:val="auto"/>
              </w:rPr>
            </w:pPr>
            <w:bookmarkStart w:id="17" w:name="①具有独立承担民事责任的能力；"/>
            <w:bookmarkEnd w:id="17"/>
            <w:r>
              <w:rPr>
                <w:rFonts w:cs="宋体"/>
                <w:b/>
                <w:color w:val="auto"/>
              </w:rPr>
              <w:t>①具有独立承担民事责任的能力；</w:t>
            </w:r>
          </w:p>
          <w:p>
            <w:pPr>
              <w:pStyle w:val="21"/>
              <w:kinsoku w:val="0"/>
              <w:overflowPunct w:val="0"/>
              <w:spacing w:before="154" w:line="240" w:lineRule="auto"/>
              <w:ind w:left="102" w:right="100"/>
              <w:rPr>
                <w:rFonts w:hint="default" w:cs="宋体"/>
                <w:color w:val="auto"/>
              </w:rPr>
            </w:pPr>
            <w:bookmarkStart w:id="18" w:name="（法人或者其他组织的营业执照等证明文件，自然人的身份证明）"/>
            <w:bookmarkEnd w:id="18"/>
            <w:r>
              <w:rPr>
                <w:rFonts w:cs="宋体"/>
                <w:color w:val="auto"/>
                <w:spacing w:val="-1"/>
              </w:rPr>
              <w:t>（法人或者其他组织的营业执照等证明文件，自然人的身</w:t>
            </w:r>
            <w:r>
              <w:rPr>
                <w:rFonts w:cs="宋体"/>
                <w:color w:val="auto"/>
                <w:spacing w:val="-108"/>
              </w:rPr>
              <w:t xml:space="preserve"> </w:t>
            </w:r>
            <w:r>
              <w:rPr>
                <w:rFonts w:cs="宋体"/>
                <w:color w:val="auto"/>
              </w:rPr>
              <w:t>份证明）</w:t>
            </w:r>
          </w:p>
          <w:p>
            <w:pPr>
              <w:pStyle w:val="21"/>
              <w:kinsoku w:val="0"/>
              <w:overflowPunct w:val="0"/>
              <w:spacing w:before="36" w:line="240" w:lineRule="auto"/>
              <w:ind w:left="102" w:right="100"/>
              <w:rPr>
                <w:rFonts w:hint="default" w:cs="宋体"/>
                <w:color w:val="auto"/>
                <w:spacing w:val="9"/>
              </w:rPr>
            </w:pPr>
            <w:bookmarkStart w:id="19" w:name="②具有良好的商业信誉和健全的财务会计制度；"/>
            <w:bookmarkEnd w:id="19"/>
            <w:r>
              <w:rPr>
                <w:rFonts w:cs="宋体"/>
                <w:b/>
                <w:color w:val="auto"/>
              </w:rPr>
              <w:t>②具有良好的商业信誉和健全的财务会计制度；</w:t>
            </w:r>
            <w:r>
              <w:rPr>
                <w:rFonts w:cs="宋体"/>
                <w:b/>
                <w:color w:val="auto"/>
                <w:w w:val="99"/>
              </w:rPr>
              <w:t xml:space="preserve"> </w:t>
            </w:r>
            <w:r>
              <w:rPr>
                <w:rFonts w:cs="宋体"/>
                <w:color w:val="auto"/>
                <w:spacing w:val="9"/>
              </w:rPr>
              <w:t>供应商是法人的应提供经审计的上一年度的财务报告。</w:t>
            </w:r>
          </w:p>
          <w:p>
            <w:pPr>
              <w:pStyle w:val="21"/>
              <w:kinsoku w:val="0"/>
              <w:overflowPunct w:val="0"/>
              <w:spacing w:before="36" w:line="240" w:lineRule="auto"/>
              <w:ind w:left="102" w:right="100"/>
              <w:jc w:val="both"/>
              <w:rPr>
                <w:rFonts w:hint="default" w:cs="宋体"/>
                <w:color w:val="auto"/>
              </w:rPr>
            </w:pPr>
            <w:r>
              <w:rPr>
                <w:rFonts w:cs="宋体"/>
                <w:color w:val="auto"/>
                <w:spacing w:val="9"/>
              </w:rPr>
              <w:t>（财务审计报告必须为第三方提供并加盖第三方公章的</w:t>
            </w:r>
            <w:r>
              <w:rPr>
                <w:rFonts w:cs="宋体"/>
                <w:color w:val="auto"/>
              </w:rPr>
              <w:t xml:space="preserve"> 完整版）或截止开标前</w:t>
            </w:r>
            <w:r>
              <w:rPr>
                <w:rFonts w:cs="宋体"/>
                <w:color w:val="auto"/>
                <w:spacing w:val="-67"/>
              </w:rPr>
              <w:t xml:space="preserve"> </w:t>
            </w:r>
            <w:r>
              <w:rPr>
                <w:rFonts w:cs="宋体"/>
                <w:color w:val="auto"/>
              </w:rPr>
              <w:t>1</w:t>
            </w:r>
            <w:r>
              <w:rPr>
                <w:rFonts w:cs="宋体"/>
                <w:color w:val="auto"/>
                <w:spacing w:val="-66"/>
              </w:rPr>
              <w:t xml:space="preserve"> </w:t>
            </w:r>
            <w:r>
              <w:rPr>
                <w:rFonts w:cs="宋体"/>
                <w:color w:val="auto"/>
              </w:rPr>
              <w:t>个月的基本开户银行出具的资信证明或上一年度财务报表；</w:t>
            </w:r>
          </w:p>
          <w:p>
            <w:pPr>
              <w:pStyle w:val="21"/>
              <w:kinsoku w:val="0"/>
              <w:overflowPunct w:val="0"/>
              <w:spacing w:before="36" w:line="240" w:lineRule="auto"/>
              <w:ind w:left="102"/>
              <w:rPr>
                <w:rFonts w:hint="default" w:cs="宋体"/>
                <w:color w:val="auto"/>
              </w:rPr>
            </w:pPr>
            <w:bookmarkStart w:id="20" w:name="③具有履行合同所必需的设备和专业技术能力；"/>
            <w:bookmarkEnd w:id="20"/>
            <w:r>
              <w:rPr>
                <w:rFonts w:cs="宋体"/>
                <w:b/>
                <w:color w:val="auto"/>
              </w:rPr>
              <w:t>③具有履行合同所必需的设备和专业技术能力；</w:t>
            </w:r>
          </w:p>
          <w:p>
            <w:pPr>
              <w:pStyle w:val="21"/>
              <w:kinsoku w:val="0"/>
              <w:overflowPunct w:val="0"/>
              <w:spacing w:before="154" w:line="240" w:lineRule="auto"/>
              <w:ind w:left="102" w:right="103"/>
              <w:rPr>
                <w:rFonts w:hint="default" w:cs="宋体"/>
                <w:color w:val="auto"/>
              </w:rPr>
            </w:pPr>
            <w:r>
              <w:rPr>
                <w:rFonts w:cs="宋体"/>
                <w:color w:val="auto"/>
                <w:spacing w:val="8"/>
              </w:rPr>
              <w:t>（提供具有履行合同所必需的设备和专业技术能力相关</w:t>
            </w:r>
            <w:r>
              <w:rPr>
                <w:rFonts w:cs="宋体"/>
                <w:color w:val="auto"/>
                <w:spacing w:val="-100"/>
              </w:rPr>
              <w:t xml:space="preserve"> </w:t>
            </w:r>
            <w:r>
              <w:rPr>
                <w:rFonts w:cs="宋体"/>
                <w:color w:val="auto"/>
              </w:rPr>
              <w:t>证明材料或声明；）</w:t>
            </w:r>
          </w:p>
          <w:p>
            <w:pPr>
              <w:pStyle w:val="21"/>
              <w:kinsoku w:val="0"/>
              <w:overflowPunct w:val="0"/>
              <w:spacing w:before="36" w:line="240" w:lineRule="auto"/>
              <w:ind w:left="102" w:right="100"/>
              <w:rPr>
                <w:rFonts w:hint="default" w:cs="宋体"/>
                <w:color w:val="auto"/>
              </w:rPr>
            </w:pPr>
            <w:bookmarkStart w:id="21" w:name="④有依法缴纳税收和社会保障资金的良好记录；"/>
            <w:bookmarkEnd w:id="21"/>
            <w:r>
              <w:rPr>
                <w:rFonts w:cs="宋体"/>
                <w:b/>
                <w:color w:val="auto"/>
              </w:rPr>
              <w:t>④有依法缴纳税收和社会保障资金的良好记录；</w:t>
            </w:r>
            <w:bookmarkStart w:id="22" w:name="1、提供截止开标前近半年内任三个月税收缴纳完成的证明资料。"/>
            <w:bookmarkEnd w:id="22"/>
            <w:r>
              <w:rPr>
                <w:rFonts w:cs="宋体"/>
                <w:color w:val="auto"/>
                <w:spacing w:val="3"/>
              </w:rPr>
              <w:t>1、提供截止开标前近半年内任三个月税收缴纳完成的证</w:t>
            </w:r>
            <w:r>
              <w:rPr>
                <w:rFonts w:cs="宋体"/>
                <w:color w:val="auto"/>
              </w:rPr>
              <w:t>明资料。</w:t>
            </w:r>
            <w:r>
              <w:rPr>
                <w:rFonts w:cs="宋体"/>
                <w:color w:val="auto"/>
                <w:spacing w:val="8"/>
              </w:rPr>
              <w:t>（提供截止开标前近半年内任三个月税收部门出具的完</w:t>
            </w:r>
            <w:r>
              <w:rPr>
                <w:rFonts w:cs="宋体"/>
                <w:color w:val="auto"/>
                <w:spacing w:val="-1"/>
              </w:rPr>
              <w:t>成税收缴纳证明。其它无需纳税或免税的必须提供相关证</w:t>
            </w:r>
            <w:r>
              <w:rPr>
                <w:rFonts w:cs="宋体"/>
                <w:color w:val="auto"/>
                <w:spacing w:val="-107"/>
              </w:rPr>
              <w:t xml:space="preserve"> </w:t>
            </w:r>
            <w:r>
              <w:rPr>
                <w:rFonts w:cs="宋体"/>
                <w:color w:val="auto"/>
              </w:rPr>
              <w:t>明。）</w:t>
            </w:r>
          </w:p>
          <w:p>
            <w:pPr>
              <w:pStyle w:val="21"/>
              <w:kinsoku w:val="0"/>
              <w:overflowPunct w:val="0"/>
              <w:spacing w:before="36" w:line="240" w:lineRule="auto"/>
              <w:ind w:left="102"/>
              <w:rPr>
                <w:rFonts w:ascii="宋体" w:eastAsia="宋体" w:cs="宋体"/>
                <w:color w:val="auto"/>
                <w:spacing w:val="8"/>
              </w:rPr>
            </w:pPr>
            <w:bookmarkStart w:id="23" w:name="2、提供截止开标前近半年内任三个月税收部门或社保机构出具的完成社保缴纳证明（提供"/>
            <w:bookmarkEnd w:id="23"/>
            <w:r>
              <w:rPr>
                <w:rFonts w:ascii="宋体" w:eastAsia="宋体" w:cs="宋体"/>
                <w:color w:val="auto"/>
                <w:spacing w:val="8"/>
              </w:rPr>
              <w:t>2、</w:t>
            </w:r>
            <w:r>
              <w:rPr>
                <w:rFonts w:hint="eastAsia" w:ascii="宋体" w:eastAsia="宋体" w:cs="宋体"/>
                <w:color w:val="auto"/>
                <w:spacing w:val="8"/>
              </w:rPr>
              <w:t>提供截止开标前近半年内为为授权代理人或法人缴纳任意一个月的社保资金证明或有电子专用章的缴费清单</w:t>
            </w:r>
            <w:r>
              <w:rPr>
                <w:rFonts w:ascii="宋体" w:eastAsia="宋体" w:cs="宋体"/>
                <w:color w:val="auto"/>
                <w:spacing w:val="8"/>
              </w:rPr>
              <w:t>；</w:t>
            </w:r>
          </w:p>
          <w:p>
            <w:pPr>
              <w:pStyle w:val="21"/>
              <w:kinsoku w:val="0"/>
              <w:overflowPunct w:val="0"/>
              <w:spacing w:before="40" w:line="357" w:lineRule="auto"/>
              <w:ind w:left="102" w:right="103"/>
              <w:rPr>
                <w:rFonts w:hint="eastAsia" w:ascii="Times New Roman" w:eastAsia="宋体"/>
                <w:color w:val="auto"/>
                <w:lang w:eastAsia="zh-CN"/>
              </w:rPr>
            </w:pPr>
            <w:r>
              <w:rPr>
                <w:rFonts w:cs="宋体"/>
                <w:b/>
                <w:color w:val="auto"/>
                <w:spacing w:val="-1"/>
                <w:w w:val="95"/>
              </w:rPr>
              <w:t>⑤参加政府采购活动前三年内，在经营活动中没有重大违</w:t>
            </w:r>
            <w:r>
              <w:rPr>
                <w:rFonts w:cs="宋体"/>
                <w:b/>
                <w:color w:val="auto"/>
                <w:spacing w:val="54"/>
                <w:w w:val="95"/>
              </w:rPr>
              <w:t xml:space="preserve"> </w:t>
            </w:r>
            <w:r>
              <w:rPr>
                <w:rFonts w:cs="宋体"/>
                <w:b/>
                <w:color w:val="auto"/>
              </w:rPr>
              <w:t>法记录；</w:t>
            </w:r>
            <w:r>
              <w:rPr>
                <w:rFonts w:cs="宋体"/>
                <w:color w:val="auto"/>
                <w:spacing w:val="-5"/>
              </w:rPr>
              <w:t>（提供参加政府采购活动近三年无重大违法记录声明书；）</w:t>
            </w:r>
            <w:r>
              <w:rPr>
                <w:rFonts w:cs="宋体"/>
                <w:b/>
                <w:color w:val="auto"/>
              </w:rPr>
              <w:t>⑥法律、行政法规规定的其他条件;</w:t>
            </w:r>
            <w:r>
              <w:rPr>
                <w:rFonts w:hint="eastAsia" w:cs="宋体"/>
                <w:color w:val="auto"/>
                <w:lang w:val="en-US" w:eastAsia="zh-CN"/>
              </w:rPr>
              <w:t>⑦</w:t>
            </w:r>
            <w:r>
              <w:rPr>
                <w:rFonts w:cs="宋体"/>
                <w:color w:val="auto"/>
                <w:sz w:val="21"/>
                <w:szCs w:val="21"/>
              </w:rPr>
              <w:t>★</w:t>
            </w:r>
            <w:r>
              <w:rPr>
                <w:rFonts w:cs="宋体"/>
                <w:color w:val="auto"/>
              </w:rPr>
              <w:t>不参与围标串标承诺书</w:t>
            </w:r>
            <w:r>
              <w:rPr>
                <w:rFonts w:hint="eastAsia" w:cs="宋体"/>
                <w:color w:val="auto"/>
                <w:lang w:eastAsia="zh-CN"/>
              </w:rPr>
              <w:t>；</w:t>
            </w:r>
            <w:r>
              <w:rPr>
                <w:rFonts w:hint="eastAsia" w:ascii="Times New Roman"/>
                <w:color w:val="auto"/>
                <w:lang w:val="en-US" w:eastAsia="zh-CN"/>
              </w:rPr>
              <w:t>⑧</w:t>
            </w:r>
            <w:r>
              <w:rPr>
                <w:rFonts w:cs="宋体"/>
                <w:color w:val="auto"/>
              </w:rPr>
              <w:t>具有《医疗器械生产许可证》或《医疗器械经营许可证》</w:t>
            </w:r>
            <w:r>
              <w:rPr>
                <w:rFonts w:hint="eastAsia" w:cs="宋体"/>
                <w:color w:val="auto"/>
                <w:lang w:eastAsia="zh-CN"/>
              </w:rPr>
              <w:t>，</w:t>
            </w:r>
            <w:r>
              <w:rPr>
                <w:rFonts w:ascii="宋体" w:hAnsi="宋体" w:cs="宋体"/>
                <w:color w:val="auto"/>
                <w:kern w:val="0"/>
                <w:sz w:val="24"/>
                <w:szCs w:val="24"/>
              </w:rPr>
              <w:t>须具有生产厂家（总代理）就本项目的产品授权书和售后服务承诺书（产品授权书中须写明所投进口产品的型号、产地和生产厂家名称，并必须有生产企业（总代理）法定代表人签章）。</w:t>
            </w:r>
          </w:p>
        </w:tc>
      </w:tr>
      <w:tr>
        <w:tblPrEx>
          <w:tblCellMar>
            <w:top w:w="0" w:type="dxa"/>
            <w:left w:w="0" w:type="dxa"/>
            <w:bottom w:w="0" w:type="dxa"/>
            <w:right w:w="0" w:type="dxa"/>
          </w:tblCellMar>
        </w:tblPrEx>
        <w:trPr>
          <w:trHeight w:val="4150" w:hRule="exact"/>
          <w:jc w:val="center"/>
        </w:trPr>
        <w:tc>
          <w:tcPr>
            <w:tcW w:w="735" w:type="dxa"/>
            <w:vMerge w:val="restart"/>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1609" w:type="dxa"/>
            <w:vMerge w:val="restart"/>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1055" w:type="dxa"/>
            <w:vMerge w:val="continue"/>
            <w:tcBorders>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6203" w:type="dxa"/>
            <w:vMerge w:val="continue"/>
            <w:tcBorders>
              <w:left w:val="single" w:color="000000" w:sz="4" w:space="0"/>
              <w:bottom w:val="single" w:color="000000" w:sz="4" w:space="0"/>
              <w:right w:val="single" w:color="000000" w:sz="4" w:space="0"/>
              <w:tl2br w:val="nil"/>
              <w:tr2bl w:val="nil"/>
            </w:tcBorders>
          </w:tcPr>
          <w:p>
            <w:pPr>
              <w:pStyle w:val="21"/>
              <w:kinsoku w:val="0"/>
              <w:overflowPunct w:val="0"/>
              <w:spacing w:before="40" w:line="357" w:lineRule="auto"/>
              <w:ind w:left="102" w:right="103"/>
              <w:rPr>
                <w:rFonts w:hint="eastAsia" w:ascii="Times New Roman" w:eastAsia="宋体"/>
                <w:color w:val="auto"/>
                <w:lang w:eastAsia="zh-CN"/>
              </w:rPr>
            </w:pPr>
            <w:bookmarkStart w:id="24" w:name="⑤参加政府采购活动前三年内，在经营活动中没有重大违法记录；"/>
            <w:bookmarkEnd w:id="24"/>
          </w:p>
        </w:tc>
      </w:tr>
      <w:tr>
        <w:tblPrEx>
          <w:tblCellMar>
            <w:top w:w="0" w:type="dxa"/>
            <w:left w:w="0" w:type="dxa"/>
            <w:bottom w:w="0" w:type="dxa"/>
            <w:right w:w="0" w:type="dxa"/>
          </w:tblCellMar>
        </w:tblPrEx>
        <w:trPr>
          <w:trHeight w:val="2982" w:hRule="exact"/>
          <w:jc w:val="center"/>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154"/>
              <w:ind w:left="102"/>
              <w:rPr>
                <w:rFonts w:hint="default" w:ascii="Times New Roman" w:eastAsia="Times New Roman"/>
                <w:color w:val="auto"/>
              </w:rPr>
            </w:pPr>
          </w:p>
        </w:tc>
        <w:tc>
          <w:tcPr>
            <w:tcW w:w="1609"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154"/>
              <w:ind w:left="102"/>
              <w:rPr>
                <w:rFonts w:hint="default" w:ascii="Times New Roman" w:eastAsia="Times New Roman"/>
                <w:color w:val="auto"/>
              </w:rPr>
            </w:pPr>
          </w:p>
        </w:tc>
        <w:tc>
          <w:tcPr>
            <w:tcW w:w="105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spacing w:before="150" w:line="357" w:lineRule="auto"/>
              <w:ind w:left="281" w:right="281"/>
              <w:rPr>
                <w:rFonts w:hint="default" w:ascii="Times New Roman" w:eastAsia="Times New Roman"/>
                <w:color w:val="auto"/>
              </w:rPr>
            </w:pPr>
            <w:r>
              <w:rPr>
                <w:rFonts w:cs="宋体"/>
                <w:b/>
                <w:color w:val="auto"/>
              </w:rPr>
              <w:t>商务</w:t>
            </w:r>
            <w:r>
              <w:rPr>
                <w:rFonts w:cs="宋体"/>
                <w:b/>
                <w:color w:val="auto"/>
                <w:w w:val="99"/>
              </w:rPr>
              <w:t xml:space="preserve"> </w:t>
            </w:r>
            <w:r>
              <w:rPr>
                <w:rFonts w:cs="宋体"/>
                <w:b/>
                <w:color w:val="auto"/>
              </w:rPr>
              <w:t>文件</w:t>
            </w: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2" w:line="357" w:lineRule="auto"/>
              <w:ind w:left="102" w:right="3117"/>
              <w:rPr>
                <w:rFonts w:hint="default" w:cs="宋体"/>
                <w:color w:val="auto"/>
              </w:rPr>
            </w:pPr>
            <w:r>
              <w:rPr>
                <w:rFonts w:cs="宋体"/>
                <w:color w:val="auto"/>
              </w:rPr>
              <w:t>(1)</w:t>
            </w:r>
            <w:r>
              <w:rPr>
                <w:rFonts w:cs="宋体"/>
                <w:color w:val="auto"/>
                <w:sz w:val="21"/>
                <w:szCs w:val="21"/>
              </w:rPr>
              <w:t>★</w:t>
            </w:r>
            <w:r>
              <w:rPr>
                <w:rFonts w:cs="宋体"/>
                <w:color w:val="auto"/>
              </w:rPr>
              <w:t xml:space="preserve">投标函； </w:t>
            </w:r>
          </w:p>
          <w:p>
            <w:pPr>
              <w:pStyle w:val="21"/>
              <w:kinsoku w:val="0"/>
              <w:overflowPunct w:val="0"/>
              <w:spacing w:before="42" w:line="357" w:lineRule="auto"/>
              <w:ind w:left="102" w:right="3117"/>
              <w:rPr>
                <w:rFonts w:hint="default" w:cs="宋体"/>
                <w:color w:val="auto"/>
              </w:rPr>
            </w:pPr>
            <w:r>
              <w:rPr>
                <w:rFonts w:cs="宋体"/>
                <w:color w:val="auto"/>
              </w:rPr>
              <w:t>(2)</w:t>
            </w:r>
            <w:r>
              <w:rPr>
                <w:rFonts w:cs="宋体"/>
                <w:color w:val="auto"/>
                <w:sz w:val="21"/>
                <w:szCs w:val="21"/>
              </w:rPr>
              <w:t>★</w:t>
            </w:r>
            <w:r>
              <w:rPr>
                <w:rFonts w:cs="宋体"/>
                <w:color w:val="auto"/>
              </w:rPr>
              <w:t xml:space="preserve">开标一览表； </w:t>
            </w:r>
          </w:p>
          <w:p>
            <w:pPr>
              <w:pStyle w:val="21"/>
              <w:kinsoku w:val="0"/>
              <w:overflowPunct w:val="0"/>
              <w:spacing w:before="42" w:line="357" w:lineRule="auto"/>
              <w:ind w:left="102" w:right="3117"/>
              <w:rPr>
                <w:rFonts w:hint="default" w:cs="宋体"/>
                <w:color w:val="auto"/>
              </w:rPr>
            </w:pPr>
            <w:r>
              <w:rPr>
                <w:rFonts w:cs="宋体"/>
                <w:color w:val="auto"/>
              </w:rPr>
              <w:t>(3)</w:t>
            </w:r>
            <w:r>
              <w:rPr>
                <w:rFonts w:cs="宋体"/>
                <w:color w:val="auto"/>
                <w:sz w:val="21"/>
                <w:szCs w:val="21"/>
              </w:rPr>
              <w:t>★</w:t>
            </w:r>
            <w:r>
              <w:rPr>
                <w:rFonts w:cs="宋体"/>
                <w:color w:val="auto"/>
              </w:rPr>
              <w:t>投标报价明细表；</w:t>
            </w:r>
          </w:p>
          <w:p>
            <w:pPr>
              <w:pStyle w:val="21"/>
              <w:kinsoku w:val="0"/>
              <w:overflowPunct w:val="0"/>
              <w:spacing w:before="42" w:line="357" w:lineRule="auto"/>
              <w:ind w:left="102" w:right="3117"/>
              <w:rPr>
                <w:rFonts w:hint="default" w:cs="宋体"/>
                <w:color w:val="auto"/>
              </w:rPr>
            </w:pPr>
            <w:r>
              <w:rPr>
                <w:rFonts w:cs="宋体"/>
                <w:color w:val="auto"/>
              </w:rPr>
              <w:t>(4)</w:t>
            </w:r>
            <w:r>
              <w:rPr>
                <w:rFonts w:cs="宋体"/>
                <w:color w:val="auto"/>
                <w:sz w:val="21"/>
                <w:szCs w:val="21"/>
              </w:rPr>
              <w:t>★</w:t>
            </w:r>
            <w:r>
              <w:rPr>
                <w:rFonts w:cs="宋体"/>
                <w:color w:val="auto"/>
              </w:rPr>
              <w:t xml:space="preserve">售后服务； </w:t>
            </w:r>
          </w:p>
          <w:p>
            <w:pPr>
              <w:pStyle w:val="21"/>
              <w:kinsoku w:val="0"/>
              <w:overflowPunct w:val="0"/>
              <w:spacing w:before="42" w:line="357" w:lineRule="auto"/>
              <w:ind w:left="102" w:right="3117"/>
              <w:rPr>
                <w:rFonts w:hint="default" w:cs="宋体"/>
                <w:color w:val="auto"/>
              </w:rPr>
            </w:pPr>
            <w:r>
              <w:rPr>
                <w:rFonts w:cs="宋体"/>
                <w:color w:val="auto"/>
              </w:rPr>
              <w:t>(5)</w:t>
            </w:r>
            <w:r>
              <w:rPr>
                <w:rFonts w:cs="宋体"/>
                <w:color w:val="auto"/>
                <w:sz w:val="21"/>
                <w:szCs w:val="21"/>
              </w:rPr>
              <w:t>★</w:t>
            </w:r>
            <w:r>
              <w:rPr>
                <w:rFonts w:cs="宋体"/>
                <w:color w:val="auto"/>
              </w:rPr>
              <w:t>商务条款偏离说明表；</w:t>
            </w:r>
          </w:p>
          <w:p>
            <w:pPr>
              <w:pStyle w:val="21"/>
              <w:kinsoku w:val="0"/>
              <w:overflowPunct w:val="0"/>
              <w:spacing w:before="36"/>
              <w:ind w:left="102"/>
              <w:rPr>
                <w:rFonts w:hint="default" w:ascii="Times New Roman" w:eastAsia="Times New Roman"/>
                <w:color w:val="auto"/>
              </w:rPr>
            </w:pPr>
            <w:r>
              <w:rPr>
                <w:rFonts w:cs="宋体"/>
                <w:color w:val="auto"/>
              </w:rPr>
              <w:t>(6)供应商认为有必要提供的声明及文件资料</w:t>
            </w:r>
          </w:p>
        </w:tc>
      </w:tr>
      <w:tr>
        <w:tblPrEx>
          <w:tblCellMar>
            <w:top w:w="0" w:type="dxa"/>
            <w:left w:w="0" w:type="dxa"/>
            <w:bottom w:w="0" w:type="dxa"/>
            <w:right w:w="0" w:type="dxa"/>
          </w:tblCellMar>
        </w:tblPrEx>
        <w:trPr>
          <w:trHeight w:val="2350" w:hRule="exact"/>
          <w:jc w:val="center"/>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36"/>
              <w:ind w:left="102"/>
              <w:rPr>
                <w:rFonts w:hint="default" w:ascii="Times New Roman" w:eastAsia="Times New Roman"/>
                <w:color w:val="auto"/>
              </w:rPr>
            </w:pPr>
          </w:p>
        </w:tc>
        <w:tc>
          <w:tcPr>
            <w:tcW w:w="1609"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36"/>
              <w:ind w:left="102"/>
              <w:rPr>
                <w:rFonts w:hint="default" w:ascii="Times New Roman" w:eastAsia="Times New Roman"/>
                <w:color w:val="auto"/>
              </w:rPr>
            </w:pPr>
          </w:p>
        </w:tc>
        <w:tc>
          <w:tcPr>
            <w:tcW w:w="105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spacing w:before="190" w:line="357" w:lineRule="auto"/>
              <w:ind w:left="281" w:right="281"/>
              <w:rPr>
                <w:rFonts w:hint="default" w:ascii="Times New Roman" w:eastAsia="Times New Roman"/>
                <w:color w:val="auto"/>
              </w:rPr>
            </w:pPr>
            <w:r>
              <w:rPr>
                <w:rFonts w:cs="宋体"/>
                <w:b/>
                <w:color w:val="auto"/>
              </w:rPr>
              <w:t>技术</w:t>
            </w:r>
            <w:r>
              <w:rPr>
                <w:rFonts w:cs="宋体"/>
                <w:b/>
                <w:color w:val="auto"/>
                <w:w w:val="99"/>
              </w:rPr>
              <w:t xml:space="preserve"> </w:t>
            </w:r>
            <w:r>
              <w:rPr>
                <w:rFonts w:cs="宋体"/>
                <w:b/>
                <w:color w:val="auto"/>
              </w:rPr>
              <w:t>文件</w:t>
            </w: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1" w:line="357" w:lineRule="auto"/>
              <w:ind w:left="102" w:right="2968"/>
              <w:rPr>
                <w:rFonts w:hint="default" w:cs="宋体"/>
                <w:color w:val="auto"/>
              </w:rPr>
            </w:pPr>
            <w:r>
              <w:rPr>
                <w:rFonts w:hint="eastAsia" w:cs="宋体"/>
                <w:color w:val="auto"/>
                <w:lang w:eastAsia="zh-CN"/>
              </w:rPr>
              <w:t>供应商</w:t>
            </w:r>
            <w:r>
              <w:rPr>
                <w:rFonts w:cs="宋体"/>
                <w:color w:val="auto"/>
              </w:rPr>
              <w:t>自行编写的技术文件： 主要技术内容：</w:t>
            </w:r>
          </w:p>
          <w:p>
            <w:pPr>
              <w:pStyle w:val="21"/>
              <w:kinsoku w:val="0"/>
              <w:overflowPunct w:val="0"/>
              <w:spacing w:before="36"/>
              <w:ind w:left="102"/>
              <w:rPr>
                <w:rFonts w:hint="default" w:cs="宋体"/>
                <w:color w:val="auto"/>
              </w:rPr>
            </w:pPr>
            <w:r>
              <w:rPr>
                <w:rFonts w:cs="宋体"/>
                <w:color w:val="auto"/>
              </w:rPr>
              <w:t>&lt;1&gt;</w:t>
            </w:r>
            <w:r>
              <w:rPr>
                <w:rFonts w:cs="宋体"/>
                <w:color w:val="auto"/>
                <w:sz w:val="21"/>
                <w:szCs w:val="21"/>
              </w:rPr>
              <w:t>★</w:t>
            </w:r>
            <w:r>
              <w:rPr>
                <w:rFonts w:cs="宋体"/>
                <w:color w:val="auto"/>
              </w:rPr>
              <w:t>工具表、人员表和备件及特殊工具清单；</w:t>
            </w:r>
          </w:p>
          <w:p>
            <w:pPr>
              <w:pStyle w:val="21"/>
              <w:kinsoku w:val="0"/>
              <w:overflowPunct w:val="0"/>
              <w:spacing w:before="154"/>
              <w:ind w:left="102"/>
              <w:rPr>
                <w:rFonts w:hint="default" w:cs="宋体"/>
                <w:color w:val="auto"/>
              </w:rPr>
            </w:pPr>
            <w:r>
              <w:rPr>
                <w:rFonts w:cs="宋体"/>
                <w:color w:val="auto"/>
              </w:rPr>
              <w:t>&lt;2&gt;</w:t>
            </w:r>
            <w:r>
              <w:rPr>
                <w:rFonts w:cs="宋体"/>
                <w:color w:val="auto"/>
                <w:sz w:val="21"/>
                <w:szCs w:val="21"/>
              </w:rPr>
              <w:t>★</w:t>
            </w:r>
            <w:r>
              <w:rPr>
                <w:rFonts w:cs="宋体"/>
                <w:color w:val="auto"/>
              </w:rPr>
              <w:t>方案及验收标准；</w:t>
            </w:r>
          </w:p>
          <w:p>
            <w:pPr>
              <w:pStyle w:val="21"/>
              <w:kinsoku w:val="0"/>
              <w:overflowPunct w:val="0"/>
              <w:spacing w:before="154"/>
              <w:ind w:left="102"/>
              <w:rPr>
                <w:rFonts w:hint="default" w:ascii="Times New Roman" w:eastAsia="Times New Roman"/>
                <w:color w:val="auto"/>
              </w:rPr>
            </w:pPr>
            <w:r>
              <w:rPr>
                <w:rFonts w:cs="宋体"/>
                <w:color w:val="auto"/>
              </w:rPr>
              <w:t>&lt;3&gt;</w:t>
            </w:r>
            <w:r>
              <w:rPr>
                <w:rFonts w:cs="宋体"/>
                <w:color w:val="auto"/>
                <w:sz w:val="21"/>
                <w:szCs w:val="21"/>
              </w:rPr>
              <w:t>★</w:t>
            </w:r>
            <w:r>
              <w:rPr>
                <w:rFonts w:cs="宋体"/>
                <w:color w:val="auto"/>
              </w:rPr>
              <w:t>保证服务期措施；</w:t>
            </w:r>
          </w:p>
        </w:tc>
      </w:tr>
      <w:tr>
        <w:tblPrEx>
          <w:tblCellMar>
            <w:top w:w="0" w:type="dxa"/>
            <w:left w:w="0" w:type="dxa"/>
            <w:bottom w:w="0" w:type="dxa"/>
            <w:right w:w="0" w:type="dxa"/>
          </w:tblCellMar>
        </w:tblPrEx>
        <w:trPr>
          <w:trHeight w:val="2322" w:hRule="exact"/>
          <w:jc w:val="center"/>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154"/>
              <w:ind w:left="102"/>
              <w:rPr>
                <w:rFonts w:hint="default" w:ascii="Times New Roman" w:eastAsia="Times New Roman"/>
                <w:color w:val="auto"/>
              </w:rPr>
            </w:pPr>
          </w:p>
        </w:tc>
        <w:tc>
          <w:tcPr>
            <w:tcW w:w="1609"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154"/>
              <w:ind w:left="102"/>
              <w:rPr>
                <w:rFonts w:hint="default" w:ascii="Times New Roman" w:eastAsia="Times New Roman"/>
                <w:color w:val="auto"/>
              </w:rPr>
            </w:pPr>
          </w:p>
        </w:tc>
        <w:tc>
          <w:tcPr>
            <w:tcW w:w="105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spacing w:before="2"/>
              <w:rPr>
                <w:rFonts w:hint="default" w:ascii="Times New Roman" w:eastAsia="Times New Roman"/>
                <w:color w:val="auto"/>
                <w:sz w:val="33"/>
                <w:szCs w:val="33"/>
              </w:rPr>
            </w:pPr>
          </w:p>
          <w:p>
            <w:pPr>
              <w:pStyle w:val="21"/>
              <w:kinsoku w:val="0"/>
              <w:overflowPunct w:val="0"/>
              <w:spacing w:line="357" w:lineRule="auto"/>
              <w:ind w:left="281" w:right="281"/>
              <w:rPr>
                <w:rFonts w:hint="default" w:ascii="Times New Roman" w:eastAsia="Times New Roman"/>
                <w:color w:val="auto"/>
              </w:rPr>
            </w:pPr>
            <w:r>
              <w:rPr>
                <w:rFonts w:cs="宋体"/>
                <w:b/>
                <w:color w:val="auto"/>
              </w:rPr>
              <w:t>服务</w:t>
            </w:r>
            <w:r>
              <w:rPr>
                <w:rFonts w:cs="宋体"/>
                <w:b/>
                <w:color w:val="auto"/>
                <w:w w:val="99"/>
              </w:rPr>
              <w:t xml:space="preserve"> </w:t>
            </w:r>
            <w:r>
              <w:rPr>
                <w:rFonts w:cs="宋体"/>
                <w:b/>
                <w:color w:val="auto"/>
              </w:rPr>
              <w:t>文件</w:t>
            </w: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r>
              <w:rPr>
                <w:rFonts w:hint="eastAsia"/>
                <w:color w:val="auto"/>
                <w:lang w:eastAsia="zh-CN"/>
              </w:rPr>
              <w:t>供应商</w:t>
            </w:r>
            <w:r>
              <w:rPr>
                <w:color w:val="auto"/>
              </w:rPr>
              <w:t>自行编写的服务文件：</w:t>
            </w:r>
          </w:p>
          <w:p>
            <w:pPr>
              <w:rPr>
                <w:rFonts w:hint="default" w:ascii="Times New Roman" w:eastAsia="Times New Roman"/>
                <w:color w:val="auto"/>
              </w:rPr>
            </w:pPr>
            <w:r>
              <w:rPr>
                <w:color w:val="auto"/>
              </w:rPr>
              <w:t>①服务内容：</w:t>
            </w:r>
          </w:p>
          <w:p>
            <w:pPr>
              <w:rPr>
                <w:rFonts w:hint="default" w:ascii="Times New Roman" w:eastAsia="Times New Roman"/>
                <w:color w:val="auto"/>
              </w:rPr>
            </w:pPr>
            <w:r>
              <w:rPr>
                <w:rFonts w:ascii="Times New Roman" w:eastAsia="Times New Roman"/>
                <w:color w:val="auto"/>
              </w:rPr>
              <w:t>&lt;1&gt;</w:t>
            </w:r>
            <w:r>
              <w:rPr>
                <w:color w:val="auto"/>
              </w:rPr>
              <w:t>后续服务的程序、内容、措施以及合理化建议；</w:t>
            </w:r>
          </w:p>
          <w:p>
            <w:pPr>
              <w:rPr>
                <w:rFonts w:hint="default" w:ascii="Times New Roman" w:eastAsia="Times New Roman"/>
                <w:color w:val="auto"/>
              </w:rPr>
            </w:pPr>
            <w:r>
              <w:rPr>
                <w:rFonts w:ascii="Times New Roman" w:eastAsia="Times New Roman"/>
                <w:color w:val="auto"/>
              </w:rPr>
              <w:t>&lt;2&gt;</w:t>
            </w:r>
            <w:r>
              <w:rPr>
                <w:color w:val="auto"/>
              </w:rPr>
              <w:t>响应时间；</w:t>
            </w:r>
          </w:p>
          <w:p>
            <w:pPr>
              <w:rPr>
                <w:rFonts w:hint="default" w:ascii="Times New Roman" w:eastAsia="Times New Roman"/>
                <w:color w:val="auto"/>
              </w:rPr>
            </w:pPr>
            <w:r>
              <w:rPr>
                <w:color w:val="auto"/>
                <w:spacing w:val="-6"/>
              </w:rPr>
              <w:t>②服务网点明细表（包括联系人、详细地址、电话、传真）</w:t>
            </w:r>
            <w:r>
              <w:rPr>
                <w:rFonts w:ascii="Times New Roman" w:eastAsia="Times New Roman"/>
                <w:color w:val="auto"/>
                <w:spacing w:val="-98"/>
              </w:rPr>
              <w:t xml:space="preserve"> </w:t>
            </w:r>
            <w:r>
              <w:rPr>
                <w:color w:val="auto"/>
              </w:rPr>
              <w:t>及本地化服务情况一览表；</w:t>
            </w:r>
          </w:p>
          <w:p>
            <w:pPr>
              <w:rPr>
                <w:rFonts w:hint="default" w:ascii="Times New Roman" w:eastAsia="Times New Roman"/>
                <w:color w:val="auto"/>
              </w:rPr>
            </w:pPr>
            <w:r>
              <w:rPr>
                <w:color w:val="auto"/>
              </w:rPr>
              <w:t>③服务项目偏离表。</w:t>
            </w:r>
          </w:p>
        </w:tc>
      </w:tr>
      <w:tr>
        <w:tblPrEx>
          <w:tblCellMar>
            <w:top w:w="0" w:type="dxa"/>
            <w:left w:w="0" w:type="dxa"/>
            <w:bottom w:w="0" w:type="dxa"/>
            <w:right w:w="0" w:type="dxa"/>
          </w:tblCellMar>
        </w:tblPrEx>
        <w:trPr>
          <w:trHeight w:val="1570" w:hRule="exact"/>
          <w:jc w:val="center"/>
        </w:trPr>
        <w:tc>
          <w:tcPr>
            <w:tcW w:w="73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ascii="Times New Roman" w:eastAsia="Times New Roman"/>
                <w:color w:val="auto"/>
              </w:rPr>
            </w:pPr>
          </w:p>
          <w:p>
            <w:pPr>
              <w:pStyle w:val="21"/>
              <w:kinsoku w:val="0"/>
              <w:overflowPunct w:val="0"/>
              <w:spacing w:before="1"/>
              <w:rPr>
                <w:rFonts w:hint="default" w:ascii="Times New Roman" w:eastAsia="Times New Roman"/>
                <w:color w:val="auto"/>
                <w:sz w:val="27"/>
                <w:szCs w:val="27"/>
              </w:rPr>
            </w:pPr>
          </w:p>
          <w:p>
            <w:pPr>
              <w:pStyle w:val="21"/>
              <w:kinsoku w:val="0"/>
              <w:overflowPunct w:val="0"/>
              <w:jc w:val="center"/>
              <w:rPr>
                <w:rFonts w:hint="default" w:ascii="Times New Roman" w:eastAsia="Times New Roman"/>
                <w:color w:val="auto"/>
              </w:rPr>
            </w:pPr>
            <w:r>
              <w:rPr>
                <w:rFonts w:cs="宋体"/>
                <w:b/>
                <w:color w:val="auto"/>
                <w:w w:val="99"/>
              </w:rPr>
              <w:t>7</w:t>
            </w:r>
          </w:p>
        </w:tc>
        <w:tc>
          <w:tcPr>
            <w:tcW w:w="2664" w:type="dxa"/>
            <w:gridSpan w:val="2"/>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ascii="Times New Roman" w:eastAsia="Times New Roman"/>
                <w:color w:val="auto"/>
              </w:rPr>
            </w:pPr>
          </w:p>
          <w:p>
            <w:pPr>
              <w:pStyle w:val="21"/>
              <w:kinsoku w:val="0"/>
              <w:overflowPunct w:val="0"/>
              <w:spacing w:before="1"/>
              <w:rPr>
                <w:rFonts w:hint="default" w:ascii="Times New Roman" w:eastAsia="Times New Roman"/>
                <w:color w:val="auto"/>
                <w:sz w:val="27"/>
                <w:szCs w:val="27"/>
              </w:rPr>
            </w:pPr>
          </w:p>
          <w:p>
            <w:pPr>
              <w:pStyle w:val="21"/>
              <w:kinsoku w:val="0"/>
              <w:overflowPunct w:val="0"/>
              <w:ind w:left="244"/>
              <w:rPr>
                <w:rFonts w:hint="default" w:ascii="Times New Roman" w:eastAsia="Times New Roman"/>
                <w:color w:val="auto"/>
              </w:rPr>
            </w:pPr>
            <w:r>
              <w:rPr>
                <w:rFonts w:cs="宋体"/>
                <w:b/>
                <w:color w:val="auto"/>
              </w:rPr>
              <w:t>是否允许联合体投标</w:t>
            </w: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129"/>
              <w:ind w:left="102"/>
              <w:rPr>
                <w:rFonts w:hint="default" w:hAnsi="Segoe UI Emoji" w:cs="宋体"/>
                <w:color w:val="auto"/>
                <w:spacing w:val="-45"/>
              </w:rPr>
            </w:pPr>
            <w:r>
              <w:rPr>
                <w:rFonts w:ascii="MS Gothic" w:hAnsi="MS Gothic" w:eastAsia="MS Gothic" w:cs="MS Gothic"/>
                <w:color w:val="auto"/>
                <w:spacing w:val="-45"/>
              </w:rPr>
              <w:t>☑</w:t>
            </w:r>
            <w:r>
              <w:rPr>
                <w:rFonts w:hAnsi="Segoe UI Emoji" w:cs="宋体"/>
                <w:color w:val="auto"/>
                <w:spacing w:val="-45"/>
              </w:rPr>
              <w:t>否</w:t>
            </w:r>
          </w:p>
          <w:p>
            <w:pPr>
              <w:pStyle w:val="21"/>
              <w:kinsoku w:val="0"/>
              <w:overflowPunct w:val="0"/>
              <w:spacing w:before="48" w:line="460" w:lineRule="atLeast"/>
              <w:ind w:left="102" w:right="4648"/>
              <w:rPr>
                <w:rFonts w:hint="eastAsia" w:ascii="Times New Roman" w:eastAsia="宋体"/>
                <w:color w:val="auto"/>
                <w:lang w:val="en-US" w:eastAsia="zh-CN"/>
              </w:rPr>
            </w:pPr>
            <w:r>
              <w:rPr>
                <w:rFonts w:cs="宋体"/>
                <w:color w:val="auto"/>
              </w:rPr>
              <w:t>□是 应满足要求：</w:t>
            </w:r>
            <w:r>
              <w:rPr>
                <w:rFonts w:hint="eastAsia" w:cs="宋体"/>
                <w:color w:val="auto"/>
                <w:lang w:val="en-US" w:eastAsia="zh-CN"/>
              </w:rPr>
              <w:t>/</w:t>
            </w:r>
          </w:p>
        </w:tc>
      </w:tr>
      <w:tr>
        <w:tblPrEx>
          <w:tblCellMar>
            <w:top w:w="0" w:type="dxa"/>
            <w:left w:w="0" w:type="dxa"/>
            <w:bottom w:w="0" w:type="dxa"/>
            <w:right w:w="0" w:type="dxa"/>
          </w:tblCellMar>
        </w:tblPrEx>
        <w:trPr>
          <w:trHeight w:val="1100" w:hRule="exact"/>
          <w:jc w:val="center"/>
        </w:trPr>
        <w:tc>
          <w:tcPr>
            <w:tcW w:w="73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7"/>
              <w:rPr>
                <w:rFonts w:hint="default" w:ascii="Times New Roman" w:eastAsia="Times New Roman"/>
                <w:color w:val="auto"/>
                <w:sz w:val="30"/>
                <w:szCs w:val="30"/>
              </w:rPr>
            </w:pPr>
          </w:p>
          <w:p>
            <w:pPr>
              <w:pStyle w:val="21"/>
              <w:kinsoku w:val="0"/>
              <w:overflowPunct w:val="0"/>
              <w:jc w:val="center"/>
              <w:rPr>
                <w:rFonts w:hint="default" w:ascii="Times New Roman" w:eastAsia="Times New Roman"/>
                <w:color w:val="auto"/>
              </w:rPr>
            </w:pPr>
            <w:r>
              <w:rPr>
                <w:rFonts w:cs="宋体"/>
                <w:b/>
                <w:color w:val="auto"/>
                <w:w w:val="99"/>
              </w:rPr>
              <w:t>8</w:t>
            </w:r>
          </w:p>
        </w:tc>
        <w:tc>
          <w:tcPr>
            <w:tcW w:w="2664" w:type="dxa"/>
            <w:gridSpan w:val="2"/>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119" w:line="357" w:lineRule="auto"/>
              <w:ind w:left="121" w:right="121"/>
              <w:rPr>
                <w:rFonts w:hint="default" w:ascii="Times New Roman" w:eastAsia="Times New Roman"/>
                <w:color w:val="auto"/>
              </w:rPr>
            </w:pPr>
            <w:r>
              <w:rPr>
                <w:rFonts w:cs="宋体"/>
                <w:b/>
                <w:color w:val="auto"/>
              </w:rPr>
              <w:t>是否允许</w:t>
            </w:r>
            <w:r>
              <w:rPr>
                <w:rFonts w:hint="eastAsia" w:cs="宋体"/>
                <w:b/>
                <w:color w:val="auto"/>
                <w:lang w:eastAsia="zh-CN"/>
              </w:rPr>
              <w:t>供应商</w:t>
            </w:r>
            <w:r>
              <w:rPr>
                <w:rFonts w:cs="宋体"/>
                <w:b/>
                <w:color w:val="auto"/>
              </w:rPr>
              <w:t>将项目</w:t>
            </w:r>
            <w:r>
              <w:rPr>
                <w:rFonts w:cs="宋体"/>
                <w:b/>
                <w:color w:val="auto"/>
                <w:w w:val="99"/>
              </w:rPr>
              <w:t xml:space="preserve"> </w:t>
            </w:r>
            <w:r>
              <w:rPr>
                <w:rFonts w:cs="宋体"/>
                <w:b/>
                <w:color w:val="auto"/>
              </w:rPr>
              <w:t>非主体、非关键性工作</w:t>
            </w: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129"/>
              <w:ind w:left="102"/>
              <w:rPr>
                <w:rFonts w:hint="default" w:hAnsi="Segoe UI Emoji" w:cs="宋体"/>
                <w:color w:val="auto"/>
                <w:spacing w:val="-45"/>
              </w:rPr>
            </w:pPr>
            <w:r>
              <w:rPr>
                <w:rFonts w:ascii="MS Gothic" w:hAnsi="MS Gothic" w:eastAsia="MS Gothic" w:cs="MS Gothic"/>
                <w:color w:val="auto"/>
                <w:spacing w:val="-45"/>
              </w:rPr>
              <w:t>☑</w:t>
            </w:r>
            <w:r>
              <w:rPr>
                <w:rFonts w:hAnsi="Segoe UI Emoji" w:cs="宋体"/>
                <w:color w:val="auto"/>
                <w:spacing w:val="-45"/>
              </w:rPr>
              <w:t>否</w:t>
            </w:r>
          </w:p>
          <w:p>
            <w:pPr>
              <w:pStyle w:val="21"/>
              <w:kinsoku w:val="0"/>
              <w:overflowPunct w:val="0"/>
              <w:spacing w:before="194"/>
              <w:ind w:left="102"/>
              <w:rPr>
                <w:rFonts w:hint="default" w:ascii="Times New Roman" w:eastAsia="Times New Roman"/>
                <w:color w:val="auto"/>
              </w:rPr>
            </w:pPr>
            <w:r>
              <w:rPr>
                <w:rFonts w:cs="宋体"/>
                <w:color w:val="auto"/>
              </w:rPr>
              <w:t>□是</w:t>
            </w:r>
          </w:p>
        </w:tc>
      </w:tr>
      <w:tr>
        <w:tblPrEx>
          <w:tblCellMar>
            <w:top w:w="0" w:type="dxa"/>
            <w:left w:w="0" w:type="dxa"/>
            <w:bottom w:w="0" w:type="dxa"/>
            <w:right w:w="0" w:type="dxa"/>
          </w:tblCellMar>
        </w:tblPrEx>
        <w:trPr>
          <w:trHeight w:val="1414" w:hRule="exact"/>
          <w:jc w:val="center"/>
        </w:trPr>
        <w:tc>
          <w:tcPr>
            <w:tcW w:w="735"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2664"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21"/>
              <w:kinsoku w:val="0"/>
              <w:overflowPunct w:val="0"/>
              <w:spacing w:before="40"/>
              <w:ind w:left="604"/>
              <w:jc w:val="both"/>
              <w:rPr>
                <w:rFonts w:hint="default" w:ascii="Times New Roman" w:eastAsia="Times New Roman"/>
                <w:color w:val="auto"/>
              </w:rPr>
            </w:pPr>
            <w:r>
              <w:rPr>
                <w:rFonts w:cs="宋体"/>
                <w:b/>
                <w:color w:val="auto"/>
              </w:rPr>
              <w:t>交由他人完成</w:t>
            </w: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line="357" w:lineRule="auto"/>
              <w:ind w:left="102" w:right="100"/>
              <w:rPr>
                <w:rFonts w:hint="default" w:cs="宋体"/>
                <w:color w:val="auto"/>
                <w:spacing w:val="-1"/>
              </w:rPr>
            </w:pPr>
            <w:r>
              <w:rPr>
                <w:rFonts w:cs="宋体"/>
                <w:color w:val="auto"/>
                <w:spacing w:val="-1"/>
              </w:rPr>
              <w:t>中标人按照合同约定或者经采购人同意，可以将项目非主</w:t>
            </w:r>
            <w:r>
              <w:rPr>
                <w:rFonts w:cs="宋体"/>
                <w:color w:val="auto"/>
                <w:spacing w:val="-108"/>
              </w:rPr>
              <w:t xml:space="preserve"> </w:t>
            </w:r>
            <w:r>
              <w:rPr>
                <w:rFonts w:cs="宋体"/>
                <w:color w:val="auto"/>
                <w:spacing w:val="-1"/>
              </w:rPr>
              <w:t>体、非关键性工作分包交由他人完成。此时，接受分包的</w:t>
            </w:r>
          </w:p>
          <w:p>
            <w:pPr>
              <w:pStyle w:val="21"/>
              <w:kinsoku w:val="0"/>
              <w:overflowPunct w:val="0"/>
              <w:spacing w:before="36"/>
              <w:ind w:left="102"/>
              <w:rPr>
                <w:rFonts w:hint="default" w:ascii="Times New Roman" w:eastAsia="Times New Roman"/>
                <w:color w:val="auto"/>
              </w:rPr>
            </w:pPr>
            <w:r>
              <w:rPr>
                <w:rFonts w:cs="宋体"/>
                <w:color w:val="auto"/>
              </w:rPr>
              <w:t>人应当具备相应的资格条件，并不得再次分包。</w:t>
            </w:r>
          </w:p>
        </w:tc>
      </w:tr>
      <w:tr>
        <w:tblPrEx>
          <w:tblCellMar>
            <w:top w:w="0" w:type="dxa"/>
            <w:left w:w="0" w:type="dxa"/>
            <w:bottom w:w="0" w:type="dxa"/>
            <w:right w:w="0" w:type="dxa"/>
          </w:tblCellMar>
        </w:tblPrEx>
        <w:trPr>
          <w:trHeight w:val="1527" w:hRule="exact"/>
          <w:jc w:val="center"/>
        </w:trPr>
        <w:tc>
          <w:tcPr>
            <w:tcW w:w="73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spacing w:before="5"/>
              <w:rPr>
                <w:rFonts w:hint="default" w:ascii="Times New Roman" w:eastAsia="Times New Roman"/>
                <w:color w:val="auto"/>
                <w:sz w:val="23"/>
                <w:szCs w:val="23"/>
              </w:rPr>
            </w:pPr>
          </w:p>
          <w:p>
            <w:pPr>
              <w:pStyle w:val="21"/>
              <w:kinsoku w:val="0"/>
              <w:overflowPunct w:val="0"/>
              <w:jc w:val="center"/>
              <w:rPr>
                <w:rFonts w:hint="default" w:ascii="Times New Roman" w:eastAsia="Times New Roman"/>
                <w:color w:val="auto"/>
              </w:rPr>
            </w:pPr>
            <w:r>
              <w:rPr>
                <w:rFonts w:cs="宋体"/>
                <w:b/>
                <w:color w:val="auto"/>
                <w:w w:val="99"/>
              </w:rPr>
              <w:t>9</w:t>
            </w:r>
          </w:p>
        </w:tc>
        <w:tc>
          <w:tcPr>
            <w:tcW w:w="2664" w:type="dxa"/>
            <w:gridSpan w:val="2"/>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spacing w:before="5"/>
              <w:rPr>
                <w:rFonts w:hint="default" w:ascii="Times New Roman" w:eastAsia="Times New Roman"/>
                <w:color w:val="auto"/>
                <w:sz w:val="23"/>
                <w:szCs w:val="23"/>
              </w:rPr>
            </w:pPr>
          </w:p>
          <w:p>
            <w:pPr>
              <w:pStyle w:val="21"/>
              <w:kinsoku w:val="0"/>
              <w:overflowPunct w:val="0"/>
              <w:ind w:left="844"/>
              <w:rPr>
                <w:rFonts w:hint="default" w:ascii="Times New Roman" w:eastAsia="Times New Roman"/>
                <w:color w:val="auto"/>
              </w:rPr>
            </w:pPr>
            <w:r>
              <w:rPr>
                <w:rFonts w:cs="宋体"/>
                <w:b/>
                <w:color w:val="auto"/>
              </w:rPr>
              <w:t>踏勘现场</w:t>
            </w: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130"/>
              <w:ind w:left="102"/>
              <w:rPr>
                <w:rFonts w:hint="default" w:hAnsi="Segoe UI Emoji" w:cs="宋体"/>
                <w:color w:val="auto"/>
                <w:spacing w:val="-18"/>
              </w:rPr>
            </w:pPr>
            <w:r>
              <w:rPr>
                <w:rFonts w:ascii="MS Gothic" w:hAnsi="MS Gothic" w:eastAsia="MS Gothic" w:cs="MS Gothic"/>
                <w:color w:val="auto"/>
                <w:spacing w:val="-18"/>
              </w:rPr>
              <w:t>☑</w:t>
            </w:r>
            <w:r>
              <w:rPr>
                <w:rFonts w:hAnsi="Segoe UI Emoji" w:cs="宋体"/>
                <w:color w:val="auto"/>
                <w:spacing w:val="-18"/>
              </w:rPr>
              <w:t>自行踏勘</w:t>
            </w:r>
          </w:p>
          <w:p>
            <w:pPr>
              <w:pStyle w:val="21"/>
              <w:kinsoku w:val="0"/>
              <w:overflowPunct w:val="0"/>
              <w:spacing w:before="48" w:line="460" w:lineRule="atLeast"/>
              <w:ind w:left="102" w:right="100"/>
              <w:rPr>
                <w:rFonts w:hint="default" w:ascii="Times New Roman" w:eastAsia="Times New Roman"/>
                <w:color w:val="auto"/>
              </w:rPr>
            </w:pPr>
            <w:r>
              <w:rPr>
                <w:rFonts w:cs="宋体"/>
                <w:color w:val="auto"/>
              </w:rPr>
              <w:t xml:space="preserve">□统一组织 </w:t>
            </w:r>
            <w:r>
              <w:rPr>
                <w:rFonts w:cs="宋体"/>
                <w:color w:val="auto"/>
                <w:spacing w:val="-1"/>
              </w:rPr>
              <w:t>备注：不组织统一踏勘，为保证投标质量，建议投标供应</w:t>
            </w:r>
            <w:r>
              <w:rPr>
                <w:rFonts w:cs="宋体"/>
                <w:color w:val="auto"/>
                <w:spacing w:val="-109"/>
              </w:rPr>
              <w:t xml:space="preserve"> </w:t>
            </w:r>
            <w:r>
              <w:rPr>
                <w:rFonts w:cs="宋体"/>
                <w:color w:val="auto"/>
              </w:rPr>
              <w:t>商在投标截止时间前自行踏勘。</w:t>
            </w:r>
          </w:p>
        </w:tc>
      </w:tr>
      <w:tr>
        <w:tblPrEx>
          <w:tblCellMar>
            <w:top w:w="0" w:type="dxa"/>
            <w:left w:w="0" w:type="dxa"/>
            <w:bottom w:w="0" w:type="dxa"/>
            <w:right w:w="0" w:type="dxa"/>
          </w:tblCellMar>
        </w:tblPrEx>
        <w:trPr>
          <w:trHeight w:val="4665" w:hRule="exact"/>
          <w:jc w:val="center"/>
        </w:trPr>
        <w:tc>
          <w:tcPr>
            <w:tcW w:w="73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spacing w:before="5"/>
              <w:rPr>
                <w:rFonts w:hint="default" w:ascii="Times New Roman" w:eastAsia="Times New Roman"/>
                <w:color w:val="auto"/>
                <w:sz w:val="22"/>
                <w:szCs w:val="22"/>
              </w:rPr>
            </w:pPr>
          </w:p>
          <w:p>
            <w:pPr>
              <w:pStyle w:val="21"/>
              <w:kinsoku w:val="0"/>
              <w:overflowPunct w:val="0"/>
              <w:ind w:left="240"/>
              <w:rPr>
                <w:rFonts w:hint="default" w:ascii="Times New Roman" w:eastAsia="Times New Roman"/>
                <w:color w:val="auto"/>
              </w:rPr>
            </w:pPr>
            <w:r>
              <w:rPr>
                <w:rFonts w:cs="宋体"/>
                <w:b/>
                <w:color w:val="auto"/>
              </w:rPr>
              <w:t>10</w:t>
            </w:r>
          </w:p>
        </w:tc>
        <w:tc>
          <w:tcPr>
            <w:tcW w:w="2664" w:type="dxa"/>
            <w:gridSpan w:val="2"/>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spacing w:before="5"/>
              <w:rPr>
                <w:rFonts w:hint="default" w:ascii="Times New Roman" w:eastAsia="Times New Roman"/>
                <w:color w:val="auto"/>
                <w:sz w:val="22"/>
                <w:szCs w:val="22"/>
              </w:rPr>
            </w:pPr>
          </w:p>
          <w:p>
            <w:pPr>
              <w:pStyle w:val="21"/>
              <w:kinsoku w:val="0"/>
              <w:overflowPunct w:val="0"/>
              <w:ind w:left="604"/>
              <w:rPr>
                <w:rFonts w:hint="default" w:ascii="Times New Roman" w:eastAsia="Times New Roman"/>
                <w:color w:val="auto"/>
              </w:rPr>
            </w:pPr>
            <w:r>
              <w:rPr>
                <w:rFonts w:cs="宋体"/>
                <w:b/>
                <w:color w:val="auto"/>
              </w:rPr>
              <w:t>答疑接受时间</w:t>
            </w: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1" w:line="357" w:lineRule="auto"/>
              <w:ind w:left="102" w:right="100"/>
              <w:rPr>
                <w:rFonts w:hint="default" w:cs="宋体"/>
                <w:color w:val="auto"/>
              </w:rPr>
            </w:pPr>
            <w:r>
              <w:rPr>
                <w:rFonts w:cs="宋体"/>
                <w:color w:val="auto"/>
              </w:rPr>
              <w:t>公告发布后</w:t>
            </w:r>
            <w:r>
              <w:rPr>
                <w:rFonts w:cs="宋体"/>
                <w:color w:val="auto"/>
                <w:spacing w:val="-64"/>
              </w:rPr>
              <w:t xml:space="preserve"> </w:t>
            </w:r>
            <w:r>
              <w:rPr>
                <w:rFonts w:cs="宋体"/>
                <w:color w:val="auto"/>
              </w:rPr>
              <w:t>7</w:t>
            </w:r>
            <w:r>
              <w:rPr>
                <w:rFonts w:cs="宋体"/>
                <w:color w:val="auto"/>
                <w:spacing w:val="-64"/>
              </w:rPr>
              <w:t xml:space="preserve"> </w:t>
            </w:r>
            <w:r>
              <w:rPr>
                <w:rFonts w:cs="宋体"/>
                <w:color w:val="auto"/>
              </w:rPr>
              <w:t>个工作日内（含</w:t>
            </w:r>
            <w:r>
              <w:rPr>
                <w:rFonts w:cs="宋体"/>
                <w:color w:val="auto"/>
                <w:spacing w:val="-64"/>
              </w:rPr>
              <w:t xml:space="preserve"> </w:t>
            </w:r>
            <w:r>
              <w:rPr>
                <w:rFonts w:cs="宋体"/>
                <w:color w:val="auto"/>
              </w:rPr>
              <w:t>7</w:t>
            </w:r>
            <w:r>
              <w:rPr>
                <w:rFonts w:cs="宋体"/>
                <w:color w:val="auto"/>
                <w:spacing w:val="-64"/>
              </w:rPr>
              <w:t xml:space="preserve"> </w:t>
            </w:r>
            <w:r>
              <w:rPr>
                <w:rFonts w:cs="宋体"/>
                <w:color w:val="auto"/>
              </w:rPr>
              <w:t>个工作日）接受</w:t>
            </w:r>
            <w:r>
              <w:rPr>
                <w:rFonts w:hint="eastAsia" w:cs="宋体"/>
                <w:color w:val="auto"/>
                <w:lang w:eastAsia="zh-CN"/>
              </w:rPr>
              <w:t>供应商</w:t>
            </w:r>
            <w:r>
              <w:rPr>
                <w:rFonts w:cs="宋体"/>
                <w:color w:val="auto"/>
              </w:rPr>
              <w:t>疑 问或澄清要求（逾期视为理解和接受）。</w:t>
            </w:r>
          </w:p>
          <w:p>
            <w:pPr>
              <w:pStyle w:val="21"/>
              <w:kinsoku w:val="0"/>
              <w:overflowPunct w:val="0"/>
              <w:spacing w:before="36" w:line="357" w:lineRule="auto"/>
              <w:ind w:left="102" w:right="100"/>
              <w:rPr>
                <w:rFonts w:ascii="宋体" w:eastAsia="宋体" w:cs="宋体"/>
                <w:color w:val="auto"/>
              </w:rPr>
            </w:pPr>
            <w:r>
              <w:rPr>
                <w:rFonts w:ascii="宋体" w:eastAsia="宋体" w:cs="宋体"/>
                <w:color w:val="auto"/>
              </w:rPr>
              <w:t xml:space="preserve">联系人：王学伟 </w:t>
            </w:r>
          </w:p>
          <w:p>
            <w:pPr>
              <w:pStyle w:val="21"/>
              <w:kinsoku w:val="0"/>
              <w:overflowPunct w:val="0"/>
              <w:spacing w:before="36" w:line="357" w:lineRule="auto"/>
              <w:ind w:left="102" w:right="100"/>
              <w:rPr>
                <w:rFonts w:hint="default" w:ascii="宋体" w:eastAsia="宋体" w:cs="宋体"/>
                <w:color w:val="auto"/>
              </w:rPr>
            </w:pPr>
            <w:r>
              <w:rPr>
                <w:rFonts w:ascii="宋体" w:eastAsia="宋体" w:cs="宋体"/>
                <w:color w:val="auto"/>
              </w:rPr>
              <w:t>联系电话：18999595698</w:t>
            </w:r>
          </w:p>
          <w:p>
            <w:pPr>
              <w:pStyle w:val="21"/>
              <w:kinsoku w:val="0"/>
              <w:overflowPunct w:val="0"/>
              <w:spacing w:before="36" w:line="357" w:lineRule="auto"/>
              <w:ind w:left="102" w:right="100"/>
              <w:rPr>
                <w:rFonts w:cs="宋体"/>
                <w:color w:val="auto"/>
              </w:rPr>
            </w:pPr>
            <w:r>
              <w:rPr>
                <w:rFonts w:cs="宋体"/>
                <w:color w:val="auto"/>
              </w:rPr>
              <w:t>提交方式：纸质版递交至伊犁双信招投标代理有限责任公司</w:t>
            </w:r>
          </w:p>
          <w:p>
            <w:pPr>
              <w:pStyle w:val="21"/>
              <w:kinsoku w:val="0"/>
              <w:overflowPunct w:val="0"/>
              <w:spacing w:before="36" w:line="357" w:lineRule="auto"/>
              <w:ind w:left="102" w:right="100"/>
              <w:rPr>
                <w:rFonts w:hint="default" w:cs="宋体"/>
                <w:color w:val="auto"/>
                <w:spacing w:val="9"/>
              </w:rPr>
            </w:pPr>
            <w:r>
              <w:rPr>
                <w:rFonts w:cs="宋体"/>
                <w:color w:val="auto"/>
                <w:spacing w:val="-1"/>
              </w:rPr>
              <w:t>注：澄清、修改文件发出后，</w:t>
            </w:r>
            <w:r>
              <w:rPr>
                <w:rFonts w:hint="eastAsia" w:cs="宋体"/>
                <w:color w:val="auto"/>
                <w:spacing w:val="-1"/>
                <w:lang w:eastAsia="zh-CN"/>
              </w:rPr>
              <w:t>供应商</w:t>
            </w:r>
            <w:r>
              <w:rPr>
                <w:rFonts w:cs="宋体"/>
                <w:color w:val="auto"/>
                <w:spacing w:val="-1"/>
              </w:rPr>
              <w:t>必须使用最新的投标客户端制作电子投标文件，否则将无法完成上传。答疑接受</w:t>
            </w:r>
            <w:r>
              <w:rPr>
                <w:rFonts w:cs="宋体"/>
                <w:color w:val="auto"/>
                <w:spacing w:val="-108"/>
              </w:rPr>
              <w:t xml:space="preserve"> </w:t>
            </w:r>
            <w:r>
              <w:rPr>
                <w:rFonts w:cs="宋体"/>
                <w:color w:val="auto"/>
                <w:spacing w:val="9"/>
              </w:rPr>
              <w:t>时间内未要求澄清或答疑的视为接受招标文件中所有的内容。</w:t>
            </w:r>
          </w:p>
          <w:p>
            <w:pPr>
              <w:pStyle w:val="21"/>
              <w:kinsoku w:val="0"/>
              <w:overflowPunct w:val="0"/>
              <w:spacing w:before="36"/>
              <w:ind w:left="102"/>
              <w:rPr>
                <w:rFonts w:hint="default" w:ascii="Times New Roman" w:eastAsia="Times New Roman"/>
                <w:color w:val="auto"/>
              </w:rPr>
            </w:pPr>
            <w:r>
              <w:rPr>
                <w:rFonts w:cs="宋体"/>
                <w:color w:val="auto"/>
              </w:rPr>
              <w:t>内容。</w:t>
            </w:r>
          </w:p>
        </w:tc>
      </w:tr>
      <w:tr>
        <w:tblPrEx>
          <w:tblCellMar>
            <w:top w:w="0" w:type="dxa"/>
            <w:left w:w="0" w:type="dxa"/>
            <w:bottom w:w="0" w:type="dxa"/>
            <w:right w:w="0" w:type="dxa"/>
          </w:tblCellMar>
        </w:tblPrEx>
        <w:trPr>
          <w:trHeight w:val="478" w:hRule="exact"/>
          <w:jc w:val="center"/>
        </w:trPr>
        <w:tc>
          <w:tcPr>
            <w:tcW w:w="73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1"/>
              <w:ind w:left="240"/>
              <w:rPr>
                <w:rFonts w:hint="default" w:ascii="Times New Roman" w:eastAsia="Times New Roman"/>
                <w:color w:val="auto"/>
              </w:rPr>
            </w:pPr>
            <w:r>
              <w:rPr>
                <w:rFonts w:cs="宋体"/>
                <w:b/>
                <w:color w:val="auto"/>
              </w:rPr>
              <w:t>11</w:t>
            </w:r>
          </w:p>
        </w:tc>
        <w:tc>
          <w:tcPr>
            <w:tcW w:w="2664" w:type="dxa"/>
            <w:gridSpan w:val="2"/>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1"/>
              <w:ind w:left="724"/>
              <w:rPr>
                <w:rFonts w:hint="default" w:ascii="Times New Roman" w:eastAsia="Times New Roman"/>
                <w:color w:val="auto"/>
              </w:rPr>
            </w:pPr>
            <w:r>
              <w:rPr>
                <w:rFonts w:cs="宋体"/>
                <w:b/>
                <w:color w:val="auto"/>
              </w:rPr>
              <w:t>投标有效期</w:t>
            </w: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1"/>
              <w:ind w:left="102"/>
              <w:rPr>
                <w:rFonts w:hint="default" w:ascii="Times New Roman" w:eastAsia="Times New Roman"/>
                <w:color w:val="auto"/>
              </w:rPr>
            </w:pPr>
            <w:r>
              <w:rPr>
                <w:rFonts w:cs="宋体"/>
                <w:color w:val="auto"/>
              </w:rPr>
              <w:t>自投标截止之日起</w:t>
            </w:r>
            <w:r>
              <w:rPr>
                <w:rFonts w:cs="宋体"/>
                <w:color w:val="auto"/>
                <w:spacing w:val="-60"/>
              </w:rPr>
              <w:t xml:space="preserve"> </w:t>
            </w:r>
            <w:r>
              <w:rPr>
                <w:rFonts w:cs="宋体"/>
                <w:color w:val="auto"/>
                <w:u w:val="single"/>
              </w:rPr>
              <w:t>90</w:t>
            </w:r>
            <w:r>
              <w:rPr>
                <w:rFonts w:cs="宋体"/>
                <w:color w:val="auto"/>
                <w:spacing w:val="-60"/>
                <w:u w:val="single"/>
              </w:rPr>
              <w:t xml:space="preserve"> </w:t>
            </w:r>
            <w:r>
              <w:rPr>
                <w:rFonts w:cs="宋体"/>
                <w:color w:val="auto"/>
              </w:rPr>
              <w:t>日历天。</w:t>
            </w:r>
          </w:p>
        </w:tc>
      </w:tr>
      <w:tr>
        <w:tblPrEx>
          <w:tblCellMar>
            <w:top w:w="0" w:type="dxa"/>
            <w:left w:w="0" w:type="dxa"/>
            <w:bottom w:w="0" w:type="dxa"/>
            <w:right w:w="0" w:type="dxa"/>
          </w:tblCellMar>
        </w:tblPrEx>
        <w:trPr>
          <w:trHeight w:val="946" w:hRule="exact"/>
          <w:jc w:val="center"/>
        </w:trPr>
        <w:tc>
          <w:tcPr>
            <w:tcW w:w="73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11"/>
              <w:rPr>
                <w:rFonts w:hint="default" w:ascii="Times New Roman" w:eastAsia="Times New Roman"/>
                <w:color w:val="auto"/>
                <w:sz w:val="23"/>
                <w:szCs w:val="23"/>
              </w:rPr>
            </w:pPr>
          </w:p>
          <w:p>
            <w:pPr>
              <w:pStyle w:val="21"/>
              <w:kinsoku w:val="0"/>
              <w:overflowPunct w:val="0"/>
              <w:ind w:left="240"/>
              <w:rPr>
                <w:rFonts w:hint="default" w:ascii="Times New Roman" w:eastAsia="Times New Roman"/>
                <w:color w:val="auto"/>
              </w:rPr>
            </w:pPr>
            <w:r>
              <w:rPr>
                <w:rFonts w:cs="宋体"/>
                <w:b/>
                <w:color w:val="auto"/>
              </w:rPr>
              <w:t>12</w:t>
            </w:r>
          </w:p>
        </w:tc>
        <w:tc>
          <w:tcPr>
            <w:tcW w:w="2664" w:type="dxa"/>
            <w:gridSpan w:val="2"/>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604"/>
              <w:rPr>
                <w:rFonts w:hint="default" w:cs="宋体"/>
                <w:color w:val="auto"/>
              </w:rPr>
            </w:pPr>
            <w:r>
              <w:rPr>
                <w:rFonts w:cs="宋体"/>
                <w:b/>
                <w:color w:val="auto"/>
              </w:rPr>
              <w:t>投标截止时间</w:t>
            </w:r>
          </w:p>
          <w:p>
            <w:pPr>
              <w:pStyle w:val="21"/>
              <w:kinsoku w:val="0"/>
              <w:overflowPunct w:val="0"/>
              <w:spacing w:before="154"/>
              <w:ind w:left="604"/>
              <w:rPr>
                <w:rFonts w:hint="default" w:ascii="Times New Roman" w:eastAsia="Times New Roman"/>
                <w:color w:val="auto"/>
              </w:rPr>
            </w:pPr>
            <w:r>
              <w:rPr>
                <w:rFonts w:cs="宋体"/>
                <w:b/>
                <w:color w:val="auto"/>
              </w:rPr>
              <w:t>（开标时间）</w:t>
            </w: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11"/>
              <w:rPr>
                <w:rFonts w:hint="default" w:ascii="Times New Roman" w:eastAsia="Times New Roman"/>
                <w:color w:val="auto"/>
                <w:sz w:val="23"/>
                <w:szCs w:val="23"/>
              </w:rPr>
            </w:pPr>
          </w:p>
          <w:p>
            <w:pPr>
              <w:pStyle w:val="21"/>
              <w:kinsoku w:val="0"/>
              <w:overflowPunct w:val="0"/>
              <w:ind w:left="102"/>
              <w:rPr>
                <w:rFonts w:hint="default" w:ascii="Times New Roman" w:eastAsia="Times New Roman"/>
                <w:color w:val="auto"/>
              </w:rPr>
            </w:pPr>
            <w:r>
              <w:rPr>
                <w:rFonts w:cs="宋体"/>
                <w:color w:val="auto"/>
              </w:rPr>
              <w:t>截止时间：</w:t>
            </w:r>
            <w:r>
              <w:rPr>
                <w:rFonts w:hint="eastAsia" w:cs="宋体"/>
                <w:color w:val="auto"/>
                <w:lang w:eastAsia="zh-CN"/>
              </w:rPr>
              <w:t>2023年9月25日12:00</w:t>
            </w:r>
            <w:r>
              <w:rPr>
                <w:rFonts w:cs="宋体"/>
                <w:color w:val="auto"/>
              </w:rPr>
              <w:t>（北京时间）</w:t>
            </w:r>
          </w:p>
        </w:tc>
      </w:tr>
      <w:tr>
        <w:tblPrEx>
          <w:tblCellMar>
            <w:top w:w="0" w:type="dxa"/>
            <w:left w:w="0" w:type="dxa"/>
            <w:bottom w:w="0" w:type="dxa"/>
            <w:right w:w="0" w:type="dxa"/>
          </w:tblCellMar>
        </w:tblPrEx>
        <w:trPr>
          <w:trHeight w:val="1434" w:hRule="exact"/>
          <w:jc w:val="center"/>
        </w:trPr>
        <w:tc>
          <w:tcPr>
            <w:tcW w:w="73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sz w:val="21"/>
                <w:szCs w:val="21"/>
              </w:rPr>
            </w:pPr>
          </w:p>
          <w:p>
            <w:pPr>
              <w:pStyle w:val="21"/>
              <w:kinsoku w:val="0"/>
              <w:overflowPunct w:val="0"/>
              <w:ind w:left="240"/>
              <w:rPr>
                <w:rFonts w:hint="default" w:ascii="Times New Roman" w:eastAsia="Times New Roman"/>
                <w:color w:val="auto"/>
              </w:rPr>
            </w:pPr>
            <w:r>
              <w:rPr>
                <w:rFonts w:cs="宋体"/>
                <w:b/>
                <w:color w:val="auto"/>
              </w:rPr>
              <w:t>13</w:t>
            </w:r>
          </w:p>
        </w:tc>
        <w:tc>
          <w:tcPr>
            <w:tcW w:w="2664" w:type="dxa"/>
            <w:gridSpan w:val="2"/>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9"/>
              <w:rPr>
                <w:rFonts w:hint="default" w:ascii="Times New Roman" w:eastAsia="Times New Roman"/>
                <w:color w:val="auto"/>
              </w:rPr>
            </w:pPr>
          </w:p>
          <w:p>
            <w:pPr>
              <w:pStyle w:val="21"/>
              <w:kinsoku w:val="0"/>
              <w:overflowPunct w:val="0"/>
              <w:spacing w:line="357" w:lineRule="auto"/>
              <w:ind w:left="364" w:right="361"/>
              <w:rPr>
                <w:rFonts w:hint="default" w:ascii="Times New Roman" w:eastAsia="Times New Roman"/>
                <w:color w:val="auto"/>
              </w:rPr>
            </w:pPr>
            <w:r>
              <w:rPr>
                <w:rFonts w:hint="eastAsia" w:cs="宋体"/>
                <w:b/>
                <w:color w:val="auto"/>
                <w:lang w:eastAsia="zh-CN"/>
              </w:rPr>
              <w:t>供应商</w:t>
            </w:r>
            <w:r>
              <w:rPr>
                <w:rFonts w:cs="宋体"/>
                <w:b/>
                <w:color w:val="auto"/>
              </w:rPr>
              <w:t>在投标截止</w:t>
            </w:r>
            <w:r>
              <w:rPr>
                <w:rFonts w:cs="宋体"/>
                <w:b/>
                <w:color w:val="auto"/>
                <w:w w:val="99"/>
              </w:rPr>
              <w:t xml:space="preserve"> </w:t>
            </w:r>
            <w:r>
              <w:rPr>
                <w:rFonts w:cs="宋体"/>
                <w:b/>
                <w:color w:val="auto"/>
              </w:rPr>
              <w:t>时间前提交的文件</w:t>
            </w: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sz w:val="21"/>
                <w:szCs w:val="21"/>
              </w:rPr>
            </w:pPr>
          </w:p>
          <w:p>
            <w:pPr>
              <w:pStyle w:val="21"/>
              <w:kinsoku w:val="0"/>
              <w:overflowPunct w:val="0"/>
              <w:ind w:left="102"/>
              <w:rPr>
                <w:rFonts w:hint="default" w:ascii="Times New Roman" w:eastAsia="Times New Roman"/>
                <w:color w:val="auto"/>
              </w:rPr>
            </w:pPr>
            <w:r>
              <w:rPr>
                <w:rFonts w:cs="宋体"/>
                <w:color w:val="auto"/>
              </w:rPr>
              <w:t>投标文件（具体要求见本表第</w:t>
            </w:r>
            <w:r>
              <w:rPr>
                <w:rFonts w:cs="宋体"/>
                <w:color w:val="auto"/>
                <w:spacing w:val="-61"/>
              </w:rPr>
              <w:t xml:space="preserve"> </w:t>
            </w:r>
            <w:r>
              <w:rPr>
                <w:rFonts w:cs="宋体"/>
                <w:color w:val="auto"/>
              </w:rPr>
              <w:t>15</w:t>
            </w:r>
            <w:r>
              <w:rPr>
                <w:rFonts w:cs="宋体"/>
                <w:color w:val="auto"/>
                <w:spacing w:val="-60"/>
              </w:rPr>
              <w:t xml:space="preserve"> </w:t>
            </w:r>
            <w:r>
              <w:rPr>
                <w:rFonts w:cs="宋体"/>
                <w:color w:val="auto"/>
              </w:rPr>
              <w:t>项）</w:t>
            </w:r>
          </w:p>
        </w:tc>
      </w:tr>
      <w:tr>
        <w:tblPrEx>
          <w:tblCellMar>
            <w:top w:w="0" w:type="dxa"/>
            <w:left w:w="0" w:type="dxa"/>
            <w:bottom w:w="0" w:type="dxa"/>
            <w:right w:w="0" w:type="dxa"/>
          </w:tblCellMar>
        </w:tblPrEx>
        <w:trPr>
          <w:trHeight w:val="3017" w:hRule="exact"/>
          <w:jc w:val="center"/>
        </w:trPr>
        <w:tc>
          <w:tcPr>
            <w:tcW w:w="73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spacing w:before="1"/>
              <w:rPr>
                <w:rFonts w:hint="default" w:ascii="Times New Roman" w:eastAsia="Times New Roman"/>
                <w:color w:val="auto"/>
                <w:sz w:val="34"/>
                <w:szCs w:val="34"/>
              </w:rPr>
            </w:pPr>
          </w:p>
          <w:p>
            <w:pPr>
              <w:pStyle w:val="21"/>
              <w:kinsoku w:val="0"/>
              <w:overflowPunct w:val="0"/>
              <w:ind w:left="240"/>
              <w:rPr>
                <w:rFonts w:hint="default" w:ascii="Times New Roman" w:eastAsia="Times New Roman"/>
                <w:color w:val="auto"/>
              </w:rPr>
            </w:pPr>
            <w:r>
              <w:rPr>
                <w:rFonts w:cs="宋体"/>
                <w:b/>
                <w:color w:val="auto"/>
              </w:rPr>
              <w:t>14</w:t>
            </w:r>
          </w:p>
        </w:tc>
        <w:tc>
          <w:tcPr>
            <w:tcW w:w="2664" w:type="dxa"/>
            <w:gridSpan w:val="2"/>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spacing w:before="1"/>
              <w:rPr>
                <w:rFonts w:hint="default" w:ascii="Times New Roman" w:eastAsia="Times New Roman"/>
                <w:color w:val="auto"/>
                <w:sz w:val="34"/>
                <w:szCs w:val="34"/>
              </w:rPr>
            </w:pPr>
          </w:p>
          <w:p>
            <w:pPr>
              <w:pStyle w:val="21"/>
              <w:kinsoku w:val="0"/>
              <w:overflowPunct w:val="0"/>
              <w:ind w:left="604"/>
              <w:rPr>
                <w:rFonts w:hint="default" w:ascii="Times New Roman" w:eastAsia="Times New Roman"/>
                <w:color w:val="auto"/>
              </w:rPr>
            </w:pPr>
            <w:r>
              <w:rPr>
                <w:rFonts w:cs="宋体"/>
                <w:b/>
                <w:color w:val="auto"/>
              </w:rPr>
              <w:t>投标文件份数</w:t>
            </w: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8" w:line="333" w:lineRule="auto"/>
              <w:ind w:left="102" w:right="100"/>
              <w:rPr>
                <w:rFonts w:hAnsi="Segoe UI Symbol" w:cs="宋体"/>
                <w:b/>
                <w:color w:val="auto"/>
              </w:rPr>
            </w:pPr>
            <w:r>
              <w:rPr>
                <w:rFonts w:hint="default" w:ascii="Segoe UI Symbol" w:hAnsi="Segoe UI Symbol" w:cs="Segoe UI Symbol"/>
                <w:color w:val="auto"/>
              </w:rPr>
              <w:t>☑</w:t>
            </w:r>
            <w:r>
              <w:rPr>
                <w:rFonts w:hint="default" w:ascii="Segoe UI Symbol" w:hAnsi="Segoe UI Symbol" w:cs="Segoe UI Symbol"/>
                <w:color w:val="auto"/>
                <w:spacing w:val="-33"/>
              </w:rPr>
              <w:t xml:space="preserve"> </w:t>
            </w:r>
            <w:r>
              <w:rPr>
                <w:rFonts w:hAnsi="Segoe UI Symbol" w:cs="宋体"/>
                <w:b/>
                <w:color w:val="auto"/>
              </w:rPr>
              <w:t>采用不见面开标：</w:t>
            </w:r>
          </w:p>
          <w:p>
            <w:pPr>
              <w:pStyle w:val="21"/>
              <w:kinsoku w:val="0"/>
              <w:overflowPunct w:val="0"/>
              <w:spacing w:before="8" w:line="333" w:lineRule="auto"/>
              <w:ind w:left="102" w:right="100"/>
              <w:rPr>
                <w:rFonts w:hint="default" w:hAnsi="Segoe UI Symbol" w:cs="宋体"/>
                <w:color w:val="auto"/>
                <w:spacing w:val="3"/>
              </w:rPr>
            </w:pPr>
            <w:r>
              <w:rPr>
                <w:rFonts w:hAnsi="Segoe UI Symbol" w:cs="宋体"/>
                <w:color w:val="auto"/>
                <w:spacing w:val="3"/>
              </w:rPr>
              <w:t>1．本项目采用不见面开标、</w:t>
            </w:r>
            <w:r>
              <w:rPr>
                <w:rFonts w:hint="eastAsia" w:hAnsi="Segoe UI Symbol" w:cs="宋体"/>
                <w:color w:val="auto"/>
                <w:spacing w:val="3"/>
                <w:lang w:eastAsia="zh-CN"/>
              </w:rPr>
              <w:t>供应商</w:t>
            </w:r>
            <w:r>
              <w:rPr>
                <w:rFonts w:hAnsi="Segoe UI Symbol" w:cs="宋体"/>
                <w:color w:val="auto"/>
                <w:spacing w:val="3"/>
              </w:rPr>
              <w:t>需要递交电子投标文</w:t>
            </w:r>
          </w:p>
          <w:p>
            <w:pPr>
              <w:pStyle w:val="21"/>
              <w:kinsoku w:val="0"/>
              <w:overflowPunct w:val="0"/>
              <w:spacing w:before="91" w:line="384" w:lineRule="auto"/>
              <w:ind w:left="102" w:right="100"/>
              <w:rPr>
                <w:rFonts w:cs="宋体"/>
                <w:color w:val="auto"/>
              </w:rPr>
            </w:pPr>
            <w:r>
              <w:rPr>
                <w:rFonts w:cs="宋体"/>
                <w:color w:val="auto"/>
                <w:spacing w:val="-1"/>
              </w:rPr>
              <w:t>件，加密的电子投标文件，在投标截止时间前通过政采云</w:t>
            </w:r>
            <w:r>
              <w:rPr>
                <w:rFonts w:cs="宋体"/>
                <w:color w:val="auto"/>
                <w:spacing w:val="-108"/>
              </w:rPr>
              <w:t xml:space="preserve"> </w:t>
            </w:r>
            <w:r>
              <w:rPr>
                <w:rFonts w:cs="宋体"/>
                <w:color w:val="auto"/>
                <w:spacing w:val="-1"/>
              </w:rPr>
              <w:t>平台（</w:t>
            </w:r>
            <w:r>
              <w:rPr>
                <w:color w:val="auto"/>
              </w:rPr>
              <w:fldChar w:fldCharType="begin"/>
            </w:r>
            <w:r>
              <w:rPr>
                <w:color w:val="auto"/>
              </w:rPr>
              <w:instrText xml:space="preserve"> HYPERLINK "http://www.zcygov.cn/" </w:instrText>
            </w:r>
            <w:r>
              <w:rPr>
                <w:color w:val="auto"/>
              </w:rPr>
              <w:fldChar w:fldCharType="separate"/>
            </w:r>
            <w:r>
              <w:rPr>
                <w:rFonts w:cs="宋体"/>
                <w:color w:val="auto"/>
                <w:spacing w:val="-1"/>
              </w:rPr>
              <w:t>http://www.ccgp-xinjiang.gov.cn/</w:t>
            </w:r>
            <w:r>
              <w:rPr>
                <w:rFonts w:cs="宋体"/>
                <w:color w:val="auto"/>
                <w:spacing w:val="-1"/>
              </w:rPr>
              <w:fldChar w:fldCharType="end"/>
            </w:r>
            <w:r>
              <w:rPr>
                <w:rFonts w:cs="宋体"/>
                <w:color w:val="auto"/>
                <w:spacing w:val="-1"/>
              </w:rPr>
              <w:t>）上传到指定位置。无需</w:t>
            </w:r>
            <w:r>
              <w:rPr>
                <w:rFonts w:cs="宋体"/>
                <w:color w:val="auto"/>
              </w:rPr>
              <w:t>递交纸质文件。</w:t>
            </w:r>
          </w:p>
          <w:p>
            <w:pPr>
              <w:pStyle w:val="21"/>
              <w:kinsoku w:val="0"/>
              <w:overflowPunct w:val="0"/>
              <w:spacing w:before="91" w:line="384" w:lineRule="auto"/>
              <w:ind w:left="102" w:right="100"/>
              <w:rPr>
                <w:rFonts w:hint="eastAsia" w:ascii="Times New Roman" w:eastAsia="宋体"/>
                <w:color w:val="auto"/>
                <w:lang w:eastAsia="zh-CN"/>
              </w:rPr>
            </w:pPr>
            <w:r>
              <w:rPr>
                <w:rFonts w:cs="宋体"/>
                <w:color w:val="auto"/>
                <w:spacing w:val="-1"/>
              </w:rPr>
              <w:t>2.本项目采用远程不见面交易的模式。开标当日，</w:t>
            </w:r>
            <w:r>
              <w:rPr>
                <w:rFonts w:hint="eastAsia" w:cs="宋体"/>
                <w:color w:val="auto"/>
                <w:spacing w:val="-1"/>
                <w:lang w:eastAsia="zh-CN"/>
              </w:rPr>
              <w:t>供应商</w:t>
            </w:r>
          </w:p>
        </w:tc>
      </w:tr>
    </w:tbl>
    <w:p>
      <w:pPr>
        <w:rPr>
          <w:rFonts w:hint="default" w:ascii="Times New Roman" w:eastAsia="Times New Roman"/>
          <w:color w:val="auto"/>
        </w:rPr>
        <w:sectPr>
          <w:footerReference r:id="rId5" w:type="default"/>
          <w:pgSz w:w="11910" w:h="16840"/>
          <w:pgMar w:top="1340" w:right="1040" w:bottom="1580" w:left="1040" w:header="0" w:footer="1395" w:gutter="0"/>
          <w:cols w:space="720" w:num="1"/>
        </w:sectPr>
      </w:pPr>
    </w:p>
    <w:p>
      <w:pPr>
        <w:pStyle w:val="8"/>
        <w:kinsoku w:val="0"/>
        <w:overflowPunct w:val="0"/>
        <w:spacing w:before="2"/>
        <w:ind w:left="0"/>
        <w:rPr>
          <w:rFonts w:hint="default" w:ascii="Times New Roman" w:eastAsia="Times New Roman" w:cs="Times New Roman"/>
          <w:color w:val="auto"/>
          <w:sz w:val="7"/>
          <w:szCs w:val="7"/>
        </w:rPr>
      </w:pPr>
    </w:p>
    <w:tbl>
      <w:tblPr>
        <w:tblStyle w:val="17"/>
        <w:tblW w:w="0" w:type="auto"/>
        <w:tblInd w:w="107" w:type="dxa"/>
        <w:tblLayout w:type="fixed"/>
        <w:tblCellMar>
          <w:top w:w="0" w:type="dxa"/>
          <w:left w:w="0" w:type="dxa"/>
          <w:bottom w:w="0" w:type="dxa"/>
          <w:right w:w="0" w:type="dxa"/>
        </w:tblCellMar>
      </w:tblPr>
      <w:tblGrid>
        <w:gridCol w:w="735"/>
        <w:gridCol w:w="2664"/>
        <w:gridCol w:w="6203"/>
      </w:tblGrid>
      <w:tr>
        <w:tblPrEx>
          <w:tblCellMar>
            <w:top w:w="0" w:type="dxa"/>
            <w:left w:w="0" w:type="dxa"/>
            <w:bottom w:w="0" w:type="dxa"/>
            <w:right w:w="0" w:type="dxa"/>
          </w:tblCellMar>
        </w:tblPrEx>
        <w:trPr>
          <w:trHeight w:val="7040" w:hRule="exact"/>
        </w:trPr>
        <w:tc>
          <w:tcPr>
            <w:tcW w:w="735"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266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02"/>
              <w:jc w:val="both"/>
              <w:rPr>
                <w:rFonts w:hint="default" w:cs="宋体"/>
                <w:color w:val="auto"/>
                <w:spacing w:val="19"/>
              </w:rPr>
            </w:pPr>
            <w:r>
              <w:rPr>
                <w:rFonts w:cs="宋体"/>
                <w:color w:val="auto"/>
                <w:spacing w:val="18"/>
              </w:rPr>
              <w:t>无需到达开标现场，</w:t>
            </w:r>
            <w:r>
              <w:rPr>
                <w:rFonts w:cs="宋体"/>
                <w:color w:val="auto"/>
                <w:spacing w:val="-95"/>
              </w:rPr>
              <w:t xml:space="preserve"> </w:t>
            </w:r>
            <w:r>
              <w:rPr>
                <w:rFonts w:cs="宋体"/>
                <w:color w:val="auto"/>
                <w:spacing w:val="19"/>
              </w:rPr>
              <w:t>仅需在任意地点通过政采云平台</w:t>
            </w:r>
          </w:p>
          <w:p>
            <w:pPr>
              <w:pStyle w:val="21"/>
              <w:kinsoku w:val="0"/>
              <w:overflowPunct w:val="0"/>
              <w:spacing w:before="154" w:line="357" w:lineRule="auto"/>
              <w:ind w:left="102" w:right="28"/>
              <w:jc w:val="both"/>
              <w:rPr>
                <w:rFonts w:hint="default" w:cs="宋体"/>
                <w:color w:val="auto"/>
              </w:rPr>
            </w:pPr>
            <w:r>
              <w:rPr>
                <w:color w:val="auto"/>
              </w:rPr>
              <w:fldChar w:fldCharType="begin"/>
            </w:r>
            <w:r>
              <w:rPr>
                <w:color w:val="auto"/>
              </w:rPr>
              <w:instrText xml:space="preserve"> HYPERLINK "http://www.zcygov.cn/" </w:instrText>
            </w:r>
            <w:r>
              <w:rPr>
                <w:color w:val="auto"/>
              </w:rPr>
              <w:fldChar w:fldCharType="separate"/>
            </w:r>
            <w:r>
              <w:rPr>
                <w:rFonts w:cs="宋体"/>
                <w:color w:val="auto"/>
              </w:rPr>
              <w:t>（http://www.ccgp-xinjiang.gov.cn/</w:t>
            </w:r>
            <w:r>
              <w:rPr>
                <w:rFonts w:cs="宋体"/>
                <w:color w:val="auto"/>
              </w:rPr>
              <w:fldChar w:fldCharType="end"/>
            </w:r>
            <w:r>
              <w:rPr>
                <w:rFonts w:cs="宋体"/>
                <w:color w:val="auto"/>
              </w:rPr>
              <w:t>）完成远程解密、提疑澄清、开标唱标、结果公布等交互环节。</w:t>
            </w:r>
            <w:r>
              <w:rPr>
                <w:rFonts w:hint="eastAsia" w:cs="宋体"/>
                <w:color w:val="auto"/>
                <w:lang w:eastAsia="zh-CN"/>
              </w:rPr>
              <w:t>供应商</w:t>
            </w:r>
            <w:r>
              <w:rPr>
                <w:rFonts w:cs="宋体"/>
                <w:color w:val="auto"/>
              </w:rPr>
              <w:t>必须使用能正确解密投标文件的“CA</w:t>
            </w:r>
            <w:r>
              <w:rPr>
                <w:rFonts w:cs="宋体"/>
                <w:color w:val="auto"/>
                <w:spacing w:val="-61"/>
              </w:rPr>
              <w:t xml:space="preserve"> </w:t>
            </w:r>
            <w:r>
              <w:rPr>
                <w:rFonts w:cs="宋体"/>
                <w:color w:val="auto"/>
              </w:rPr>
              <w:t>锁”在规定的时间内完成远程解密，因</w:t>
            </w:r>
            <w:r>
              <w:rPr>
                <w:rFonts w:hint="eastAsia" w:cs="宋体"/>
                <w:color w:val="auto"/>
                <w:lang w:eastAsia="zh-CN"/>
              </w:rPr>
              <w:t>供应商</w:t>
            </w:r>
            <w:r>
              <w:rPr>
                <w:rFonts w:cs="宋体"/>
                <w:color w:val="auto"/>
              </w:rPr>
              <w:t>原因未能解密、解密失败或解密超时，视为</w:t>
            </w:r>
            <w:r>
              <w:rPr>
                <w:rFonts w:hint="eastAsia" w:cs="宋体"/>
                <w:color w:val="auto"/>
                <w:lang w:eastAsia="zh-CN"/>
              </w:rPr>
              <w:t>供应商</w:t>
            </w:r>
            <w:r>
              <w:rPr>
                <w:rFonts w:cs="宋体"/>
                <w:color w:val="auto"/>
              </w:rPr>
              <w:t>撤销其投标文件，系统内投标文件将被退回；因采购人原因或网上招投标平台发生故障，导致无法按时完成投标文件解密或开、评标工作无法进行的，可根据实际情况相应延迟解密时间或调整开、评标时间（友情提示：若</w:t>
            </w:r>
            <w:r>
              <w:rPr>
                <w:rFonts w:hint="eastAsia" w:cs="宋体"/>
                <w:color w:val="auto"/>
                <w:lang w:eastAsia="zh-CN"/>
              </w:rPr>
              <w:t>供应商</w:t>
            </w:r>
            <w:r>
              <w:rPr>
                <w:rFonts w:cs="宋体"/>
                <w:color w:val="auto"/>
              </w:rPr>
              <w:t>已领取副锁（含多把副锁）请注意正副锁的使用差别，务必使用生成投标文件的那把锁解密）。</w:t>
            </w:r>
          </w:p>
          <w:p>
            <w:pPr>
              <w:pStyle w:val="21"/>
              <w:kinsoku w:val="0"/>
              <w:overflowPunct w:val="0"/>
              <w:spacing w:before="36"/>
              <w:ind w:left="102"/>
              <w:jc w:val="both"/>
              <w:rPr>
                <w:rFonts w:hint="default" w:cs="宋体"/>
                <w:color w:val="auto"/>
              </w:rPr>
            </w:pPr>
            <w:r>
              <w:rPr>
                <w:rFonts w:cs="宋体"/>
                <w:color w:val="auto"/>
              </w:rPr>
              <w:t>3.</w:t>
            </w:r>
            <w:r>
              <w:rPr>
                <w:rFonts w:cs="宋体"/>
                <w:color w:val="auto"/>
                <w:spacing w:val="-22"/>
              </w:rPr>
              <w:t xml:space="preserve"> </w:t>
            </w:r>
            <w:r>
              <w:rPr>
                <w:rFonts w:cs="宋体"/>
                <w:color w:val="auto"/>
              </w:rPr>
              <w:t>远</w:t>
            </w:r>
            <w:r>
              <w:rPr>
                <w:rFonts w:cs="宋体"/>
                <w:color w:val="auto"/>
                <w:spacing w:val="-22"/>
              </w:rPr>
              <w:t xml:space="preserve"> </w:t>
            </w:r>
            <w:r>
              <w:rPr>
                <w:rFonts w:cs="宋体"/>
                <w:color w:val="auto"/>
              </w:rPr>
              <w:t>程</w:t>
            </w:r>
            <w:r>
              <w:rPr>
                <w:rFonts w:cs="宋体"/>
                <w:color w:val="auto"/>
                <w:spacing w:val="-22"/>
              </w:rPr>
              <w:t xml:space="preserve"> </w:t>
            </w:r>
            <w:r>
              <w:rPr>
                <w:rFonts w:cs="宋体"/>
                <w:color w:val="auto"/>
              </w:rPr>
              <w:t>开</w:t>
            </w:r>
            <w:r>
              <w:rPr>
                <w:rFonts w:cs="宋体"/>
                <w:color w:val="auto"/>
                <w:spacing w:val="-22"/>
              </w:rPr>
              <w:t xml:space="preserve"> </w:t>
            </w:r>
            <w:r>
              <w:rPr>
                <w:rFonts w:cs="宋体"/>
                <w:color w:val="auto"/>
              </w:rPr>
              <w:t>标</w:t>
            </w:r>
            <w:r>
              <w:rPr>
                <w:rFonts w:cs="宋体"/>
                <w:color w:val="auto"/>
                <w:spacing w:val="-24"/>
              </w:rPr>
              <w:t xml:space="preserve"> </w:t>
            </w:r>
            <w:r>
              <w:rPr>
                <w:rFonts w:cs="宋体"/>
                <w:color w:val="auto"/>
              </w:rPr>
              <w:t>前</w:t>
            </w:r>
            <w:r>
              <w:rPr>
                <w:rFonts w:cs="宋体"/>
                <w:color w:val="auto"/>
                <w:spacing w:val="-22"/>
              </w:rPr>
              <w:t xml:space="preserve"> </w:t>
            </w:r>
            <w:r>
              <w:rPr>
                <w:rFonts w:cs="宋体"/>
                <w:color w:val="auto"/>
              </w:rPr>
              <w:t>，</w:t>
            </w:r>
            <w:r>
              <w:rPr>
                <w:rFonts w:cs="宋体"/>
                <w:color w:val="auto"/>
                <w:spacing w:val="-22"/>
              </w:rPr>
              <w:t xml:space="preserve"> </w:t>
            </w:r>
            <w:r>
              <w:rPr>
                <w:rFonts w:cs="宋体"/>
                <w:color w:val="auto"/>
              </w:rPr>
              <w:t>投</w:t>
            </w:r>
            <w:r>
              <w:rPr>
                <w:rFonts w:cs="宋体"/>
                <w:color w:val="auto"/>
                <w:spacing w:val="-22"/>
              </w:rPr>
              <w:t xml:space="preserve"> </w:t>
            </w:r>
            <w:r>
              <w:rPr>
                <w:rFonts w:cs="宋体"/>
                <w:color w:val="auto"/>
              </w:rPr>
              <w:t>标</w:t>
            </w:r>
            <w:r>
              <w:rPr>
                <w:rFonts w:cs="宋体"/>
                <w:color w:val="auto"/>
                <w:spacing w:val="-22"/>
              </w:rPr>
              <w:t xml:space="preserve"> </w:t>
            </w:r>
            <w:r>
              <w:rPr>
                <w:rFonts w:cs="宋体"/>
                <w:color w:val="auto"/>
              </w:rPr>
              <w:t>人</w:t>
            </w:r>
            <w:r>
              <w:rPr>
                <w:rFonts w:cs="宋体"/>
                <w:color w:val="auto"/>
                <w:spacing w:val="-22"/>
              </w:rPr>
              <w:t xml:space="preserve"> </w:t>
            </w:r>
            <w:r>
              <w:rPr>
                <w:rFonts w:cs="宋体"/>
                <w:color w:val="auto"/>
              </w:rPr>
              <w:t>务</w:t>
            </w:r>
            <w:r>
              <w:rPr>
                <w:rFonts w:cs="宋体"/>
                <w:color w:val="auto"/>
                <w:spacing w:val="-22"/>
              </w:rPr>
              <w:t xml:space="preserve"> </w:t>
            </w:r>
            <w:r>
              <w:rPr>
                <w:rFonts w:cs="宋体"/>
                <w:color w:val="auto"/>
              </w:rPr>
              <w:t>必</w:t>
            </w:r>
            <w:r>
              <w:rPr>
                <w:rFonts w:cs="宋体"/>
                <w:color w:val="auto"/>
                <w:spacing w:val="-24"/>
              </w:rPr>
              <w:t xml:space="preserve"> </w:t>
            </w:r>
            <w:r>
              <w:rPr>
                <w:rFonts w:cs="宋体"/>
                <w:color w:val="auto"/>
              </w:rPr>
              <w:t>在</w:t>
            </w:r>
            <w:r>
              <w:rPr>
                <w:rFonts w:cs="宋体"/>
                <w:color w:val="auto"/>
                <w:spacing w:val="-22"/>
              </w:rPr>
              <w:t xml:space="preserve"> </w:t>
            </w:r>
            <w:r>
              <w:rPr>
                <w:rFonts w:cs="宋体"/>
                <w:color w:val="auto"/>
              </w:rPr>
              <w:t>政</w:t>
            </w:r>
            <w:r>
              <w:rPr>
                <w:rFonts w:cs="宋体"/>
                <w:color w:val="auto"/>
                <w:spacing w:val="-22"/>
              </w:rPr>
              <w:t xml:space="preserve"> </w:t>
            </w:r>
            <w:r>
              <w:rPr>
                <w:rFonts w:cs="宋体"/>
                <w:color w:val="auto"/>
              </w:rPr>
              <w:t>采</w:t>
            </w:r>
            <w:r>
              <w:rPr>
                <w:rFonts w:cs="宋体"/>
                <w:color w:val="auto"/>
                <w:spacing w:val="-22"/>
              </w:rPr>
              <w:t xml:space="preserve"> </w:t>
            </w:r>
            <w:r>
              <w:rPr>
                <w:rFonts w:cs="宋体"/>
                <w:color w:val="auto"/>
              </w:rPr>
              <w:t>云</w:t>
            </w:r>
            <w:r>
              <w:rPr>
                <w:rFonts w:cs="宋体"/>
                <w:color w:val="auto"/>
                <w:spacing w:val="-22"/>
              </w:rPr>
              <w:t xml:space="preserve"> </w:t>
            </w:r>
            <w:r>
              <w:rPr>
                <w:rFonts w:cs="宋体"/>
                <w:color w:val="auto"/>
              </w:rPr>
              <w:t>平</w:t>
            </w:r>
            <w:r>
              <w:rPr>
                <w:rFonts w:cs="宋体"/>
                <w:color w:val="auto"/>
                <w:spacing w:val="-24"/>
              </w:rPr>
              <w:t xml:space="preserve"> </w:t>
            </w:r>
            <w:r>
              <w:rPr>
                <w:rFonts w:cs="宋体"/>
                <w:color w:val="auto"/>
              </w:rPr>
              <w:t>台</w:t>
            </w:r>
          </w:p>
          <w:p>
            <w:pPr>
              <w:pStyle w:val="21"/>
              <w:kinsoku w:val="0"/>
              <w:overflowPunct w:val="0"/>
              <w:spacing w:before="8" w:line="460" w:lineRule="atLeast"/>
              <w:ind w:left="102" w:right="100"/>
              <w:jc w:val="both"/>
              <w:rPr>
                <w:rFonts w:hint="eastAsia" w:ascii="Times New Roman" w:eastAsia="宋体"/>
                <w:color w:val="auto"/>
                <w:lang w:eastAsia="zh-CN"/>
              </w:rPr>
            </w:pPr>
            <w:r>
              <w:rPr>
                <w:rFonts w:cs="宋体"/>
                <w:color w:val="auto"/>
                <w:spacing w:val="6"/>
              </w:rPr>
              <w:t>（</w:t>
            </w:r>
            <w:r>
              <w:rPr>
                <w:color w:val="auto"/>
              </w:rPr>
              <w:fldChar w:fldCharType="begin"/>
            </w:r>
            <w:r>
              <w:rPr>
                <w:color w:val="auto"/>
              </w:rPr>
              <w:instrText xml:space="preserve"> HYPERLINK "http://www.zcygov.cn/" </w:instrText>
            </w:r>
            <w:r>
              <w:rPr>
                <w:color w:val="auto"/>
              </w:rPr>
              <w:fldChar w:fldCharType="separate"/>
            </w:r>
            <w:r>
              <w:rPr>
                <w:rFonts w:cs="宋体"/>
                <w:color w:val="auto"/>
                <w:spacing w:val="6"/>
              </w:rPr>
              <w:t>http://www.ccgp-xinjiang.gov.cn/</w:t>
            </w:r>
            <w:r>
              <w:rPr>
                <w:rFonts w:cs="宋体"/>
                <w:color w:val="auto"/>
                <w:spacing w:val="6"/>
              </w:rPr>
              <w:fldChar w:fldCharType="end"/>
            </w:r>
            <w:r>
              <w:rPr>
                <w:rFonts w:cs="宋体"/>
                <w:color w:val="auto"/>
                <w:spacing w:val="6"/>
              </w:rPr>
              <w:t>）投标文件上传模块中使用</w:t>
            </w:r>
            <w:r>
              <w:rPr>
                <w:rFonts w:cs="宋体"/>
                <w:color w:val="auto"/>
                <w:spacing w:val="-111"/>
              </w:rPr>
              <w:t xml:space="preserve"> </w:t>
            </w:r>
            <w:r>
              <w:rPr>
                <w:rFonts w:cs="宋体"/>
                <w:color w:val="auto"/>
              </w:rPr>
              <w:t>“模拟解密”功能，验证本机远程自助解密环境</w:t>
            </w:r>
            <w:r>
              <w:rPr>
                <w:rFonts w:hint="eastAsia" w:cs="宋体"/>
                <w:color w:val="auto"/>
                <w:lang w:eastAsia="zh-CN"/>
              </w:rPr>
              <w:t>。</w:t>
            </w:r>
          </w:p>
        </w:tc>
      </w:tr>
      <w:tr>
        <w:tblPrEx>
          <w:tblCellMar>
            <w:top w:w="0" w:type="dxa"/>
            <w:left w:w="0" w:type="dxa"/>
            <w:bottom w:w="0" w:type="dxa"/>
            <w:right w:w="0" w:type="dxa"/>
          </w:tblCellMar>
        </w:tblPrEx>
        <w:trPr>
          <w:trHeight w:val="3579" w:hRule="exact"/>
        </w:trPr>
        <w:tc>
          <w:tcPr>
            <w:tcW w:w="73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spacing w:before="6"/>
              <w:rPr>
                <w:rFonts w:hint="default" w:ascii="Times New Roman" w:eastAsia="Times New Roman"/>
                <w:color w:val="auto"/>
                <w:sz w:val="19"/>
                <w:szCs w:val="19"/>
              </w:rPr>
            </w:pPr>
          </w:p>
          <w:p>
            <w:pPr>
              <w:pStyle w:val="21"/>
              <w:kinsoku w:val="0"/>
              <w:overflowPunct w:val="0"/>
              <w:ind w:left="240"/>
              <w:rPr>
                <w:rFonts w:hint="default" w:ascii="Times New Roman" w:eastAsia="Times New Roman"/>
                <w:color w:val="auto"/>
              </w:rPr>
            </w:pPr>
            <w:r>
              <w:rPr>
                <w:rFonts w:cs="宋体"/>
                <w:b/>
                <w:color w:val="auto"/>
              </w:rPr>
              <w:t>15</w:t>
            </w:r>
          </w:p>
        </w:tc>
        <w:tc>
          <w:tcPr>
            <w:tcW w:w="2664"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spacing w:before="6"/>
              <w:rPr>
                <w:rFonts w:hint="default" w:ascii="Times New Roman" w:eastAsia="Times New Roman"/>
                <w:color w:val="auto"/>
                <w:sz w:val="19"/>
                <w:szCs w:val="19"/>
              </w:rPr>
            </w:pPr>
          </w:p>
          <w:p>
            <w:pPr>
              <w:pStyle w:val="21"/>
              <w:kinsoku w:val="0"/>
              <w:overflowPunct w:val="0"/>
              <w:ind w:left="484"/>
              <w:rPr>
                <w:rFonts w:hint="default" w:ascii="Times New Roman" w:eastAsia="Times New Roman"/>
                <w:color w:val="auto"/>
              </w:rPr>
            </w:pPr>
            <w:r>
              <w:rPr>
                <w:rFonts w:cs="宋体"/>
                <w:b/>
                <w:color w:val="auto"/>
              </w:rPr>
              <w:t>开标时间及地点</w:t>
            </w: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line="318" w:lineRule="exact"/>
              <w:ind w:left="100" w:firstLine="2"/>
              <w:rPr>
                <w:rFonts w:hint="default" w:hAnsi="Segoe UI Symbol" w:cs="宋体"/>
                <w:color w:val="auto"/>
              </w:rPr>
            </w:pPr>
            <w:r>
              <w:rPr>
                <w:rFonts w:hint="default" w:ascii="Segoe UI Symbol" w:hAnsi="Segoe UI Symbol" w:cs="Segoe UI Symbol"/>
                <w:color w:val="auto"/>
              </w:rPr>
              <w:t>☑</w:t>
            </w:r>
            <w:r>
              <w:rPr>
                <w:rFonts w:hint="default" w:ascii="Segoe UI Symbol" w:hAnsi="Segoe UI Symbol" w:cs="Segoe UI Symbol"/>
                <w:color w:val="auto"/>
                <w:spacing w:val="-35"/>
              </w:rPr>
              <w:t xml:space="preserve"> </w:t>
            </w:r>
            <w:r>
              <w:rPr>
                <w:rFonts w:hAnsi="Segoe UI Symbol" w:cs="宋体"/>
                <w:b/>
                <w:color w:val="auto"/>
              </w:rPr>
              <w:t>采用不见面开标：</w:t>
            </w:r>
          </w:p>
          <w:p>
            <w:pPr>
              <w:pStyle w:val="21"/>
              <w:kinsoku w:val="0"/>
              <w:overflowPunct w:val="0"/>
              <w:spacing w:before="43" w:line="357" w:lineRule="auto"/>
              <w:ind w:left="102" w:right="100" w:hanging="3"/>
              <w:rPr>
                <w:rFonts w:cs="宋体"/>
                <w:color w:val="auto"/>
              </w:rPr>
            </w:pPr>
            <w:r>
              <w:rPr>
                <w:rFonts w:cs="宋体"/>
                <w:color w:val="auto"/>
              </w:rPr>
              <w:t>开标时间：同投标截止时间</w:t>
            </w:r>
          </w:p>
          <w:p>
            <w:pPr>
              <w:pStyle w:val="21"/>
              <w:kinsoku w:val="0"/>
              <w:overflowPunct w:val="0"/>
              <w:spacing w:before="43" w:line="357" w:lineRule="auto"/>
              <w:ind w:left="102" w:right="100" w:hanging="3"/>
              <w:rPr>
                <w:rFonts w:cs="宋体"/>
                <w:color w:val="auto"/>
              </w:rPr>
            </w:pPr>
            <w:r>
              <w:rPr>
                <w:rFonts w:cs="宋体"/>
                <w:color w:val="auto"/>
              </w:rPr>
              <w:t>开标地点：远程不见面开标大厅</w:t>
            </w:r>
          </w:p>
          <w:p>
            <w:pPr>
              <w:pStyle w:val="21"/>
              <w:kinsoku w:val="0"/>
              <w:overflowPunct w:val="0"/>
              <w:spacing w:before="43" w:line="357" w:lineRule="auto"/>
              <w:ind w:left="102" w:right="100" w:hanging="3"/>
              <w:rPr>
                <w:rFonts w:cs="宋体"/>
                <w:color w:val="auto"/>
                <w:u w:val="single"/>
              </w:rPr>
            </w:pPr>
            <w:r>
              <w:rPr>
                <w:rFonts w:cs="宋体"/>
                <w:color w:val="auto"/>
              </w:rPr>
              <w:t>不见面开标默认解密时长：</w:t>
            </w:r>
            <w:r>
              <w:rPr>
                <w:rFonts w:hint="eastAsia" w:cs="宋体"/>
                <w:color w:val="auto"/>
                <w:u w:val="single"/>
                <w:lang w:val="en-US" w:eastAsia="zh-CN"/>
              </w:rPr>
              <w:t>3</w:t>
            </w:r>
            <w:r>
              <w:rPr>
                <w:rFonts w:cs="宋体"/>
                <w:color w:val="auto"/>
                <w:u w:val="single"/>
              </w:rPr>
              <w:t>0</w:t>
            </w:r>
            <w:r>
              <w:rPr>
                <w:rFonts w:cs="宋体"/>
                <w:color w:val="auto"/>
                <w:spacing w:val="-61"/>
                <w:u w:val="single"/>
              </w:rPr>
              <w:t xml:space="preserve"> </w:t>
            </w:r>
            <w:r>
              <w:rPr>
                <w:rFonts w:cs="宋体"/>
                <w:color w:val="auto"/>
                <w:u w:val="single"/>
              </w:rPr>
              <w:t>分钟</w:t>
            </w:r>
          </w:p>
          <w:p>
            <w:pPr>
              <w:pStyle w:val="21"/>
              <w:kinsoku w:val="0"/>
              <w:overflowPunct w:val="0"/>
              <w:spacing w:before="43" w:line="357" w:lineRule="auto"/>
              <w:ind w:left="102" w:right="100" w:hanging="3"/>
              <w:rPr>
                <w:rFonts w:hint="default" w:ascii="Times New Roman" w:eastAsia="Times New Roman"/>
                <w:color w:val="auto"/>
              </w:rPr>
            </w:pPr>
            <w:r>
              <w:rPr>
                <w:rFonts w:cs="宋体"/>
                <w:color w:val="auto"/>
                <w:spacing w:val="-1"/>
              </w:rPr>
              <w:t>关于能否延长解密时间的约定：</w:t>
            </w:r>
            <w:r>
              <w:rPr>
                <w:rFonts w:cs="宋体"/>
                <w:b/>
                <w:color w:val="auto"/>
                <w:spacing w:val="-1"/>
              </w:rPr>
              <w:t>不进行延长，除因交易平</w:t>
            </w:r>
            <w:r>
              <w:rPr>
                <w:rFonts w:cs="宋体"/>
                <w:b/>
                <w:color w:val="auto"/>
                <w:spacing w:val="-1"/>
                <w:w w:val="95"/>
              </w:rPr>
              <w:t>台发生故障导致投标（响应）文件无法按时解密外，投标</w:t>
            </w:r>
            <w:r>
              <w:rPr>
                <w:rFonts w:cs="宋体"/>
                <w:b/>
                <w:color w:val="auto"/>
              </w:rPr>
              <w:t>（响应）文件未按时解密的，视为未按规定提交投标（响应）文件，后果自行承担。</w:t>
            </w:r>
          </w:p>
        </w:tc>
      </w:tr>
      <w:tr>
        <w:tblPrEx>
          <w:tblCellMar>
            <w:top w:w="0" w:type="dxa"/>
            <w:left w:w="0" w:type="dxa"/>
            <w:bottom w:w="0" w:type="dxa"/>
            <w:right w:w="0" w:type="dxa"/>
          </w:tblCellMar>
        </w:tblPrEx>
        <w:trPr>
          <w:trHeight w:val="951" w:hRule="exact"/>
        </w:trPr>
        <w:tc>
          <w:tcPr>
            <w:tcW w:w="73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ascii="Times New Roman" w:eastAsia="Times New Roman"/>
                <w:color w:val="auto"/>
              </w:rPr>
            </w:pPr>
          </w:p>
          <w:p>
            <w:pPr>
              <w:pStyle w:val="21"/>
              <w:kinsoku w:val="0"/>
              <w:overflowPunct w:val="0"/>
              <w:ind w:left="240"/>
              <w:rPr>
                <w:rFonts w:hint="default" w:ascii="Times New Roman" w:eastAsia="Times New Roman"/>
                <w:color w:val="auto"/>
              </w:rPr>
            </w:pPr>
            <w:r>
              <w:rPr>
                <w:rFonts w:cs="宋体"/>
                <w:b/>
                <w:color w:val="auto"/>
              </w:rPr>
              <w:t>16</w:t>
            </w:r>
          </w:p>
        </w:tc>
        <w:tc>
          <w:tcPr>
            <w:tcW w:w="2664"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ascii="Times New Roman" w:eastAsia="Times New Roman"/>
                <w:color w:val="auto"/>
              </w:rPr>
            </w:pPr>
          </w:p>
          <w:p>
            <w:pPr>
              <w:pStyle w:val="21"/>
              <w:kinsoku w:val="0"/>
              <w:overflowPunct w:val="0"/>
              <w:ind w:left="364"/>
              <w:rPr>
                <w:rFonts w:hint="default" w:ascii="Times New Roman" w:eastAsia="Times New Roman"/>
                <w:color w:val="auto"/>
              </w:rPr>
            </w:pPr>
            <w:r>
              <w:rPr>
                <w:rFonts w:cs="宋体"/>
                <w:b/>
                <w:color w:val="auto"/>
              </w:rPr>
              <w:t>评标委员会的组成</w:t>
            </w: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tabs>
                <w:tab w:val="left" w:pos="4800"/>
              </w:tabs>
              <w:kinsoku w:val="0"/>
              <w:overflowPunct w:val="0"/>
              <w:spacing w:before="40" w:line="357" w:lineRule="auto"/>
              <w:ind w:left="102" w:right="-47" w:rightChars="0"/>
              <w:rPr>
                <w:rFonts w:ascii="宋体" w:eastAsia="宋体" w:cs="宋体"/>
                <w:color w:val="auto"/>
              </w:rPr>
            </w:pPr>
            <w:r>
              <w:rPr>
                <w:rFonts w:ascii="宋体" w:eastAsia="宋体" w:cs="宋体"/>
                <w:color w:val="auto"/>
              </w:rPr>
              <w:t>评标委员会构成：5 人，其中招标人代表 1 人</w:t>
            </w:r>
          </w:p>
          <w:p>
            <w:pPr>
              <w:pStyle w:val="21"/>
              <w:tabs>
                <w:tab w:val="left" w:pos="4800"/>
              </w:tabs>
              <w:kinsoku w:val="0"/>
              <w:overflowPunct w:val="0"/>
              <w:spacing w:before="40" w:line="357" w:lineRule="auto"/>
              <w:ind w:left="102" w:right="-47" w:rightChars="0"/>
              <w:rPr>
                <w:rFonts w:hint="default" w:ascii="Times New Roman" w:eastAsia="Times New Roman"/>
                <w:color w:val="auto"/>
              </w:rPr>
            </w:pPr>
            <w:r>
              <w:rPr>
                <w:rFonts w:ascii="宋体" w:eastAsia="宋体" w:cs="宋体"/>
                <w:color w:val="auto"/>
              </w:rPr>
              <w:t>评委确定方式：开标前于政采云专家库中抽取</w:t>
            </w:r>
          </w:p>
        </w:tc>
      </w:tr>
      <w:tr>
        <w:tblPrEx>
          <w:tblCellMar>
            <w:top w:w="0" w:type="dxa"/>
            <w:left w:w="0" w:type="dxa"/>
            <w:bottom w:w="0" w:type="dxa"/>
            <w:right w:w="0" w:type="dxa"/>
          </w:tblCellMar>
        </w:tblPrEx>
        <w:trPr>
          <w:trHeight w:val="478" w:hRule="exact"/>
        </w:trPr>
        <w:tc>
          <w:tcPr>
            <w:tcW w:w="735"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spacing w:before="201"/>
              <w:ind w:left="240"/>
              <w:rPr>
                <w:rFonts w:hint="default" w:ascii="Times New Roman" w:eastAsia="Times New Roman"/>
                <w:color w:val="auto"/>
              </w:rPr>
            </w:pPr>
            <w:r>
              <w:rPr>
                <w:rFonts w:cs="宋体"/>
                <w:b/>
                <w:color w:val="auto"/>
              </w:rPr>
              <w:t>17</w:t>
            </w:r>
          </w:p>
        </w:tc>
        <w:tc>
          <w:tcPr>
            <w:tcW w:w="2664"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spacing w:before="201"/>
              <w:ind w:left="724"/>
              <w:rPr>
                <w:rFonts w:hint="default" w:ascii="Times New Roman" w:eastAsia="Times New Roman"/>
                <w:color w:val="auto"/>
              </w:rPr>
            </w:pPr>
            <w:r>
              <w:rPr>
                <w:rFonts w:cs="宋体"/>
                <w:b/>
                <w:color w:val="auto"/>
              </w:rPr>
              <w:t>投标保证金</w:t>
            </w: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02"/>
              <w:rPr>
                <w:rFonts w:hint="default" w:ascii="Times New Roman" w:eastAsia="宋体"/>
                <w:color w:val="auto"/>
                <w:lang w:val="en-US" w:eastAsia="zh-CN"/>
              </w:rPr>
            </w:pPr>
            <w:r>
              <w:rPr>
                <w:rFonts w:cs="宋体"/>
                <w:color w:val="auto"/>
              </w:rPr>
              <w:t>缴纳方式：电汇、网银转账</w:t>
            </w:r>
            <w:r>
              <w:rPr>
                <w:rFonts w:hint="eastAsia" w:cs="宋体"/>
                <w:color w:val="auto"/>
                <w:lang w:val="en-US" w:eastAsia="zh-CN"/>
              </w:rPr>
              <w:t>或保函</w:t>
            </w:r>
          </w:p>
        </w:tc>
      </w:tr>
      <w:tr>
        <w:tblPrEx>
          <w:tblCellMar>
            <w:top w:w="0" w:type="dxa"/>
            <w:left w:w="0" w:type="dxa"/>
            <w:bottom w:w="0" w:type="dxa"/>
            <w:right w:w="0" w:type="dxa"/>
          </w:tblCellMar>
        </w:tblPrEx>
        <w:trPr>
          <w:trHeight w:val="946"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p>
        </w:tc>
        <w:tc>
          <w:tcPr>
            <w:tcW w:w="2664"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02"/>
              <w:rPr>
                <w:rFonts w:hint="default" w:cs="宋体"/>
                <w:color w:val="auto"/>
              </w:rPr>
            </w:pPr>
            <w:r>
              <w:rPr>
                <w:rFonts w:cs="宋体"/>
                <w:color w:val="auto"/>
              </w:rPr>
              <w:t>金额（小写）：</w:t>
            </w:r>
            <w:r>
              <w:rPr>
                <w:rFonts w:hint="eastAsia" w:cs="宋体"/>
                <w:color w:val="auto"/>
                <w:u w:val="single"/>
                <w:lang w:val="en-US" w:eastAsia="zh-CN"/>
              </w:rPr>
              <w:t>25</w:t>
            </w:r>
            <w:r>
              <w:rPr>
                <w:rFonts w:cs="宋体"/>
                <w:color w:val="auto"/>
                <w:u w:val="single"/>
              </w:rPr>
              <w:t>000.00元</w:t>
            </w:r>
          </w:p>
          <w:p>
            <w:pPr>
              <w:pStyle w:val="21"/>
              <w:kinsoku w:val="0"/>
              <w:overflowPunct w:val="0"/>
              <w:spacing w:before="154"/>
              <w:ind w:left="102"/>
              <w:rPr>
                <w:rFonts w:hint="default" w:ascii="Times New Roman" w:eastAsia="Times New Roman"/>
                <w:color w:val="auto"/>
              </w:rPr>
            </w:pPr>
            <w:r>
              <w:rPr>
                <w:rFonts w:cs="宋体"/>
                <w:color w:val="auto"/>
              </w:rPr>
              <w:t>金额（大写）：</w:t>
            </w:r>
            <w:r>
              <w:rPr>
                <w:rFonts w:hint="eastAsia" w:cs="宋体"/>
                <w:color w:val="auto"/>
                <w:u w:val="single"/>
                <w:lang w:val="en-US" w:eastAsia="zh-CN"/>
              </w:rPr>
              <w:t>贰万伍仟</w:t>
            </w:r>
            <w:r>
              <w:rPr>
                <w:rFonts w:cs="宋体"/>
                <w:color w:val="auto"/>
                <w:u w:val="single"/>
              </w:rPr>
              <w:t>元整</w:t>
            </w:r>
          </w:p>
        </w:tc>
      </w:tr>
      <w:tr>
        <w:tblPrEx>
          <w:tblCellMar>
            <w:top w:w="0" w:type="dxa"/>
            <w:left w:w="0" w:type="dxa"/>
            <w:bottom w:w="0" w:type="dxa"/>
            <w:right w:w="0" w:type="dxa"/>
          </w:tblCellMar>
        </w:tblPrEx>
        <w:trPr>
          <w:trHeight w:val="476"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154"/>
              <w:ind w:left="102"/>
              <w:rPr>
                <w:rFonts w:hint="default" w:ascii="Times New Roman" w:eastAsia="Times New Roman"/>
                <w:color w:val="auto"/>
              </w:rPr>
            </w:pPr>
          </w:p>
        </w:tc>
        <w:tc>
          <w:tcPr>
            <w:tcW w:w="2664"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154"/>
              <w:ind w:left="102"/>
              <w:rPr>
                <w:rFonts w:hint="default" w:ascii="Times New Roman" w:eastAsia="Times New Roman"/>
                <w:color w:val="auto"/>
              </w:rPr>
            </w:pP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2"/>
              <w:ind w:left="102"/>
              <w:rPr>
                <w:rFonts w:hint="default" w:ascii="Times New Roman" w:eastAsia="Times New Roman"/>
                <w:color w:val="auto"/>
              </w:rPr>
            </w:pPr>
            <w:r>
              <w:rPr>
                <w:rFonts w:cs="宋体"/>
                <w:color w:val="auto"/>
              </w:rPr>
              <w:t>单位名称：伊犁双信招投标代理有限责任公司</w:t>
            </w:r>
          </w:p>
        </w:tc>
      </w:tr>
    </w:tbl>
    <w:p>
      <w:pPr>
        <w:rPr>
          <w:rFonts w:hint="default" w:ascii="Times New Roman" w:eastAsia="Times New Roman"/>
          <w:color w:val="auto"/>
        </w:rPr>
        <w:sectPr>
          <w:pgSz w:w="11910" w:h="16840"/>
          <w:pgMar w:top="1340" w:right="1040" w:bottom="1580" w:left="1040" w:header="0" w:footer="1395" w:gutter="0"/>
          <w:cols w:space="720" w:num="1"/>
        </w:sectPr>
      </w:pPr>
    </w:p>
    <w:p>
      <w:pPr>
        <w:pStyle w:val="8"/>
        <w:kinsoku w:val="0"/>
        <w:overflowPunct w:val="0"/>
        <w:spacing w:before="2"/>
        <w:ind w:left="0"/>
        <w:rPr>
          <w:rFonts w:hint="default" w:ascii="Times New Roman" w:eastAsia="Times New Roman" w:cs="Times New Roman"/>
          <w:color w:val="auto"/>
          <w:sz w:val="7"/>
          <w:szCs w:val="7"/>
        </w:rPr>
      </w:pPr>
    </w:p>
    <w:tbl>
      <w:tblPr>
        <w:tblStyle w:val="17"/>
        <w:tblW w:w="0" w:type="auto"/>
        <w:tblInd w:w="107" w:type="dxa"/>
        <w:tblLayout w:type="fixed"/>
        <w:tblCellMar>
          <w:top w:w="0" w:type="dxa"/>
          <w:left w:w="0" w:type="dxa"/>
          <w:bottom w:w="0" w:type="dxa"/>
          <w:right w:w="0" w:type="dxa"/>
        </w:tblCellMar>
      </w:tblPr>
      <w:tblGrid>
        <w:gridCol w:w="735"/>
        <w:gridCol w:w="2664"/>
        <w:gridCol w:w="6203"/>
      </w:tblGrid>
      <w:tr>
        <w:tblPrEx>
          <w:tblCellMar>
            <w:top w:w="0" w:type="dxa"/>
            <w:left w:w="0" w:type="dxa"/>
            <w:bottom w:w="0" w:type="dxa"/>
            <w:right w:w="0" w:type="dxa"/>
          </w:tblCellMar>
        </w:tblPrEx>
        <w:trPr>
          <w:trHeight w:val="1346" w:hRule="exact"/>
        </w:trPr>
        <w:tc>
          <w:tcPr>
            <w:tcW w:w="735" w:type="dxa"/>
            <w:vMerge w:val="restart"/>
            <w:tcBorders>
              <w:top w:val="single" w:color="000000" w:sz="4" w:space="0"/>
              <w:left w:val="single" w:color="000000" w:sz="4" w:space="0"/>
              <w:bottom w:val="single" w:color="000000" w:sz="4" w:space="0"/>
              <w:right w:val="single" w:color="000000" w:sz="4" w:space="0"/>
              <w:tl2br w:val="nil"/>
              <w:tr2bl w:val="nil"/>
            </w:tcBorders>
            <w:vAlign w:val="top"/>
          </w:tcPr>
          <w:p>
            <w:pPr>
              <w:rPr>
                <w:rFonts w:hint="default" w:ascii="Times New Roman" w:eastAsia="Times New Roman"/>
                <w:color w:val="auto"/>
              </w:rPr>
            </w:pPr>
          </w:p>
        </w:tc>
        <w:tc>
          <w:tcPr>
            <w:tcW w:w="2664" w:type="dxa"/>
            <w:vMerge w:val="restart"/>
            <w:tcBorders>
              <w:top w:val="single" w:color="000000" w:sz="4" w:space="0"/>
              <w:left w:val="single" w:color="000000" w:sz="4" w:space="0"/>
              <w:bottom w:val="single" w:color="000000" w:sz="4" w:space="0"/>
              <w:right w:val="single" w:color="000000" w:sz="4" w:space="0"/>
              <w:tl2br w:val="nil"/>
              <w:tr2bl w:val="nil"/>
            </w:tcBorders>
            <w:vAlign w:val="top"/>
          </w:tcPr>
          <w:p>
            <w:pPr>
              <w:rPr>
                <w:rFonts w:hint="default" w:ascii="Times New Roman" w:eastAsia="Times New Roman"/>
                <w:color w:val="auto"/>
              </w:rPr>
            </w:pPr>
          </w:p>
        </w:tc>
        <w:tc>
          <w:tcPr>
            <w:tcW w:w="6203" w:type="dxa"/>
            <w:tcBorders>
              <w:top w:val="single" w:color="000000" w:sz="4" w:space="0"/>
              <w:left w:val="single" w:color="000000" w:sz="4" w:space="0"/>
              <w:bottom w:val="single" w:color="000000" w:sz="4" w:space="0"/>
              <w:right w:val="single" w:color="000000" w:sz="4" w:space="0"/>
              <w:tl2br w:val="nil"/>
              <w:tr2bl w:val="nil"/>
            </w:tcBorders>
            <w:vAlign w:val="top"/>
          </w:tcPr>
          <w:p>
            <w:pPr>
              <w:autoSpaceDE/>
              <w:autoSpaceDN/>
              <w:adjustRightInd/>
              <w:spacing w:line="300" w:lineRule="exact"/>
              <w:jc w:val="both"/>
              <w:rPr>
                <w:rFonts w:hint="default" w:cs="宋体"/>
                <w:color w:val="auto"/>
              </w:rPr>
            </w:pPr>
            <w:r>
              <w:rPr>
                <w:rFonts w:cs="宋体"/>
                <w:color w:val="auto"/>
              </w:rPr>
              <w:t>开户银行：伊犁农业银行军垦路兵团支行</w:t>
            </w:r>
          </w:p>
          <w:p>
            <w:pPr>
              <w:autoSpaceDE/>
              <w:autoSpaceDN/>
              <w:adjustRightInd/>
              <w:spacing w:line="300" w:lineRule="exact"/>
              <w:jc w:val="both"/>
              <w:rPr>
                <w:rFonts w:hint="default" w:cs="宋体"/>
                <w:color w:val="auto"/>
              </w:rPr>
            </w:pPr>
            <w:r>
              <w:rPr>
                <w:rFonts w:cs="宋体"/>
                <w:color w:val="auto"/>
              </w:rPr>
              <w:t>银行账号：30735301040003273</w:t>
            </w:r>
          </w:p>
          <w:p>
            <w:pPr>
              <w:autoSpaceDE/>
              <w:autoSpaceDN/>
              <w:adjustRightInd/>
              <w:spacing w:line="300" w:lineRule="exact"/>
              <w:jc w:val="both"/>
              <w:rPr>
                <w:rFonts w:hint="default" w:cs="宋体"/>
                <w:color w:val="auto"/>
              </w:rPr>
            </w:pPr>
            <w:r>
              <w:rPr>
                <w:rFonts w:cs="宋体"/>
                <w:color w:val="auto"/>
              </w:rPr>
              <w:t>行    号：103898073530</w:t>
            </w:r>
          </w:p>
          <w:p>
            <w:pPr>
              <w:pStyle w:val="21"/>
              <w:kinsoku w:val="0"/>
              <w:overflowPunct w:val="0"/>
              <w:spacing w:before="36"/>
              <w:ind w:left="102"/>
              <w:rPr>
                <w:rFonts w:hint="default" w:ascii="Times New Roman" w:eastAsia="Times New Roman"/>
                <w:color w:val="auto"/>
              </w:rPr>
            </w:pPr>
            <w:r>
              <w:rPr>
                <w:rFonts w:cs="宋体"/>
                <w:b/>
                <w:color w:val="auto"/>
              </w:rPr>
              <w:t>打款备注：项目名称、</w:t>
            </w:r>
            <w:r>
              <w:rPr>
                <w:rFonts w:hint="eastAsia" w:cs="宋体"/>
                <w:b/>
                <w:color w:val="auto"/>
                <w:lang w:val="en-US" w:eastAsia="zh-CN"/>
              </w:rPr>
              <w:t>编</w:t>
            </w:r>
            <w:r>
              <w:rPr>
                <w:rFonts w:cs="宋体"/>
                <w:b/>
                <w:color w:val="auto"/>
              </w:rPr>
              <w:t>号</w:t>
            </w:r>
          </w:p>
        </w:tc>
      </w:tr>
      <w:tr>
        <w:tblPrEx>
          <w:tblCellMar>
            <w:top w:w="0" w:type="dxa"/>
            <w:left w:w="0" w:type="dxa"/>
            <w:bottom w:w="0" w:type="dxa"/>
            <w:right w:w="0" w:type="dxa"/>
          </w:tblCellMar>
        </w:tblPrEx>
        <w:trPr>
          <w:trHeight w:val="6685"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vAlign w:val="top"/>
          </w:tcPr>
          <w:p>
            <w:pPr>
              <w:pStyle w:val="21"/>
              <w:kinsoku w:val="0"/>
              <w:overflowPunct w:val="0"/>
              <w:spacing w:before="36"/>
              <w:ind w:left="102"/>
              <w:rPr>
                <w:rFonts w:hint="default" w:ascii="Times New Roman" w:eastAsia="Times New Roman"/>
                <w:color w:val="auto"/>
              </w:rPr>
            </w:pPr>
          </w:p>
        </w:tc>
        <w:tc>
          <w:tcPr>
            <w:tcW w:w="2664" w:type="dxa"/>
            <w:vMerge w:val="continue"/>
            <w:tcBorders>
              <w:top w:val="single" w:color="000000" w:sz="4" w:space="0"/>
              <w:left w:val="single" w:color="000000" w:sz="4" w:space="0"/>
              <w:bottom w:val="single" w:color="000000" w:sz="4" w:space="0"/>
              <w:right w:val="single" w:color="000000" w:sz="4" w:space="0"/>
              <w:tl2br w:val="nil"/>
              <w:tr2bl w:val="nil"/>
            </w:tcBorders>
            <w:vAlign w:val="top"/>
          </w:tcPr>
          <w:p>
            <w:pPr>
              <w:pStyle w:val="21"/>
              <w:kinsoku w:val="0"/>
              <w:overflowPunct w:val="0"/>
              <w:spacing w:before="36"/>
              <w:ind w:left="102"/>
              <w:rPr>
                <w:rFonts w:hint="default" w:ascii="Times New Roman" w:eastAsia="Times New Roman"/>
                <w:color w:val="auto"/>
              </w:rPr>
            </w:pPr>
          </w:p>
        </w:tc>
        <w:tc>
          <w:tcPr>
            <w:tcW w:w="6203" w:type="dxa"/>
            <w:tcBorders>
              <w:top w:val="single" w:color="000000" w:sz="4" w:space="0"/>
              <w:left w:val="single" w:color="000000" w:sz="4" w:space="0"/>
              <w:bottom w:val="single" w:color="000000" w:sz="4" w:space="0"/>
              <w:right w:val="single" w:color="000000" w:sz="4" w:space="0"/>
              <w:tl2br w:val="nil"/>
              <w:tr2bl w:val="nil"/>
            </w:tcBorders>
            <w:vAlign w:val="top"/>
          </w:tcPr>
          <w:p>
            <w:pPr>
              <w:pStyle w:val="21"/>
              <w:kinsoku w:val="0"/>
              <w:overflowPunct w:val="0"/>
              <w:spacing w:before="42" w:line="240" w:lineRule="auto"/>
              <w:ind w:left="102" w:right="2728"/>
              <w:rPr>
                <w:rFonts w:hint="default" w:cs="宋体"/>
                <w:color w:val="auto"/>
              </w:rPr>
            </w:pPr>
            <w:r>
              <w:rPr>
                <w:rFonts w:cs="宋体"/>
                <w:color w:val="auto"/>
              </w:rPr>
              <w:t>到账截止时间：同投标截止时间 注：</w:t>
            </w:r>
          </w:p>
          <w:p>
            <w:pPr>
              <w:pStyle w:val="21"/>
              <w:kinsoku w:val="0"/>
              <w:overflowPunct w:val="0"/>
              <w:spacing w:before="36" w:line="240" w:lineRule="auto"/>
              <w:ind w:left="102" w:right="100"/>
              <w:rPr>
                <w:rFonts w:hint="default" w:cs="宋体"/>
                <w:color w:val="auto"/>
              </w:rPr>
            </w:pPr>
            <w:r>
              <w:rPr>
                <w:rFonts w:cs="宋体"/>
                <w:color w:val="auto"/>
                <w:spacing w:val="3"/>
              </w:rPr>
              <w:t>(1)投标保证金必须以网银、银行柜台等转账的形式由投</w:t>
            </w:r>
            <w:r>
              <w:rPr>
                <w:rFonts w:cs="宋体"/>
                <w:color w:val="auto"/>
                <w:spacing w:val="-109"/>
              </w:rPr>
              <w:t xml:space="preserve"> </w:t>
            </w:r>
            <w:r>
              <w:rPr>
                <w:rFonts w:cs="宋体"/>
                <w:color w:val="auto"/>
              </w:rPr>
              <w:t>标人的企业账户汇出(个体工商户除外)</w:t>
            </w:r>
          </w:p>
          <w:p>
            <w:pPr>
              <w:pStyle w:val="21"/>
              <w:kinsoku w:val="0"/>
              <w:overflowPunct w:val="0"/>
              <w:spacing w:before="36" w:line="240" w:lineRule="auto"/>
              <w:ind w:left="102" w:right="100"/>
              <w:rPr>
                <w:rFonts w:hint="default" w:cs="宋体"/>
                <w:color w:val="auto"/>
              </w:rPr>
            </w:pPr>
            <w:r>
              <w:rPr>
                <w:rFonts w:cs="宋体"/>
                <w:color w:val="auto"/>
              </w:rPr>
              <w:t xml:space="preserve"> </w:t>
            </w:r>
            <w:r>
              <w:rPr>
                <w:rFonts w:cs="宋体"/>
                <w:color w:val="auto"/>
                <w:spacing w:val="3"/>
              </w:rPr>
              <w:t>(2)投标保证金必须在投标截止时间（开标时间）前缴纳</w:t>
            </w:r>
            <w:r>
              <w:rPr>
                <w:rFonts w:cs="宋体"/>
                <w:color w:val="auto"/>
                <w:spacing w:val="-109"/>
              </w:rPr>
              <w:t xml:space="preserve"> </w:t>
            </w:r>
            <w:r>
              <w:rPr>
                <w:rFonts w:cs="宋体"/>
                <w:color w:val="auto"/>
                <w:spacing w:val="-1"/>
              </w:rPr>
              <w:t>至招标公司账户，</w:t>
            </w:r>
            <w:r>
              <w:rPr>
                <w:rFonts w:hint="eastAsia" w:cs="宋体"/>
                <w:color w:val="auto"/>
                <w:spacing w:val="-1"/>
                <w:lang w:eastAsia="zh-CN"/>
              </w:rPr>
              <w:t>供应商</w:t>
            </w:r>
            <w:r>
              <w:rPr>
                <w:rFonts w:cs="宋体"/>
                <w:color w:val="auto"/>
                <w:spacing w:val="-1"/>
              </w:rPr>
              <w:t>需自行评估因异地、跨行、公休</w:t>
            </w:r>
            <w:r>
              <w:rPr>
                <w:rFonts w:cs="宋体"/>
                <w:color w:val="auto"/>
                <w:spacing w:val="-108"/>
              </w:rPr>
              <w:t xml:space="preserve"> </w:t>
            </w:r>
            <w:r>
              <w:rPr>
                <w:rFonts w:cs="宋体"/>
                <w:color w:val="auto"/>
                <w:spacing w:val="-1"/>
              </w:rPr>
              <w:t>日等因素造成的投标保证金到账延迟风险，并承担相应责</w:t>
            </w:r>
            <w:r>
              <w:rPr>
                <w:rFonts w:cs="宋体"/>
                <w:color w:val="auto"/>
                <w:spacing w:val="-108"/>
              </w:rPr>
              <w:t xml:space="preserve"> </w:t>
            </w:r>
            <w:r>
              <w:rPr>
                <w:rFonts w:cs="宋体"/>
                <w:color w:val="auto"/>
              </w:rPr>
              <w:t>任。故此，</w:t>
            </w:r>
            <w:r>
              <w:rPr>
                <w:rFonts w:hint="eastAsia" w:cs="宋体"/>
                <w:color w:val="auto"/>
                <w:lang w:eastAsia="zh-CN"/>
              </w:rPr>
              <w:t>供应商</w:t>
            </w:r>
            <w:r>
              <w:rPr>
                <w:rFonts w:cs="宋体"/>
                <w:color w:val="auto"/>
              </w:rPr>
              <w:t>可以在投标截止时间前</w:t>
            </w:r>
            <w:r>
              <w:rPr>
                <w:rFonts w:cs="宋体"/>
                <w:color w:val="auto"/>
                <w:spacing w:val="-66"/>
              </w:rPr>
              <w:t xml:space="preserve"> </w:t>
            </w:r>
            <w:r>
              <w:rPr>
                <w:rFonts w:cs="宋体"/>
                <w:color w:val="auto"/>
              </w:rPr>
              <w:t>2-3</w:t>
            </w:r>
            <w:r>
              <w:rPr>
                <w:rFonts w:cs="宋体"/>
                <w:color w:val="auto"/>
                <w:spacing w:val="-67"/>
              </w:rPr>
              <w:t xml:space="preserve"> </w:t>
            </w:r>
            <w:r>
              <w:rPr>
                <w:rFonts w:cs="宋体"/>
                <w:color w:val="auto"/>
              </w:rPr>
              <w:t xml:space="preserve">个工作日完 成保证金缴纳工作。 </w:t>
            </w:r>
          </w:p>
          <w:p>
            <w:pPr>
              <w:pStyle w:val="21"/>
              <w:kinsoku w:val="0"/>
              <w:overflowPunct w:val="0"/>
              <w:spacing w:before="36" w:line="240" w:lineRule="auto"/>
              <w:ind w:left="102" w:right="100"/>
              <w:rPr>
                <w:rFonts w:hint="default" w:cs="宋体"/>
                <w:color w:val="auto"/>
                <w:spacing w:val="3"/>
              </w:rPr>
            </w:pPr>
            <w:r>
              <w:rPr>
                <w:rFonts w:cs="宋体"/>
                <w:color w:val="auto"/>
              </w:rPr>
              <w:t xml:space="preserve">(3)投标保证金的提交以招标公司账户到账时间为准。 </w:t>
            </w:r>
            <w:r>
              <w:rPr>
                <w:rFonts w:cs="宋体"/>
                <w:color w:val="auto"/>
                <w:spacing w:val="3"/>
              </w:rPr>
              <w:t>(4)投标保证金的到款及退还业务，详情请致电代理公司</w:t>
            </w:r>
          </w:p>
          <w:p>
            <w:pPr>
              <w:pStyle w:val="21"/>
              <w:kinsoku w:val="0"/>
              <w:overflowPunct w:val="0"/>
              <w:spacing w:before="36" w:line="240" w:lineRule="auto"/>
              <w:ind w:left="102"/>
              <w:rPr>
                <w:rFonts w:cs="宋体"/>
                <w:color w:val="auto"/>
              </w:rPr>
            </w:pPr>
            <w:r>
              <w:rPr>
                <w:rFonts w:cs="宋体"/>
                <w:color w:val="auto"/>
              </w:rPr>
              <w:t>财务：18999580858（吴玉环）</w:t>
            </w:r>
          </w:p>
          <w:p>
            <w:pPr>
              <w:adjustRightInd w:val="0"/>
              <w:snapToGrid w:val="0"/>
              <w:spacing w:line="240" w:lineRule="auto"/>
              <w:rPr>
                <w:rFonts w:hint="eastAsia"/>
                <w:color w:val="auto"/>
                <w:highlight w:val="none"/>
              </w:rPr>
            </w:pPr>
            <w:r>
              <w:rPr>
                <w:rFonts w:hint="eastAsia"/>
                <w:color w:val="auto"/>
                <w:highlight w:val="none"/>
              </w:rPr>
              <w:t>5、以保函形式应按以下要求办理：</w:t>
            </w:r>
          </w:p>
          <w:p>
            <w:pPr>
              <w:adjustRightInd w:val="0"/>
              <w:snapToGrid w:val="0"/>
              <w:spacing w:line="240" w:lineRule="auto"/>
              <w:rPr>
                <w:rFonts w:hint="eastAsia"/>
                <w:color w:val="auto"/>
                <w:highlight w:val="none"/>
              </w:rPr>
            </w:pPr>
            <w:r>
              <w:rPr>
                <w:rFonts w:hint="eastAsia"/>
                <w:color w:val="auto"/>
                <w:highlight w:val="none"/>
              </w:rPr>
              <w:t>（1）电子保函按照“一项目一保函”的原则。</w:t>
            </w:r>
          </w:p>
          <w:p>
            <w:pPr>
              <w:adjustRightInd w:val="0"/>
              <w:snapToGrid w:val="0"/>
              <w:spacing w:line="240" w:lineRule="auto"/>
              <w:rPr>
                <w:rFonts w:hint="eastAsia"/>
                <w:color w:val="auto"/>
                <w:highlight w:val="none"/>
              </w:rPr>
            </w:pPr>
            <w:r>
              <w:rPr>
                <w:rFonts w:hint="eastAsia"/>
                <w:color w:val="auto"/>
                <w:highlight w:val="none"/>
              </w:rPr>
              <w:t>（2）电子保函须在招标文件规定的投标截止时间前办理完成。</w:t>
            </w:r>
          </w:p>
          <w:p>
            <w:pPr>
              <w:adjustRightInd w:val="0"/>
              <w:snapToGrid w:val="0"/>
              <w:spacing w:line="240" w:lineRule="auto"/>
              <w:rPr>
                <w:rFonts w:hint="eastAsia"/>
                <w:color w:val="auto"/>
                <w:highlight w:val="yellow"/>
              </w:rPr>
            </w:pPr>
            <w:r>
              <w:rPr>
                <w:rFonts w:hint="eastAsia"/>
                <w:color w:val="auto"/>
                <w:highlight w:val="none"/>
              </w:rPr>
              <w:t>（3）提供合法真实有效的电子保函作为本项目缴纳保证金的证明材料；</w:t>
            </w:r>
          </w:p>
          <w:p>
            <w:pPr>
              <w:pStyle w:val="21"/>
              <w:kinsoku w:val="0"/>
              <w:overflowPunct w:val="0"/>
              <w:spacing w:before="36" w:line="240" w:lineRule="auto"/>
              <w:ind w:left="102"/>
              <w:rPr>
                <w:rFonts w:hint="default" w:cs="宋体"/>
                <w:color w:val="auto"/>
              </w:rPr>
            </w:pPr>
            <w:r>
              <w:rPr>
                <w:rFonts w:hint="eastAsia"/>
                <w:color w:val="auto"/>
                <w:highlight w:val="none"/>
              </w:rPr>
              <w:t>（4）已开具的电子保函，服务商不可单方面提出退保、注销等要求。</w:t>
            </w:r>
          </w:p>
        </w:tc>
      </w:tr>
      <w:tr>
        <w:tblPrEx>
          <w:tblCellMar>
            <w:top w:w="0" w:type="dxa"/>
            <w:left w:w="0" w:type="dxa"/>
            <w:bottom w:w="0" w:type="dxa"/>
            <w:right w:w="0" w:type="dxa"/>
          </w:tblCellMar>
        </w:tblPrEx>
        <w:trPr>
          <w:trHeight w:val="3982" w:hRule="exact"/>
        </w:trPr>
        <w:tc>
          <w:tcPr>
            <w:tcW w:w="735" w:type="dxa"/>
            <w:tcBorders>
              <w:top w:val="single" w:color="000000" w:sz="4" w:space="0"/>
              <w:left w:val="single" w:color="000000" w:sz="4" w:space="0"/>
              <w:bottom w:val="single" w:color="000000" w:sz="4" w:space="0"/>
              <w:right w:val="single" w:color="000000" w:sz="4" w:space="0"/>
              <w:tl2br w:val="nil"/>
              <w:tr2bl w:val="nil"/>
            </w:tcBorders>
            <w:vAlign w:val="top"/>
          </w:tcPr>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spacing w:before="9"/>
              <w:rPr>
                <w:rFonts w:hint="default" w:ascii="Times New Roman" w:eastAsia="Times New Roman"/>
                <w:color w:val="auto"/>
                <w:sz w:val="31"/>
                <w:szCs w:val="31"/>
              </w:rPr>
            </w:pPr>
          </w:p>
          <w:p>
            <w:pPr>
              <w:pStyle w:val="21"/>
              <w:kinsoku w:val="0"/>
              <w:overflowPunct w:val="0"/>
              <w:ind w:left="240"/>
              <w:rPr>
                <w:rFonts w:hint="default" w:ascii="Times New Roman" w:eastAsia="Times New Roman"/>
                <w:color w:val="auto"/>
              </w:rPr>
            </w:pPr>
            <w:r>
              <w:rPr>
                <w:rFonts w:cs="宋体"/>
                <w:b/>
                <w:color w:val="auto"/>
              </w:rPr>
              <w:t>18</w:t>
            </w:r>
          </w:p>
        </w:tc>
        <w:tc>
          <w:tcPr>
            <w:tcW w:w="266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1"/>
              <w:kinsoku w:val="0"/>
              <w:overflowPunct w:val="0"/>
              <w:ind w:left="484"/>
              <w:jc w:val="both"/>
              <w:rPr>
                <w:rFonts w:hint="default" w:ascii="Times New Roman" w:eastAsia="Times New Roman"/>
                <w:color w:val="auto"/>
              </w:rPr>
            </w:pPr>
            <w:r>
              <w:rPr>
                <w:rFonts w:cs="宋体"/>
                <w:b/>
                <w:color w:val="auto"/>
              </w:rPr>
              <w:t>节能、环保要求</w:t>
            </w:r>
          </w:p>
        </w:tc>
        <w:tc>
          <w:tcPr>
            <w:tcW w:w="6203" w:type="dxa"/>
            <w:tcBorders>
              <w:top w:val="single" w:color="000000" w:sz="4" w:space="0"/>
              <w:left w:val="single" w:color="000000" w:sz="4" w:space="0"/>
              <w:bottom w:val="single" w:color="000000" w:sz="4" w:space="0"/>
              <w:right w:val="single" w:color="000000" w:sz="4" w:space="0"/>
              <w:tl2br w:val="nil"/>
              <w:tr2bl w:val="nil"/>
            </w:tcBorders>
            <w:vAlign w:val="top"/>
          </w:tcPr>
          <w:p>
            <w:pPr>
              <w:adjustRightInd w:val="0"/>
              <w:snapToGrid w:val="0"/>
              <w:spacing w:line="240" w:lineRule="auto"/>
              <w:rPr>
                <w:rFonts w:hint="default" w:ascii="Times New Roman" w:eastAsia="Times New Roman"/>
                <w:color w:val="auto"/>
              </w:rPr>
            </w:pPr>
            <w:r>
              <w:rPr>
                <w:rFonts w:hint="eastAsia" w:ascii="宋体" w:eastAsia="宋体"/>
                <w:color w:val="auto"/>
                <w:highlight w:val="none"/>
              </w:rPr>
              <w:t>按国家有关节能环保政策执行： 采购产品为节能产品和环境标志产品参照财政部、国家发展改革委、生态环境部、市场监管总局《关于调整优化 节能产品、环境标志产品政府采购执行机制的通知》（财 库[2019]9 号文）；财政部、生态环境部《关于印发环境 标志产品政府采购品目清单的通知》（财库[2019]18 号 文）；财政部、发展改革委《关于印发节能产品政府采购 品目清单的通知》（财库[2019]19 号文）规定的品目范围 内且符合标准（需提供证明材料），在投标报价时必须对 此类产品单独分项报价，计算出小计及占合同包总金额的 百分比，并提供属于品目内产品的证明资料，未单独分项 报价且未提供属于品目内且符合标准产品的证明资料的</w:t>
            </w:r>
            <w:r>
              <w:rPr>
                <w:rFonts w:cs="宋体"/>
                <w:color w:val="auto"/>
              </w:rPr>
              <w:t>不给予加分。</w:t>
            </w:r>
          </w:p>
        </w:tc>
      </w:tr>
    </w:tbl>
    <w:p>
      <w:pPr>
        <w:rPr>
          <w:rFonts w:hint="default" w:ascii="Times New Roman" w:eastAsia="Times New Roman"/>
          <w:color w:val="auto"/>
        </w:rPr>
        <w:sectPr>
          <w:pgSz w:w="11910" w:h="16840"/>
          <w:pgMar w:top="1340" w:right="1040" w:bottom="1580" w:left="1040" w:header="0" w:footer="1395" w:gutter="0"/>
          <w:cols w:space="720" w:num="1"/>
        </w:sectPr>
      </w:pPr>
    </w:p>
    <w:p>
      <w:pPr>
        <w:pStyle w:val="8"/>
        <w:kinsoku w:val="0"/>
        <w:overflowPunct w:val="0"/>
        <w:spacing w:before="2"/>
        <w:ind w:left="0"/>
        <w:rPr>
          <w:rFonts w:hint="default" w:ascii="Times New Roman" w:eastAsia="Times New Roman" w:cs="Times New Roman"/>
          <w:color w:val="auto"/>
          <w:sz w:val="7"/>
          <w:szCs w:val="7"/>
        </w:rPr>
      </w:pPr>
    </w:p>
    <w:tbl>
      <w:tblPr>
        <w:tblStyle w:val="17"/>
        <w:tblW w:w="0" w:type="auto"/>
        <w:tblInd w:w="107" w:type="dxa"/>
        <w:tblLayout w:type="fixed"/>
        <w:tblCellMar>
          <w:top w:w="0" w:type="dxa"/>
          <w:left w:w="0" w:type="dxa"/>
          <w:bottom w:w="0" w:type="dxa"/>
          <w:right w:w="0" w:type="dxa"/>
        </w:tblCellMar>
      </w:tblPr>
      <w:tblGrid>
        <w:gridCol w:w="735"/>
        <w:gridCol w:w="2664"/>
        <w:gridCol w:w="6203"/>
      </w:tblGrid>
      <w:tr>
        <w:tblPrEx>
          <w:tblCellMar>
            <w:top w:w="0" w:type="dxa"/>
            <w:left w:w="0" w:type="dxa"/>
            <w:bottom w:w="0" w:type="dxa"/>
            <w:right w:w="0" w:type="dxa"/>
          </w:tblCellMar>
        </w:tblPrEx>
        <w:trPr>
          <w:trHeight w:val="10109" w:hRule="exact"/>
        </w:trPr>
        <w:tc>
          <w:tcPr>
            <w:tcW w:w="735"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spacing w:before="10"/>
              <w:rPr>
                <w:rFonts w:hint="default" w:ascii="Times New Roman" w:eastAsia="Times New Roman"/>
                <w:color w:val="auto"/>
                <w:sz w:val="35"/>
                <w:szCs w:val="35"/>
              </w:rPr>
            </w:pPr>
          </w:p>
          <w:p>
            <w:pPr>
              <w:pStyle w:val="21"/>
              <w:kinsoku w:val="0"/>
              <w:overflowPunct w:val="0"/>
              <w:ind w:left="240"/>
              <w:rPr>
                <w:rFonts w:hint="default" w:ascii="Times New Roman" w:eastAsia="Times New Roman"/>
                <w:color w:val="auto"/>
              </w:rPr>
            </w:pPr>
            <w:r>
              <w:rPr>
                <w:rFonts w:cs="宋体"/>
                <w:b/>
                <w:color w:val="auto"/>
              </w:rPr>
              <w:t>19</w:t>
            </w:r>
          </w:p>
        </w:tc>
        <w:tc>
          <w:tcPr>
            <w:tcW w:w="2664"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spacing w:before="179" w:line="357" w:lineRule="auto"/>
              <w:ind w:left="844" w:right="603" w:hanging="240"/>
              <w:rPr>
                <w:rFonts w:hint="default" w:ascii="Times New Roman" w:eastAsia="Times New Roman"/>
                <w:color w:val="auto"/>
              </w:rPr>
            </w:pPr>
            <w:r>
              <w:rPr>
                <w:rFonts w:cs="宋体"/>
                <w:b/>
                <w:color w:val="auto"/>
              </w:rPr>
              <w:t>中小微型企业</w:t>
            </w:r>
            <w:r>
              <w:rPr>
                <w:rFonts w:cs="宋体"/>
                <w:b/>
                <w:color w:val="auto"/>
                <w:w w:val="99"/>
              </w:rPr>
              <w:t xml:space="preserve"> </w:t>
            </w:r>
            <w:r>
              <w:rPr>
                <w:rFonts w:cs="宋体"/>
                <w:b/>
                <w:color w:val="auto"/>
              </w:rPr>
              <w:t>有关政策</w:t>
            </w: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line="240" w:lineRule="auto"/>
              <w:ind w:left="102"/>
              <w:rPr>
                <w:rFonts w:hint="eastAsia" w:cs="宋体"/>
                <w:color w:val="auto"/>
                <w:spacing w:val="-9"/>
              </w:rPr>
            </w:pPr>
            <w:r>
              <w:rPr>
                <w:rFonts w:cs="宋体"/>
                <w:color w:val="auto"/>
                <w:spacing w:val="-9"/>
              </w:rPr>
              <w:t>(1)</w:t>
            </w:r>
            <w:r>
              <w:rPr>
                <w:rFonts w:hint="eastAsia" w:cs="宋体"/>
                <w:color w:val="auto"/>
                <w:spacing w:val="-9"/>
              </w:rPr>
              <w:t>根据财政部、工业和信息化部制定的《关于印发《政府采购促进中小企业发展管理办法》的通知》（财库〔2020〕46号）、《关于落实好政府采购支持中小企业发展的通知》（新财购 〔2022〕22号）规定执行；</w:t>
            </w:r>
          </w:p>
          <w:p>
            <w:pPr>
              <w:pStyle w:val="21"/>
              <w:kinsoku w:val="0"/>
              <w:overflowPunct w:val="0"/>
              <w:spacing w:before="40" w:line="240" w:lineRule="auto"/>
              <w:ind w:left="102"/>
              <w:rPr>
                <w:rFonts w:hint="default" w:ascii="Times New Roman" w:eastAsia="Times New Roman"/>
                <w:color w:val="auto"/>
              </w:rPr>
            </w:pPr>
            <w:r>
              <w:rPr>
                <w:rFonts w:cs="宋体"/>
                <w:color w:val="auto"/>
                <w:spacing w:val="3"/>
              </w:rPr>
              <w:t>(2)根据工信部等部委发布的《关于印发中小企业划型标</w:t>
            </w:r>
          </w:p>
          <w:p>
            <w:pPr>
              <w:pStyle w:val="21"/>
              <w:kinsoku w:val="0"/>
              <w:overflowPunct w:val="0"/>
              <w:spacing w:before="40" w:line="240" w:lineRule="auto"/>
              <w:ind w:left="102" w:right="-18"/>
              <w:rPr>
                <w:rFonts w:hint="default" w:ascii="Times New Roman" w:eastAsia="Times New Roman"/>
                <w:color w:val="auto"/>
              </w:rPr>
            </w:pPr>
            <w:r>
              <w:rPr>
                <w:rFonts w:cs="宋体"/>
                <w:color w:val="auto"/>
                <w:spacing w:val="-3"/>
              </w:rPr>
              <w:t>准规定的通知》（工信部联企业[2011]300</w:t>
            </w:r>
            <w:r>
              <w:rPr>
                <w:rFonts w:cs="宋体"/>
                <w:color w:val="auto"/>
                <w:spacing w:val="-36"/>
              </w:rPr>
              <w:t xml:space="preserve"> </w:t>
            </w:r>
            <w:r>
              <w:rPr>
                <w:rFonts w:cs="宋体"/>
                <w:color w:val="auto"/>
                <w:spacing w:val="-4"/>
              </w:rPr>
              <w:t>号）规定执行；</w:t>
            </w:r>
          </w:p>
          <w:p>
            <w:pPr>
              <w:pStyle w:val="21"/>
              <w:kinsoku w:val="0"/>
              <w:overflowPunct w:val="0"/>
              <w:spacing w:before="40" w:line="240" w:lineRule="auto"/>
              <w:ind w:left="102"/>
              <w:rPr>
                <w:rFonts w:hint="default" w:ascii="Times New Roman" w:eastAsia="Times New Roman"/>
                <w:color w:val="auto"/>
              </w:rPr>
            </w:pPr>
            <w:r>
              <w:rPr>
                <w:rFonts w:cs="宋体"/>
                <w:color w:val="auto"/>
                <w:spacing w:val="3"/>
              </w:rPr>
              <w:t>(3)本项目为专门面向中小企业采购项目，</w:t>
            </w:r>
            <w:r>
              <w:rPr>
                <w:rFonts w:hint="eastAsia" w:cs="宋体"/>
                <w:color w:val="auto"/>
                <w:spacing w:val="3"/>
              </w:rPr>
              <w:t>不再执行价格评审优惠的扶持政策。</w:t>
            </w:r>
            <w:r>
              <w:rPr>
                <w:rFonts w:cs="宋体"/>
                <w:color w:val="auto"/>
                <w:spacing w:val="3"/>
              </w:rPr>
              <w:t>供应商须根据</w:t>
            </w:r>
            <w:r>
              <w:rPr>
                <w:rFonts w:cs="宋体"/>
                <w:color w:val="auto"/>
              </w:rPr>
              <w:t>《关于印发中小企业划型标准规定的通知》（工信部联企业[2011]300</w:t>
            </w:r>
            <w:r>
              <w:rPr>
                <w:rFonts w:cs="宋体"/>
                <w:color w:val="auto"/>
                <w:spacing w:val="-21"/>
              </w:rPr>
              <w:t xml:space="preserve"> </w:t>
            </w:r>
            <w:r>
              <w:rPr>
                <w:rFonts w:cs="宋体"/>
                <w:color w:val="auto"/>
              </w:rPr>
              <w:t>号），按照物业管理行业标准自行判定本企业类型，并根据《政府采购促进中小企业发展管理办法》（财库【2020】46</w:t>
            </w:r>
            <w:r>
              <w:rPr>
                <w:rFonts w:cs="宋体"/>
                <w:color w:val="auto"/>
                <w:spacing w:val="-61"/>
              </w:rPr>
              <w:t xml:space="preserve"> </w:t>
            </w:r>
            <w:r>
              <w:rPr>
                <w:rFonts w:cs="宋体"/>
                <w:color w:val="auto"/>
              </w:rPr>
              <w:t>号文）要求提供声明函；</w:t>
            </w:r>
          </w:p>
          <w:p>
            <w:pPr>
              <w:pStyle w:val="21"/>
              <w:kinsoku w:val="0"/>
              <w:overflowPunct w:val="0"/>
              <w:spacing w:before="40" w:line="240" w:lineRule="auto"/>
              <w:ind w:left="102"/>
              <w:rPr>
                <w:rFonts w:hint="default" w:ascii="Times New Roman" w:eastAsia="Times New Roman"/>
                <w:color w:val="auto"/>
              </w:rPr>
            </w:pPr>
            <w:r>
              <w:rPr>
                <w:rFonts w:cs="宋体"/>
                <w:color w:val="auto"/>
                <w:spacing w:val="3"/>
              </w:rPr>
              <w:t>（4）根据中华人民共和国财政部、中华人民共和国民政</w:t>
            </w:r>
          </w:p>
          <w:p>
            <w:pPr>
              <w:pStyle w:val="21"/>
              <w:kinsoku w:val="0"/>
              <w:overflowPunct w:val="0"/>
              <w:spacing w:before="40" w:line="240" w:lineRule="auto"/>
              <w:ind w:left="102"/>
              <w:rPr>
                <w:rFonts w:hint="default" w:cs="宋体"/>
                <w:color w:val="auto"/>
              </w:rPr>
            </w:pPr>
            <w:r>
              <w:rPr>
                <w:rFonts w:cs="宋体"/>
                <w:color w:val="auto"/>
              </w:rPr>
              <w:t>部、中国残疾人联合会《关于促进残疾人就业政府采购政</w:t>
            </w:r>
          </w:p>
          <w:p>
            <w:pPr>
              <w:pStyle w:val="21"/>
              <w:kinsoku w:val="0"/>
              <w:overflowPunct w:val="0"/>
              <w:spacing w:before="8" w:line="240" w:lineRule="auto"/>
              <w:ind w:left="102" w:right="100"/>
              <w:rPr>
                <w:rFonts w:hint="default" w:ascii="Times New Roman" w:eastAsia="Times New Roman"/>
                <w:color w:val="auto"/>
              </w:rPr>
            </w:pPr>
            <w:r>
              <w:rPr>
                <w:rFonts w:cs="宋体"/>
                <w:color w:val="auto"/>
              </w:rPr>
              <w:t>策的通知》（财库〔2017〕141</w:t>
            </w:r>
            <w:r>
              <w:rPr>
                <w:rFonts w:cs="宋体"/>
                <w:color w:val="auto"/>
                <w:spacing w:val="-32"/>
              </w:rPr>
              <w:t xml:space="preserve"> </w:t>
            </w:r>
            <w:r>
              <w:rPr>
                <w:rFonts w:cs="宋体"/>
                <w:color w:val="auto"/>
              </w:rPr>
              <w:t>号）文件的规定：残疾人</w:t>
            </w:r>
            <w:r>
              <w:rPr>
                <w:rFonts w:cs="宋体"/>
                <w:color w:val="auto"/>
                <w:spacing w:val="-111"/>
              </w:rPr>
              <w:t xml:space="preserve"> </w:t>
            </w:r>
            <w:r>
              <w:rPr>
                <w:rFonts w:cs="宋体"/>
                <w:color w:val="auto"/>
                <w:spacing w:val="-1"/>
              </w:rPr>
              <w:t>福利性单位视同小型、微型企业。供应商若为残疾人福利</w:t>
            </w:r>
          </w:p>
          <w:p>
            <w:pPr>
              <w:pStyle w:val="21"/>
              <w:kinsoku w:val="0"/>
              <w:overflowPunct w:val="0"/>
              <w:spacing w:before="40" w:line="240" w:lineRule="auto"/>
              <w:ind w:left="102"/>
              <w:rPr>
                <w:rFonts w:hint="default" w:ascii="Times New Roman" w:eastAsia="Times New Roman"/>
                <w:color w:val="auto"/>
              </w:rPr>
            </w:pPr>
            <w:r>
              <w:rPr>
                <w:rFonts w:cs="宋体"/>
                <w:color w:val="auto"/>
                <w:spacing w:val="9"/>
              </w:rPr>
              <w:t>性单位，须在投标文件中提供《残疾人福利性单位声明</w:t>
            </w:r>
          </w:p>
          <w:p>
            <w:pPr>
              <w:pStyle w:val="21"/>
              <w:kinsoku w:val="0"/>
              <w:overflowPunct w:val="0"/>
              <w:spacing w:before="40" w:line="240" w:lineRule="auto"/>
              <w:ind w:left="102"/>
              <w:rPr>
                <w:rFonts w:hint="default" w:ascii="Times New Roman" w:eastAsia="Times New Roman"/>
                <w:color w:val="auto"/>
              </w:rPr>
            </w:pPr>
            <w:r>
              <w:rPr>
                <w:rFonts w:cs="宋体"/>
                <w:color w:val="auto"/>
              </w:rPr>
              <w:t>函》，否则将不给予认可。</w:t>
            </w:r>
          </w:p>
          <w:p>
            <w:pPr>
              <w:pStyle w:val="21"/>
              <w:kinsoku w:val="0"/>
              <w:overflowPunct w:val="0"/>
              <w:spacing w:before="40" w:line="240" w:lineRule="auto"/>
              <w:ind w:left="102"/>
              <w:rPr>
                <w:rFonts w:hint="default" w:ascii="Times New Roman" w:eastAsia="Times New Roman"/>
                <w:color w:val="auto"/>
              </w:rPr>
            </w:pPr>
            <w:r>
              <w:rPr>
                <w:rFonts w:cs="宋体"/>
                <w:color w:val="auto"/>
                <w:spacing w:val="3"/>
              </w:rPr>
              <w:t>（5）根据财政部、司法部《关于政府采购支持监狱企业</w:t>
            </w:r>
          </w:p>
          <w:p>
            <w:pPr>
              <w:pStyle w:val="21"/>
              <w:kinsoku w:val="0"/>
              <w:overflowPunct w:val="0"/>
              <w:spacing w:before="40" w:line="240" w:lineRule="auto"/>
              <w:ind w:left="102"/>
              <w:rPr>
                <w:rFonts w:hint="default" w:ascii="Times New Roman" w:eastAsia="Times New Roman"/>
                <w:color w:val="auto"/>
              </w:rPr>
            </w:pPr>
            <w:r>
              <w:rPr>
                <w:rFonts w:cs="宋体"/>
                <w:color w:val="auto"/>
              </w:rPr>
              <w:t>发展有关问题的通知》(财库【2014】68</w:t>
            </w:r>
            <w:r>
              <w:rPr>
                <w:rFonts w:cs="宋体"/>
                <w:color w:val="auto"/>
                <w:spacing w:val="-61"/>
              </w:rPr>
              <w:t xml:space="preserve"> </w:t>
            </w:r>
            <w:r>
              <w:rPr>
                <w:rFonts w:cs="宋体"/>
                <w:color w:val="auto"/>
              </w:rPr>
              <w:t>号)文件的规定：</w:t>
            </w:r>
          </w:p>
          <w:p>
            <w:pPr>
              <w:pStyle w:val="21"/>
              <w:kinsoku w:val="0"/>
              <w:overflowPunct w:val="0"/>
              <w:spacing w:before="40" w:line="240" w:lineRule="auto"/>
              <w:ind w:left="102"/>
              <w:rPr>
                <w:rFonts w:hint="default" w:ascii="Times New Roman" w:eastAsia="Times New Roman"/>
                <w:color w:val="auto"/>
              </w:rPr>
            </w:pPr>
            <w:r>
              <w:rPr>
                <w:rFonts w:cs="宋体"/>
                <w:color w:val="auto"/>
              </w:rPr>
              <w:t>在政府采购活动中，监狱企业视同小型、微型企业。供应</w:t>
            </w:r>
          </w:p>
          <w:p>
            <w:pPr>
              <w:pStyle w:val="21"/>
              <w:kinsoku w:val="0"/>
              <w:overflowPunct w:val="0"/>
              <w:spacing w:before="40" w:line="240" w:lineRule="auto"/>
              <w:ind w:left="102"/>
              <w:rPr>
                <w:rFonts w:hint="default" w:ascii="Times New Roman" w:eastAsia="Times New Roman"/>
                <w:color w:val="auto"/>
              </w:rPr>
            </w:pPr>
            <w:r>
              <w:rPr>
                <w:rFonts w:cs="宋体"/>
                <w:color w:val="auto"/>
              </w:rPr>
              <w:t>商若为监狱企业，须在投标文件中提供由省级以上监狱管</w:t>
            </w:r>
          </w:p>
          <w:p>
            <w:pPr>
              <w:pStyle w:val="21"/>
              <w:kinsoku w:val="0"/>
              <w:overflowPunct w:val="0"/>
              <w:spacing w:before="40" w:line="240" w:lineRule="auto"/>
              <w:ind w:left="102"/>
              <w:rPr>
                <w:rFonts w:hint="default" w:ascii="Times New Roman" w:eastAsia="Times New Roman"/>
                <w:color w:val="auto"/>
              </w:rPr>
            </w:pPr>
            <w:r>
              <w:rPr>
                <w:rFonts w:cs="宋体"/>
                <w:color w:val="auto"/>
              </w:rPr>
              <w:t>理局、戒毒管理局(含新疆生产建设兵团)出具的属于监狱</w:t>
            </w:r>
          </w:p>
          <w:p>
            <w:pPr>
              <w:pStyle w:val="21"/>
              <w:kinsoku w:val="0"/>
              <w:overflowPunct w:val="0"/>
              <w:spacing w:before="40" w:line="240" w:lineRule="auto"/>
              <w:ind w:left="102"/>
              <w:rPr>
                <w:rFonts w:hint="default" w:ascii="Times New Roman" w:eastAsia="Times New Roman"/>
                <w:color w:val="auto"/>
              </w:rPr>
            </w:pPr>
            <w:r>
              <w:rPr>
                <w:rFonts w:cs="宋体"/>
                <w:color w:val="auto"/>
              </w:rPr>
              <w:t>企业的证明文件，否则将不给予认可。</w:t>
            </w:r>
          </w:p>
          <w:p>
            <w:pPr>
              <w:pStyle w:val="21"/>
              <w:kinsoku w:val="0"/>
              <w:overflowPunct w:val="0"/>
              <w:spacing w:before="40" w:line="240" w:lineRule="auto"/>
              <w:ind w:left="102" w:right="-18"/>
              <w:rPr>
                <w:rFonts w:hint="default" w:ascii="Times New Roman" w:eastAsia="Times New Roman"/>
                <w:color w:val="auto"/>
              </w:rPr>
            </w:pPr>
            <w:r>
              <w:rPr>
                <w:rFonts w:cs="宋体"/>
                <w:color w:val="auto"/>
                <w:spacing w:val="-1"/>
              </w:rPr>
              <w:t>（6）供应商须对其声明的真实性负责，若与事实不符的，</w:t>
            </w:r>
          </w:p>
          <w:p>
            <w:pPr>
              <w:pStyle w:val="21"/>
              <w:kinsoku w:val="0"/>
              <w:overflowPunct w:val="0"/>
              <w:spacing w:before="40" w:line="240" w:lineRule="auto"/>
              <w:ind w:left="102"/>
              <w:rPr>
                <w:rFonts w:hint="default" w:ascii="Times New Roman" w:eastAsia="Times New Roman"/>
                <w:color w:val="auto"/>
              </w:rPr>
            </w:pPr>
            <w:r>
              <w:rPr>
                <w:rFonts w:cs="宋体"/>
                <w:color w:val="auto"/>
              </w:rPr>
              <w:t>将依照《政府采购法》第七十七条第一款的规定追究法律</w:t>
            </w:r>
          </w:p>
          <w:p>
            <w:pPr>
              <w:pStyle w:val="21"/>
              <w:kinsoku w:val="0"/>
              <w:overflowPunct w:val="0"/>
              <w:spacing w:before="40" w:line="240" w:lineRule="auto"/>
              <w:ind w:left="102"/>
              <w:rPr>
                <w:rFonts w:cs="宋体"/>
                <w:color w:val="auto"/>
              </w:rPr>
            </w:pPr>
            <w:r>
              <w:rPr>
                <w:rFonts w:cs="宋体"/>
                <w:color w:val="auto"/>
              </w:rPr>
              <w:t>责任。</w:t>
            </w:r>
          </w:p>
          <w:p>
            <w:pPr>
              <w:pStyle w:val="21"/>
              <w:kinsoku w:val="0"/>
              <w:overflowPunct w:val="0"/>
              <w:spacing w:before="40" w:line="240" w:lineRule="auto"/>
              <w:ind w:left="102"/>
              <w:rPr>
                <w:rFonts w:hint="eastAsia" w:eastAsia="宋体" w:cs="宋体"/>
                <w:color w:val="auto"/>
                <w:lang w:eastAsia="zh-CN"/>
              </w:rPr>
            </w:pPr>
            <w:r>
              <w:rPr>
                <w:rFonts w:hint="eastAsia" w:cs="宋体"/>
                <w:color w:val="auto"/>
                <w:lang w:eastAsia="zh-CN"/>
              </w:rPr>
              <w:t>（</w:t>
            </w:r>
            <w:r>
              <w:rPr>
                <w:rFonts w:hint="eastAsia" w:cs="宋体"/>
                <w:color w:val="auto"/>
                <w:lang w:val="en-US" w:eastAsia="zh-CN"/>
              </w:rPr>
              <w:t>7</w:t>
            </w:r>
            <w:r>
              <w:rPr>
                <w:rFonts w:hint="eastAsia" w:cs="宋体"/>
                <w:color w:val="auto"/>
                <w:lang w:eastAsia="zh-CN"/>
              </w:rPr>
              <w:t>）中小企业在融资、保证金、履约保证等方面有需求的，可查询当地政府采购管理部门相关政策，通过专业化的担保途径解决。</w:t>
            </w:r>
          </w:p>
        </w:tc>
      </w:tr>
      <w:tr>
        <w:tblPrEx>
          <w:tblCellMar>
            <w:top w:w="0" w:type="dxa"/>
            <w:left w:w="0" w:type="dxa"/>
            <w:bottom w:w="0" w:type="dxa"/>
            <w:right w:w="0" w:type="dxa"/>
          </w:tblCellMar>
        </w:tblPrEx>
        <w:trPr>
          <w:trHeight w:val="552" w:hRule="exact"/>
        </w:trPr>
        <w:tc>
          <w:tcPr>
            <w:tcW w:w="735"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9"/>
              <w:rPr>
                <w:rFonts w:hint="default" w:ascii="Times New Roman" w:eastAsia="Times New Roman"/>
                <w:color w:val="auto"/>
                <w:sz w:val="30"/>
                <w:szCs w:val="30"/>
              </w:rPr>
            </w:pPr>
          </w:p>
          <w:p>
            <w:pPr>
              <w:pStyle w:val="21"/>
              <w:kinsoku w:val="0"/>
              <w:overflowPunct w:val="0"/>
              <w:ind w:left="240"/>
              <w:rPr>
                <w:rFonts w:hint="default" w:ascii="Times New Roman" w:eastAsia="Times New Roman"/>
                <w:color w:val="auto"/>
              </w:rPr>
            </w:pPr>
            <w:r>
              <w:rPr>
                <w:rFonts w:cs="宋体"/>
                <w:b/>
                <w:color w:val="auto"/>
              </w:rPr>
              <w:t>20</w:t>
            </w:r>
          </w:p>
        </w:tc>
        <w:tc>
          <w:tcPr>
            <w:tcW w:w="2664" w:type="dxa"/>
            <w:tcBorders>
              <w:top w:val="single" w:color="000000" w:sz="4" w:space="0"/>
              <w:left w:val="single" w:color="000000" w:sz="4" w:space="0"/>
              <w:bottom w:val="nil"/>
              <w:right w:val="single" w:color="000000" w:sz="4" w:space="0"/>
              <w:tl2br w:val="nil"/>
              <w:tr2bl w:val="nil"/>
            </w:tcBorders>
          </w:tcPr>
          <w:p>
            <w:pPr>
              <w:pStyle w:val="21"/>
              <w:kinsoku w:val="0"/>
              <w:overflowPunct w:val="0"/>
              <w:spacing w:before="118"/>
              <w:ind w:left="364"/>
              <w:rPr>
                <w:rFonts w:hint="default" w:ascii="Times New Roman" w:eastAsia="Times New Roman"/>
                <w:color w:val="auto"/>
              </w:rPr>
            </w:pPr>
            <w:r>
              <w:rPr>
                <w:rFonts w:cs="宋体"/>
                <w:b/>
                <w:color w:val="auto"/>
              </w:rPr>
              <w:t>技术部分是否采用</w:t>
            </w:r>
          </w:p>
        </w:tc>
        <w:tc>
          <w:tcPr>
            <w:tcW w:w="6203" w:type="dxa"/>
            <w:tcBorders>
              <w:top w:val="single" w:color="000000" w:sz="4" w:space="0"/>
              <w:left w:val="single" w:color="000000" w:sz="4" w:space="0"/>
              <w:bottom w:val="nil"/>
              <w:right w:val="single" w:color="000000" w:sz="4" w:space="0"/>
              <w:tl2br w:val="nil"/>
              <w:tr2bl w:val="nil"/>
            </w:tcBorders>
          </w:tcPr>
          <w:p>
            <w:pPr>
              <w:pStyle w:val="21"/>
              <w:kinsoku w:val="0"/>
              <w:overflowPunct w:val="0"/>
              <w:spacing w:before="42"/>
              <w:ind w:left="102"/>
              <w:rPr>
                <w:rFonts w:hint="default" w:ascii="Times New Roman" w:eastAsia="Times New Roman"/>
                <w:color w:val="auto"/>
              </w:rPr>
            </w:pPr>
            <w:r>
              <w:rPr>
                <w:rFonts w:cs="宋体"/>
                <w:color w:val="auto"/>
              </w:rPr>
              <w:t>□是</w:t>
            </w:r>
          </w:p>
        </w:tc>
      </w:tr>
      <w:tr>
        <w:tblPrEx>
          <w:tblCellMar>
            <w:top w:w="0" w:type="dxa"/>
            <w:left w:w="0" w:type="dxa"/>
            <w:bottom w:w="0" w:type="dxa"/>
            <w:right w:w="0" w:type="dxa"/>
          </w:tblCellMar>
        </w:tblPrEx>
        <w:trPr>
          <w:trHeight w:val="550"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2"/>
              <w:ind w:left="102"/>
              <w:rPr>
                <w:rFonts w:hint="default" w:ascii="Times New Roman" w:eastAsia="Times New Roman"/>
                <w:color w:val="auto"/>
              </w:rPr>
            </w:pPr>
          </w:p>
        </w:tc>
        <w:tc>
          <w:tcPr>
            <w:tcW w:w="2664" w:type="dxa"/>
            <w:tcBorders>
              <w:top w:val="nil"/>
              <w:left w:val="single" w:color="000000" w:sz="4" w:space="0"/>
              <w:bottom w:val="single" w:color="000000" w:sz="4" w:space="0"/>
              <w:right w:val="single" w:color="000000" w:sz="4" w:space="0"/>
              <w:tl2br w:val="nil"/>
              <w:tr2bl w:val="nil"/>
            </w:tcBorders>
          </w:tcPr>
          <w:p>
            <w:pPr>
              <w:pStyle w:val="21"/>
              <w:kinsoku w:val="0"/>
              <w:overflowPunct w:val="0"/>
              <w:spacing w:before="40"/>
              <w:ind w:left="364"/>
              <w:rPr>
                <w:rFonts w:hint="default" w:ascii="Times New Roman" w:eastAsia="Times New Roman"/>
                <w:color w:val="auto"/>
              </w:rPr>
            </w:pPr>
            <w:r>
              <w:rPr>
                <w:rFonts w:cs="宋体"/>
                <w:b/>
                <w:color w:val="auto"/>
              </w:rPr>
              <w:t>“暗标”评审方式</w:t>
            </w:r>
          </w:p>
        </w:tc>
        <w:tc>
          <w:tcPr>
            <w:tcW w:w="6203" w:type="dxa"/>
            <w:tcBorders>
              <w:top w:val="nil"/>
              <w:left w:val="single" w:color="000000" w:sz="4" w:space="0"/>
              <w:bottom w:val="single" w:color="000000" w:sz="4" w:space="0"/>
              <w:right w:val="single" w:color="000000" w:sz="4" w:space="0"/>
              <w:tl2br w:val="nil"/>
              <w:tr2bl w:val="nil"/>
            </w:tcBorders>
          </w:tcPr>
          <w:p>
            <w:pPr>
              <w:pStyle w:val="21"/>
              <w:kinsoku w:val="0"/>
              <w:overflowPunct w:val="0"/>
              <w:spacing w:before="52"/>
              <w:ind w:left="102"/>
              <w:rPr>
                <w:rFonts w:hint="default" w:ascii="Times New Roman" w:eastAsia="Times New Roman"/>
                <w:color w:val="auto"/>
              </w:rPr>
            </w:pPr>
            <w:r>
              <w:rPr>
                <w:rFonts w:ascii="MS Gothic" w:hAnsi="MS Gothic" w:eastAsia="MS Gothic" w:cs="MS Gothic"/>
                <w:color w:val="auto"/>
                <w:spacing w:val="-45"/>
              </w:rPr>
              <w:t>☑</w:t>
            </w:r>
            <w:r>
              <w:rPr>
                <w:rFonts w:hAnsi="Segoe UI Emoji" w:cs="宋体"/>
                <w:color w:val="auto"/>
                <w:spacing w:val="-45"/>
              </w:rPr>
              <w:t>否</w:t>
            </w:r>
          </w:p>
        </w:tc>
      </w:tr>
      <w:tr>
        <w:tblPrEx>
          <w:tblCellMar>
            <w:top w:w="0" w:type="dxa"/>
            <w:left w:w="0" w:type="dxa"/>
            <w:bottom w:w="0" w:type="dxa"/>
            <w:right w:w="0" w:type="dxa"/>
          </w:tblCellMar>
        </w:tblPrEx>
        <w:trPr>
          <w:trHeight w:val="632" w:hRule="exact"/>
        </w:trPr>
        <w:tc>
          <w:tcPr>
            <w:tcW w:w="73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118"/>
              <w:ind w:left="240"/>
              <w:rPr>
                <w:rFonts w:hint="default" w:ascii="Times New Roman" w:eastAsia="Times New Roman"/>
                <w:color w:val="auto"/>
              </w:rPr>
            </w:pPr>
            <w:r>
              <w:rPr>
                <w:rFonts w:cs="宋体"/>
                <w:b/>
                <w:color w:val="auto"/>
              </w:rPr>
              <w:t>21</w:t>
            </w:r>
          </w:p>
        </w:tc>
        <w:tc>
          <w:tcPr>
            <w:tcW w:w="2664"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118"/>
              <w:ind w:left="844"/>
              <w:rPr>
                <w:rFonts w:hint="default" w:ascii="Times New Roman" w:eastAsia="Times New Roman"/>
                <w:color w:val="auto"/>
              </w:rPr>
            </w:pPr>
            <w:r>
              <w:rPr>
                <w:rFonts w:cs="宋体"/>
                <w:b/>
                <w:color w:val="auto"/>
              </w:rPr>
              <w:t>评审方法</w:t>
            </w: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130"/>
              <w:ind w:left="102"/>
              <w:rPr>
                <w:rFonts w:hint="default" w:ascii="Times New Roman" w:eastAsia="Times New Roman"/>
                <w:color w:val="auto"/>
              </w:rPr>
            </w:pPr>
            <w:r>
              <w:rPr>
                <w:rFonts w:ascii="MS Gothic" w:hAnsi="MS Gothic" w:eastAsia="MS Gothic" w:cs="MS Gothic"/>
                <w:color w:val="auto"/>
                <w:spacing w:val="-18"/>
              </w:rPr>
              <w:t>☑</w:t>
            </w:r>
            <w:r>
              <w:rPr>
                <w:rFonts w:hAnsi="Segoe UI Emoji" w:cs="宋体"/>
                <w:color w:val="auto"/>
                <w:spacing w:val="-18"/>
              </w:rPr>
              <w:t>资格后审</w:t>
            </w:r>
          </w:p>
        </w:tc>
      </w:tr>
    </w:tbl>
    <w:p>
      <w:pPr>
        <w:rPr>
          <w:rFonts w:hint="default" w:ascii="Times New Roman" w:eastAsia="Times New Roman"/>
          <w:color w:val="auto"/>
        </w:rPr>
        <w:sectPr>
          <w:pgSz w:w="11910" w:h="16840"/>
          <w:pgMar w:top="1340" w:right="1040" w:bottom="1580" w:left="1040" w:header="0" w:footer="1395" w:gutter="0"/>
          <w:cols w:space="720" w:num="1"/>
        </w:sectPr>
      </w:pPr>
    </w:p>
    <w:p>
      <w:pPr>
        <w:pStyle w:val="8"/>
        <w:kinsoku w:val="0"/>
        <w:overflowPunct w:val="0"/>
        <w:spacing w:before="2"/>
        <w:ind w:left="0"/>
        <w:rPr>
          <w:rFonts w:hint="default" w:ascii="Times New Roman" w:eastAsia="Times New Roman" w:cs="Times New Roman"/>
          <w:color w:val="auto"/>
          <w:sz w:val="7"/>
          <w:szCs w:val="7"/>
        </w:rPr>
      </w:pPr>
    </w:p>
    <w:tbl>
      <w:tblPr>
        <w:tblStyle w:val="17"/>
        <w:tblW w:w="0" w:type="auto"/>
        <w:tblInd w:w="107" w:type="dxa"/>
        <w:tblLayout w:type="fixed"/>
        <w:tblCellMar>
          <w:top w:w="0" w:type="dxa"/>
          <w:left w:w="0" w:type="dxa"/>
          <w:bottom w:w="0" w:type="dxa"/>
          <w:right w:w="0" w:type="dxa"/>
        </w:tblCellMar>
      </w:tblPr>
      <w:tblGrid>
        <w:gridCol w:w="735"/>
        <w:gridCol w:w="2664"/>
        <w:gridCol w:w="6203"/>
      </w:tblGrid>
      <w:tr>
        <w:tblPrEx>
          <w:tblCellMar>
            <w:top w:w="0" w:type="dxa"/>
            <w:left w:w="0" w:type="dxa"/>
            <w:bottom w:w="0" w:type="dxa"/>
            <w:right w:w="0" w:type="dxa"/>
          </w:tblCellMar>
        </w:tblPrEx>
        <w:trPr>
          <w:trHeight w:val="606" w:hRule="exact"/>
        </w:trPr>
        <w:tc>
          <w:tcPr>
            <w:tcW w:w="735" w:type="dxa"/>
            <w:vMerge w:val="restart"/>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2664" w:type="dxa"/>
            <w:vMerge w:val="restart"/>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6203" w:type="dxa"/>
            <w:tcBorders>
              <w:top w:val="single" w:color="000000" w:sz="4" w:space="0"/>
              <w:left w:val="single" w:color="000000" w:sz="4" w:space="0"/>
              <w:bottom w:val="nil"/>
              <w:right w:val="single" w:color="000000" w:sz="4" w:space="0"/>
              <w:tl2br w:val="nil"/>
              <w:tr2bl w:val="nil"/>
            </w:tcBorders>
          </w:tcPr>
          <w:p>
            <w:pPr>
              <w:pStyle w:val="21"/>
              <w:kinsoku w:val="0"/>
              <w:overflowPunct w:val="0"/>
              <w:spacing w:before="131"/>
              <w:ind w:left="102"/>
              <w:rPr>
                <w:rFonts w:hint="default" w:ascii="Times New Roman" w:eastAsia="Times New Roman"/>
                <w:color w:val="auto"/>
              </w:rPr>
            </w:pPr>
            <w:r>
              <w:rPr>
                <w:rFonts w:ascii="MS Gothic" w:hAnsi="MS Gothic" w:eastAsia="MS Gothic" w:cs="MS Gothic"/>
                <w:color w:val="auto"/>
                <w:spacing w:val="-15"/>
              </w:rPr>
              <w:t>☑</w:t>
            </w:r>
            <w:r>
              <w:rPr>
                <w:rFonts w:hAnsi="Segoe UI Emoji" w:cs="宋体"/>
                <w:color w:val="auto"/>
                <w:spacing w:val="-15"/>
              </w:rPr>
              <w:t>综合评分法</w:t>
            </w:r>
          </w:p>
        </w:tc>
      </w:tr>
      <w:tr>
        <w:tblPrEx>
          <w:tblCellMar>
            <w:top w:w="0" w:type="dxa"/>
            <w:left w:w="0" w:type="dxa"/>
            <w:bottom w:w="0" w:type="dxa"/>
            <w:right w:w="0" w:type="dxa"/>
          </w:tblCellMar>
        </w:tblPrEx>
        <w:trPr>
          <w:trHeight w:val="504"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131"/>
              <w:ind w:left="102"/>
              <w:rPr>
                <w:rFonts w:hint="default" w:ascii="Times New Roman" w:eastAsia="Times New Roman"/>
                <w:color w:val="auto"/>
              </w:rPr>
            </w:pPr>
          </w:p>
        </w:tc>
        <w:tc>
          <w:tcPr>
            <w:tcW w:w="2664"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131"/>
              <w:ind w:left="102"/>
              <w:rPr>
                <w:rFonts w:hint="default" w:ascii="Times New Roman" w:eastAsia="Times New Roman"/>
                <w:color w:val="auto"/>
              </w:rPr>
            </w:pPr>
          </w:p>
        </w:tc>
        <w:tc>
          <w:tcPr>
            <w:tcW w:w="6203" w:type="dxa"/>
            <w:tcBorders>
              <w:top w:val="nil"/>
              <w:left w:val="single" w:color="000000" w:sz="4" w:space="0"/>
              <w:bottom w:val="nil"/>
              <w:right w:val="single" w:color="000000" w:sz="4" w:space="0"/>
              <w:tl2br w:val="nil"/>
              <w:tr2bl w:val="nil"/>
            </w:tcBorders>
          </w:tcPr>
          <w:p>
            <w:pPr>
              <w:pStyle w:val="21"/>
              <w:kinsoku w:val="0"/>
              <w:overflowPunct w:val="0"/>
              <w:spacing w:before="62"/>
              <w:ind w:left="102"/>
              <w:rPr>
                <w:rFonts w:hint="default" w:ascii="Times New Roman" w:eastAsia="Times New Roman"/>
                <w:color w:val="auto"/>
              </w:rPr>
            </w:pPr>
            <w:r>
              <w:rPr>
                <w:rFonts w:cs="宋体"/>
                <w:color w:val="auto"/>
              </w:rPr>
              <w:t>注：</w:t>
            </w:r>
          </w:p>
        </w:tc>
      </w:tr>
      <w:tr>
        <w:tblPrEx>
          <w:tblCellMar>
            <w:top w:w="0" w:type="dxa"/>
            <w:left w:w="0" w:type="dxa"/>
            <w:bottom w:w="0" w:type="dxa"/>
            <w:right w:w="0" w:type="dxa"/>
          </w:tblCellMar>
        </w:tblPrEx>
        <w:trPr>
          <w:trHeight w:val="432"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62"/>
              <w:ind w:left="102"/>
              <w:rPr>
                <w:rFonts w:hint="default" w:ascii="Times New Roman" w:eastAsia="Times New Roman"/>
                <w:color w:val="auto"/>
              </w:rPr>
            </w:pPr>
          </w:p>
        </w:tc>
        <w:tc>
          <w:tcPr>
            <w:tcW w:w="2664"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62"/>
              <w:ind w:left="102"/>
              <w:rPr>
                <w:rFonts w:hint="default" w:ascii="Times New Roman" w:eastAsia="Times New Roman"/>
                <w:color w:val="auto"/>
              </w:rPr>
            </w:pPr>
          </w:p>
        </w:tc>
        <w:tc>
          <w:tcPr>
            <w:tcW w:w="6203" w:type="dxa"/>
            <w:tcBorders>
              <w:top w:val="nil"/>
              <w:left w:val="single" w:color="000000" w:sz="4" w:space="0"/>
              <w:bottom w:val="nil"/>
              <w:right w:val="single" w:color="000000" w:sz="4" w:space="0"/>
              <w:tl2br w:val="nil"/>
              <w:tr2bl w:val="nil"/>
            </w:tcBorders>
          </w:tcPr>
          <w:p>
            <w:pPr>
              <w:pStyle w:val="21"/>
              <w:kinsoku w:val="0"/>
              <w:overflowPunct w:val="0"/>
              <w:spacing w:before="61"/>
              <w:ind w:left="522"/>
              <w:rPr>
                <w:rFonts w:hint="default" w:ascii="Times New Roman" w:eastAsia="Times New Roman"/>
                <w:color w:val="auto"/>
              </w:rPr>
            </w:pPr>
            <w:r>
              <w:rPr>
                <w:rFonts w:cs="宋体"/>
                <w:color w:val="auto"/>
                <w:spacing w:val="4"/>
                <w:sz w:val="21"/>
                <w:szCs w:val="21"/>
              </w:rPr>
              <w:t>综合评分法是指在最大限度地满足招标文件实质性要求前提</w:t>
            </w:r>
          </w:p>
        </w:tc>
      </w:tr>
      <w:tr>
        <w:tblPrEx>
          <w:tblCellMar>
            <w:top w:w="0" w:type="dxa"/>
            <w:left w:w="0" w:type="dxa"/>
            <w:bottom w:w="0" w:type="dxa"/>
            <w:right w:w="0" w:type="dxa"/>
          </w:tblCellMar>
        </w:tblPrEx>
        <w:trPr>
          <w:trHeight w:val="400"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61"/>
              <w:ind w:left="522"/>
              <w:rPr>
                <w:rFonts w:hint="default" w:ascii="Times New Roman" w:eastAsia="Times New Roman"/>
                <w:color w:val="auto"/>
              </w:rPr>
            </w:pPr>
          </w:p>
        </w:tc>
        <w:tc>
          <w:tcPr>
            <w:tcW w:w="2664"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61"/>
              <w:ind w:left="522"/>
              <w:rPr>
                <w:rFonts w:hint="default" w:ascii="Times New Roman" w:eastAsia="Times New Roman"/>
                <w:color w:val="auto"/>
              </w:rPr>
            </w:pPr>
          </w:p>
        </w:tc>
        <w:tc>
          <w:tcPr>
            <w:tcW w:w="6203" w:type="dxa"/>
            <w:tcBorders>
              <w:top w:val="nil"/>
              <w:left w:val="single" w:color="000000" w:sz="4" w:space="0"/>
              <w:bottom w:val="nil"/>
              <w:right w:val="single" w:color="000000" w:sz="4" w:space="0"/>
              <w:tl2br w:val="nil"/>
              <w:tr2bl w:val="nil"/>
            </w:tcBorders>
          </w:tcPr>
          <w:p>
            <w:pPr>
              <w:pStyle w:val="21"/>
              <w:kinsoku w:val="0"/>
              <w:overflowPunct w:val="0"/>
              <w:spacing w:before="30"/>
              <w:ind w:left="102"/>
              <w:rPr>
                <w:rFonts w:hint="default" w:ascii="Times New Roman" w:eastAsia="Times New Roman"/>
                <w:color w:val="auto"/>
              </w:rPr>
            </w:pPr>
            <w:r>
              <w:rPr>
                <w:rFonts w:cs="宋体"/>
                <w:color w:val="auto"/>
                <w:spacing w:val="-4"/>
                <w:sz w:val="21"/>
                <w:szCs w:val="21"/>
              </w:rPr>
              <w:t>下，按照招标文件中规定的评分细则评审后，以评标最终得分最高</w:t>
            </w:r>
          </w:p>
        </w:tc>
      </w:tr>
      <w:tr>
        <w:tblPrEx>
          <w:tblCellMar>
            <w:top w:w="0" w:type="dxa"/>
            <w:left w:w="0" w:type="dxa"/>
            <w:bottom w:w="0" w:type="dxa"/>
            <w:right w:w="0" w:type="dxa"/>
          </w:tblCellMar>
        </w:tblPrEx>
        <w:trPr>
          <w:trHeight w:val="400"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30"/>
              <w:ind w:left="102"/>
              <w:rPr>
                <w:rFonts w:hint="default" w:ascii="Times New Roman" w:eastAsia="Times New Roman"/>
                <w:color w:val="auto"/>
              </w:rPr>
            </w:pPr>
          </w:p>
        </w:tc>
        <w:tc>
          <w:tcPr>
            <w:tcW w:w="2664"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30"/>
              <w:ind w:left="102"/>
              <w:rPr>
                <w:rFonts w:hint="default" w:ascii="Times New Roman" w:eastAsia="Times New Roman"/>
                <w:color w:val="auto"/>
              </w:rPr>
            </w:pPr>
          </w:p>
        </w:tc>
        <w:tc>
          <w:tcPr>
            <w:tcW w:w="6203" w:type="dxa"/>
            <w:tcBorders>
              <w:top w:val="nil"/>
              <w:left w:val="single" w:color="000000" w:sz="4" w:space="0"/>
              <w:bottom w:val="nil"/>
              <w:right w:val="single" w:color="000000" w:sz="4" w:space="0"/>
              <w:tl2br w:val="nil"/>
              <w:tr2bl w:val="nil"/>
            </w:tcBorders>
          </w:tcPr>
          <w:p>
            <w:pPr>
              <w:pStyle w:val="21"/>
              <w:kinsoku w:val="0"/>
              <w:overflowPunct w:val="0"/>
              <w:spacing w:before="29"/>
              <w:ind w:left="102"/>
              <w:rPr>
                <w:rFonts w:hint="default" w:ascii="Times New Roman" w:eastAsia="Times New Roman"/>
                <w:color w:val="auto"/>
              </w:rPr>
            </w:pPr>
            <w:r>
              <w:rPr>
                <w:rFonts w:cs="宋体"/>
                <w:color w:val="auto"/>
                <w:spacing w:val="-4"/>
                <w:sz w:val="21"/>
                <w:szCs w:val="21"/>
              </w:rPr>
              <w:t>的</w:t>
            </w:r>
            <w:r>
              <w:rPr>
                <w:rFonts w:hint="eastAsia" w:cs="宋体"/>
                <w:color w:val="auto"/>
                <w:spacing w:val="-4"/>
                <w:sz w:val="21"/>
                <w:szCs w:val="21"/>
                <w:lang w:eastAsia="zh-CN"/>
              </w:rPr>
              <w:t>供应商</w:t>
            </w:r>
            <w:r>
              <w:rPr>
                <w:rFonts w:cs="宋体"/>
                <w:color w:val="auto"/>
                <w:spacing w:val="-4"/>
                <w:sz w:val="21"/>
                <w:szCs w:val="21"/>
              </w:rPr>
              <w:t>作为中标人的评标方法。每一</w:t>
            </w:r>
            <w:r>
              <w:rPr>
                <w:rFonts w:hint="eastAsia" w:cs="宋体"/>
                <w:color w:val="auto"/>
                <w:spacing w:val="-4"/>
                <w:sz w:val="21"/>
                <w:szCs w:val="21"/>
                <w:lang w:eastAsia="zh-CN"/>
              </w:rPr>
              <w:t>供应商</w:t>
            </w:r>
            <w:r>
              <w:rPr>
                <w:rFonts w:cs="宋体"/>
                <w:color w:val="auto"/>
                <w:spacing w:val="-4"/>
                <w:sz w:val="21"/>
                <w:szCs w:val="21"/>
              </w:rPr>
              <w:t>的最终得分为所有评</w:t>
            </w:r>
          </w:p>
        </w:tc>
      </w:tr>
      <w:tr>
        <w:tblPrEx>
          <w:tblCellMar>
            <w:top w:w="0" w:type="dxa"/>
            <w:left w:w="0" w:type="dxa"/>
            <w:bottom w:w="0" w:type="dxa"/>
            <w:right w:w="0" w:type="dxa"/>
          </w:tblCellMar>
        </w:tblPrEx>
        <w:trPr>
          <w:trHeight w:val="401"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29"/>
              <w:ind w:left="102"/>
              <w:rPr>
                <w:rFonts w:hint="default" w:ascii="Times New Roman" w:eastAsia="Times New Roman"/>
                <w:color w:val="auto"/>
              </w:rPr>
            </w:pPr>
          </w:p>
        </w:tc>
        <w:tc>
          <w:tcPr>
            <w:tcW w:w="2664"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29"/>
              <w:ind w:left="102"/>
              <w:rPr>
                <w:rFonts w:hint="default" w:ascii="Times New Roman" w:eastAsia="Times New Roman"/>
                <w:color w:val="auto"/>
              </w:rPr>
            </w:pPr>
          </w:p>
        </w:tc>
        <w:tc>
          <w:tcPr>
            <w:tcW w:w="6203" w:type="dxa"/>
            <w:tcBorders>
              <w:top w:val="nil"/>
              <w:left w:val="single" w:color="000000" w:sz="4" w:space="0"/>
              <w:bottom w:val="nil"/>
              <w:right w:val="single" w:color="000000" w:sz="4" w:space="0"/>
              <w:tl2br w:val="nil"/>
              <w:tr2bl w:val="nil"/>
            </w:tcBorders>
          </w:tcPr>
          <w:p>
            <w:pPr>
              <w:pStyle w:val="21"/>
              <w:kinsoku w:val="0"/>
              <w:overflowPunct w:val="0"/>
              <w:spacing w:before="30"/>
              <w:ind w:left="102"/>
              <w:rPr>
                <w:rFonts w:hint="default" w:ascii="Times New Roman" w:eastAsia="Times New Roman"/>
                <w:color w:val="auto"/>
              </w:rPr>
            </w:pPr>
            <w:r>
              <w:rPr>
                <w:rFonts w:cs="宋体"/>
                <w:color w:val="auto"/>
                <w:spacing w:val="-4"/>
                <w:sz w:val="21"/>
                <w:szCs w:val="21"/>
              </w:rPr>
              <w:t>委评分的算术平均值</w:t>
            </w:r>
            <w:r>
              <w:rPr>
                <w:rFonts w:cs="宋体"/>
                <w:b/>
                <w:color w:val="auto"/>
                <w:spacing w:val="-4"/>
                <w:sz w:val="21"/>
                <w:szCs w:val="21"/>
              </w:rPr>
              <w:t>。</w:t>
            </w:r>
            <w:r>
              <w:rPr>
                <w:rFonts w:cs="宋体"/>
                <w:color w:val="auto"/>
                <w:spacing w:val="-4"/>
                <w:sz w:val="21"/>
                <w:szCs w:val="21"/>
              </w:rPr>
              <w:t>得分相同的，报价较低的一方为中标人。得</w:t>
            </w:r>
          </w:p>
        </w:tc>
      </w:tr>
      <w:tr>
        <w:tblPrEx>
          <w:tblCellMar>
            <w:top w:w="0" w:type="dxa"/>
            <w:left w:w="0" w:type="dxa"/>
            <w:bottom w:w="0" w:type="dxa"/>
            <w:right w:w="0" w:type="dxa"/>
          </w:tblCellMar>
        </w:tblPrEx>
        <w:trPr>
          <w:trHeight w:val="395"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30"/>
              <w:ind w:left="102"/>
              <w:rPr>
                <w:rFonts w:hint="default" w:ascii="Times New Roman" w:eastAsia="Times New Roman"/>
                <w:color w:val="auto"/>
              </w:rPr>
            </w:pPr>
          </w:p>
        </w:tc>
        <w:tc>
          <w:tcPr>
            <w:tcW w:w="2664"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30"/>
              <w:ind w:left="102"/>
              <w:rPr>
                <w:rFonts w:hint="default" w:ascii="Times New Roman" w:eastAsia="Times New Roman"/>
                <w:color w:val="auto"/>
              </w:rPr>
            </w:pPr>
          </w:p>
        </w:tc>
        <w:tc>
          <w:tcPr>
            <w:tcW w:w="6203" w:type="dxa"/>
            <w:tcBorders>
              <w:top w:val="nil"/>
              <w:left w:val="single" w:color="000000" w:sz="4" w:space="0"/>
              <w:bottom w:val="nil"/>
              <w:right w:val="single" w:color="000000" w:sz="4" w:space="0"/>
              <w:tl2br w:val="nil"/>
              <w:tr2bl w:val="nil"/>
            </w:tcBorders>
          </w:tcPr>
          <w:p>
            <w:pPr>
              <w:pStyle w:val="21"/>
              <w:kinsoku w:val="0"/>
              <w:overflowPunct w:val="0"/>
              <w:spacing w:before="30"/>
              <w:ind w:left="102"/>
              <w:rPr>
                <w:rFonts w:hint="default" w:ascii="Times New Roman" w:eastAsia="Times New Roman"/>
                <w:color w:val="auto"/>
              </w:rPr>
            </w:pPr>
            <w:r>
              <w:rPr>
                <w:rFonts w:cs="宋体"/>
                <w:color w:val="auto"/>
                <w:sz w:val="21"/>
                <w:szCs w:val="21"/>
              </w:rPr>
              <w:t>分且投标报价相同的，技术指标较优的一方为中标人。</w:t>
            </w:r>
          </w:p>
        </w:tc>
      </w:tr>
      <w:tr>
        <w:tblPrEx>
          <w:tblCellMar>
            <w:top w:w="0" w:type="dxa"/>
            <w:left w:w="0" w:type="dxa"/>
            <w:bottom w:w="0" w:type="dxa"/>
            <w:right w:w="0" w:type="dxa"/>
          </w:tblCellMar>
        </w:tblPrEx>
        <w:trPr>
          <w:trHeight w:val="428"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30"/>
              <w:ind w:left="102"/>
              <w:rPr>
                <w:rFonts w:hint="default" w:ascii="Times New Roman" w:eastAsia="Times New Roman"/>
                <w:color w:val="auto"/>
              </w:rPr>
            </w:pPr>
          </w:p>
        </w:tc>
        <w:tc>
          <w:tcPr>
            <w:tcW w:w="2664"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30"/>
              <w:ind w:left="102"/>
              <w:rPr>
                <w:rFonts w:hint="default" w:ascii="Times New Roman" w:eastAsia="Times New Roman"/>
                <w:color w:val="auto"/>
              </w:rPr>
            </w:pPr>
          </w:p>
        </w:tc>
        <w:tc>
          <w:tcPr>
            <w:tcW w:w="6203" w:type="dxa"/>
            <w:tcBorders>
              <w:top w:val="nil"/>
              <w:left w:val="single" w:color="000000" w:sz="4" w:space="0"/>
              <w:bottom w:val="nil"/>
              <w:right w:val="single" w:color="000000" w:sz="4" w:space="0"/>
              <w:tl2br w:val="nil"/>
              <w:tr2bl w:val="nil"/>
            </w:tcBorders>
          </w:tcPr>
          <w:p>
            <w:pPr>
              <w:pStyle w:val="21"/>
              <w:kinsoku w:val="0"/>
              <w:overflowPunct w:val="0"/>
              <w:spacing w:before="24"/>
              <w:ind w:left="522"/>
              <w:rPr>
                <w:rFonts w:hint="default" w:ascii="Times New Roman" w:eastAsia="Times New Roman"/>
                <w:color w:val="auto"/>
              </w:rPr>
            </w:pPr>
            <w:r>
              <w:rPr>
                <w:rFonts w:cs="宋体"/>
                <w:color w:val="auto"/>
                <w:spacing w:val="-4"/>
                <w:sz w:val="21"/>
                <w:szCs w:val="21"/>
              </w:rPr>
              <w:t>使用综合评分法的采购项目，提供相同品牌产品且通过资格审</w:t>
            </w:r>
          </w:p>
        </w:tc>
      </w:tr>
      <w:tr>
        <w:tblPrEx>
          <w:tblCellMar>
            <w:top w:w="0" w:type="dxa"/>
            <w:left w:w="0" w:type="dxa"/>
            <w:bottom w:w="0" w:type="dxa"/>
            <w:right w:w="0" w:type="dxa"/>
          </w:tblCellMar>
        </w:tblPrEx>
        <w:trPr>
          <w:trHeight w:val="468"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24"/>
              <w:ind w:left="522"/>
              <w:rPr>
                <w:rFonts w:hint="default" w:ascii="Times New Roman" w:eastAsia="Times New Roman"/>
                <w:color w:val="auto"/>
              </w:rPr>
            </w:pPr>
          </w:p>
        </w:tc>
        <w:tc>
          <w:tcPr>
            <w:tcW w:w="2664"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24"/>
              <w:ind w:left="522"/>
              <w:rPr>
                <w:rFonts w:hint="default" w:ascii="Times New Roman" w:eastAsia="Times New Roman"/>
                <w:color w:val="auto"/>
              </w:rPr>
            </w:pPr>
          </w:p>
        </w:tc>
        <w:tc>
          <w:tcPr>
            <w:tcW w:w="6203" w:type="dxa"/>
            <w:tcBorders>
              <w:top w:val="nil"/>
              <w:left w:val="single" w:color="000000" w:sz="4" w:space="0"/>
              <w:bottom w:val="nil"/>
              <w:right w:val="single" w:color="000000" w:sz="4" w:space="0"/>
              <w:tl2br w:val="nil"/>
              <w:tr2bl w:val="nil"/>
            </w:tcBorders>
          </w:tcPr>
          <w:p>
            <w:pPr>
              <w:pStyle w:val="21"/>
              <w:kinsoku w:val="0"/>
              <w:overflowPunct w:val="0"/>
              <w:spacing w:before="64"/>
              <w:ind w:left="102"/>
              <w:rPr>
                <w:rFonts w:hint="default" w:ascii="Times New Roman" w:eastAsia="Times New Roman"/>
                <w:color w:val="auto"/>
              </w:rPr>
            </w:pPr>
            <w:r>
              <w:rPr>
                <w:rFonts w:cs="宋体"/>
                <w:color w:val="auto"/>
                <w:spacing w:val="-4"/>
                <w:sz w:val="21"/>
                <w:szCs w:val="21"/>
              </w:rPr>
              <w:t>查、符合性审查的不同</w:t>
            </w:r>
            <w:r>
              <w:rPr>
                <w:rFonts w:hint="eastAsia" w:cs="宋体"/>
                <w:color w:val="auto"/>
                <w:spacing w:val="-4"/>
                <w:sz w:val="21"/>
                <w:szCs w:val="21"/>
                <w:lang w:eastAsia="zh-CN"/>
              </w:rPr>
              <w:t>供应商</w:t>
            </w:r>
            <w:r>
              <w:rPr>
                <w:rFonts w:cs="宋体"/>
                <w:color w:val="auto"/>
                <w:spacing w:val="-4"/>
                <w:sz w:val="21"/>
                <w:szCs w:val="21"/>
              </w:rPr>
              <w:t>参加同一合同项下投标的，按一家投</w:t>
            </w:r>
          </w:p>
        </w:tc>
      </w:tr>
      <w:tr>
        <w:tblPrEx>
          <w:tblCellMar>
            <w:top w:w="0" w:type="dxa"/>
            <w:left w:w="0" w:type="dxa"/>
            <w:bottom w:w="0" w:type="dxa"/>
            <w:right w:w="0" w:type="dxa"/>
          </w:tblCellMar>
        </w:tblPrEx>
        <w:trPr>
          <w:trHeight w:val="468"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64"/>
              <w:ind w:left="102"/>
              <w:rPr>
                <w:rFonts w:hint="default" w:ascii="Times New Roman" w:eastAsia="Times New Roman"/>
                <w:color w:val="auto"/>
              </w:rPr>
            </w:pPr>
          </w:p>
        </w:tc>
        <w:tc>
          <w:tcPr>
            <w:tcW w:w="2664"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64"/>
              <w:ind w:left="102"/>
              <w:rPr>
                <w:rFonts w:hint="default" w:ascii="Times New Roman" w:eastAsia="Times New Roman"/>
                <w:color w:val="auto"/>
              </w:rPr>
            </w:pPr>
          </w:p>
        </w:tc>
        <w:tc>
          <w:tcPr>
            <w:tcW w:w="6203" w:type="dxa"/>
            <w:tcBorders>
              <w:top w:val="nil"/>
              <w:left w:val="single" w:color="000000" w:sz="4" w:space="0"/>
              <w:bottom w:val="nil"/>
              <w:right w:val="single" w:color="000000" w:sz="4" w:space="0"/>
              <w:tl2br w:val="nil"/>
              <w:tr2bl w:val="nil"/>
            </w:tcBorders>
          </w:tcPr>
          <w:p>
            <w:pPr>
              <w:pStyle w:val="21"/>
              <w:kinsoku w:val="0"/>
              <w:overflowPunct w:val="0"/>
              <w:spacing w:before="64"/>
              <w:ind w:left="102"/>
              <w:rPr>
                <w:rFonts w:hint="default" w:ascii="Times New Roman" w:eastAsia="Times New Roman"/>
                <w:color w:val="auto"/>
              </w:rPr>
            </w:pPr>
            <w:r>
              <w:rPr>
                <w:rFonts w:cs="宋体"/>
                <w:color w:val="auto"/>
                <w:sz w:val="21"/>
                <w:szCs w:val="21"/>
              </w:rPr>
              <w:t>标人计算，评审后得分最高的同品牌</w:t>
            </w:r>
            <w:r>
              <w:rPr>
                <w:rFonts w:hint="eastAsia" w:cs="宋体"/>
                <w:color w:val="auto"/>
                <w:sz w:val="21"/>
                <w:szCs w:val="21"/>
                <w:lang w:eastAsia="zh-CN"/>
              </w:rPr>
              <w:t>供应商</w:t>
            </w:r>
            <w:r>
              <w:rPr>
                <w:rFonts w:cs="宋体"/>
                <w:color w:val="auto"/>
                <w:sz w:val="21"/>
                <w:szCs w:val="21"/>
              </w:rPr>
              <w:t>获得中标人推荐资格；</w:t>
            </w:r>
          </w:p>
        </w:tc>
      </w:tr>
      <w:tr>
        <w:tblPrEx>
          <w:tblCellMar>
            <w:top w:w="0" w:type="dxa"/>
            <w:left w:w="0" w:type="dxa"/>
            <w:bottom w:w="0" w:type="dxa"/>
            <w:right w:w="0" w:type="dxa"/>
          </w:tblCellMar>
        </w:tblPrEx>
        <w:trPr>
          <w:trHeight w:val="468"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64"/>
              <w:ind w:left="102"/>
              <w:rPr>
                <w:rFonts w:hint="default" w:ascii="Times New Roman" w:eastAsia="Times New Roman"/>
                <w:color w:val="auto"/>
              </w:rPr>
            </w:pPr>
          </w:p>
        </w:tc>
        <w:tc>
          <w:tcPr>
            <w:tcW w:w="2664"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64"/>
              <w:ind w:left="102"/>
              <w:rPr>
                <w:rFonts w:hint="default" w:ascii="Times New Roman" w:eastAsia="Times New Roman"/>
                <w:color w:val="auto"/>
              </w:rPr>
            </w:pPr>
          </w:p>
        </w:tc>
        <w:tc>
          <w:tcPr>
            <w:tcW w:w="6203" w:type="dxa"/>
            <w:tcBorders>
              <w:top w:val="nil"/>
              <w:left w:val="single" w:color="000000" w:sz="4" w:space="0"/>
              <w:bottom w:val="nil"/>
              <w:right w:val="single" w:color="000000" w:sz="4" w:space="0"/>
              <w:tl2br w:val="nil"/>
              <w:tr2bl w:val="nil"/>
            </w:tcBorders>
          </w:tcPr>
          <w:p>
            <w:pPr>
              <w:pStyle w:val="21"/>
              <w:kinsoku w:val="0"/>
              <w:overflowPunct w:val="0"/>
              <w:spacing w:before="64"/>
              <w:ind w:left="102"/>
              <w:rPr>
                <w:rFonts w:hint="default" w:ascii="Times New Roman" w:eastAsia="Times New Roman"/>
                <w:color w:val="auto"/>
              </w:rPr>
            </w:pPr>
            <w:r>
              <w:rPr>
                <w:rFonts w:cs="宋体"/>
                <w:color w:val="auto"/>
                <w:spacing w:val="-4"/>
                <w:sz w:val="21"/>
                <w:szCs w:val="21"/>
              </w:rPr>
              <w:t>评审得分相同的，由采购人或者采购人委托评标委员会按照招标文</w:t>
            </w:r>
          </w:p>
        </w:tc>
      </w:tr>
      <w:tr>
        <w:tblPrEx>
          <w:tblCellMar>
            <w:top w:w="0" w:type="dxa"/>
            <w:left w:w="0" w:type="dxa"/>
            <w:bottom w:w="0" w:type="dxa"/>
            <w:right w:w="0" w:type="dxa"/>
          </w:tblCellMar>
        </w:tblPrEx>
        <w:trPr>
          <w:trHeight w:val="468"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64"/>
              <w:ind w:left="102"/>
              <w:rPr>
                <w:rFonts w:hint="default" w:ascii="Times New Roman" w:eastAsia="Times New Roman"/>
                <w:color w:val="auto"/>
              </w:rPr>
            </w:pPr>
          </w:p>
        </w:tc>
        <w:tc>
          <w:tcPr>
            <w:tcW w:w="2664"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64"/>
              <w:ind w:left="102"/>
              <w:rPr>
                <w:rFonts w:hint="default" w:ascii="Times New Roman" w:eastAsia="Times New Roman"/>
                <w:color w:val="auto"/>
              </w:rPr>
            </w:pPr>
          </w:p>
        </w:tc>
        <w:tc>
          <w:tcPr>
            <w:tcW w:w="6203" w:type="dxa"/>
            <w:tcBorders>
              <w:top w:val="nil"/>
              <w:left w:val="single" w:color="000000" w:sz="4" w:space="0"/>
              <w:bottom w:val="nil"/>
              <w:right w:val="single" w:color="000000" w:sz="4" w:space="0"/>
              <w:tl2br w:val="nil"/>
              <w:tr2bl w:val="nil"/>
            </w:tcBorders>
          </w:tcPr>
          <w:p>
            <w:pPr>
              <w:pStyle w:val="21"/>
              <w:kinsoku w:val="0"/>
              <w:overflowPunct w:val="0"/>
              <w:spacing w:before="64"/>
              <w:ind w:left="102"/>
              <w:rPr>
                <w:rFonts w:hint="default" w:ascii="Times New Roman" w:eastAsia="Times New Roman"/>
                <w:color w:val="auto"/>
              </w:rPr>
            </w:pPr>
            <w:r>
              <w:rPr>
                <w:rFonts w:cs="宋体"/>
                <w:color w:val="auto"/>
                <w:spacing w:val="-4"/>
                <w:sz w:val="21"/>
                <w:szCs w:val="21"/>
              </w:rPr>
              <w:t>件规定的方式确定一个</w:t>
            </w:r>
            <w:r>
              <w:rPr>
                <w:rFonts w:hint="eastAsia" w:cs="宋体"/>
                <w:color w:val="auto"/>
                <w:spacing w:val="-4"/>
                <w:sz w:val="21"/>
                <w:szCs w:val="21"/>
                <w:lang w:eastAsia="zh-CN"/>
              </w:rPr>
              <w:t>供应商</w:t>
            </w:r>
            <w:r>
              <w:rPr>
                <w:rFonts w:cs="宋体"/>
                <w:color w:val="auto"/>
                <w:spacing w:val="-4"/>
                <w:sz w:val="21"/>
                <w:szCs w:val="21"/>
              </w:rPr>
              <w:t>获得中标人推荐资格，招标文件未规</w:t>
            </w:r>
          </w:p>
        </w:tc>
      </w:tr>
      <w:tr>
        <w:tblPrEx>
          <w:tblCellMar>
            <w:top w:w="0" w:type="dxa"/>
            <w:left w:w="0" w:type="dxa"/>
            <w:bottom w:w="0" w:type="dxa"/>
            <w:right w:w="0" w:type="dxa"/>
          </w:tblCellMar>
        </w:tblPrEx>
        <w:trPr>
          <w:trHeight w:val="468"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64"/>
              <w:ind w:left="102"/>
              <w:rPr>
                <w:rFonts w:hint="default" w:ascii="Times New Roman" w:eastAsia="Times New Roman"/>
                <w:color w:val="auto"/>
              </w:rPr>
            </w:pPr>
          </w:p>
        </w:tc>
        <w:tc>
          <w:tcPr>
            <w:tcW w:w="2664"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64"/>
              <w:ind w:left="102"/>
              <w:rPr>
                <w:rFonts w:hint="default" w:ascii="Times New Roman" w:eastAsia="Times New Roman"/>
                <w:color w:val="auto"/>
              </w:rPr>
            </w:pPr>
          </w:p>
        </w:tc>
        <w:tc>
          <w:tcPr>
            <w:tcW w:w="6203" w:type="dxa"/>
            <w:tcBorders>
              <w:top w:val="nil"/>
              <w:left w:val="single" w:color="000000" w:sz="4" w:space="0"/>
              <w:bottom w:val="nil"/>
              <w:right w:val="single" w:color="000000" w:sz="4" w:space="0"/>
              <w:tl2br w:val="nil"/>
              <w:tr2bl w:val="nil"/>
            </w:tcBorders>
          </w:tcPr>
          <w:p>
            <w:pPr>
              <w:pStyle w:val="21"/>
              <w:kinsoku w:val="0"/>
              <w:overflowPunct w:val="0"/>
              <w:spacing w:before="64"/>
              <w:ind w:left="102"/>
              <w:rPr>
                <w:rFonts w:hint="default" w:ascii="Times New Roman" w:eastAsia="Times New Roman"/>
                <w:color w:val="auto"/>
              </w:rPr>
            </w:pPr>
            <w:r>
              <w:rPr>
                <w:rFonts w:cs="宋体"/>
                <w:color w:val="auto"/>
                <w:spacing w:val="4"/>
                <w:sz w:val="21"/>
                <w:szCs w:val="21"/>
              </w:rPr>
              <w:t>定的采取随机抽取方式确定，其他同品牌</w:t>
            </w:r>
            <w:r>
              <w:rPr>
                <w:rFonts w:hint="eastAsia" w:cs="宋体"/>
                <w:color w:val="auto"/>
                <w:spacing w:val="4"/>
                <w:sz w:val="21"/>
                <w:szCs w:val="21"/>
                <w:lang w:eastAsia="zh-CN"/>
              </w:rPr>
              <w:t>供应商</w:t>
            </w:r>
            <w:r>
              <w:rPr>
                <w:rFonts w:cs="宋体"/>
                <w:color w:val="auto"/>
                <w:spacing w:val="4"/>
                <w:sz w:val="21"/>
                <w:szCs w:val="21"/>
              </w:rPr>
              <w:t>不作为中标候选</w:t>
            </w:r>
          </w:p>
        </w:tc>
      </w:tr>
      <w:tr>
        <w:tblPrEx>
          <w:tblCellMar>
            <w:top w:w="0" w:type="dxa"/>
            <w:left w:w="0" w:type="dxa"/>
            <w:bottom w:w="0" w:type="dxa"/>
            <w:right w:w="0" w:type="dxa"/>
          </w:tblCellMar>
        </w:tblPrEx>
        <w:trPr>
          <w:trHeight w:val="473"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64"/>
              <w:ind w:left="102"/>
              <w:rPr>
                <w:rFonts w:hint="default" w:ascii="Times New Roman" w:eastAsia="Times New Roman"/>
                <w:color w:val="auto"/>
              </w:rPr>
            </w:pPr>
          </w:p>
        </w:tc>
        <w:tc>
          <w:tcPr>
            <w:tcW w:w="2664"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64"/>
              <w:ind w:left="102"/>
              <w:rPr>
                <w:rFonts w:hint="default" w:ascii="Times New Roman" w:eastAsia="Times New Roman"/>
                <w:color w:val="auto"/>
              </w:rPr>
            </w:pPr>
          </w:p>
        </w:tc>
        <w:tc>
          <w:tcPr>
            <w:tcW w:w="6203" w:type="dxa"/>
            <w:tcBorders>
              <w:top w:val="nil"/>
              <w:left w:val="single" w:color="000000" w:sz="4" w:space="0"/>
              <w:bottom w:val="single" w:color="000000" w:sz="4" w:space="0"/>
              <w:right w:val="single" w:color="000000" w:sz="4" w:space="0"/>
              <w:tl2br w:val="nil"/>
              <w:tr2bl w:val="nil"/>
            </w:tcBorders>
          </w:tcPr>
          <w:p>
            <w:pPr>
              <w:pStyle w:val="21"/>
              <w:kinsoku w:val="0"/>
              <w:overflowPunct w:val="0"/>
              <w:spacing w:before="64"/>
              <w:ind w:left="102"/>
              <w:rPr>
                <w:rFonts w:hint="default" w:ascii="Times New Roman" w:eastAsia="Times New Roman"/>
                <w:color w:val="auto"/>
              </w:rPr>
            </w:pPr>
            <w:r>
              <w:rPr>
                <w:rFonts w:cs="宋体"/>
                <w:color w:val="auto"/>
                <w:sz w:val="21"/>
                <w:szCs w:val="21"/>
              </w:rPr>
              <w:t>人。</w:t>
            </w:r>
          </w:p>
        </w:tc>
      </w:tr>
      <w:tr>
        <w:tblPrEx>
          <w:tblCellMar>
            <w:top w:w="0" w:type="dxa"/>
            <w:left w:w="0" w:type="dxa"/>
            <w:bottom w:w="0" w:type="dxa"/>
            <w:right w:w="0" w:type="dxa"/>
          </w:tblCellMar>
        </w:tblPrEx>
        <w:trPr>
          <w:trHeight w:val="2038" w:hRule="exact"/>
        </w:trPr>
        <w:tc>
          <w:tcPr>
            <w:tcW w:w="735"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spacing w:before="2"/>
              <w:rPr>
                <w:rFonts w:hint="default" w:ascii="Times New Roman" w:eastAsia="Times New Roman"/>
                <w:color w:val="auto"/>
                <w:sz w:val="27"/>
                <w:szCs w:val="27"/>
              </w:rPr>
            </w:pPr>
          </w:p>
          <w:p>
            <w:pPr>
              <w:pStyle w:val="21"/>
              <w:kinsoku w:val="0"/>
              <w:overflowPunct w:val="0"/>
              <w:ind w:left="240"/>
              <w:rPr>
                <w:rFonts w:hint="default" w:ascii="Times New Roman" w:eastAsia="Times New Roman"/>
                <w:color w:val="auto"/>
              </w:rPr>
            </w:pPr>
            <w:r>
              <w:rPr>
                <w:rFonts w:cs="宋体"/>
                <w:b/>
                <w:color w:val="auto"/>
              </w:rPr>
              <w:t>22</w:t>
            </w:r>
          </w:p>
        </w:tc>
        <w:tc>
          <w:tcPr>
            <w:tcW w:w="2664"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spacing w:before="2"/>
              <w:rPr>
                <w:rFonts w:hint="default" w:ascii="Times New Roman" w:eastAsia="Times New Roman"/>
                <w:color w:val="auto"/>
                <w:sz w:val="27"/>
                <w:szCs w:val="27"/>
              </w:rPr>
            </w:pPr>
          </w:p>
          <w:p>
            <w:pPr>
              <w:pStyle w:val="21"/>
              <w:kinsoku w:val="0"/>
              <w:overflowPunct w:val="0"/>
              <w:ind w:left="724"/>
              <w:rPr>
                <w:rFonts w:hint="default" w:ascii="Times New Roman" w:eastAsia="Times New Roman"/>
                <w:color w:val="auto"/>
              </w:rPr>
            </w:pPr>
            <w:r>
              <w:rPr>
                <w:rFonts w:cs="宋体"/>
                <w:b/>
                <w:color w:val="auto"/>
              </w:rPr>
              <w:t>履约保证金</w:t>
            </w: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1"/>
              <w:ind w:left="102"/>
              <w:rPr>
                <w:rFonts w:hint="default" w:cs="宋体"/>
                <w:color w:val="auto"/>
              </w:rPr>
            </w:pPr>
            <w:r>
              <w:rPr>
                <w:rFonts w:ascii="MS Gothic" w:hAnsi="MS Gothic" w:eastAsia="MS Gothic" w:cs="MS Gothic"/>
                <w:color w:val="auto"/>
                <w:spacing w:val="-15"/>
              </w:rPr>
              <w:t>☑</w:t>
            </w:r>
            <w:r>
              <w:rPr>
                <w:rFonts w:cs="宋体"/>
                <w:color w:val="auto"/>
              </w:rPr>
              <w:t>不交纳</w:t>
            </w:r>
          </w:p>
          <w:p>
            <w:pPr>
              <w:pStyle w:val="21"/>
              <w:kinsoku w:val="0"/>
              <w:overflowPunct w:val="0"/>
              <w:spacing w:before="1"/>
              <w:rPr>
                <w:rFonts w:hint="default" w:ascii="Times New Roman" w:eastAsia="Times New Roman"/>
                <w:color w:val="auto"/>
                <w:sz w:val="21"/>
                <w:szCs w:val="21"/>
              </w:rPr>
            </w:pPr>
          </w:p>
          <w:p>
            <w:pPr>
              <w:pStyle w:val="21"/>
              <w:kinsoku w:val="0"/>
              <w:overflowPunct w:val="0"/>
              <w:ind w:left="102"/>
              <w:rPr>
                <w:rFonts w:hint="default" w:hAnsi="Segoe UI Emoji" w:cs="宋体"/>
                <w:color w:val="auto"/>
                <w:spacing w:val="-30"/>
              </w:rPr>
            </w:pPr>
            <w:r>
              <w:rPr>
                <w:rFonts w:hint="eastAsia" w:ascii="MS Gothic" w:hAnsi="MS Gothic" w:eastAsia="宋体" w:cs="MS Gothic"/>
                <w:color w:val="auto"/>
                <w:spacing w:val="-15"/>
                <w:lang w:eastAsia="zh-CN"/>
              </w:rPr>
              <w:t>□</w:t>
            </w:r>
            <w:r>
              <w:rPr>
                <w:rFonts w:hAnsi="Segoe UI Emoji" w:cs="宋体"/>
                <w:color w:val="auto"/>
                <w:spacing w:val="-30"/>
              </w:rPr>
              <w:t>交纳</w:t>
            </w:r>
          </w:p>
          <w:p>
            <w:pPr>
              <w:pStyle w:val="21"/>
              <w:kinsoku w:val="0"/>
              <w:overflowPunct w:val="0"/>
              <w:spacing w:before="48" w:line="460" w:lineRule="atLeast"/>
              <w:ind w:left="102" w:right="100"/>
              <w:rPr>
                <w:rFonts w:hint="default" w:ascii="Times New Roman" w:eastAsia="Times New Roman"/>
                <w:color w:val="auto"/>
              </w:rPr>
            </w:pPr>
            <w:r>
              <w:rPr>
                <w:rFonts w:cs="宋体"/>
                <w:color w:val="auto"/>
                <w:spacing w:val="-1"/>
              </w:rPr>
              <w:t>履约保证金的交纳必须以公对公账户进行电汇或转账，否</w:t>
            </w:r>
            <w:r>
              <w:rPr>
                <w:rFonts w:cs="宋体"/>
                <w:color w:val="auto"/>
                <w:spacing w:val="-108"/>
              </w:rPr>
              <w:t xml:space="preserve"> </w:t>
            </w:r>
            <w:r>
              <w:rPr>
                <w:rFonts w:cs="宋体"/>
                <w:color w:val="auto"/>
              </w:rPr>
              <w:t>则不予认可。</w:t>
            </w:r>
          </w:p>
        </w:tc>
      </w:tr>
      <w:tr>
        <w:tblPrEx>
          <w:tblCellMar>
            <w:top w:w="0" w:type="dxa"/>
            <w:left w:w="0" w:type="dxa"/>
            <w:bottom w:w="0" w:type="dxa"/>
            <w:right w:w="0" w:type="dxa"/>
          </w:tblCellMar>
        </w:tblPrEx>
        <w:trPr>
          <w:trHeight w:val="478"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8" w:line="460" w:lineRule="atLeast"/>
              <w:ind w:left="102" w:right="100"/>
              <w:rPr>
                <w:rFonts w:hint="default" w:ascii="Times New Roman" w:eastAsia="Times New Roman"/>
                <w:color w:val="auto"/>
              </w:rPr>
            </w:pPr>
          </w:p>
        </w:tc>
        <w:tc>
          <w:tcPr>
            <w:tcW w:w="2664"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8" w:line="460" w:lineRule="atLeast"/>
              <w:ind w:left="102" w:right="100"/>
              <w:rPr>
                <w:rFonts w:hint="default" w:ascii="Times New Roman" w:eastAsia="Times New Roman"/>
                <w:color w:val="auto"/>
              </w:rPr>
            </w:pP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02"/>
              <w:rPr>
                <w:rFonts w:hint="default" w:ascii="Times New Roman" w:eastAsia="Times New Roman"/>
                <w:b/>
                <w:bCs/>
                <w:color w:val="auto"/>
              </w:rPr>
            </w:pPr>
            <w:r>
              <w:rPr>
                <w:rFonts w:cs="宋体"/>
                <w:b/>
                <w:bCs/>
                <w:color w:val="auto"/>
              </w:rPr>
              <w:t>交纳时间：</w:t>
            </w:r>
          </w:p>
        </w:tc>
      </w:tr>
      <w:tr>
        <w:tblPrEx>
          <w:tblCellMar>
            <w:top w:w="0" w:type="dxa"/>
            <w:left w:w="0" w:type="dxa"/>
            <w:bottom w:w="0" w:type="dxa"/>
            <w:right w:w="0" w:type="dxa"/>
          </w:tblCellMar>
        </w:tblPrEx>
        <w:trPr>
          <w:trHeight w:val="478"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p>
        </w:tc>
        <w:tc>
          <w:tcPr>
            <w:tcW w:w="2664"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02"/>
              <w:rPr>
                <w:rFonts w:hint="default" w:ascii="Times New Roman" w:eastAsia="Times New Roman"/>
                <w:b/>
                <w:bCs/>
                <w:color w:val="auto"/>
              </w:rPr>
            </w:pPr>
            <w:r>
              <w:rPr>
                <w:rFonts w:cs="宋体"/>
                <w:b/>
                <w:bCs/>
                <w:color w:val="auto"/>
              </w:rPr>
              <w:t>交纳金额：</w:t>
            </w:r>
          </w:p>
        </w:tc>
      </w:tr>
      <w:tr>
        <w:tblPrEx>
          <w:tblCellMar>
            <w:top w:w="0" w:type="dxa"/>
            <w:left w:w="0" w:type="dxa"/>
            <w:bottom w:w="0" w:type="dxa"/>
            <w:right w:w="0" w:type="dxa"/>
          </w:tblCellMar>
        </w:tblPrEx>
        <w:trPr>
          <w:trHeight w:val="1414"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p>
        </w:tc>
        <w:tc>
          <w:tcPr>
            <w:tcW w:w="2664"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line="357" w:lineRule="auto"/>
              <w:ind w:left="102" w:right="3448"/>
              <w:rPr>
                <w:rFonts w:hint="default" w:cs="宋体"/>
                <w:color w:val="auto"/>
              </w:rPr>
            </w:pPr>
            <w:r>
              <w:rPr>
                <w:rFonts w:cs="宋体"/>
                <w:color w:val="auto"/>
              </w:rPr>
              <w:t>收款单位：按采购人要求 开户银行：按采购人要求</w:t>
            </w:r>
          </w:p>
          <w:p>
            <w:pPr>
              <w:pStyle w:val="21"/>
              <w:kinsoku w:val="0"/>
              <w:overflowPunct w:val="0"/>
              <w:spacing w:before="36"/>
              <w:ind w:left="102"/>
              <w:rPr>
                <w:rFonts w:hint="default" w:ascii="Times New Roman" w:eastAsia="Times New Roman"/>
                <w:color w:val="auto"/>
              </w:rPr>
            </w:pPr>
            <w:r>
              <w:rPr>
                <w:rFonts w:cs="宋体"/>
                <w:color w:val="auto"/>
              </w:rPr>
              <w:t>银行账号：按采购人要求</w:t>
            </w:r>
          </w:p>
        </w:tc>
      </w:tr>
      <w:tr>
        <w:tblPrEx>
          <w:tblCellMar>
            <w:top w:w="0" w:type="dxa"/>
            <w:left w:w="0" w:type="dxa"/>
            <w:bottom w:w="0" w:type="dxa"/>
            <w:right w:w="0" w:type="dxa"/>
          </w:tblCellMar>
        </w:tblPrEx>
        <w:trPr>
          <w:trHeight w:val="1443"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36"/>
              <w:ind w:left="102"/>
              <w:rPr>
                <w:rFonts w:hint="default" w:ascii="Times New Roman" w:eastAsia="Times New Roman"/>
                <w:color w:val="auto"/>
              </w:rPr>
            </w:pPr>
          </w:p>
        </w:tc>
        <w:tc>
          <w:tcPr>
            <w:tcW w:w="2664"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36"/>
              <w:ind w:left="102"/>
              <w:rPr>
                <w:rFonts w:hint="default" w:ascii="Times New Roman" w:eastAsia="Times New Roman"/>
                <w:color w:val="auto"/>
              </w:rPr>
            </w:pP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spacing w:line="360" w:lineRule="exact"/>
              <w:rPr>
                <w:rFonts w:hint="default" w:cs="宋体"/>
                <w:color w:val="auto"/>
              </w:rPr>
            </w:pPr>
            <w:r>
              <w:rPr>
                <w:rFonts w:cs="宋体"/>
                <w:color w:val="auto"/>
              </w:rPr>
              <w:t>履约保证金退还时间：供货安装完成经使用方验收后，履约保证金自动转为项目质保金，在质保期满后后退还(不计利息)。</w:t>
            </w:r>
          </w:p>
          <w:p>
            <w:pPr>
              <w:pStyle w:val="21"/>
              <w:kinsoku w:val="0"/>
              <w:overflowPunct w:val="0"/>
              <w:spacing w:before="42"/>
              <w:ind w:left="102"/>
              <w:rPr>
                <w:rFonts w:hint="default" w:ascii="Times New Roman" w:eastAsia="Times New Roman"/>
                <w:color w:val="auto"/>
              </w:rPr>
            </w:pPr>
          </w:p>
        </w:tc>
      </w:tr>
    </w:tbl>
    <w:p>
      <w:pPr>
        <w:rPr>
          <w:rFonts w:hint="default" w:ascii="Times New Roman" w:eastAsia="Times New Roman"/>
          <w:color w:val="auto"/>
        </w:rPr>
        <w:sectPr>
          <w:pgSz w:w="11910" w:h="16840"/>
          <w:pgMar w:top="1340" w:right="1040" w:bottom="1580" w:left="1040" w:header="0" w:footer="1395" w:gutter="0"/>
          <w:cols w:space="720" w:num="1"/>
        </w:sectPr>
      </w:pPr>
    </w:p>
    <w:p>
      <w:pPr>
        <w:pStyle w:val="8"/>
        <w:kinsoku w:val="0"/>
        <w:overflowPunct w:val="0"/>
        <w:spacing w:before="2"/>
        <w:ind w:left="0"/>
        <w:rPr>
          <w:rFonts w:hint="default" w:ascii="Times New Roman" w:eastAsia="Times New Roman" w:cs="Times New Roman"/>
          <w:color w:val="auto"/>
          <w:sz w:val="7"/>
          <w:szCs w:val="7"/>
        </w:rPr>
      </w:pPr>
    </w:p>
    <w:tbl>
      <w:tblPr>
        <w:tblStyle w:val="17"/>
        <w:tblW w:w="0" w:type="auto"/>
        <w:tblInd w:w="107" w:type="dxa"/>
        <w:tblLayout w:type="fixed"/>
        <w:tblCellMar>
          <w:top w:w="0" w:type="dxa"/>
          <w:left w:w="0" w:type="dxa"/>
          <w:bottom w:w="0" w:type="dxa"/>
          <w:right w:w="0" w:type="dxa"/>
        </w:tblCellMar>
      </w:tblPr>
      <w:tblGrid>
        <w:gridCol w:w="735"/>
        <w:gridCol w:w="2664"/>
        <w:gridCol w:w="6203"/>
      </w:tblGrid>
      <w:tr>
        <w:tblPrEx>
          <w:tblCellMar>
            <w:top w:w="0" w:type="dxa"/>
            <w:left w:w="0" w:type="dxa"/>
            <w:bottom w:w="0" w:type="dxa"/>
            <w:right w:w="0" w:type="dxa"/>
          </w:tblCellMar>
        </w:tblPrEx>
        <w:trPr>
          <w:trHeight w:val="3331" w:hRule="exact"/>
        </w:trPr>
        <w:tc>
          <w:tcPr>
            <w:tcW w:w="73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spacing w:before="8"/>
              <w:rPr>
                <w:rFonts w:hint="default" w:ascii="Times New Roman" w:eastAsia="Times New Roman"/>
                <w:color w:val="auto"/>
                <w:sz w:val="32"/>
                <w:szCs w:val="32"/>
              </w:rPr>
            </w:pPr>
          </w:p>
          <w:p>
            <w:pPr>
              <w:pStyle w:val="21"/>
              <w:kinsoku w:val="0"/>
              <w:overflowPunct w:val="0"/>
              <w:ind w:left="240"/>
              <w:rPr>
                <w:rFonts w:hint="default" w:ascii="Times New Roman" w:eastAsia="Times New Roman"/>
                <w:color w:val="auto"/>
              </w:rPr>
            </w:pPr>
            <w:r>
              <w:rPr>
                <w:rFonts w:cs="宋体"/>
                <w:b/>
                <w:color w:val="auto"/>
              </w:rPr>
              <w:t>23</w:t>
            </w:r>
          </w:p>
        </w:tc>
        <w:tc>
          <w:tcPr>
            <w:tcW w:w="2664"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spacing w:before="8"/>
              <w:rPr>
                <w:rFonts w:hint="default" w:ascii="Times New Roman" w:eastAsia="Times New Roman"/>
                <w:color w:val="auto"/>
                <w:sz w:val="32"/>
                <w:szCs w:val="32"/>
              </w:rPr>
            </w:pPr>
          </w:p>
          <w:p>
            <w:pPr>
              <w:pStyle w:val="21"/>
              <w:kinsoku w:val="0"/>
              <w:overflowPunct w:val="0"/>
              <w:ind w:left="724"/>
              <w:rPr>
                <w:rFonts w:hint="default" w:ascii="Times New Roman" w:eastAsia="Times New Roman"/>
                <w:color w:val="auto"/>
              </w:rPr>
            </w:pPr>
            <w:r>
              <w:rPr>
                <w:rFonts w:cs="宋体"/>
                <w:b/>
                <w:color w:val="auto"/>
              </w:rPr>
              <w:t>代理服务费</w:t>
            </w: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02"/>
              <w:rPr>
                <w:rFonts w:hint="default" w:cs="宋体"/>
                <w:color w:val="auto"/>
              </w:rPr>
            </w:pPr>
            <w:r>
              <w:rPr>
                <w:rFonts w:cs="宋体"/>
                <w:color w:val="auto"/>
              </w:rPr>
              <w:t>□不交纳</w:t>
            </w:r>
          </w:p>
          <w:p>
            <w:pPr>
              <w:pStyle w:val="21"/>
              <w:kinsoku w:val="0"/>
              <w:overflowPunct w:val="0"/>
              <w:spacing w:before="4"/>
              <w:rPr>
                <w:rFonts w:hint="default" w:ascii="Times New Roman" w:eastAsia="Times New Roman"/>
                <w:color w:val="auto"/>
                <w:sz w:val="21"/>
                <w:szCs w:val="21"/>
              </w:rPr>
            </w:pPr>
          </w:p>
          <w:p>
            <w:pPr>
              <w:pStyle w:val="21"/>
              <w:kinsoku w:val="0"/>
              <w:overflowPunct w:val="0"/>
              <w:spacing w:before="19" w:line="357" w:lineRule="auto"/>
              <w:ind w:left="102" w:right="100"/>
              <w:rPr>
                <w:rFonts w:hint="default" w:ascii="宋体" w:eastAsia="宋体" w:cs="宋体"/>
                <w:color w:val="auto"/>
              </w:rPr>
            </w:pPr>
            <w:r>
              <w:rPr>
                <w:rFonts w:ascii="宋体" w:eastAsia="宋体" w:cs="宋体"/>
                <w:color w:val="auto"/>
              </w:rPr>
              <w:t>☑交纳 交纳时间：中标公示结束后</w:t>
            </w:r>
          </w:p>
          <w:p>
            <w:pPr>
              <w:pStyle w:val="21"/>
              <w:kinsoku w:val="0"/>
              <w:overflowPunct w:val="0"/>
              <w:spacing w:before="19" w:line="357" w:lineRule="auto"/>
              <w:ind w:left="102" w:right="100"/>
              <w:rPr>
                <w:rFonts w:hint="default" w:cs="宋体"/>
                <w:color w:val="auto"/>
              </w:rPr>
            </w:pPr>
            <w:r>
              <w:rPr>
                <w:rFonts w:cs="宋体"/>
                <w:color w:val="auto"/>
                <w:spacing w:val="-3"/>
              </w:rPr>
              <w:t>交纳金额：参照原国家计委计价格【2002】1980</w:t>
            </w:r>
            <w:r>
              <w:rPr>
                <w:rFonts w:cs="宋体"/>
                <w:color w:val="auto"/>
                <w:spacing w:val="-59"/>
              </w:rPr>
              <w:t xml:space="preserve"> </w:t>
            </w:r>
            <w:r>
              <w:rPr>
                <w:rFonts w:cs="宋体"/>
                <w:color w:val="auto"/>
              </w:rPr>
              <w:t>号文和国 家发改委发改办价格【2003】857</w:t>
            </w:r>
            <w:r>
              <w:rPr>
                <w:rFonts w:cs="宋体"/>
                <w:color w:val="auto"/>
                <w:spacing w:val="-61"/>
              </w:rPr>
              <w:t xml:space="preserve"> </w:t>
            </w:r>
            <w:r>
              <w:rPr>
                <w:rFonts w:cs="宋体"/>
                <w:color w:val="auto"/>
              </w:rPr>
              <w:t xml:space="preserve">号文的计算方法收取。 收款单位：伊犁双信招投标代理有限责任公司 </w:t>
            </w:r>
          </w:p>
          <w:p>
            <w:pPr>
              <w:pStyle w:val="21"/>
              <w:kinsoku w:val="0"/>
              <w:overflowPunct w:val="0"/>
              <w:spacing w:before="19" w:line="357" w:lineRule="auto"/>
              <w:ind w:left="102" w:right="100"/>
              <w:rPr>
                <w:rFonts w:hint="default" w:cs="宋体"/>
                <w:color w:val="auto"/>
              </w:rPr>
            </w:pPr>
            <w:r>
              <w:rPr>
                <w:rFonts w:cs="宋体"/>
                <w:color w:val="auto"/>
              </w:rPr>
              <w:t>开户银行：</w:t>
            </w:r>
            <w:r>
              <w:rPr>
                <w:rFonts w:hAnsi="宋体" w:cs="宋体"/>
                <w:color w:val="auto"/>
                <w:spacing w:val="-10"/>
                <w:szCs w:val="21"/>
              </w:rPr>
              <w:t>伊犁农业银行军垦路兵团支行</w:t>
            </w:r>
          </w:p>
          <w:p>
            <w:pPr>
              <w:pStyle w:val="21"/>
              <w:kinsoku w:val="0"/>
              <w:overflowPunct w:val="0"/>
              <w:spacing w:before="36"/>
              <w:ind w:left="102"/>
              <w:rPr>
                <w:rFonts w:hint="default" w:ascii="Times New Roman" w:eastAsia="Times New Roman"/>
                <w:color w:val="auto"/>
              </w:rPr>
            </w:pPr>
            <w:r>
              <w:rPr>
                <w:rFonts w:cs="宋体"/>
                <w:color w:val="auto"/>
              </w:rPr>
              <w:t>银行账号：</w:t>
            </w:r>
            <w:r>
              <w:rPr>
                <w:rFonts w:hAnsi="宋体" w:cs="宋体"/>
                <w:color w:val="auto"/>
                <w:szCs w:val="21"/>
              </w:rPr>
              <w:t>30735301040003273</w:t>
            </w:r>
          </w:p>
        </w:tc>
      </w:tr>
      <w:tr>
        <w:tblPrEx>
          <w:tblCellMar>
            <w:top w:w="0" w:type="dxa"/>
            <w:left w:w="0" w:type="dxa"/>
            <w:bottom w:w="0" w:type="dxa"/>
            <w:right w:w="0" w:type="dxa"/>
          </w:tblCellMar>
        </w:tblPrEx>
        <w:trPr>
          <w:trHeight w:val="907" w:hRule="exact"/>
        </w:trPr>
        <w:tc>
          <w:tcPr>
            <w:tcW w:w="7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1"/>
              <w:kinsoku w:val="0"/>
              <w:overflowPunct w:val="0"/>
              <w:ind w:left="240"/>
              <w:jc w:val="both"/>
              <w:rPr>
                <w:rFonts w:hint="default" w:ascii="Times New Roman" w:eastAsia="Times New Roman"/>
                <w:color w:val="auto"/>
              </w:rPr>
            </w:pPr>
            <w:r>
              <w:rPr>
                <w:rFonts w:cs="宋体"/>
                <w:b/>
                <w:color w:val="auto"/>
              </w:rPr>
              <w:t>24</w:t>
            </w:r>
          </w:p>
        </w:tc>
        <w:tc>
          <w:tcPr>
            <w:tcW w:w="266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1"/>
              <w:kinsoku w:val="0"/>
              <w:overflowPunct w:val="0"/>
              <w:ind w:left="724"/>
              <w:jc w:val="both"/>
              <w:rPr>
                <w:rFonts w:hint="default" w:ascii="Times New Roman" w:eastAsia="Times New Roman"/>
                <w:color w:val="auto"/>
              </w:rPr>
            </w:pPr>
            <w:r>
              <w:rPr>
                <w:rFonts w:cs="宋体"/>
                <w:b/>
                <w:color w:val="auto"/>
              </w:rPr>
              <w:t>场地服务费</w:t>
            </w: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1"/>
              <w:ind w:left="102"/>
              <w:rPr>
                <w:rFonts w:hAnsi="Wingdings" w:cs="宋体"/>
                <w:color w:val="auto"/>
              </w:rPr>
            </w:pPr>
            <w:r>
              <w:rPr>
                <w:rFonts w:ascii="MS Gothic" w:hAnsi="MS Gothic" w:eastAsia="MS Gothic" w:cs="MS Gothic"/>
                <w:color w:val="auto"/>
                <w:spacing w:val="-30"/>
              </w:rPr>
              <w:t>☑</w:t>
            </w:r>
            <w:r>
              <w:rPr>
                <w:rFonts w:hAnsi="Wingdings" w:cs="宋体"/>
                <w:color w:val="auto"/>
              </w:rPr>
              <w:t>不交纳</w:t>
            </w:r>
          </w:p>
          <w:p>
            <w:pPr>
              <w:pStyle w:val="21"/>
              <w:kinsoku w:val="0"/>
              <w:overflowPunct w:val="0"/>
              <w:spacing w:before="137" w:line="357" w:lineRule="auto"/>
              <w:ind w:left="102" w:right="5128"/>
              <w:rPr>
                <w:rFonts w:hint="default" w:ascii="Times New Roman" w:eastAsia="Times New Roman"/>
                <w:color w:val="auto"/>
              </w:rPr>
            </w:pPr>
            <w:r>
              <w:rPr>
                <w:rFonts w:cs="宋体"/>
                <w:color w:val="auto"/>
              </w:rPr>
              <w:t xml:space="preserve">□交纳 </w:t>
            </w:r>
          </w:p>
        </w:tc>
      </w:tr>
      <w:tr>
        <w:tblPrEx>
          <w:tblCellMar>
            <w:top w:w="0" w:type="dxa"/>
            <w:left w:w="0" w:type="dxa"/>
            <w:bottom w:w="0" w:type="dxa"/>
            <w:right w:w="0" w:type="dxa"/>
          </w:tblCellMar>
        </w:tblPrEx>
        <w:trPr>
          <w:trHeight w:val="946" w:hRule="exact"/>
        </w:trPr>
        <w:tc>
          <w:tcPr>
            <w:tcW w:w="7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1"/>
              <w:kinsoku w:val="0"/>
              <w:overflowPunct w:val="0"/>
              <w:spacing w:before="190"/>
              <w:ind w:left="240"/>
              <w:jc w:val="both"/>
              <w:rPr>
                <w:rFonts w:hint="default" w:ascii="Times New Roman" w:eastAsia="Times New Roman"/>
                <w:color w:val="auto"/>
              </w:rPr>
            </w:pPr>
            <w:r>
              <w:rPr>
                <w:rFonts w:cs="宋体"/>
                <w:b/>
                <w:color w:val="auto"/>
              </w:rPr>
              <w:t>25</w:t>
            </w:r>
          </w:p>
        </w:tc>
        <w:tc>
          <w:tcPr>
            <w:tcW w:w="266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1"/>
              <w:kinsoku w:val="0"/>
              <w:overflowPunct w:val="0"/>
              <w:spacing w:before="190"/>
              <w:ind w:right="1"/>
              <w:jc w:val="center"/>
              <w:rPr>
                <w:rFonts w:hint="default" w:ascii="Times New Roman" w:eastAsia="Times New Roman"/>
                <w:color w:val="auto"/>
              </w:rPr>
            </w:pPr>
            <w:r>
              <w:rPr>
                <w:rFonts w:cs="宋体"/>
                <w:b/>
                <w:color w:val="auto"/>
              </w:rPr>
              <w:t>公证费</w:t>
            </w: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1"/>
              <w:ind w:left="102"/>
              <w:rPr>
                <w:rFonts w:hAnsi="Wingdings" w:cs="宋体"/>
                <w:color w:val="auto"/>
              </w:rPr>
            </w:pPr>
            <w:r>
              <w:rPr>
                <w:rFonts w:ascii="MS Gothic" w:hAnsi="MS Gothic" w:eastAsia="MS Gothic" w:cs="MS Gothic"/>
                <w:color w:val="auto"/>
                <w:spacing w:val="-30"/>
              </w:rPr>
              <w:t>☑</w:t>
            </w:r>
            <w:r>
              <w:rPr>
                <w:rFonts w:hAnsi="Wingdings" w:cs="宋体"/>
                <w:color w:val="auto"/>
              </w:rPr>
              <w:t>不交纳</w:t>
            </w:r>
          </w:p>
          <w:p>
            <w:pPr>
              <w:pStyle w:val="21"/>
              <w:kinsoku w:val="0"/>
              <w:overflowPunct w:val="0"/>
              <w:spacing w:before="137" w:line="357" w:lineRule="auto"/>
              <w:ind w:left="102" w:right="5128"/>
              <w:rPr>
                <w:rFonts w:hint="default" w:ascii="Times New Roman" w:eastAsia="Times New Roman"/>
                <w:color w:val="auto"/>
              </w:rPr>
            </w:pPr>
            <w:r>
              <w:rPr>
                <w:rFonts w:cs="宋体"/>
                <w:color w:val="auto"/>
              </w:rPr>
              <w:t xml:space="preserve">□交纳 </w:t>
            </w:r>
          </w:p>
          <w:p>
            <w:pPr>
              <w:pStyle w:val="21"/>
              <w:kinsoku w:val="0"/>
              <w:overflowPunct w:val="0"/>
              <w:spacing w:before="36"/>
              <w:ind w:left="102"/>
              <w:rPr>
                <w:rFonts w:hint="default" w:ascii="Times New Roman" w:eastAsia="Times New Roman"/>
                <w:color w:val="auto"/>
              </w:rPr>
            </w:pPr>
          </w:p>
        </w:tc>
      </w:tr>
      <w:tr>
        <w:tblPrEx>
          <w:tblCellMar>
            <w:top w:w="0" w:type="dxa"/>
            <w:left w:w="0" w:type="dxa"/>
            <w:bottom w:w="0" w:type="dxa"/>
            <w:right w:w="0" w:type="dxa"/>
          </w:tblCellMar>
        </w:tblPrEx>
        <w:trPr>
          <w:trHeight w:val="478" w:hRule="exact"/>
        </w:trPr>
        <w:tc>
          <w:tcPr>
            <w:tcW w:w="73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1"/>
              <w:ind w:left="240"/>
              <w:rPr>
                <w:rFonts w:hint="default" w:ascii="Times New Roman" w:eastAsia="Times New Roman"/>
                <w:color w:val="auto"/>
              </w:rPr>
            </w:pPr>
            <w:r>
              <w:rPr>
                <w:rFonts w:cs="宋体"/>
                <w:b/>
                <w:color w:val="auto"/>
              </w:rPr>
              <w:t>26</w:t>
            </w:r>
          </w:p>
        </w:tc>
        <w:tc>
          <w:tcPr>
            <w:tcW w:w="2664"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1"/>
              <w:ind w:left="844"/>
              <w:rPr>
                <w:rFonts w:hint="default" w:ascii="Times New Roman" w:eastAsia="Times New Roman"/>
                <w:color w:val="auto"/>
              </w:rPr>
            </w:pPr>
            <w:r>
              <w:rPr>
                <w:rFonts w:cs="宋体"/>
                <w:b/>
                <w:color w:val="auto"/>
              </w:rPr>
              <w:t>付款途径</w:t>
            </w: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1"/>
              <w:ind w:left="102"/>
              <w:rPr>
                <w:rFonts w:hint="default" w:ascii="Times New Roman" w:eastAsia="Times New Roman"/>
                <w:color w:val="auto"/>
              </w:rPr>
            </w:pPr>
            <w:r>
              <w:rPr>
                <w:rFonts w:cs="宋体"/>
                <w:color w:val="auto"/>
              </w:rPr>
              <w:t>电汇或网银</w:t>
            </w:r>
          </w:p>
        </w:tc>
      </w:tr>
      <w:tr>
        <w:tblPrEx>
          <w:tblCellMar>
            <w:top w:w="0" w:type="dxa"/>
            <w:left w:w="0" w:type="dxa"/>
            <w:bottom w:w="0" w:type="dxa"/>
            <w:right w:w="0" w:type="dxa"/>
          </w:tblCellMar>
        </w:tblPrEx>
        <w:trPr>
          <w:trHeight w:val="1146" w:hRule="exact"/>
        </w:trPr>
        <w:tc>
          <w:tcPr>
            <w:tcW w:w="73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ascii="Times New Roman" w:eastAsia="Times New Roman"/>
                <w:color w:val="auto"/>
              </w:rPr>
            </w:pPr>
          </w:p>
          <w:p>
            <w:pPr>
              <w:pStyle w:val="21"/>
              <w:kinsoku w:val="0"/>
              <w:overflowPunct w:val="0"/>
              <w:spacing w:before="156"/>
              <w:ind w:left="240"/>
              <w:rPr>
                <w:rFonts w:hint="default" w:ascii="Times New Roman" w:eastAsia="Times New Roman"/>
                <w:color w:val="auto"/>
              </w:rPr>
            </w:pPr>
            <w:r>
              <w:rPr>
                <w:rFonts w:cs="宋体"/>
                <w:b/>
                <w:color w:val="auto"/>
              </w:rPr>
              <w:t>27</w:t>
            </w:r>
          </w:p>
        </w:tc>
        <w:tc>
          <w:tcPr>
            <w:tcW w:w="2664"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ascii="Times New Roman" w:eastAsia="Times New Roman"/>
                <w:color w:val="auto"/>
              </w:rPr>
            </w:pPr>
          </w:p>
          <w:p>
            <w:pPr>
              <w:pStyle w:val="21"/>
              <w:kinsoku w:val="0"/>
              <w:overflowPunct w:val="0"/>
              <w:spacing w:before="156"/>
              <w:ind w:left="844"/>
              <w:rPr>
                <w:rFonts w:hint="default" w:ascii="Times New Roman" w:eastAsia="Times New Roman"/>
                <w:color w:val="auto"/>
              </w:rPr>
            </w:pPr>
            <w:r>
              <w:rPr>
                <w:rFonts w:cs="宋体"/>
                <w:b/>
                <w:color w:val="auto"/>
              </w:rPr>
              <w:t>付款方式</w:t>
            </w:r>
          </w:p>
        </w:tc>
        <w:tc>
          <w:tcPr>
            <w:tcW w:w="620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1"/>
              <w:kinsoku w:val="0"/>
              <w:overflowPunct w:val="0"/>
              <w:spacing w:before="29" w:line="312" w:lineRule="exact"/>
              <w:ind w:left="102" w:right="100"/>
              <w:jc w:val="both"/>
              <w:rPr>
                <w:rFonts w:hint="default" w:ascii="Times New Roman" w:eastAsia="Times New Roman"/>
                <w:color w:val="auto"/>
              </w:rPr>
            </w:pPr>
            <w:r>
              <w:rPr>
                <w:rFonts w:hint="eastAsia" w:cs="宋体"/>
                <w:color w:val="auto"/>
                <w:lang w:val="zh-CN"/>
              </w:rPr>
              <w:t>签订合同后付20%，验收合格后付30%，使用满一年无质量问题后付45%，其余二年后付清。</w:t>
            </w:r>
          </w:p>
        </w:tc>
      </w:tr>
      <w:tr>
        <w:tblPrEx>
          <w:tblCellMar>
            <w:top w:w="0" w:type="dxa"/>
            <w:left w:w="0" w:type="dxa"/>
            <w:bottom w:w="0" w:type="dxa"/>
            <w:right w:w="0" w:type="dxa"/>
          </w:tblCellMar>
        </w:tblPrEx>
        <w:trPr>
          <w:trHeight w:val="516" w:hRule="exact"/>
        </w:trPr>
        <w:tc>
          <w:tcPr>
            <w:tcW w:w="73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240"/>
              <w:rPr>
                <w:rFonts w:hint="default" w:ascii="Times New Roman" w:eastAsia="Times New Roman"/>
                <w:color w:val="auto"/>
              </w:rPr>
            </w:pPr>
            <w:r>
              <w:rPr>
                <w:rFonts w:cs="宋体"/>
                <w:b/>
                <w:color w:val="auto"/>
              </w:rPr>
              <w:t>28</w:t>
            </w:r>
          </w:p>
        </w:tc>
        <w:tc>
          <w:tcPr>
            <w:tcW w:w="2664"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724"/>
              <w:rPr>
                <w:rFonts w:hint="default" w:ascii="Times New Roman" w:eastAsia="Times New Roman"/>
                <w:color w:val="auto"/>
              </w:rPr>
            </w:pPr>
            <w:r>
              <w:rPr>
                <w:rFonts w:cs="宋体"/>
                <w:b/>
                <w:color w:val="auto"/>
              </w:rPr>
              <w:t>★</w:t>
            </w:r>
            <w:r>
              <w:rPr>
                <w:rFonts w:hint="eastAsia" w:cs="宋体"/>
                <w:b/>
                <w:color w:val="auto"/>
              </w:rPr>
              <w:t>合同履约期限</w:t>
            </w: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r>
              <w:rPr>
                <w:rFonts w:hint="eastAsia" w:hAnsi="宋体" w:cs="宋体"/>
                <w:b/>
                <w:bCs/>
                <w:color w:val="auto"/>
                <w:lang w:val="zh-CN"/>
              </w:rPr>
              <w:t>签订合同后30日内到货并安装完毕</w:t>
            </w:r>
            <w:r>
              <w:rPr>
                <w:rFonts w:hAnsi="宋体" w:cs="宋体"/>
                <w:b/>
                <w:bCs/>
                <w:color w:val="auto"/>
                <w:lang w:val="zh-CN"/>
              </w:rPr>
              <w:t>。</w:t>
            </w:r>
          </w:p>
        </w:tc>
      </w:tr>
      <w:tr>
        <w:tblPrEx>
          <w:tblCellMar>
            <w:top w:w="0" w:type="dxa"/>
            <w:left w:w="0" w:type="dxa"/>
            <w:bottom w:w="0" w:type="dxa"/>
            <w:right w:w="0" w:type="dxa"/>
          </w:tblCellMar>
        </w:tblPrEx>
        <w:trPr>
          <w:trHeight w:val="478" w:hRule="exact"/>
        </w:trPr>
        <w:tc>
          <w:tcPr>
            <w:tcW w:w="73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240"/>
              <w:rPr>
                <w:rFonts w:hint="default" w:ascii="Times New Roman" w:eastAsia="Times New Roman"/>
                <w:color w:val="auto"/>
              </w:rPr>
            </w:pPr>
            <w:r>
              <w:rPr>
                <w:rFonts w:cs="宋体"/>
                <w:b/>
                <w:color w:val="auto"/>
              </w:rPr>
              <w:t>29</w:t>
            </w:r>
          </w:p>
        </w:tc>
        <w:tc>
          <w:tcPr>
            <w:tcW w:w="2664"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724"/>
              <w:rPr>
                <w:rFonts w:hint="default" w:ascii="Times New Roman" w:eastAsia="Times New Roman"/>
                <w:color w:val="auto"/>
              </w:rPr>
            </w:pPr>
            <w:r>
              <w:rPr>
                <w:rFonts w:cs="宋体"/>
                <w:b/>
                <w:color w:val="auto"/>
              </w:rPr>
              <w:t>质保期</w:t>
            </w: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02"/>
              <w:rPr>
                <w:rFonts w:hint="eastAsia" w:ascii="Times New Roman" w:eastAsia="宋体"/>
                <w:color w:val="auto"/>
                <w:lang w:eastAsia="zh-CN"/>
              </w:rPr>
            </w:pPr>
            <w:r>
              <w:rPr>
                <w:rFonts w:cs="宋体"/>
                <w:color w:val="auto"/>
              </w:rPr>
              <w:t>2年</w:t>
            </w:r>
            <w:r>
              <w:rPr>
                <w:rFonts w:hint="eastAsia" w:cs="宋体"/>
                <w:color w:val="auto"/>
                <w:lang w:eastAsia="zh-CN"/>
              </w:rPr>
              <w:t>（质保期从终验结束后开始计算）</w:t>
            </w:r>
          </w:p>
        </w:tc>
      </w:tr>
      <w:tr>
        <w:tblPrEx>
          <w:tblCellMar>
            <w:top w:w="0" w:type="dxa"/>
            <w:left w:w="0" w:type="dxa"/>
            <w:bottom w:w="0" w:type="dxa"/>
            <w:right w:w="0" w:type="dxa"/>
          </w:tblCellMar>
        </w:tblPrEx>
        <w:trPr>
          <w:trHeight w:val="946" w:hRule="exact"/>
        </w:trPr>
        <w:tc>
          <w:tcPr>
            <w:tcW w:w="73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10"/>
              <w:rPr>
                <w:rFonts w:hint="default" w:ascii="Times New Roman" w:eastAsia="Times New Roman"/>
                <w:color w:val="auto"/>
                <w:sz w:val="23"/>
                <w:szCs w:val="23"/>
              </w:rPr>
            </w:pPr>
          </w:p>
          <w:p>
            <w:pPr>
              <w:pStyle w:val="21"/>
              <w:kinsoku w:val="0"/>
              <w:overflowPunct w:val="0"/>
              <w:ind w:left="240"/>
              <w:rPr>
                <w:rFonts w:hint="default" w:ascii="Times New Roman" w:eastAsia="Times New Roman"/>
                <w:color w:val="auto"/>
              </w:rPr>
            </w:pPr>
            <w:r>
              <w:rPr>
                <w:rFonts w:cs="宋体"/>
                <w:b/>
                <w:color w:val="auto"/>
              </w:rPr>
              <w:t>30</w:t>
            </w:r>
          </w:p>
        </w:tc>
        <w:tc>
          <w:tcPr>
            <w:tcW w:w="2664"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10"/>
              <w:rPr>
                <w:rFonts w:hint="default" w:ascii="Times New Roman" w:eastAsia="Times New Roman"/>
                <w:color w:val="auto"/>
                <w:sz w:val="23"/>
                <w:szCs w:val="23"/>
              </w:rPr>
            </w:pPr>
          </w:p>
          <w:p>
            <w:pPr>
              <w:pStyle w:val="21"/>
              <w:kinsoku w:val="0"/>
              <w:overflowPunct w:val="0"/>
              <w:ind w:left="724"/>
              <w:rPr>
                <w:rFonts w:hint="default" w:ascii="Times New Roman" w:eastAsia="Times New Roman"/>
                <w:color w:val="auto"/>
              </w:rPr>
            </w:pPr>
            <w:r>
              <w:rPr>
                <w:rFonts w:cs="宋体"/>
                <w:b/>
                <w:color w:val="auto"/>
              </w:rPr>
              <w:t>争议的解决</w:t>
            </w: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2"/>
              <w:ind w:left="102"/>
              <w:rPr>
                <w:rFonts w:hint="default" w:cs="宋体"/>
                <w:color w:val="auto"/>
              </w:rPr>
            </w:pPr>
            <w:r>
              <w:rPr>
                <w:rFonts w:cs="宋体"/>
                <w:color w:val="auto"/>
              </w:rPr>
              <w:t>若甲、乙双方发生纠纷，应首先友好协商解决，如不能达</w:t>
            </w:r>
          </w:p>
          <w:p>
            <w:pPr>
              <w:pStyle w:val="21"/>
              <w:kinsoku w:val="0"/>
              <w:overflowPunct w:val="0"/>
              <w:spacing w:before="154"/>
              <w:ind w:left="102"/>
              <w:rPr>
                <w:rFonts w:hint="default" w:ascii="Times New Roman" w:eastAsia="Times New Roman"/>
                <w:color w:val="auto"/>
              </w:rPr>
            </w:pPr>
            <w:r>
              <w:rPr>
                <w:rFonts w:cs="宋体"/>
                <w:color w:val="auto"/>
              </w:rPr>
              <w:t>成一致意见，可向当地人民法院提起诉讼</w:t>
            </w:r>
          </w:p>
        </w:tc>
      </w:tr>
      <w:tr>
        <w:tblPrEx>
          <w:tblCellMar>
            <w:top w:w="0" w:type="dxa"/>
            <w:left w:w="0" w:type="dxa"/>
            <w:bottom w:w="0" w:type="dxa"/>
            <w:right w:w="0" w:type="dxa"/>
          </w:tblCellMar>
        </w:tblPrEx>
        <w:trPr>
          <w:trHeight w:val="1102" w:hRule="exact"/>
        </w:trPr>
        <w:tc>
          <w:tcPr>
            <w:tcW w:w="73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9"/>
              <w:rPr>
                <w:rFonts w:hint="default" w:ascii="Times New Roman" w:eastAsia="Times New Roman"/>
                <w:color w:val="auto"/>
                <w:sz w:val="30"/>
                <w:szCs w:val="30"/>
              </w:rPr>
            </w:pPr>
          </w:p>
          <w:p>
            <w:pPr>
              <w:pStyle w:val="21"/>
              <w:kinsoku w:val="0"/>
              <w:overflowPunct w:val="0"/>
              <w:ind w:left="240"/>
              <w:rPr>
                <w:rFonts w:hint="default" w:ascii="Times New Roman" w:eastAsia="Times New Roman"/>
                <w:color w:val="auto"/>
              </w:rPr>
            </w:pPr>
            <w:r>
              <w:rPr>
                <w:rFonts w:cs="宋体"/>
                <w:b/>
                <w:color w:val="auto"/>
              </w:rPr>
              <w:t>31</w:t>
            </w:r>
          </w:p>
        </w:tc>
        <w:tc>
          <w:tcPr>
            <w:tcW w:w="2664"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118" w:line="357" w:lineRule="auto"/>
              <w:ind w:left="844" w:right="845"/>
              <w:rPr>
                <w:rFonts w:hint="default" w:ascii="Times New Roman" w:eastAsia="Times New Roman"/>
                <w:color w:val="auto"/>
              </w:rPr>
            </w:pPr>
            <w:r>
              <w:rPr>
                <w:rFonts w:cs="宋体"/>
                <w:b/>
                <w:color w:val="auto"/>
              </w:rPr>
              <w:t>是否需要</w:t>
            </w:r>
            <w:r>
              <w:rPr>
                <w:rFonts w:cs="宋体"/>
                <w:b/>
                <w:color w:val="auto"/>
                <w:w w:val="99"/>
              </w:rPr>
              <w:t xml:space="preserve"> </w:t>
            </w:r>
            <w:r>
              <w:rPr>
                <w:rFonts w:cs="宋体"/>
                <w:b/>
                <w:color w:val="auto"/>
              </w:rPr>
              <w:t>提交样品</w:t>
            </w: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130"/>
              <w:ind w:left="102"/>
              <w:rPr>
                <w:rFonts w:hint="default" w:hAnsi="Segoe UI Emoji" w:cs="宋体"/>
                <w:color w:val="auto"/>
                <w:spacing w:val="-23"/>
              </w:rPr>
            </w:pPr>
            <w:r>
              <w:rPr>
                <w:rFonts w:ascii="MS Gothic" w:hAnsi="MS Gothic" w:eastAsia="MS Gothic" w:cs="MS Gothic"/>
                <w:color w:val="auto"/>
                <w:spacing w:val="-23"/>
              </w:rPr>
              <w:t>☑</w:t>
            </w:r>
            <w:r>
              <w:rPr>
                <w:rFonts w:hAnsi="Segoe UI Emoji" w:cs="宋体"/>
                <w:color w:val="auto"/>
                <w:spacing w:val="-23"/>
              </w:rPr>
              <w:t>不需要</w:t>
            </w:r>
          </w:p>
          <w:p>
            <w:pPr>
              <w:pStyle w:val="21"/>
              <w:kinsoku w:val="0"/>
              <w:overflowPunct w:val="0"/>
              <w:spacing w:before="194"/>
              <w:ind w:left="102"/>
              <w:rPr>
                <w:rFonts w:hint="default" w:ascii="Times New Roman" w:eastAsia="Times New Roman"/>
                <w:color w:val="auto"/>
              </w:rPr>
            </w:pPr>
            <w:r>
              <w:rPr>
                <w:rFonts w:cs="宋体"/>
                <w:color w:val="auto"/>
              </w:rPr>
              <w:t>□需要，样品要求如下</w:t>
            </w:r>
          </w:p>
        </w:tc>
      </w:tr>
      <w:tr>
        <w:tblPrEx>
          <w:tblCellMar>
            <w:top w:w="0" w:type="dxa"/>
            <w:left w:w="0" w:type="dxa"/>
            <w:bottom w:w="0" w:type="dxa"/>
            <w:right w:w="0" w:type="dxa"/>
          </w:tblCellMar>
        </w:tblPrEx>
        <w:trPr>
          <w:trHeight w:val="1568" w:hRule="exact"/>
        </w:trPr>
        <w:tc>
          <w:tcPr>
            <w:tcW w:w="73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ascii="Times New Roman" w:eastAsia="Times New Roman"/>
                <w:color w:val="auto"/>
              </w:rPr>
            </w:pPr>
          </w:p>
          <w:p>
            <w:pPr>
              <w:pStyle w:val="21"/>
              <w:kinsoku w:val="0"/>
              <w:overflowPunct w:val="0"/>
              <w:spacing w:before="11"/>
              <w:rPr>
                <w:rFonts w:hint="default" w:ascii="Times New Roman" w:eastAsia="Times New Roman"/>
                <w:color w:val="auto"/>
                <w:sz w:val="26"/>
                <w:szCs w:val="26"/>
              </w:rPr>
            </w:pPr>
          </w:p>
          <w:p>
            <w:pPr>
              <w:pStyle w:val="21"/>
              <w:kinsoku w:val="0"/>
              <w:overflowPunct w:val="0"/>
              <w:ind w:left="240"/>
              <w:rPr>
                <w:rFonts w:hint="default" w:ascii="Times New Roman" w:eastAsia="Times New Roman"/>
                <w:color w:val="auto"/>
              </w:rPr>
            </w:pPr>
            <w:r>
              <w:rPr>
                <w:rFonts w:cs="宋体"/>
                <w:b/>
                <w:color w:val="auto"/>
              </w:rPr>
              <w:t>32</w:t>
            </w:r>
          </w:p>
        </w:tc>
        <w:tc>
          <w:tcPr>
            <w:tcW w:w="2664"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ascii="Times New Roman" w:eastAsia="Times New Roman"/>
                <w:color w:val="auto"/>
              </w:rPr>
            </w:pPr>
          </w:p>
          <w:p>
            <w:pPr>
              <w:pStyle w:val="21"/>
              <w:kinsoku w:val="0"/>
              <w:overflowPunct w:val="0"/>
              <w:spacing w:before="11"/>
              <w:rPr>
                <w:rFonts w:hint="default" w:ascii="Times New Roman" w:eastAsia="Times New Roman"/>
                <w:color w:val="auto"/>
                <w:sz w:val="26"/>
                <w:szCs w:val="26"/>
              </w:rPr>
            </w:pPr>
          </w:p>
          <w:p>
            <w:pPr>
              <w:pStyle w:val="21"/>
              <w:kinsoku w:val="0"/>
              <w:overflowPunct w:val="0"/>
              <w:ind w:left="844"/>
              <w:rPr>
                <w:rFonts w:hint="default" w:ascii="Times New Roman" w:eastAsia="Times New Roman"/>
                <w:color w:val="auto"/>
              </w:rPr>
            </w:pPr>
            <w:r>
              <w:rPr>
                <w:rFonts w:cs="宋体"/>
                <w:b/>
                <w:color w:val="auto"/>
              </w:rPr>
              <w:t>现场陈述</w:t>
            </w: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130"/>
              <w:ind w:left="102"/>
              <w:rPr>
                <w:rFonts w:hint="default" w:hAnsi="Segoe UI Emoji" w:cs="宋体"/>
                <w:color w:val="auto"/>
                <w:spacing w:val="-23"/>
              </w:rPr>
            </w:pPr>
            <w:r>
              <w:rPr>
                <w:rFonts w:ascii="MS Gothic" w:hAnsi="MS Gothic" w:eastAsia="MS Gothic" w:cs="MS Gothic"/>
                <w:color w:val="auto"/>
                <w:spacing w:val="-23"/>
              </w:rPr>
              <w:t>☑</w:t>
            </w:r>
            <w:r>
              <w:rPr>
                <w:rFonts w:hAnsi="Segoe UI Emoji" w:cs="宋体"/>
                <w:color w:val="auto"/>
                <w:spacing w:val="-23"/>
              </w:rPr>
              <w:t>不需要</w:t>
            </w:r>
          </w:p>
          <w:p>
            <w:pPr>
              <w:pStyle w:val="21"/>
              <w:kinsoku w:val="0"/>
              <w:overflowPunct w:val="0"/>
              <w:spacing w:before="38" w:line="470" w:lineRule="atLeast"/>
              <w:ind w:left="102" w:right="4408"/>
              <w:rPr>
                <w:rFonts w:hint="default" w:ascii="Times New Roman" w:eastAsia="Times New Roman"/>
                <w:color w:val="auto"/>
              </w:rPr>
            </w:pPr>
            <w:r>
              <w:rPr>
                <w:rFonts w:cs="宋体"/>
                <w:color w:val="auto"/>
              </w:rPr>
              <w:t>□需要 陈述要求如下：</w:t>
            </w:r>
          </w:p>
        </w:tc>
      </w:tr>
    </w:tbl>
    <w:p>
      <w:pPr>
        <w:rPr>
          <w:rFonts w:hint="default" w:ascii="Times New Roman" w:eastAsia="Times New Roman"/>
          <w:color w:val="auto"/>
        </w:rPr>
        <w:sectPr>
          <w:pgSz w:w="11910" w:h="16840"/>
          <w:pgMar w:top="1340" w:right="1040" w:bottom="1580" w:left="1040" w:header="0" w:footer="1395" w:gutter="0"/>
          <w:cols w:space="720" w:num="1"/>
        </w:sectPr>
      </w:pPr>
    </w:p>
    <w:p>
      <w:pPr>
        <w:pStyle w:val="8"/>
        <w:kinsoku w:val="0"/>
        <w:overflowPunct w:val="0"/>
        <w:spacing w:before="2"/>
        <w:ind w:left="0"/>
        <w:rPr>
          <w:rFonts w:hint="default" w:ascii="Times New Roman" w:eastAsia="Times New Roman" w:cs="Times New Roman"/>
          <w:color w:val="auto"/>
          <w:sz w:val="7"/>
          <w:szCs w:val="7"/>
        </w:rPr>
      </w:pPr>
    </w:p>
    <w:tbl>
      <w:tblPr>
        <w:tblStyle w:val="17"/>
        <w:tblW w:w="0" w:type="auto"/>
        <w:tblInd w:w="107" w:type="dxa"/>
        <w:tblLayout w:type="fixed"/>
        <w:tblCellMar>
          <w:top w:w="0" w:type="dxa"/>
          <w:left w:w="0" w:type="dxa"/>
          <w:bottom w:w="0" w:type="dxa"/>
          <w:right w:w="0" w:type="dxa"/>
        </w:tblCellMar>
      </w:tblPr>
      <w:tblGrid>
        <w:gridCol w:w="735"/>
        <w:gridCol w:w="2664"/>
        <w:gridCol w:w="6203"/>
      </w:tblGrid>
      <w:tr>
        <w:tblPrEx>
          <w:tblCellMar>
            <w:top w:w="0" w:type="dxa"/>
            <w:left w:w="0" w:type="dxa"/>
            <w:bottom w:w="0" w:type="dxa"/>
            <w:right w:w="0" w:type="dxa"/>
          </w:tblCellMar>
        </w:tblPrEx>
        <w:trPr>
          <w:trHeight w:val="2818" w:hRule="exact"/>
        </w:trPr>
        <w:tc>
          <w:tcPr>
            <w:tcW w:w="735"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266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02"/>
              <w:rPr>
                <w:rFonts w:hint="eastAsia" w:eastAsia="宋体" w:cs="宋体"/>
                <w:color w:val="auto"/>
                <w:lang w:val="en-US" w:eastAsia="zh-CN"/>
              </w:rPr>
            </w:pPr>
            <w:r>
              <w:rPr>
                <w:rFonts w:cs="宋体"/>
                <w:color w:val="auto"/>
              </w:rPr>
              <w:t>1、陈述内容：</w:t>
            </w:r>
            <w:r>
              <w:rPr>
                <w:rFonts w:hint="eastAsia" w:cs="宋体"/>
                <w:color w:val="auto"/>
                <w:lang w:val="en-US" w:eastAsia="zh-CN"/>
              </w:rPr>
              <w:t>/</w:t>
            </w:r>
          </w:p>
          <w:p>
            <w:pPr>
              <w:pStyle w:val="21"/>
              <w:kinsoku w:val="0"/>
              <w:overflowPunct w:val="0"/>
              <w:spacing w:before="154"/>
              <w:ind w:left="102"/>
              <w:rPr>
                <w:rFonts w:hint="eastAsia" w:eastAsia="宋体" w:cs="宋体"/>
                <w:color w:val="auto"/>
                <w:lang w:val="en-US" w:eastAsia="zh-CN"/>
              </w:rPr>
            </w:pPr>
            <w:r>
              <w:rPr>
                <w:rFonts w:cs="宋体"/>
                <w:color w:val="auto"/>
              </w:rPr>
              <w:t>2、陈述人员：</w:t>
            </w:r>
            <w:r>
              <w:rPr>
                <w:rFonts w:hint="eastAsia" w:cs="宋体"/>
                <w:color w:val="auto"/>
                <w:lang w:val="en-US" w:eastAsia="zh-CN"/>
              </w:rPr>
              <w:t>/</w:t>
            </w:r>
          </w:p>
          <w:p>
            <w:pPr>
              <w:pStyle w:val="21"/>
              <w:kinsoku w:val="0"/>
              <w:overflowPunct w:val="0"/>
              <w:spacing w:before="154"/>
              <w:ind w:left="102"/>
              <w:rPr>
                <w:rFonts w:hint="default" w:cs="宋体"/>
                <w:color w:val="auto"/>
              </w:rPr>
            </w:pPr>
            <w:r>
              <w:rPr>
                <w:rFonts w:cs="宋体"/>
                <w:color w:val="auto"/>
              </w:rPr>
              <w:t>3、陈述时限：</w:t>
            </w:r>
            <w:r>
              <w:rPr>
                <w:rFonts w:hint="eastAsia" w:cs="宋体"/>
                <w:color w:val="auto"/>
                <w:lang w:val="en-US" w:eastAsia="zh-CN"/>
              </w:rPr>
              <w:t>/</w:t>
            </w:r>
            <w:r>
              <w:rPr>
                <w:rFonts w:cs="宋体"/>
                <w:color w:val="auto"/>
              </w:rPr>
              <w:t>分钟。</w:t>
            </w:r>
          </w:p>
          <w:p>
            <w:pPr>
              <w:pStyle w:val="21"/>
              <w:kinsoku w:val="0"/>
              <w:overflowPunct w:val="0"/>
              <w:spacing w:before="154"/>
              <w:ind w:left="102"/>
              <w:jc w:val="both"/>
              <w:rPr>
                <w:rFonts w:hint="eastAsia" w:eastAsia="宋体" w:cs="宋体"/>
                <w:color w:val="auto"/>
                <w:lang w:val="en-US" w:eastAsia="zh-CN"/>
              </w:rPr>
            </w:pPr>
            <w:r>
              <w:rPr>
                <w:rFonts w:cs="宋体"/>
                <w:color w:val="auto"/>
              </w:rPr>
              <w:t>4、陈述形式：</w:t>
            </w:r>
            <w:r>
              <w:rPr>
                <w:rFonts w:hint="eastAsia" w:cs="宋体"/>
                <w:color w:val="auto"/>
                <w:lang w:val="en-US" w:eastAsia="zh-CN"/>
              </w:rPr>
              <w:t>/</w:t>
            </w:r>
          </w:p>
          <w:p>
            <w:pPr>
              <w:pStyle w:val="21"/>
              <w:kinsoku w:val="0"/>
              <w:overflowPunct w:val="0"/>
              <w:spacing w:line="470" w:lineRule="atLeast"/>
              <w:ind w:left="102" w:right="100"/>
              <w:rPr>
                <w:rFonts w:hint="default" w:ascii="Times New Roman" w:eastAsia="Times New Roman"/>
                <w:color w:val="auto"/>
              </w:rPr>
            </w:pPr>
            <w:r>
              <w:rPr>
                <w:rFonts w:cs="宋体"/>
                <w:color w:val="auto"/>
                <w:spacing w:val="3"/>
              </w:rPr>
              <w:t>5、其他：(1)依照签到顺序依次进行；(2)</w:t>
            </w:r>
            <w:r>
              <w:rPr>
                <w:rFonts w:hint="eastAsia" w:cs="宋体"/>
                <w:color w:val="auto"/>
                <w:spacing w:val="3"/>
                <w:lang w:eastAsia="zh-CN"/>
              </w:rPr>
              <w:t>供应商</w:t>
            </w:r>
            <w:r>
              <w:rPr>
                <w:rFonts w:cs="宋体"/>
                <w:color w:val="auto"/>
                <w:spacing w:val="3"/>
              </w:rPr>
              <w:t>可放弃</w:t>
            </w:r>
            <w:r>
              <w:rPr>
                <w:rFonts w:cs="宋体"/>
                <w:color w:val="auto"/>
                <w:spacing w:val="-114"/>
              </w:rPr>
              <w:t xml:space="preserve"> </w:t>
            </w:r>
            <w:r>
              <w:rPr>
                <w:rFonts w:cs="宋体"/>
                <w:color w:val="auto"/>
              </w:rPr>
              <w:t>陈述，但需要签字确认。</w:t>
            </w:r>
          </w:p>
        </w:tc>
      </w:tr>
      <w:tr>
        <w:tblPrEx>
          <w:tblCellMar>
            <w:top w:w="0" w:type="dxa"/>
            <w:left w:w="0" w:type="dxa"/>
            <w:bottom w:w="0" w:type="dxa"/>
            <w:right w:w="0" w:type="dxa"/>
          </w:tblCellMar>
        </w:tblPrEx>
        <w:trPr>
          <w:trHeight w:val="868" w:hRule="exact"/>
        </w:trPr>
        <w:tc>
          <w:tcPr>
            <w:tcW w:w="73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10"/>
              <w:rPr>
                <w:rFonts w:hint="default" w:ascii="Times New Roman" w:eastAsia="Times New Roman"/>
                <w:color w:val="auto"/>
                <w:sz w:val="23"/>
                <w:szCs w:val="23"/>
              </w:rPr>
            </w:pPr>
          </w:p>
          <w:p>
            <w:pPr>
              <w:pStyle w:val="21"/>
              <w:kinsoku w:val="0"/>
              <w:overflowPunct w:val="0"/>
              <w:ind w:left="240"/>
              <w:rPr>
                <w:rFonts w:hint="default" w:ascii="Times New Roman" w:eastAsia="Times New Roman"/>
                <w:color w:val="auto"/>
              </w:rPr>
            </w:pPr>
            <w:r>
              <w:rPr>
                <w:rFonts w:cs="宋体"/>
                <w:b/>
                <w:color w:val="auto"/>
              </w:rPr>
              <w:t>33</w:t>
            </w:r>
          </w:p>
        </w:tc>
        <w:tc>
          <w:tcPr>
            <w:tcW w:w="2664"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10"/>
              <w:rPr>
                <w:rFonts w:hint="default" w:ascii="Times New Roman" w:eastAsia="Times New Roman"/>
                <w:color w:val="auto"/>
                <w:sz w:val="23"/>
                <w:szCs w:val="23"/>
              </w:rPr>
            </w:pPr>
          </w:p>
          <w:p>
            <w:pPr>
              <w:pStyle w:val="21"/>
              <w:kinsoku w:val="0"/>
              <w:overflowPunct w:val="0"/>
              <w:ind w:left="844"/>
              <w:rPr>
                <w:rFonts w:hint="default" w:ascii="Times New Roman" w:eastAsia="Times New Roman"/>
                <w:color w:val="auto"/>
              </w:rPr>
            </w:pPr>
            <w:r>
              <w:rPr>
                <w:rFonts w:cs="宋体"/>
                <w:b/>
                <w:color w:val="auto"/>
              </w:rPr>
              <w:t>项目预算</w:t>
            </w: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2"/>
              <w:ind w:left="102"/>
              <w:rPr>
                <w:rFonts w:hint="default" w:cs="宋体"/>
                <w:color w:val="auto"/>
                <w:spacing w:val="3"/>
              </w:rPr>
            </w:pPr>
            <w:r>
              <w:rPr>
                <w:rFonts w:cs="宋体"/>
                <w:color w:val="auto"/>
                <w:spacing w:val="3"/>
              </w:rPr>
              <w:t>本项目预算为</w:t>
            </w:r>
            <w:r>
              <w:rPr>
                <w:rFonts w:hint="eastAsia" w:cs="宋体"/>
                <w:color w:val="auto"/>
                <w:spacing w:val="3"/>
                <w:u w:val="single"/>
                <w:lang w:eastAsia="zh-CN"/>
              </w:rPr>
              <w:t>1300000.00</w:t>
            </w:r>
            <w:r>
              <w:rPr>
                <w:rFonts w:cs="宋体"/>
                <w:color w:val="auto"/>
                <w:spacing w:val="3"/>
                <w:u w:val="single"/>
              </w:rPr>
              <w:t>元</w:t>
            </w:r>
            <w:r>
              <w:rPr>
                <w:rFonts w:cs="宋体"/>
                <w:color w:val="auto"/>
                <w:spacing w:val="3"/>
              </w:rPr>
              <w:t>，</w:t>
            </w:r>
            <w:r>
              <w:rPr>
                <w:rFonts w:hint="default" w:cs="宋体"/>
                <w:color w:val="auto"/>
                <w:spacing w:val="3"/>
              </w:rPr>
              <w:t xml:space="preserve"> </w:t>
            </w:r>
          </w:p>
          <w:p>
            <w:pPr>
              <w:pStyle w:val="21"/>
              <w:kinsoku w:val="0"/>
              <w:overflowPunct w:val="0"/>
              <w:spacing w:before="42"/>
              <w:ind w:left="102"/>
              <w:rPr>
                <w:rFonts w:hint="default" w:cs="宋体"/>
                <w:color w:val="auto"/>
                <w:spacing w:val="3"/>
              </w:rPr>
            </w:pPr>
            <w:r>
              <w:rPr>
                <w:rFonts w:hint="eastAsia" w:cs="宋体"/>
                <w:color w:val="auto"/>
                <w:spacing w:val="3"/>
                <w:lang w:eastAsia="zh-CN"/>
              </w:rPr>
              <w:t>供应商</w:t>
            </w:r>
            <w:r>
              <w:rPr>
                <w:rFonts w:cs="宋体"/>
                <w:color w:val="auto"/>
                <w:spacing w:val="3"/>
              </w:rPr>
              <w:t>投标报价超过项目预算的</w:t>
            </w:r>
            <w:r>
              <w:rPr>
                <w:rFonts w:cs="宋体"/>
                <w:color w:val="auto"/>
              </w:rPr>
              <w:t>按无效投标处理。</w:t>
            </w:r>
          </w:p>
        </w:tc>
      </w:tr>
      <w:tr>
        <w:tblPrEx>
          <w:tblCellMar>
            <w:top w:w="0" w:type="dxa"/>
            <w:left w:w="0" w:type="dxa"/>
            <w:bottom w:w="0" w:type="dxa"/>
            <w:right w:w="0" w:type="dxa"/>
          </w:tblCellMar>
        </w:tblPrEx>
        <w:trPr>
          <w:trHeight w:val="2818" w:hRule="exact"/>
        </w:trPr>
        <w:tc>
          <w:tcPr>
            <w:tcW w:w="73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spacing w:before="3"/>
              <w:rPr>
                <w:rFonts w:hint="default" w:ascii="Times New Roman" w:eastAsia="Times New Roman"/>
                <w:color w:val="auto"/>
                <w:sz w:val="33"/>
                <w:szCs w:val="33"/>
              </w:rPr>
            </w:pPr>
          </w:p>
          <w:p>
            <w:pPr>
              <w:pStyle w:val="21"/>
              <w:kinsoku w:val="0"/>
              <w:overflowPunct w:val="0"/>
              <w:ind w:left="240"/>
              <w:rPr>
                <w:rFonts w:hint="default" w:ascii="Times New Roman" w:eastAsia="Times New Roman"/>
                <w:color w:val="auto"/>
              </w:rPr>
            </w:pPr>
            <w:r>
              <w:rPr>
                <w:rFonts w:cs="宋体"/>
                <w:b/>
                <w:color w:val="auto"/>
              </w:rPr>
              <w:t>34</w:t>
            </w:r>
          </w:p>
        </w:tc>
        <w:tc>
          <w:tcPr>
            <w:tcW w:w="2664"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spacing w:before="3"/>
              <w:rPr>
                <w:rFonts w:hint="default" w:ascii="Times New Roman" w:eastAsia="Times New Roman"/>
                <w:color w:val="auto"/>
                <w:sz w:val="33"/>
                <w:szCs w:val="33"/>
              </w:rPr>
            </w:pPr>
          </w:p>
          <w:p>
            <w:pPr>
              <w:pStyle w:val="21"/>
              <w:kinsoku w:val="0"/>
              <w:overflowPunct w:val="0"/>
              <w:ind w:right="1"/>
              <w:jc w:val="center"/>
              <w:rPr>
                <w:rFonts w:hint="default" w:ascii="Times New Roman" w:eastAsia="Times New Roman"/>
                <w:color w:val="auto"/>
              </w:rPr>
            </w:pPr>
            <w:r>
              <w:rPr>
                <w:rFonts w:cs="宋体"/>
                <w:b/>
                <w:color w:val="auto"/>
              </w:rPr>
              <w:t>其他</w:t>
            </w: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1" w:line="357" w:lineRule="auto"/>
              <w:ind w:left="102" w:right="-18"/>
              <w:rPr>
                <w:rFonts w:hint="default" w:cs="宋体"/>
                <w:color w:val="auto"/>
              </w:rPr>
            </w:pPr>
            <w:r>
              <w:rPr>
                <w:rFonts w:cs="宋体"/>
                <w:color w:val="auto"/>
                <w:spacing w:val="-1"/>
              </w:rPr>
              <w:t>1、各</w:t>
            </w:r>
            <w:r>
              <w:rPr>
                <w:rFonts w:hint="eastAsia" w:cs="宋体"/>
                <w:color w:val="auto"/>
                <w:spacing w:val="-1"/>
                <w:lang w:eastAsia="zh-CN"/>
              </w:rPr>
              <w:t>供应商</w:t>
            </w:r>
            <w:r>
              <w:rPr>
                <w:rFonts w:cs="宋体"/>
                <w:color w:val="auto"/>
                <w:spacing w:val="-1"/>
              </w:rPr>
              <w:t>必须针对每包项目分别制作投标文件并报价，</w:t>
            </w:r>
            <w:r>
              <w:rPr>
                <w:rFonts w:cs="宋体"/>
                <w:color w:val="auto"/>
                <w:spacing w:val="-106"/>
              </w:rPr>
              <w:t xml:space="preserve"> </w:t>
            </w:r>
            <w:r>
              <w:rPr>
                <w:rFonts w:cs="宋体"/>
                <w:color w:val="auto"/>
              </w:rPr>
              <w:t>每包的投标文件均必须满足招标文件份数与制作等要求， 否则将导致投标被拒绝。</w:t>
            </w:r>
          </w:p>
          <w:p>
            <w:pPr>
              <w:pStyle w:val="21"/>
              <w:kinsoku w:val="0"/>
              <w:overflowPunct w:val="0"/>
              <w:spacing w:before="41" w:line="357" w:lineRule="auto"/>
              <w:ind w:left="102" w:right="-18"/>
              <w:rPr>
                <w:rFonts w:hint="default" w:cs="宋体"/>
                <w:color w:val="auto"/>
              </w:rPr>
            </w:pPr>
            <w:r>
              <w:rPr>
                <w:rFonts w:cs="宋体"/>
                <w:color w:val="auto"/>
              </w:rPr>
              <w:t xml:space="preserve"> </w:t>
            </w:r>
            <w:r>
              <w:rPr>
                <w:rFonts w:cs="宋体"/>
                <w:color w:val="auto"/>
                <w:spacing w:val="3"/>
              </w:rPr>
              <w:t>2、本项目的招标投标活动以及相关当事人须接受财政监</w:t>
            </w:r>
            <w:r>
              <w:rPr>
                <w:rFonts w:cs="宋体"/>
                <w:color w:val="auto"/>
                <w:spacing w:val="-106"/>
              </w:rPr>
              <w:t xml:space="preserve"> </w:t>
            </w:r>
            <w:r>
              <w:rPr>
                <w:rFonts w:cs="宋体"/>
                <w:color w:val="auto"/>
              </w:rPr>
              <w:t>督部门依法实施的监督。</w:t>
            </w:r>
          </w:p>
          <w:p>
            <w:pPr>
              <w:pStyle w:val="21"/>
              <w:kinsoku w:val="0"/>
              <w:overflowPunct w:val="0"/>
              <w:spacing w:before="36"/>
              <w:ind w:left="102"/>
              <w:rPr>
                <w:rFonts w:hint="default" w:ascii="Times New Roman" w:eastAsia="Times New Roman"/>
                <w:color w:val="auto"/>
              </w:rPr>
            </w:pPr>
            <w:r>
              <w:rPr>
                <w:rFonts w:cs="宋体"/>
                <w:color w:val="auto"/>
              </w:rPr>
              <w:t>3、本项目不接受任何可调整可选择的报价及备选方案。</w:t>
            </w:r>
          </w:p>
        </w:tc>
      </w:tr>
      <w:tr>
        <w:tblPrEx>
          <w:tblCellMar>
            <w:top w:w="0" w:type="dxa"/>
            <w:left w:w="0" w:type="dxa"/>
            <w:bottom w:w="0" w:type="dxa"/>
            <w:right w:w="0" w:type="dxa"/>
          </w:tblCellMar>
        </w:tblPrEx>
        <w:trPr>
          <w:trHeight w:val="6562" w:hRule="exact"/>
        </w:trPr>
        <w:tc>
          <w:tcPr>
            <w:tcW w:w="73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sz w:val="28"/>
                <w:szCs w:val="28"/>
              </w:rPr>
            </w:pPr>
          </w:p>
          <w:p>
            <w:pPr>
              <w:pStyle w:val="21"/>
              <w:kinsoku w:val="0"/>
              <w:overflowPunct w:val="0"/>
              <w:ind w:left="240"/>
              <w:rPr>
                <w:rFonts w:hint="default" w:ascii="Times New Roman" w:eastAsia="Times New Roman"/>
                <w:color w:val="auto"/>
              </w:rPr>
            </w:pPr>
            <w:r>
              <w:rPr>
                <w:rFonts w:cs="宋体"/>
                <w:b/>
                <w:color w:val="auto"/>
              </w:rPr>
              <w:t>35</w:t>
            </w:r>
          </w:p>
        </w:tc>
        <w:tc>
          <w:tcPr>
            <w:tcW w:w="2664"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sz w:val="28"/>
                <w:szCs w:val="28"/>
              </w:rPr>
            </w:pPr>
          </w:p>
          <w:p>
            <w:pPr>
              <w:pStyle w:val="21"/>
              <w:kinsoku w:val="0"/>
              <w:overflowPunct w:val="0"/>
              <w:ind w:left="126"/>
              <w:rPr>
                <w:rFonts w:hint="default" w:ascii="Times New Roman" w:eastAsia="Times New Roman"/>
                <w:color w:val="auto"/>
              </w:rPr>
            </w:pPr>
            <w:r>
              <w:rPr>
                <w:rFonts w:cs="宋体"/>
                <w:color w:val="auto"/>
              </w:rPr>
              <w:t>招标人补充的其他内容</w:t>
            </w:r>
          </w:p>
        </w:tc>
        <w:tc>
          <w:tcPr>
            <w:tcW w:w="6203"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1"/>
              <w:ind w:left="102"/>
              <w:rPr>
                <w:rFonts w:hint="default" w:cs="宋体"/>
                <w:color w:val="auto"/>
              </w:rPr>
            </w:pPr>
            <w:r>
              <w:rPr>
                <w:rFonts w:cs="宋体"/>
                <w:color w:val="auto"/>
              </w:rPr>
              <w:t>中标人：</w:t>
            </w:r>
          </w:p>
          <w:p>
            <w:pPr>
              <w:pStyle w:val="21"/>
              <w:kinsoku w:val="0"/>
              <w:overflowPunct w:val="0"/>
              <w:spacing w:before="10"/>
              <w:rPr>
                <w:rFonts w:hint="default" w:ascii="Times New Roman" w:eastAsia="Times New Roman"/>
                <w:color w:val="auto"/>
                <w:sz w:val="20"/>
                <w:szCs w:val="20"/>
              </w:rPr>
            </w:pPr>
          </w:p>
          <w:p>
            <w:pPr>
              <w:pStyle w:val="21"/>
              <w:kinsoku w:val="0"/>
              <w:overflowPunct w:val="0"/>
              <w:ind w:left="102"/>
              <w:rPr>
                <w:rFonts w:hint="default" w:hAnsi="Segoe UI" w:cs="宋体"/>
                <w:color w:val="auto"/>
              </w:rPr>
            </w:pPr>
            <w:r>
              <w:rPr>
                <w:rFonts w:hint="default" w:ascii="Segoe UI" w:hAnsi="Segoe UI" w:cs="Segoe UI"/>
                <w:color w:val="auto"/>
              </w:rPr>
              <w:t>1</w:t>
            </w:r>
            <w:r>
              <w:rPr>
                <w:rFonts w:hAnsi="Segoe UI" w:cs="宋体"/>
                <w:color w:val="auto"/>
              </w:rPr>
              <w:t>、本次招标项目选</w:t>
            </w:r>
            <w:r>
              <w:rPr>
                <w:rFonts w:hint="default" w:ascii="Segoe UI" w:hAnsi="Segoe UI" w:cs="Segoe UI"/>
                <w:color w:val="auto"/>
              </w:rPr>
              <w:t>1</w:t>
            </w:r>
            <w:r>
              <w:rPr>
                <w:rFonts w:hAnsi="Segoe UI" w:cs="宋体"/>
                <w:color w:val="auto"/>
              </w:rPr>
              <w:t>家中标单位。</w:t>
            </w:r>
          </w:p>
          <w:p>
            <w:pPr>
              <w:pStyle w:val="21"/>
              <w:kinsoku w:val="0"/>
              <w:overflowPunct w:val="0"/>
              <w:spacing w:before="7"/>
              <w:rPr>
                <w:rFonts w:hint="default" w:ascii="Times New Roman" w:eastAsia="Times New Roman"/>
                <w:color w:val="auto"/>
              </w:rPr>
            </w:pPr>
          </w:p>
          <w:p>
            <w:pPr>
              <w:pStyle w:val="21"/>
              <w:kinsoku w:val="0"/>
              <w:overflowPunct w:val="0"/>
              <w:spacing w:line="367" w:lineRule="auto"/>
              <w:ind w:left="102" w:right="-18"/>
              <w:rPr>
                <w:rFonts w:hint="default" w:hAnsi="Segoe UI" w:cs="宋体"/>
                <w:color w:val="auto"/>
              </w:rPr>
            </w:pPr>
            <w:r>
              <w:rPr>
                <w:rFonts w:hint="default" w:ascii="Segoe UI" w:hAnsi="Segoe UI" w:cs="Segoe UI"/>
                <w:color w:val="auto"/>
                <w:spacing w:val="-1"/>
              </w:rPr>
              <w:t>2</w:t>
            </w:r>
            <w:r>
              <w:rPr>
                <w:rFonts w:hAnsi="Segoe UI" w:cs="宋体"/>
                <w:color w:val="auto"/>
                <w:spacing w:val="-1"/>
              </w:rPr>
              <w:t>、合同价：按照中标单位的中标价作为执行合同的价格。</w:t>
            </w:r>
            <w:r>
              <w:rPr>
                <w:rFonts w:hAnsi="Segoe UI" w:cs="宋体"/>
                <w:color w:val="auto"/>
                <w:spacing w:val="-116"/>
              </w:rPr>
              <w:t xml:space="preserve"> </w:t>
            </w:r>
            <w:r>
              <w:rPr>
                <w:rFonts w:hAnsi="Segoe UI" w:cs="宋体"/>
                <w:b/>
                <w:color w:val="auto"/>
              </w:rPr>
              <w:t>本项目采用不见面开标，</w:t>
            </w:r>
            <w:r>
              <w:rPr>
                <w:rFonts w:hint="eastAsia" w:hAnsi="Segoe UI" w:cs="宋体"/>
                <w:b/>
                <w:color w:val="auto"/>
                <w:lang w:eastAsia="zh-CN"/>
              </w:rPr>
              <w:t>供应商</w:t>
            </w:r>
            <w:r>
              <w:rPr>
                <w:rFonts w:hAnsi="Segoe UI" w:cs="宋体"/>
                <w:b/>
                <w:color w:val="auto"/>
              </w:rPr>
              <w:t>的法定代表人或其委托代</w:t>
            </w:r>
            <w:r>
              <w:rPr>
                <w:rFonts w:hAnsi="Segoe UI" w:cs="宋体"/>
                <w:b/>
                <w:color w:val="auto"/>
                <w:w w:val="99"/>
              </w:rPr>
              <w:t xml:space="preserve"> </w:t>
            </w:r>
            <w:r>
              <w:rPr>
                <w:rFonts w:hAnsi="Segoe UI" w:cs="宋体"/>
                <w:b/>
                <w:color w:val="auto"/>
              </w:rPr>
              <w:t>理人无需到达开标现场，仅需在任意地点通过政采云平台</w:t>
            </w:r>
          </w:p>
          <w:p>
            <w:pPr>
              <w:pStyle w:val="21"/>
              <w:kinsoku w:val="0"/>
              <w:overflowPunct w:val="0"/>
              <w:spacing w:before="113" w:line="360" w:lineRule="auto"/>
              <w:ind w:left="102" w:right="100"/>
              <w:rPr>
                <w:rFonts w:hint="default" w:hAnsi="Segoe UI" w:cs="宋体"/>
                <w:color w:val="auto"/>
                <w:spacing w:val="-1"/>
              </w:rPr>
            </w:pPr>
            <w:r>
              <w:rPr>
                <w:rFonts w:cs="宋体"/>
                <w:b/>
                <w:color w:val="auto"/>
              </w:rPr>
              <w:t>（</w:t>
            </w:r>
            <w:r>
              <w:rPr>
                <w:rFonts w:hint="default" w:ascii="Segoe UI" w:hAnsi="Segoe UI" w:cs="Segoe UI"/>
                <w:b/>
                <w:color w:val="auto"/>
              </w:rPr>
              <w:t>https://</w:t>
            </w:r>
            <w:r>
              <w:rPr>
                <w:color w:val="auto"/>
              </w:rPr>
              <w:fldChar w:fldCharType="begin"/>
            </w:r>
            <w:r>
              <w:rPr>
                <w:color w:val="auto"/>
              </w:rPr>
              <w:instrText xml:space="preserve"> HYPERLINK "http://www.zcygov.cn/" </w:instrText>
            </w:r>
            <w:r>
              <w:rPr>
                <w:color w:val="auto"/>
              </w:rPr>
              <w:fldChar w:fldCharType="separate"/>
            </w:r>
            <w:r>
              <w:rPr>
                <w:rFonts w:hint="default" w:ascii="Segoe UI" w:hAnsi="Segoe UI" w:cs="Segoe UI"/>
                <w:b/>
                <w:color w:val="auto"/>
              </w:rPr>
              <w:t>www.zcygov.cn/</w:t>
            </w:r>
            <w:r>
              <w:rPr>
                <w:rFonts w:hint="default" w:ascii="Segoe UI" w:hAnsi="Segoe UI" w:cs="Segoe UI"/>
                <w:b/>
                <w:color w:val="auto"/>
              </w:rPr>
              <w:fldChar w:fldCharType="end"/>
            </w:r>
            <w:r>
              <w:rPr>
                <w:rFonts w:hAnsi="Segoe UI" w:cs="宋体"/>
                <w:b/>
                <w:color w:val="auto"/>
              </w:rPr>
              <w:t>），使用</w:t>
            </w:r>
            <w:r>
              <w:rPr>
                <w:rFonts w:hint="default" w:ascii="Segoe UI" w:hAnsi="Segoe UI" w:cs="Segoe UI"/>
                <w:b/>
                <w:color w:val="auto"/>
              </w:rPr>
              <w:t>CA</w:t>
            </w:r>
            <w:r>
              <w:rPr>
                <w:rFonts w:hAnsi="Segoe UI" w:cs="宋体"/>
                <w:b/>
                <w:color w:val="auto"/>
              </w:rPr>
              <w:t>密钥完成远程解</w:t>
            </w:r>
            <w:r>
              <w:rPr>
                <w:rFonts w:hAnsi="Segoe UI" w:cs="宋体"/>
                <w:b/>
                <w:color w:val="auto"/>
                <w:spacing w:val="-76"/>
              </w:rPr>
              <w:t xml:space="preserve"> </w:t>
            </w:r>
            <w:r>
              <w:rPr>
                <w:rFonts w:hAnsi="Segoe UI" w:cs="宋体"/>
                <w:b/>
                <w:color w:val="auto"/>
              </w:rPr>
              <w:t>密、提疑澄清、开标唱标、结果公布等交互环节。</w:t>
            </w:r>
            <w:r>
              <w:rPr>
                <w:rFonts w:hAnsi="Segoe UI" w:cs="宋体"/>
                <w:b/>
                <w:color w:val="auto"/>
                <w:w w:val="99"/>
              </w:rPr>
              <w:t xml:space="preserve"> </w:t>
            </w:r>
            <w:r>
              <w:rPr>
                <w:rFonts w:hAnsi="Segoe UI" w:cs="宋体"/>
                <w:b/>
                <w:color w:val="auto"/>
                <w:spacing w:val="-1"/>
                <w:w w:val="95"/>
              </w:rPr>
              <w:t>法定代表人或法定代表人授权委托人参与远程交互，中途</w:t>
            </w:r>
            <w:r>
              <w:rPr>
                <w:rFonts w:hAnsi="Segoe UI" w:cs="宋体"/>
                <w:b/>
                <w:color w:val="auto"/>
                <w:spacing w:val="54"/>
                <w:w w:val="95"/>
              </w:rPr>
              <w:t xml:space="preserve"> </w:t>
            </w:r>
            <w:r>
              <w:rPr>
                <w:rFonts w:hAnsi="Segoe UI" w:cs="宋体"/>
                <w:b/>
                <w:color w:val="auto"/>
                <w:spacing w:val="-1"/>
                <w:w w:val="95"/>
              </w:rPr>
              <w:t>不得更换，在废标、澄清、提疑、传送文件等特殊情况下</w:t>
            </w:r>
            <w:r>
              <w:rPr>
                <w:rFonts w:hAnsi="Segoe UI" w:cs="宋体"/>
                <w:b/>
                <w:color w:val="auto"/>
                <w:spacing w:val="54"/>
                <w:w w:val="95"/>
              </w:rPr>
              <w:t xml:space="preserve"> </w:t>
            </w:r>
            <w:r>
              <w:rPr>
                <w:rFonts w:hAnsi="Segoe UI" w:cs="宋体"/>
                <w:b/>
                <w:color w:val="auto"/>
                <w:spacing w:val="-1"/>
                <w:w w:val="95"/>
              </w:rPr>
              <w:t>需要交互时，</w:t>
            </w:r>
            <w:r>
              <w:rPr>
                <w:rFonts w:hint="eastAsia" w:hAnsi="Segoe UI" w:cs="宋体"/>
                <w:b/>
                <w:color w:val="auto"/>
                <w:spacing w:val="-1"/>
                <w:w w:val="95"/>
                <w:lang w:eastAsia="zh-CN"/>
              </w:rPr>
              <w:t>供应商</w:t>
            </w:r>
            <w:r>
              <w:rPr>
                <w:rFonts w:hAnsi="Segoe UI" w:cs="宋体"/>
                <w:b/>
                <w:color w:val="auto"/>
                <w:spacing w:val="-1"/>
                <w:w w:val="95"/>
              </w:rPr>
              <w:t>一端参与交互的人员将均被视为是投</w:t>
            </w:r>
            <w:r>
              <w:rPr>
                <w:rFonts w:hAnsi="Segoe UI" w:cs="宋体"/>
                <w:b/>
                <w:color w:val="auto"/>
                <w:spacing w:val="54"/>
                <w:w w:val="95"/>
              </w:rPr>
              <w:t xml:space="preserve"> </w:t>
            </w:r>
            <w:r>
              <w:rPr>
                <w:rFonts w:hAnsi="Segoe UI" w:cs="宋体"/>
                <w:b/>
                <w:color w:val="auto"/>
                <w:spacing w:val="-1"/>
                <w:w w:val="95"/>
              </w:rPr>
              <w:t>标人的授权委托人或法人代表，</w:t>
            </w:r>
            <w:r>
              <w:rPr>
                <w:rFonts w:hint="eastAsia" w:hAnsi="Segoe UI" w:cs="宋体"/>
                <w:b/>
                <w:color w:val="auto"/>
                <w:spacing w:val="-1"/>
                <w:w w:val="95"/>
                <w:lang w:eastAsia="zh-CN"/>
              </w:rPr>
              <w:t>供应商</w:t>
            </w:r>
            <w:r>
              <w:rPr>
                <w:rFonts w:hAnsi="Segoe UI" w:cs="宋体"/>
                <w:b/>
                <w:color w:val="auto"/>
                <w:spacing w:val="-1"/>
                <w:w w:val="95"/>
              </w:rPr>
              <w:t>不得以不承认交互</w:t>
            </w:r>
            <w:r>
              <w:rPr>
                <w:rFonts w:hAnsi="Segoe UI" w:cs="宋体"/>
                <w:b/>
                <w:color w:val="auto"/>
                <w:spacing w:val="54"/>
                <w:w w:val="95"/>
              </w:rPr>
              <w:t xml:space="preserve"> </w:t>
            </w:r>
            <w:r>
              <w:rPr>
                <w:rFonts w:hAnsi="Segoe UI" w:cs="宋体"/>
                <w:b/>
                <w:color w:val="auto"/>
                <w:spacing w:val="-1"/>
                <w:w w:val="95"/>
              </w:rPr>
              <w:t>人员的资格或身份等为借口推脱，</w:t>
            </w:r>
            <w:r>
              <w:rPr>
                <w:rFonts w:hint="eastAsia" w:hAnsi="Segoe UI" w:cs="宋体"/>
                <w:b/>
                <w:color w:val="auto"/>
                <w:spacing w:val="-1"/>
                <w:w w:val="95"/>
                <w:lang w:eastAsia="zh-CN"/>
              </w:rPr>
              <w:t>供应商</w:t>
            </w:r>
            <w:r>
              <w:rPr>
                <w:rFonts w:hAnsi="Segoe UI" w:cs="宋体"/>
                <w:b/>
                <w:color w:val="auto"/>
                <w:spacing w:val="-1"/>
                <w:w w:val="95"/>
              </w:rPr>
              <w:t>自行承担随意更</w:t>
            </w:r>
          </w:p>
          <w:p>
            <w:pPr>
              <w:pStyle w:val="21"/>
              <w:kinsoku w:val="0"/>
              <w:overflowPunct w:val="0"/>
              <w:spacing w:before="34"/>
              <w:ind w:left="102"/>
              <w:rPr>
                <w:rFonts w:hint="default" w:ascii="Times New Roman" w:eastAsia="Times New Roman"/>
                <w:color w:val="auto"/>
              </w:rPr>
            </w:pPr>
            <w:r>
              <w:rPr>
                <w:rFonts w:cs="宋体"/>
                <w:b/>
                <w:color w:val="auto"/>
              </w:rPr>
              <w:t>换人员所导致的一切后果。</w:t>
            </w:r>
          </w:p>
        </w:tc>
      </w:tr>
      <w:tr>
        <w:tblPrEx>
          <w:tblCellMar>
            <w:top w:w="0" w:type="dxa"/>
            <w:left w:w="0" w:type="dxa"/>
            <w:bottom w:w="0" w:type="dxa"/>
            <w:right w:w="0" w:type="dxa"/>
          </w:tblCellMar>
        </w:tblPrEx>
        <w:trPr>
          <w:trHeight w:val="476" w:hRule="exact"/>
        </w:trPr>
        <w:tc>
          <w:tcPr>
            <w:tcW w:w="73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22"/>
              <w:rPr>
                <w:rFonts w:hint="default" w:ascii="Times New Roman" w:eastAsia="Times New Roman"/>
                <w:color w:val="auto"/>
              </w:rPr>
            </w:pPr>
            <w:r>
              <w:rPr>
                <w:rFonts w:cs="宋体"/>
                <w:color w:val="auto"/>
              </w:rPr>
              <w:t>注意</w:t>
            </w:r>
          </w:p>
        </w:tc>
        <w:tc>
          <w:tcPr>
            <w:tcW w:w="8867" w:type="dxa"/>
            <w:gridSpan w:val="2"/>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p>
        </w:tc>
      </w:tr>
    </w:tbl>
    <w:p>
      <w:pPr>
        <w:rPr>
          <w:rFonts w:hint="default" w:ascii="Times New Roman" w:eastAsia="Times New Roman"/>
          <w:color w:val="auto"/>
        </w:rPr>
        <w:sectPr>
          <w:pgSz w:w="11910" w:h="16840"/>
          <w:pgMar w:top="1340" w:right="1040" w:bottom="1580" w:left="1040" w:header="0" w:footer="1395" w:gutter="0"/>
          <w:cols w:space="720" w:num="1"/>
        </w:sectPr>
      </w:pPr>
    </w:p>
    <w:p>
      <w:pPr>
        <w:pStyle w:val="8"/>
        <w:kinsoku w:val="0"/>
        <w:overflowPunct w:val="0"/>
        <w:spacing w:before="2"/>
        <w:ind w:left="0"/>
        <w:rPr>
          <w:rFonts w:hint="default" w:ascii="Times New Roman" w:eastAsia="Times New Roman" w:cs="Times New Roman"/>
          <w:color w:val="auto"/>
          <w:sz w:val="7"/>
          <w:szCs w:val="7"/>
        </w:rPr>
      </w:pPr>
    </w:p>
    <w:tbl>
      <w:tblPr>
        <w:tblStyle w:val="17"/>
        <w:tblW w:w="0" w:type="auto"/>
        <w:tblInd w:w="107" w:type="dxa"/>
        <w:tblLayout w:type="fixed"/>
        <w:tblCellMar>
          <w:top w:w="0" w:type="dxa"/>
          <w:left w:w="0" w:type="dxa"/>
          <w:bottom w:w="0" w:type="dxa"/>
          <w:right w:w="0" w:type="dxa"/>
        </w:tblCellMar>
      </w:tblPr>
      <w:tblGrid>
        <w:gridCol w:w="735"/>
        <w:gridCol w:w="8867"/>
      </w:tblGrid>
      <w:tr>
        <w:tblPrEx>
          <w:tblCellMar>
            <w:top w:w="0" w:type="dxa"/>
            <w:left w:w="0" w:type="dxa"/>
            <w:bottom w:w="0" w:type="dxa"/>
            <w:right w:w="0" w:type="dxa"/>
          </w:tblCellMar>
        </w:tblPrEx>
        <w:trPr>
          <w:trHeight w:val="3146" w:hRule="exact"/>
        </w:trPr>
        <w:tc>
          <w:tcPr>
            <w:tcW w:w="735"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22"/>
              <w:rPr>
                <w:rFonts w:hint="default" w:ascii="Times New Roman" w:eastAsia="Times New Roman"/>
                <w:color w:val="auto"/>
              </w:rPr>
            </w:pPr>
            <w:r>
              <w:rPr>
                <w:rFonts w:cs="宋体"/>
                <w:color w:val="auto"/>
              </w:rPr>
              <w:t>事项</w:t>
            </w:r>
          </w:p>
        </w:tc>
        <w:tc>
          <w:tcPr>
            <w:tcW w:w="8867" w:type="dxa"/>
            <w:tcBorders>
              <w:top w:val="single" w:color="000000" w:sz="4" w:space="0"/>
              <w:left w:val="single" w:color="000000" w:sz="4" w:space="0"/>
              <w:bottom w:val="single" w:color="000000" w:sz="4" w:space="0"/>
              <w:right w:val="single" w:color="000000" w:sz="4" w:space="0"/>
              <w:tl2br w:val="nil"/>
              <w:tr2bl w:val="nil"/>
            </w:tcBorders>
          </w:tcPr>
          <w:p>
            <w:pPr>
              <w:pStyle w:val="21"/>
              <w:numPr>
                <w:ilvl w:val="0"/>
                <w:numId w:val="0"/>
              </w:numPr>
              <w:kinsoku w:val="0"/>
              <w:overflowPunct w:val="0"/>
              <w:spacing w:before="40"/>
              <w:rPr>
                <w:rFonts w:hint="eastAsia" w:cs="宋体"/>
                <w:b/>
                <w:color w:val="auto"/>
                <w:spacing w:val="3"/>
              </w:rPr>
            </w:pPr>
            <w:r>
              <w:rPr>
                <w:rFonts w:hint="eastAsia" w:cs="宋体"/>
                <w:b/>
                <w:color w:val="auto"/>
                <w:spacing w:val="3"/>
                <w:lang w:val="en-US" w:eastAsia="zh-CN"/>
              </w:rPr>
              <w:t>1、</w:t>
            </w:r>
            <w:r>
              <w:rPr>
                <w:rFonts w:hint="eastAsia" w:cs="宋体"/>
                <w:b/>
                <w:color w:val="auto"/>
                <w:spacing w:val="3"/>
              </w:rPr>
              <w:t>无论何种原因，在投标响应文件中的证书材料须提供与原件内容完全一致的扫描件，且内容完整、清晰可辨；提供不全、无法辨认或提供虚假证书材料的，评标委员会可以视同其未提供，并按照有关规定处理。</w:t>
            </w:r>
          </w:p>
          <w:p>
            <w:pPr>
              <w:pStyle w:val="21"/>
              <w:numPr>
                <w:ilvl w:val="0"/>
                <w:numId w:val="0"/>
              </w:numPr>
              <w:kinsoku w:val="0"/>
              <w:overflowPunct w:val="0"/>
              <w:spacing w:before="40"/>
              <w:rPr>
                <w:rFonts w:hint="default" w:ascii="Times New Roman" w:eastAsia="Times New Roman"/>
                <w:color w:val="auto"/>
              </w:rPr>
            </w:pPr>
            <w:r>
              <w:rPr>
                <w:rFonts w:cs="宋体"/>
                <w:b/>
                <w:color w:val="auto"/>
                <w:spacing w:val="3"/>
              </w:rPr>
              <w:t>2、第六部分投标文件格式文件要求盖单位章和（或）签字的地方，供应商均应使</w:t>
            </w:r>
          </w:p>
          <w:p>
            <w:pPr>
              <w:pStyle w:val="21"/>
              <w:kinsoku w:val="0"/>
              <w:overflowPunct w:val="0"/>
              <w:spacing w:before="40"/>
              <w:ind w:left="102"/>
              <w:rPr>
                <w:rFonts w:hint="default" w:ascii="Times New Roman" w:eastAsia="Times New Roman"/>
                <w:color w:val="auto"/>
              </w:rPr>
            </w:pPr>
            <w:r>
              <w:rPr>
                <w:rFonts w:cs="宋体"/>
                <w:b/>
                <w:color w:val="auto"/>
              </w:rPr>
              <w:t>用</w:t>
            </w:r>
            <w:r>
              <w:rPr>
                <w:rFonts w:cs="宋体"/>
                <w:b/>
                <w:color w:val="auto"/>
                <w:spacing w:val="-70"/>
              </w:rPr>
              <w:t xml:space="preserve"> </w:t>
            </w:r>
            <w:r>
              <w:rPr>
                <w:rFonts w:cs="宋体"/>
                <w:b/>
                <w:color w:val="auto"/>
              </w:rPr>
              <w:t>CA</w:t>
            </w:r>
            <w:r>
              <w:rPr>
                <w:rFonts w:cs="宋体"/>
                <w:b/>
                <w:color w:val="auto"/>
                <w:spacing w:val="-71"/>
              </w:rPr>
              <w:t xml:space="preserve"> </w:t>
            </w:r>
            <w:r>
              <w:rPr>
                <w:rFonts w:cs="宋体"/>
                <w:b/>
                <w:color w:val="auto"/>
                <w:spacing w:val="3"/>
              </w:rPr>
              <w:t>数字证书加盖供应商的单位电子印章和（或）法定代表人的个人电子印章或</w:t>
            </w:r>
          </w:p>
          <w:p>
            <w:pPr>
              <w:pStyle w:val="21"/>
              <w:kinsoku w:val="0"/>
              <w:overflowPunct w:val="0"/>
              <w:spacing w:before="40"/>
              <w:ind w:left="102"/>
              <w:rPr>
                <w:rFonts w:hint="default" w:ascii="Times New Roman" w:eastAsia="Times New Roman"/>
                <w:color w:val="auto"/>
              </w:rPr>
            </w:pPr>
            <w:r>
              <w:rPr>
                <w:rFonts w:cs="宋体"/>
                <w:b/>
                <w:color w:val="auto"/>
              </w:rPr>
              <w:t>电子签名章。</w:t>
            </w:r>
          </w:p>
          <w:p>
            <w:pPr>
              <w:pStyle w:val="21"/>
              <w:kinsoku w:val="0"/>
              <w:overflowPunct w:val="0"/>
              <w:spacing w:before="40"/>
              <w:rPr>
                <w:rFonts w:hint="default" w:ascii="Times New Roman" w:eastAsia="Times New Roman"/>
                <w:color w:val="auto"/>
              </w:rPr>
            </w:pPr>
            <w:r>
              <w:rPr>
                <w:rFonts w:cs="宋体"/>
                <w:b/>
                <w:color w:val="auto"/>
                <w:spacing w:val="3"/>
              </w:rPr>
              <w:t>3、本项目不接受选择性报价，对于出现的政采云平台开标唱标环节经投标供应商</w:t>
            </w:r>
          </w:p>
          <w:p>
            <w:pPr>
              <w:pStyle w:val="21"/>
              <w:kinsoku w:val="0"/>
              <w:overflowPunct w:val="0"/>
              <w:spacing w:before="40"/>
              <w:ind w:left="102"/>
              <w:rPr>
                <w:rFonts w:hint="default" w:ascii="Times New Roman" w:eastAsia="Times New Roman"/>
                <w:color w:val="auto"/>
              </w:rPr>
            </w:pPr>
            <w:r>
              <w:rPr>
                <w:rFonts w:cs="宋体"/>
                <w:b/>
                <w:color w:val="auto"/>
              </w:rPr>
              <w:t>确认的投标报价与投标文件中开标一览表的报价不一致的现象，视作选择性报价，</w:t>
            </w:r>
          </w:p>
          <w:p>
            <w:pPr>
              <w:pStyle w:val="21"/>
              <w:kinsoku w:val="0"/>
              <w:overflowPunct w:val="0"/>
              <w:spacing w:before="40"/>
              <w:ind w:left="102"/>
              <w:rPr>
                <w:rFonts w:hint="default" w:ascii="Times New Roman" w:eastAsia="Times New Roman"/>
                <w:color w:val="auto"/>
              </w:rPr>
            </w:pPr>
            <w:r>
              <w:rPr>
                <w:rFonts w:cs="宋体"/>
                <w:b/>
                <w:color w:val="auto"/>
              </w:rPr>
              <w:t>将被作为无效投标处理。</w:t>
            </w:r>
          </w:p>
        </w:tc>
      </w:tr>
      <w:tr>
        <w:tblPrEx>
          <w:tblCellMar>
            <w:top w:w="0" w:type="dxa"/>
            <w:left w:w="0" w:type="dxa"/>
            <w:bottom w:w="0" w:type="dxa"/>
            <w:right w:w="0" w:type="dxa"/>
          </w:tblCellMar>
        </w:tblPrEx>
        <w:trPr>
          <w:trHeight w:val="475" w:hRule="exact"/>
        </w:trPr>
        <w:tc>
          <w:tcPr>
            <w:tcW w:w="735"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rPr>
                <w:rFonts w:hint="default" w:ascii="Times New Roman" w:eastAsia="Times New Roman"/>
                <w:color w:val="auto"/>
              </w:rPr>
            </w:pPr>
          </w:p>
          <w:p>
            <w:pPr>
              <w:pStyle w:val="21"/>
              <w:kinsoku w:val="0"/>
              <w:overflowPunct w:val="0"/>
              <w:spacing w:before="155"/>
              <w:ind w:left="122"/>
              <w:rPr>
                <w:rFonts w:hint="default" w:ascii="Times New Roman" w:eastAsia="Times New Roman"/>
                <w:color w:val="auto"/>
              </w:rPr>
            </w:pPr>
            <w:r>
              <w:rPr>
                <w:rFonts w:cs="宋体"/>
                <w:color w:val="auto"/>
              </w:rPr>
              <w:t>备注</w:t>
            </w:r>
          </w:p>
        </w:tc>
        <w:tc>
          <w:tcPr>
            <w:tcW w:w="8867" w:type="dxa"/>
            <w:tcBorders>
              <w:top w:val="single" w:color="000000" w:sz="4" w:space="0"/>
              <w:left w:val="single" w:color="000000" w:sz="4" w:space="0"/>
              <w:bottom w:val="nil"/>
              <w:right w:val="single" w:color="000000" w:sz="4" w:space="0"/>
              <w:tl2br w:val="nil"/>
              <w:tr2bl w:val="nil"/>
            </w:tcBorders>
          </w:tcPr>
          <w:p>
            <w:pPr>
              <w:pStyle w:val="21"/>
              <w:kinsoku w:val="0"/>
              <w:overflowPunct w:val="0"/>
              <w:spacing w:before="42"/>
              <w:ind w:left="102"/>
              <w:rPr>
                <w:rFonts w:hint="default" w:ascii="Times New Roman" w:eastAsia="Times New Roman"/>
                <w:color w:val="auto"/>
              </w:rPr>
            </w:pPr>
            <w:r>
              <w:rPr>
                <w:rFonts w:cs="宋体"/>
                <w:color w:val="auto"/>
              </w:rPr>
              <w:t>有下列情况之一的，采购响应无效:</w:t>
            </w:r>
          </w:p>
        </w:tc>
      </w:tr>
      <w:tr>
        <w:tblPrEx>
          <w:tblCellMar>
            <w:top w:w="0" w:type="dxa"/>
            <w:left w:w="0" w:type="dxa"/>
            <w:bottom w:w="0" w:type="dxa"/>
            <w:right w:w="0" w:type="dxa"/>
          </w:tblCellMar>
        </w:tblPrEx>
        <w:trPr>
          <w:trHeight w:val="468"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2"/>
              <w:ind w:left="102"/>
              <w:rPr>
                <w:rFonts w:hint="default" w:ascii="Times New Roman" w:eastAsia="Times New Roman"/>
                <w:color w:val="auto"/>
              </w:rPr>
            </w:pPr>
          </w:p>
        </w:tc>
        <w:tc>
          <w:tcPr>
            <w:tcW w:w="8867" w:type="dxa"/>
            <w:tcBorders>
              <w:top w:val="nil"/>
              <w:left w:val="single" w:color="000000" w:sz="4" w:space="0"/>
              <w:bottom w:val="nil"/>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r>
              <w:rPr>
                <w:rFonts w:cs="宋体"/>
                <w:color w:val="auto"/>
              </w:rPr>
              <w:t>1.</w:t>
            </w:r>
            <w:r>
              <w:rPr>
                <w:rFonts w:hint="eastAsia" w:cs="宋体"/>
                <w:color w:val="auto"/>
                <w:lang w:eastAsia="zh-CN"/>
              </w:rPr>
              <w:t>供应商</w:t>
            </w:r>
            <w:r>
              <w:rPr>
                <w:rFonts w:cs="宋体"/>
                <w:color w:val="auto"/>
              </w:rPr>
              <w:t>不具备《中华人民共和国政府采购法》第二十二条规定条件;</w:t>
            </w:r>
          </w:p>
        </w:tc>
      </w:tr>
      <w:tr>
        <w:tblPrEx>
          <w:tblCellMar>
            <w:top w:w="0" w:type="dxa"/>
            <w:left w:w="0" w:type="dxa"/>
            <w:bottom w:w="0" w:type="dxa"/>
            <w:right w:w="0" w:type="dxa"/>
          </w:tblCellMar>
        </w:tblPrEx>
        <w:trPr>
          <w:trHeight w:val="468"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p>
        </w:tc>
        <w:tc>
          <w:tcPr>
            <w:tcW w:w="8867" w:type="dxa"/>
            <w:tcBorders>
              <w:top w:val="nil"/>
              <w:left w:val="single" w:color="000000" w:sz="4" w:space="0"/>
              <w:bottom w:val="nil"/>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r>
              <w:rPr>
                <w:rFonts w:cs="宋体"/>
                <w:color w:val="auto"/>
              </w:rPr>
              <w:t>2.采购响应文件没有按采购文件的要求盖章或签名;</w:t>
            </w:r>
          </w:p>
        </w:tc>
      </w:tr>
      <w:tr>
        <w:tblPrEx>
          <w:tblCellMar>
            <w:top w:w="0" w:type="dxa"/>
            <w:left w:w="0" w:type="dxa"/>
            <w:bottom w:w="0" w:type="dxa"/>
            <w:right w:w="0" w:type="dxa"/>
          </w:tblCellMar>
        </w:tblPrEx>
        <w:trPr>
          <w:trHeight w:val="468"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p>
        </w:tc>
        <w:tc>
          <w:tcPr>
            <w:tcW w:w="8867" w:type="dxa"/>
            <w:tcBorders>
              <w:top w:val="nil"/>
              <w:left w:val="single" w:color="000000" w:sz="4" w:space="0"/>
              <w:bottom w:val="nil"/>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r>
              <w:rPr>
                <w:rFonts w:cs="宋体"/>
                <w:color w:val="auto"/>
              </w:rPr>
              <w:t>3.</w:t>
            </w:r>
            <w:r>
              <w:rPr>
                <w:rFonts w:hint="eastAsia" w:cs="宋体"/>
                <w:color w:val="auto"/>
                <w:lang w:eastAsia="zh-CN"/>
              </w:rPr>
              <w:t>供应商</w:t>
            </w:r>
            <w:r>
              <w:rPr>
                <w:rFonts w:cs="宋体"/>
                <w:color w:val="auto"/>
              </w:rPr>
              <w:t>不符合资格条件;</w:t>
            </w:r>
          </w:p>
        </w:tc>
      </w:tr>
      <w:tr>
        <w:tblPrEx>
          <w:tblCellMar>
            <w:top w:w="0" w:type="dxa"/>
            <w:left w:w="0" w:type="dxa"/>
            <w:bottom w:w="0" w:type="dxa"/>
            <w:right w:w="0" w:type="dxa"/>
          </w:tblCellMar>
        </w:tblPrEx>
        <w:trPr>
          <w:trHeight w:val="468"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p>
        </w:tc>
        <w:tc>
          <w:tcPr>
            <w:tcW w:w="8867" w:type="dxa"/>
            <w:tcBorders>
              <w:top w:val="nil"/>
              <w:left w:val="single" w:color="000000" w:sz="4" w:space="0"/>
              <w:bottom w:val="nil"/>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r>
              <w:rPr>
                <w:rFonts w:cs="宋体"/>
                <w:color w:val="auto"/>
              </w:rPr>
              <w:t>4.采购响应文件提供虚假材料;</w:t>
            </w:r>
          </w:p>
        </w:tc>
      </w:tr>
      <w:tr>
        <w:tblPrEx>
          <w:tblCellMar>
            <w:top w:w="0" w:type="dxa"/>
            <w:left w:w="0" w:type="dxa"/>
            <w:bottom w:w="0" w:type="dxa"/>
            <w:right w:w="0" w:type="dxa"/>
          </w:tblCellMar>
        </w:tblPrEx>
        <w:trPr>
          <w:trHeight w:val="468"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p>
        </w:tc>
        <w:tc>
          <w:tcPr>
            <w:tcW w:w="8867" w:type="dxa"/>
            <w:tcBorders>
              <w:top w:val="nil"/>
              <w:left w:val="single" w:color="000000" w:sz="4" w:space="0"/>
              <w:bottom w:val="nil"/>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r>
              <w:rPr>
                <w:rFonts w:cs="宋体"/>
                <w:color w:val="auto"/>
              </w:rPr>
              <w:t>5.采购响应文件未完全满足采购文件中带“★”号的实质性条款或指标;</w:t>
            </w:r>
          </w:p>
        </w:tc>
      </w:tr>
      <w:tr>
        <w:tblPrEx>
          <w:tblCellMar>
            <w:top w:w="0" w:type="dxa"/>
            <w:left w:w="0" w:type="dxa"/>
            <w:bottom w:w="0" w:type="dxa"/>
            <w:right w:w="0" w:type="dxa"/>
          </w:tblCellMar>
        </w:tblPrEx>
        <w:trPr>
          <w:trHeight w:val="468"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p>
        </w:tc>
        <w:tc>
          <w:tcPr>
            <w:tcW w:w="8867" w:type="dxa"/>
            <w:tcBorders>
              <w:top w:val="nil"/>
              <w:left w:val="single" w:color="000000" w:sz="4" w:space="0"/>
              <w:bottom w:val="nil"/>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r>
              <w:rPr>
                <w:rFonts w:cs="宋体"/>
                <w:color w:val="auto"/>
              </w:rPr>
              <w:t>6.</w:t>
            </w:r>
            <w:r>
              <w:rPr>
                <w:rFonts w:hint="eastAsia" w:cs="宋体"/>
                <w:color w:val="auto"/>
                <w:lang w:eastAsia="zh-CN"/>
              </w:rPr>
              <w:t>供应商</w:t>
            </w:r>
            <w:r>
              <w:rPr>
                <w:rFonts w:cs="宋体"/>
                <w:color w:val="auto"/>
              </w:rPr>
              <w:t>报价不确定或超过采购文件中列出的采购预算(最高限价);</w:t>
            </w:r>
          </w:p>
        </w:tc>
      </w:tr>
      <w:tr>
        <w:tblPrEx>
          <w:tblCellMar>
            <w:top w:w="0" w:type="dxa"/>
            <w:left w:w="0" w:type="dxa"/>
            <w:bottom w:w="0" w:type="dxa"/>
            <w:right w:w="0" w:type="dxa"/>
          </w:tblCellMar>
        </w:tblPrEx>
        <w:trPr>
          <w:trHeight w:val="468"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p>
        </w:tc>
        <w:tc>
          <w:tcPr>
            <w:tcW w:w="8867" w:type="dxa"/>
            <w:tcBorders>
              <w:top w:val="nil"/>
              <w:left w:val="single" w:color="000000" w:sz="4" w:space="0"/>
              <w:bottom w:val="nil"/>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r>
              <w:rPr>
                <w:rFonts w:cs="宋体"/>
                <w:color w:val="auto"/>
              </w:rPr>
              <w:t>7.联合体的</w:t>
            </w:r>
            <w:r>
              <w:rPr>
                <w:rFonts w:hint="eastAsia" w:cs="宋体"/>
                <w:color w:val="auto"/>
                <w:lang w:eastAsia="zh-CN"/>
              </w:rPr>
              <w:t>供应商</w:t>
            </w:r>
            <w:r>
              <w:rPr>
                <w:rFonts w:cs="宋体"/>
                <w:color w:val="auto"/>
              </w:rPr>
              <w:t>未提交各方共同签署的协议;</w:t>
            </w:r>
          </w:p>
        </w:tc>
      </w:tr>
      <w:tr>
        <w:tblPrEx>
          <w:tblCellMar>
            <w:top w:w="0" w:type="dxa"/>
            <w:left w:w="0" w:type="dxa"/>
            <w:bottom w:w="0" w:type="dxa"/>
            <w:right w:w="0" w:type="dxa"/>
          </w:tblCellMar>
        </w:tblPrEx>
        <w:trPr>
          <w:trHeight w:val="468"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p>
        </w:tc>
        <w:tc>
          <w:tcPr>
            <w:tcW w:w="8867" w:type="dxa"/>
            <w:tcBorders>
              <w:top w:val="nil"/>
              <w:left w:val="single" w:color="000000" w:sz="4" w:space="0"/>
              <w:bottom w:val="nil"/>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r>
              <w:rPr>
                <w:rFonts w:cs="宋体"/>
                <w:color w:val="auto"/>
              </w:rPr>
              <w:t>8.</w:t>
            </w:r>
            <w:r>
              <w:rPr>
                <w:rFonts w:hint="eastAsia" w:cs="宋体"/>
                <w:color w:val="auto"/>
                <w:lang w:eastAsia="zh-CN"/>
              </w:rPr>
              <w:t>供应商</w:t>
            </w:r>
            <w:r>
              <w:rPr>
                <w:rFonts w:cs="宋体"/>
                <w:color w:val="auto"/>
              </w:rPr>
              <w:t>未按采购文件要求交纳投标保证金;</w:t>
            </w:r>
          </w:p>
        </w:tc>
      </w:tr>
      <w:tr>
        <w:tblPrEx>
          <w:tblCellMar>
            <w:top w:w="0" w:type="dxa"/>
            <w:left w:w="0" w:type="dxa"/>
            <w:bottom w:w="0" w:type="dxa"/>
            <w:right w:w="0" w:type="dxa"/>
          </w:tblCellMar>
        </w:tblPrEx>
        <w:trPr>
          <w:trHeight w:val="468"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p>
        </w:tc>
        <w:tc>
          <w:tcPr>
            <w:tcW w:w="8867" w:type="dxa"/>
            <w:tcBorders>
              <w:top w:val="nil"/>
              <w:left w:val="single" w:color="000000" w:sz="4" w:space="0"/>
              <w:bottom w:val="nil"/>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r>
              <w:rPr>
                <w:rFonts w:cs="宋体"/>
                <w:color w:val="auto"/>
              </w:rPr>
              <w:t>9.</w:t>
            </w:r>
            <w:r>
              <w:rPr>
                <w:rFonts w:hint="eastAsia" w:cs="宋体"/>
                <w:color w:val="auto"/>
                <w:lang w:eastAsia="zh-CN"/>
              </w:rPr>
              <w:t>供应商</w:t>
            </w:r>
            <w:r>
              <w:rPr>
                <w:rFonts w:cs="宋体"/>
                <w:color w:val="auto"/>
              </w:rPr>
              <w:t>提供可调整的投标方案和报价。</w:t>
            </w:r>
          </w:p>
        </w:tc>
      </w:tr>
      <w:tr>
        <w:tblPrEx>
          <w:tblCellMar>
            <w:top w:w="0" w:type="dxa"/>
            <w:left w:w="0" w:type="dxa"/>
            <w:bottom w:w="0" w:type="dxa"/>
            <w:right w:w="0" w:type="dxa"/>
          </w:tblCellMar>
        </w:tblPrEx>
        <w:trPr>
          <w:trHeight w:val="468"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p>
        </w:tc>
        <w:tc>
          <w:tcPr>
            <w:tcW w:w="8867" w:type="dxa"/>
            <w:tcBorders>
              <w:top w:val="nil"/>
              <w:left w:val="single" w:color="000000" w:sz="4" w:space="0"/>
              <w:bottom w:val="nil"/>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r>
              <w:rPr>
                <w:rFonts w:cs="宋体"/>
                <w:color w:val="auto"/>
                <w:spacing w:val="-3"/>
              </w:rPr>
              <w:t>10.</w:t>
            </w:r>
            <w:r>
              <w:rPr>
                <w:rFonts w:hint="eastAsia" w:cs="宋体"/>
                <w:color w:val="auto"/>
                <w:spacing w:val="-3"/>
                <w:lang w:eastAsia="zh-CN"/>
              </w:rPr>
              <w:t>供应商</w:t>
            </w:r>
            <w:r>
              <w:rPr>
                <w:rFonts w:cs="宋体"/>
                <w:color w:val="auto"/>
                <w:spacing w:val="-3"/>
              </w:rPr>
              <w:t>投标文件填报的内容不详，或没有提供招标文件中所要求的全部资料及数</w:t>
            </w:r>
          </w:p>
        </w:tc>
      </w:tr>
      <w:tr>
        <w:tblPrEx>
          <w:tblCellMar>
            <w:top w:w="0" w:type="dxa"/>
            <w:left w:w="0" w:type="dxa"/>
            <w:bottom w:w="0" w:type="dxa"/>
            <w:right w:w="0" w:type="dxa"/>
          </w:tblCellMar>
        </w:tblPrEx>
        <w:trPr>
          <w:trHeight w:val="468"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p>
        </w:tc>
        <w:tc>
          <w:tcPr>
            <w:tcW w:w="8867" w:type="dxa"/>
            <w:tcBorders>
              <w:top w:val="nil"/>
              <w:left w:val="single" w:color="000000" w:sz="4" w:space="0"/>
              <w:bottom w:val="nil"/>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r>
              <w:rPr>
                <w:rFonts w:cs="宋体"/>
                <w:color w:val="auto"/>
              </w:rPr>
              <w:t>据的。</w:t>
            </w:r>
          </w:p>
        </w:tc>
      </w:tr>
      <w:tr>
        <w:tblPrEx>
          <w:tblCellMar>
            <w:top w:w="0" w:type="dxa"/>
            <w:left w:w="0" w:type="dxa"/>
            <w:bottom w:w="0" w:type="dxa"/>
            <w:right w:w="0" w:type="dxa"/>
          </w:tblCellMar>
        </w:tblPrEx>
        <w:trPr>
          <w:trHeight w:val="468"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p>
        </w:tc>
        <w:tc>
          <w:tcPr>
            <w:tcW w:w="8867" w:type="dxa"/>
            <w:tcBorders>
              <w:top w:val="nil"/>
              <w:left w:val="single" w:color="000000" w:sz="4" w:space="0"/>
              <w:bottom w:val="nil"/>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r>
              <w:rPr>
                <w:rFonts w:cs="宋体"/>
                <w:color w:val="auto"/>
                <w:spacing w:val="-3"/>
              </w:rPr>
              <w:t>11.投标文件须严格按照招标文件第六部分规定的格式提交，并按规定的统一格式逐</w:t>
            </w:r>
          </w:p>
        </w:tc>
      </w:tr>
      <w:tr>
        <w:tblPrEx>
          <w:tblCellMar>
            <w:top w:w="0" w:type="dxa"/>
            <w:left w:w="0" w:type="dxa"/>
            <w:bottom w:w="0" w:type="dxa"/>
            <w:right w:w="0" w:type="dxa"/>
          </w:tblCellMar>
        </w:tblPrEx>
        <w:trPr>
          <w:trHeight w:val="468"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p>
        </w:tc>
        <w:tc>
          <w:tcPr>
            <w:tcW w:w="8867" w:type="dxa"/>
            <w:tcBorders>
              <w:top w:val="nil"/>
              <w:left w:val="single" w:color="000000" w:sz="4" w:space="0"/>
              <w:bottom w:val="nil"/>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r>
              <w:rPr>
                <w:rFonts w:cs="宋体"/>
                <w:color w:val="auto"/>
              </w:rPr>
              <w:t>项填写，不准有空项；无相应内容可填的项，应填写“无”、“未测试”、“没有</w:t>
            </w:r>
          </w:p>
        </w:tc>
      </w:tr>
      <w:tr>
        <w:tblPrEx>
          <w:tblCellMar>
            <w:top w:w="0" w:type="dxa"/>
            <w:left w:w="0" w:type="dxa"/>
            <w:bottom w:w="0" w:type="dxa"/>
            <w:right w:w="0" w:type="dxa"/>
          </w:tblCellMar>
        </w:tblPrEx>
        <w:trPr>
          <w:trHeight w:val="468"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p>
        </w:tc>
        <w:tc>
          <w:tcPr>
            <w:tcW w:w="8867" w:type="dxa"/>
            <w:tcBorders>
              <w:top w:val="nil"/>
              <w:left w:val="single" w:color="000000" w:sz="4" w:space="0"/>
              <w:bottom w:val="nil"/>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r>
              <w:rPr>
                <w:rFonts w:cs="宋体"/>
                <w:color w:val="auto"/>
              </w:rPr>
              <w:t>相应指标”等明确的回答文字。由于编排混乱导致投标文件被误读或查找不到，其</w:t>
            </w:r>
          </w:p>
        </w:tc>
      </w:tr>
      <w:tr>
        <w:tblPrEx>
          <w:tblCellMar>
            <w:top w:w="0" w:type="dxa"/>
            <w:left w:w="0" w:type="dxa"/>
            <w:bottom w:w="0" w:type="dxa"/>
            <w:right w:w="0" w:type="dxa"/>
          </w:tblCellMar>
        </w:tblPrEx>
        <w:trPr>
          <w:trHeight w:val="468"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p>
        </w:tc>
        <w:tc>
          <w:tcPr>
            <w:tcW w:w="8867" w:type="dxa"/>
            <w:tcBorders>
              <w:top w:val="nil"/>
              <w:left w:val="single" w:color="000000" w:sz="4" w:space="0"/>
              <w:bottom w:val="nil"/>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r>
              <w:rPr>
                <w:rFonts w:cs="宋体"/>
                <w:color w:val="auto"/>
              </w:rPr>
              <w:t>责任由</w:t>
            </w:r>
            <w:r>
              <w:rPr>
                <w:rFonts w:hint="eastAsia" w:cs="宋体"/>
                <w:color w:val="auto"/>
                <w:lang w:eastAsia="zh-CN"/>
              </w:rPr>
              <w:t>供应商</w:t>
            </w:r>
            <w:r>
              <w:rPr>
                <w:rFonts w:cs="宋体"/>
                <w:color w:val="auto"/>
              </w:rPr>
              <w:t>承担。投标文件未按规定提交或留有空项，将被视为不完整响应的投</w:t>
            </w:r>
          </w:p>
        </w:tc>
      </w:tr>
      <w:tr>
        <w:tblPrEx>
          <w:tblCellMar>
            <w:top w:w="0" w:type="dxa"/>
            <w:left w:w="0" w:type="dxa"/>
            <w:bottom w:w="0" w:type="dxa"/>
            <w:right w:w="0" w:type="dxa"/>
          </w:tblCellMar>
        </w:tblPrEx>
        <w:trPr>
          <w:trHeight w:val="468"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p>
        </w:tc>
        <w:tc>
          <w:tcPr>
            <w:tcW w:w="8867" w:type="dxa"/>
            <w:tcBorders>
              <w:top w:val="nil"/>
              <w:left w:val="single" w:color="000000" w:sz="4" w:space="0"/>
              <w:bottom w:val="nil"/>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r>
              <w:rPr>
                <w:rFonts w:cs="宋体"/>
                <w:color w:val="auto"/>
              </w:rPr>
              <w:t>标文件，其投标有可能被拒绝</w:t>
            </w:r>
            <w:r>
              <w:rPr>
                <w:rFonts w:cs="宋体"/>
                <w:b/>
                <w:color w:val="auto"/>
              </w:rPr>
              <w:t>。</w:t>
            </w:r>
          </w:p>
        </w:tc>
      </w:tr>
      <w:tr>
        <w:tblPrEx>
          <w:tblCellMar>
            <w:top w:w="0" w:type="dxa"/>
            <w:left w:w="0" w:type="dxa"/>
            <w:bottom w:w="0" w:type="dxa"/>
            <w:right w:w="0" w:type="dxa"/>
          </w:tblCellMar>
        </w:tblPrEx>
        <w:trPr>
          <w:trHeight w:val="479" w:hRule="exact"/>
        </w:trPr>
        <w:tc>
          <w:tcPr>
            <w:tcW w:w="735"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p>
        </w:tc>
        <w:tc>
          <w:tcPr>
            <w:tcW w:w="8867" w:type="dxa"/>
            <w:tcBorders>
              <w:top w:val="nil"/>
              <w:left w:val="single" w:color="000000" w:sz="4" w:space="0"/>
              <w:bottom w:val="single" w:color="000000" w:sz="4" w:space="0"/>
              <w:right w:val="single" w:color="000000" w:sz="4" w:space="0"/>
              <w:tl2br w:val="nil"/>
              <w:tr2bl w:val="nil"/>
            </w:tcBorders>
          </w:tcPr>
          <w:p>
            <w:pPr>
              <w:pStyle w:val="21"/>
              <w:kinsoku w:val="0"/>
              <w:overflowPunct w:val="0"/>
              <w:spacing w:before="40"/>
              <w:ind w:left="102" w:right="-6"/>
              <w:rPr>
                <w:rFonts w:hint="default" w:ascii="Times New Roman" w:eastAsia="Times New Roman"/>
                <w:color w:val="auto"/>
              </w:rPr>
            </w:pPr>
            <w:r>
              <w:rPr>
                <w:rFonts w:cs="宋体"/>
                <w:color w:val="auto"/>
              </w:rPr>
              <w:t>12.评审期间，</w:t>
            </w:r>
            <w:r>
              <w:rPr>
                <w:rFonts w:hint="eastAsia" w:cs="宋体"/>
                <w:color w:val="auto"/>
                <w:lang w:eastAsia="zh-CN"/>
              </w:rPr>
              <w:t>供应商</w:t>
            </w:r>
            <w:r>
              <w:rPr>
                <w:rFonts w:cs="宋体"/>
                <w:color w:val="auto"/>
              </w:rPr>
              <w:t>没有按评标委员会的要求提交经授权代表签字的澄清、说明、</w:t>
            </w:r>
          </w:p>
        </w:tc>
      </w:tr>
    </w:tbl>
    <w:p>
      <w:pPr>
        <w:rPr>
          <w:rFonts w:hint="default" w:ascii="Times New Roman" w:eastAsia="Times New Roman"/>
          <w:color w:val="auto"/>
        </w:rPr>
        <w:sectPr>
          <w:pgSz w:w="11910" w:h="16840"/>
          <w:pgMar w:top="1340" w:right="1040" w:bottom="1580" w:left="1040" w:header="0" w:footer="1395" w:gutter="0"/>
          <w:cols w:space="720" w:num="1"/>
        </w:sectPr>
      </w:pPr>
    </w:p>
    <w:p>
      <w:pPr>
        <w:pStyle w:val="8"/>
        <w:kinsoku w:val="0"/>
        <w:overflowPunct w:val="0"/>
        <w:spacing w:before="8"/>
        <w:ind w:left="0"/>
        <w:rPr>
          <w:rFonts w:hint="default" w:ascii="Times New Roman" w:eastAsia="Times New Roman" w:cs="Times New Roman"/>
          <w:color w:val="auto"/>
          <w:sz w:val="6"/>
          <w:szCs w:val="6"/>
        </w:rPr>
      </w:pPr>
    </w:p>
    <w:p>
      <w:pPr>
        <w:pStyle w:val="8"/>
        <w:kinsoku w:val="0"/>
        <w:overflowPunct w:val="0"/>
        <w:spacing w:before="0" w:line="2364" w:lineRule="exact"/>
        <w:ind w:left="102"/>
        <w:rPr>
          <w:rFonts w:hint="default" w:ascii="Times New Roman" w:eastAsia="Times New Roman" w:cs="Times New Roman"/>
          <w:color w:val="auto"/>
          <w:position w:val="-47"/>
          <w:sz w:val="20"/>
          <w:szCs w:val="20"/>
        </w:rPr>
      </w:pPr>
      <w:bookmarkStart w:id="25" w:name="投标人须知正文部分"/>
      <w:bookmarkEnd w:id="25"/>
      <w:r>
        <w:rPr>
          <w:rFonts w:hint="default" w:ascii="Times New Roman" w:cs="Times New Roman"/>
          <w:color w:val="auto"/>
          <w:position w:val="-47"/>
          <w:sz w:val="20"/>
          <w:szCs w:val="20"/>
        </w:rPr>
        <mc:AlternateContent>
          <mc:Choice Requires="wpg">
            <w:drawing>
              <wp:inline distT="0" distB="0" distL="114300" distR="114300">
                <wp:extent cx="6109970" cy="1501775"/>
                <wp:effectExtent l="1905" t="1905" r="0" b="0"/>
                <wp:docPr id="14" name="组合 2"/>
                <wp:cNvGraphicFramePr/>
                <a:graphic xmlns:a="http://schemas.openxmlformats.org/drawingml/2006/main">
                  <a:graphicData uri="http://schemas.microsoft.com/office/word/2010/wordprocessingGroup">
                    <wpg:wgp>
                      <wpg:cNvGrpSpPr>
                        <a:grpSpLocks noRot="1"/>
                      </wpg:cNvGrpSpPr>
                      <wpg:grpSpPr>
                        <a:xfrm>
                          <a:off x="0" y="0"/>
                          <a:ext cx="6109970" cy="1501775"/>
                          <a:chOff x="4" y="4"/>
                          <a:chExt cx="9627" cy="2375"/>
                        </a:xfrm>
                      </wpg:grpSpPr>
                      <wps:wsp>
                        <wps:cNvPr id="8" name="任意多边形 3"/>
                        <wps:cNvSpPr/>
                        <wps:spPr>
                          <a:xfrm>
                            <a:off x="4" y="9"/>
                            <a:ext cx="9612" cy="20"/>
                          </a:xfrm>
                          <a:custGeom>
                            <a:avLst/>
                            <a:gdLst/>
                            <a:ahLst/>
                            <a:cxnLst/>
                            <a:rect l="0" t="0" r="0" b="0"/>
                            <a:pathLst>
                              <a:path w="9612" h="20">
                                <a:moveTo>
                                  <a:pt x="0" y="0"/>
                                </a:moveTo>
                                <a:lnTo>
                                  <a:pt x="9611" y="0"/>
                                </a:lnTo>
                              </a:path>
                            </a:pathLst>
                          </a:custGeom>
                          <a:noFill/>
                          <a:ln w="6096" cap="flat" cmpd="sng">
                            <a:solidFill>
                              <a:srgbClr val="000000"/>
                            </a:solidFill>
                            <a:prstDash val="solid"/>
                            <a:headEnd type="none" w="med" len="med"/>
                            <a:tailEnd type="none" w="med" len="med"/>
                          </a:ln>
                        </wps:spPr>
                        <wps:bodyPr wrap="square" upright="1"/>
                      </wps:wsp>
                      <wps:wsp>
                        <wps:cNvPr id="9" name="任意多边形 4"/>
                        <wps:cNvSpPr/>
                        <wps:spPr>
                          <a:xfrm>
                            <a:off x="4" y="2359"/>
                            <a:ext cx="9612" cy="20"/>
                          </a:xfrm>
                          <a:custGeom>
                            <a:avLst/>
                            <a:gdLst/>
                            <a:ahLst/>
                            <a:cxnLst/>
                            <a:rect l="0" t="0" r="0" b="0"/>
                            <a:pathLst>
                              <a:path w="9612" h="20">
                                <a:moveTo>
                                  <a:pt x="0" y="0"/>
                                </a:moveTo>
                                <a:lnTo>
                                  <a:pt x="9611" y="0"/>
                                </a:lnTo>
                              </a:path>
                            </a:pathLst>
                          </a:custGeom>
                          <a:noFill/>
                          <a:ln w="6096" cap="flat" cmpd="sng">
                            <a:solidFill>
                              <a:srgbClr val="000000"/>
                            </a:solidFill>
                            <a:prstDash val="solid"/>
                            <a:headEnd type="none" w="med" len="med"/>
                            <a:tailEnd type="none" w="med" len="med"/>
                          </a:ln>
                        </wps:spPr>
                        <wps:bodyPr wrap="square" upright="1"/>
                      </wps:wsp>
                      <wps:wsp>
                        <wps:cNvPr id="10" name="任意多边形 5"/>
                        <wps:cNvSpPr/>
                        <wps:spPr>
                          <a:xfrm>
                            <a:off x="9" y="4"/>
                            <a:ext cx="20" cy="2350"/>
                          </a:xfrm>
                          <a:custGeom>
                            <a:avLst/>
                            <a:gdLst/>
                            <a:ahLst/>
                            <a:cxnLst/>
                            <a:rect l="0" t="0" r="0" b="0"/>
                            <a:pathLst>
                              <a:path w="20" h="2350">
                                <a:moveTo>
                                  <a:pt x="0" y="0"/>
                                </a:moveTo>
                                <a:lnTo>
                                  <a:pt x="0" y="2350"/>
                                </a:lnTo>
                              </a:path>
                            </a:pathLst>
                          </a:custGeom>
                          <a:noFill/>
                          <a:ln w="6096" cap="flat" cmpd="sng">
                            <a:solidFill>
                              <a:srgbClr val="000000"/>
                            </a:solidFill>
                            <a:prstDash val="solid"/>
                            <a:headEnd type="none" w="med" len="med"/>
                            <a:tailEnd type="none" w="med" len="med"/>
                          </a:ln>
                        </wps:spPr>
                        <wps:bodyPr wrap="square" upright="1"/>
                      </wps:wsp>
                      <wps:wsp>
                        <wps:cNvPr id="11" name="任意多边形 6"/>
                        <wps:cNvSpPr/>
                        <wps:spPr>
                          <a:xfrm>
                            <a:off x="744" y="4"/>
                            <a:ext cx="20" cy="2350"/>
                          </a:xfrm>
                          <a:custGeom>
                            <a:avLst/>
                            <a:gdLst/>
                            <a:ahLst/>
                            <a:cxnLst/>
                            <a:rect l="0" t="0" r="0" b="0"/>
                            <a:pathLst>
                              <a:path w="20" h="2350">
                                <a:moveTo>
                                  <a:pt x="0" y="0"/>
                                </a:moveTo>
                                <a:lnTo>
                                  <a:pt x="0" y="2350"/>
                                </a:lnTo>
                              </a:path>
                            </a:pathLst>
                          </a:custGeom>
                          <a:noFill/>
                          <a:ln w="6096" cap="flat" cmpd="sng">
                            <a:solidFill>
                              <a:srgbClr val="000000"/>
                            </a:solidFill>
                            <a:prstDash val="solid"/>
                            <a:headEnd type="none" w="med" len="med"/>
                            <a:tailEnd type="none" w="med" len="med"/>
                          </a:ln>
                        </wps:spPr>
                        <wps:bodyPr wrap="square" upright="1"/>
                      </wps:wsp>
                      <wps:wsp>
                        <wps:cNvPr id="12" name="任意多边形 7"/>
                        <wps:cNvSpPr/>
                        <wps:spPr>
                          <a:xfrm>
                            <a:off x="9611" y="4"/>
                            <a:ext cx="20" cy="2350"/>
                          </a:xfrm>
                          <a:custGeom>
                            <a:avLst/>
                            <a:gdLst/>
                            <a:ahLst/>
                            <a:cxnLst/>
                            <a:rect l="0" t="0" r="0" b="0"/>
                            <a:pathLst>
                              <a:path w="20" h="2350">
                                <a:moveTo>
                                  <a:pt x="0" y="0"/>
                                </a:moveTo>
                                <a:lnTo>
                                  <a:pt x="0" y="2350"/>
                                </a:lnTo>
                              </a:path>
                            </a:pathLst>
                          </a:custGeom>
                          <a:noFill/>
                          <a:ln w="6096" cap="flat" cmpd="sng">
                            <a:solidFill>
                              <a:srgbClr val="000000"/>
                            </a:solidFill>
                            <a:prstDash val="solid"/>
                            <a:headEnd type="none" w="med" len="med"/>
                            <a:tailEnd type="none" w="med" len="med"/>
                          </a:ln>
                        </wps:spPr>
                        <wps:bodyPr wrap="square" upright="1"/>
                      </wps:wsp>
                      <wps:wsp>
                        <wps:cNvPr id="13" name="文本框 8"/>
                        <wps:cNvSpPr txBox="1"/>
                        <wps:spPr>
                          <a:xfrm>
                            <a:off x="745" y="10"/>
                            <a:ext cx="8867" cy="2350"/>
                          </a:xfrm>
                          <a:prstGeom prst="rect">
                            <a:avLst/>
                          </a:prstGeom>
                          <a:noFill/>
                          <a:ln>
                            <a:noFill/>
                          </a:ln>
                        </wps:spPr>
                        <wps:txbx>
                          <w:txbxContent>
                            <w:p>
                              <w:pPr>
                                <w:pStyle w:val="8"/>
                                <w:kinsoku w:val="0"/>
                                <w:overflowPunct w:val="0"/>
                                <w:spacing w:before="44" w:line="357" w:lineRule="auto"/>
                                <w:ind w:left="107" w:right="-23"/>
                                <w:rPr>
                                  <w:rFonts w:hint="eastAsia" w:eastAsia="宋体"/>
                                  <w:lang w:eastAsia="zh-CN"/>
                                </w:rPr>
                              </w:pPr>
                              <w:r>
                                <w:t>补正或改变了采购响应文件的实质性内容; 13.</w:t>
                              </w:r>
                              <w:r>
                                <w:rPr>
                                  <w:rFonts w:hint="eastAsia"/>
                                  <w:lang w:eastAsia="zh-CN"/>
                                </w:rPr>
                                <w:t>供应商</w:t>
                              </w:r>
                              <w:r>
                                <w:t>对采购人</w:t>
                              </w:r>
                              <w:r>
                                <w:rPr>
                                  <w:spacing w:val="-72"/>
                                </w:rPr>
                                <w:t>、</w:t>
                              </w:r>
                              <w:r>
                                <w:t>采购代理机构</w:t>
                              </w:r>
                              <w:r>
                                <w:rPr>
                                  <w:spacing w:val="-75"/>
                                </w:rPr>
                                <w:t>、</w:t>
                              </w:r>
                              <w:r>
                                <w:t>评标委员会及其工作人员施加影响</w:t>
                              </w:r>
                              <w:r>
                                <w:rPr>
                                  <w:spacing w:val="-72"/>
                                </w:rPr>
                                <w:t>，</w:t>
                              </w:r>
                              <w:r>
                                <w:t>有碍公平、 公正</w:t>
                              </w:r>
                              <w:r>
                                <w:rPr>
                                  <w:rFonts w:hint="eastAsia"/>
                                  <w:lang w:eastAsia="zh-CN"/>
                                </w:rPr>
                                <w:t>；</w:t>
                              </w:r>
                            </w:p>
                            <w:p>
                              <w:pPr>
                                <w:pStyle w:val="8"/>
                                <w:kinsoku w:val="0"/>
                                <w:overflowPunct w:val="0"/>
                                <w:ind w:left="107"/>
                                <w:rPr>
                                  <w:rFonts w:hint="default"/>
                                </w:rPr>
                              </w:pPr>
                              <w:r>
                                <w:t>14.经评审委员会认定投标文件技术参数及要求复制、粘贴采购文件的.</w:t>
                              </w:r>
                            </w:p>
                            <w:p>
                              <w:pPr>
                                <w:pStyle w:val="8"/>
                                <w:kinsoku w:val="0"/>
                                <w:overflowPunct w:val="0"/>
                                <w:spacing w:before="154"/>
                                <w:ind w:left="107"/>
                                <w:rPr>
                                  <w:rFonts w:hint="default"/>
                                </w:rPr>
                              </w:pPr>
                              <w:r>
                                <w:t>15.法律、法规、规章及招标文件中规定属于响应无效的其他情形。</w:t>
                              </w:r>
                            </w:p>
                            <w:p>
                              <w:pPr>
                                <w:pStyle w:val="8"/>
                                <w:kinsoku w:val="0"/>
                                <w:overflowPunct w:val="0"/>
                                <w:spacing w:before="154"/>
                                <w:ind w:left="107"/>
                                <w:rPr>
                                  <w:rFonts w:hint="default"/>
                                </w:rPr>
                              </w:pPr>
                              <w:r>
                                <w:t>16.不允许递交备选投标方案</w:t>
                              </w:r>
                            </w:p>
                          </w:txbxContent>
                        </wps:txbx>
                        <wps:bodyPr wrap="square" lIns="0" tIns="0" rIns="0" bIns="0" upright="1"/>
                      </wps:wsp>
                    </wpg:wgp>
                  </a:graphicData>
                </a:graphic>
              </wp:inline>
            </w:drawing>
          </mc:Choice>
          <mc:Fallback>
            <w:pict>
              <v:group id="组合 2" o:spid="_x0000_s1026" o:spt="203" style="height:118.25pt;width:481.1pt;" coordorigin="4,4" coordsize="9627,2375" o:gfxdata="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">
                <o:lock v:ext="edit" rotation="t" aspectratio="f"/>
                <v:shape id="任意多边形 3" o:spid="_x0000_s1026" o:spt="100" style="position:absolute;left:4;top:9;height:20;width:9612;" filled="f" stroked="t" coordsize="9612,20" o:gfxdata="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6ZM8ugAAANoA&#10;AAAPAAAAAAAAAAEAIAAAACIAAABkcnMvZG93bnJldi54bWxQSwECFAAUAAAACACHTuJAMy8FnjsA&#10;AAA5AAAAEAAAAAAAAAABACAAAAAJAQAAZHJzL3NoYXBleG1sLnhtbFBLBQYAAAAABgAGAFsBAACz&#10;AwAAAAA=&#10;" path="m0,0l9611,0e">
                  <v:fill on="f" focussize="0,0"/>
                  <v:stroke weight="0.48pt" color="#000000" joinstyle="round"/>
                  <v:imagedata o:title=""/>
                  <o:lock v:ext="edit" aspectratio="f"/>
                </v:shape>
                <v:shape id="任意多边形 4" o:spid="_x0000_s1026" o:spt="100" style="position:absolute;left:4;top:2359;height:20;width:9612;" filled="f" stroked="t" coordsize="9612,20" o:gfxdata="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pTanvQAA&#10;ANoAAAAPAAAAAAAAAAEAIAAAACIAAABkcnMvZG93bnJldi54bWxQSwECFAAUAAAACACHTuJAMy8F&#10;njsAAAA5AAAAEAAAAAAAAAABACAAAAAMAQAAZHJzL3NoYXBleG1sLnhtbFBLBQYAAAAABgAGAFsB&#10;AAC2AwAAAAA=&#10;" path="m0,0l9611,0e">
                  <v:fill on="f" focussize="0,0"/>
                  <v:stroke weight="0.48pt" color="#000000" joinstyle="round"/>
                  <v:imagedata o:title=""/>
                  <o:lock v:ext="edit" aspectratio="f"/>
                </v:shape>
                <v:shape id="任意多边形 5" o:spid="_x0000_s1026" o:spt="100" style="position:absolute;left:9;top:4;height:2350;width:20;" filled="f" stroked="t" coordsize="20,2350" o:gfxdata="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lmJNb4A&#10;AADbAAAADwAAAAAAAAABACAAAAAiAAAAZHJzL2Rvd25yZXYueG1sUEsBAhQAFAAAAAgAh07iQDMv&#10;BZ47AAAAOQAAABAAAAAAAAAAAQAgAAAADQEAAGRycy9zaGFwZXhtbC54bWxQSwUGAAAAAAYABgBb&#10;AQAAtwMAAAAA&#10;" path="m0,0l0,2350e">
                  <v:fill on="f" focussize="0,0"/>
                  <v:stroke weight="0.48pt" color="#000000" joinstyle="round"/>
                  <v:imagedata o:title=""/>
                  <o:lock v:ext="edit" aspectratio="f"/>
                </v:shape>
                <v:shape id="任意多边形 6" o:spid="_x0000_s1026" o:spt="100" style="position:absolute;left:744;top:4;height:2350;width:20;" filled="f" stroked="t" coordsize="20,2350" o:gfxdata="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RUsrrsAAADb&#10;AAAADwAAAAAAAAABACAAAAAiAAAAZHJzL2Rvd25yZXYueG1sUEsBAhQAFAAAAAgAh07iQDMvBZ47&#10;AAAAOQAAABAAAAAAAAAAAQAgAAAACgEAAGRycy9zaGFwZXhtbC54bWxQSwUGAAAAAAYABgBbAQAA&#10;tAMAAAAA&#10;" path="m0,0l0,2350e">
                  <v:fill on="f" focussize="0,0"/>
                  <v:stroke weight="0.48pt" color="#000000" joinstyle="round"/>
                  <v:imagedata o:title=""/>
                  <o:lock v:ext="edit" aspectratio="f"/>
                </v:shape>
                <v:shape id="任意多边形 7" o:spid="_x0000_s1026" o:spt="100" style="position:absolute;left:9611;top:4;height:2350;width:20;" filled="f" stroked="t" coordsize="20,2350" o:gfxdata="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Hstm8AAAA&#10;2wAAAA8AAAAAAAAAAQAgAAAAIgAAAGRycy9kb3ducmV2LnhtbFBLAQIUABQAAAAIAIdO4kAzLwWe&#10;OwAAADkAAAAQAAAAAAAAAAEAIAAAAAsBAABkcnMvc2hhcGV4bWwueG1sUEsFBgAAAAAGAAYAWwEA&#10;ALUDAAAAAA==&#10;" path="m0,0l0,2350e">
                  <v:fill on="f" focussize="0,0"/>
                  <v:stroke weight="0.48pt" color="#000000" joinstyle="round"/>
                  <v:imagedata o:title=""/>
                  <o:lock v:ext="edit" aspectratio="f"/>
                </v:shape>
                <v:shape id="文本框 8" o:spid="_x0000_s1026" o:spt="202" type="#_x0000_t202" style="position:absolute;left:745;top:10;height:2350;width:8867;"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pStyle w:val="8"/>
                          <w:kinsoku w:val="0"/>
                          <w:overflowPunct w:val="0"/>
                          <w:spacing w:before="44" w:line="357" w:lineRule="auto"/>
                          <w:ind w:left="107" w:right="-23"/>
                          <w:rPr>
                            <w:rFonts w:hint="eastAsia" w:eastAsia="宋体"/>
                            <w:lang w:eastAsia="zh-CN"/>
                          </w:rPr>
                        </w:pPr>
                        <w:r>
                          <w:t>补正或改变了采购响应文件的实质性内容; 13.</w:t>
                        </w:r>
                        <w:r>
                          <w:rPr>
                            <w:rFonts w:hint="eastAsia"/>
                            <w:lang w:eastAsia="zh-CN"/>
                          </w:rPr>
                          <w:t>供应商</w:t>
                        </w:r>
                        <w:r>
                          <w:t>对采购人</w:t>
                        </w:r>
                        <w:r>
                          <w:rPr>
                            <w:spacing w:val="-72"/>
                          </w:rPr>
                          <w:t>、</w:t>
                        </w:r>
                        <w:r>
                          <w:t>采购代理机构</w:t>
                        </w:r>
                        <w:r>
                          <w:rPr>
                            <w:spacing w:val="-75"/>
                          </w:rPr>
                          <w:t>、</w:t>
                        </w:r>
                        <w:r>
                          <w:t>评标委员会及其工作人员施加影响</w:t>
                        </w:r>
                        <w:r>
                          <w:rPr>
                            <w:spacing w:val="-72"/>
                          </w:rPr>
                          <w:t>，</w:t>
                        </w:r>
                        <w:r>
                          <w:t>有碍公平、 公正</w:t>
                        </w:r>
                        <w:r>
                          <w:rPr>
                            <w:rFonts w:hint="eastAsia"/>
                            <w:lang w:eastAsia="zh-CN"/>
                          </w:rPr>
                          <w:t>；</w:t>
                        </w:r>
                      </w:p>
                      <w:p>
                        <w:pPr>
                          <w:pStyle w:val="8"/>
                          <w:kinsoku w:val="0"/>
                          <w:overflowPunct w:val="0"/>
                          <w:ind w:left="107"/>
                          <w:rPr>
                            <w:rFonts w:hint="default"/>
                          </w:rPr>
                        </w:pPr>
                        <w:r>
                          <w:t>14.经评审委员会认定投标文件技术参数及要求复制、粘贴采购文件的.</w:t>
                        </w:r>
                      </w:p>
                      <w:p>
                        <w:pPr>
                          <w:pStyle w:val="8"/>
                          <w:kinsoku w:val="0"/>
                          <w:overflowPunct w:val="0"/>
                          <w:spacing w:before="154"/>
                          <w:ind w:left="107"/>
                          <w:rPr>
                            <w:rFonts w:hint="default"/>
                          </w:rPr>
                        </w:pPr>
                        <w:r>
                          <w:t>15.法律、法规、规章及招标文件中规定属于响应无效的其他情形。</w:t>
                        </w:r>
                      </w:p>
                      <w:p>
                        <w:pPr>
                          <w:pStyle w:val="8"/>
                          <w:kinsoku w:val="0"/>
                          <w:overflowPunct w:val="0"/>
                          <w:spacing w:before="154"/>
                          <w:ind w:left="107"/>
                          <w:rPr>
                            <w:rFonts w:hint="default"/>
                          </w:rPr>
                        </w:pPr>
                        <w:r>
                          <w:t>16.不允许递交备选投标方案</w:t>
                        </w:r>
                      </w:p>
                    </w:txbxContent>
                  </v:textbox>
                </v:shape>
                <w10:wrap type="none"/>
                <w10:anchorlock/>
              </v:group>
            </w:pict>
          </mc:Fallback>
        </mc:AlternateContent>
      </w:r>
    </w:p>
    <w:p>
      <w:pPr>
        <w:pStyle w:val="8"/>
        <w:kinsoku w:val="0"/>
        <w:overflowPunct w:val="0"/>
        <w:spacing w:before="0"/>
        <w:ind w:left="0"/>
        <w:rPr>
          <w:rFonts w:hint="default" w:ascii="Times New Roman" w:eastAsia="Times New Roman" w:cs="Times New Roman"/>
          <w:color w:val="auto"/>
          <w:sz w:val="20"/>
          <w:szCs w:val="20"/>
        </w:rPr>
      </w:pPr>
    </w:p>
    <w:p>
      <w:pPr>
        <w:pStyle w:val="8"/>
        <w:kinsoku w:val="0"/>
        <w:overflowPunct w:val="0"/>
        <w:spacing w:before="6"/>
        <w:ind w:left="0"/>
        <w:rPr>
          <w:rFonts w:hint="default" w:ascii="Times New Roman" w:eastAsia="Times New Roman" w:cs="Times New Roman"/>
          <w:color w:val="auto"/>
          <w:sz w:val="27"/>
          <w:szCs w:val="27"/>
        </w:rPr>
      </w:pPr>
    </w:p>
    <w:p>
      <w:pPr>
        <w:pStyle w:val="8"/>
        <w:kinsoku w:val="0"/>
        <w:overflowPunct w:val="0"/>
        <w:spacing w:before="26" w:line="338" w:lineRule="auto"/>
        <w:ind w:left="760" w:right="1166"/>
        <w:rPr>
          <w:rFonts w:hint="default"/>
          <w:color w:val="auto"/>
        </w:rPr>
      </w:pPr>
      <w:r>
        <w:rPr>
          <w:color w:val="auto"/>
        </w:rPr>
        <w:t xml:space="preserve">注：一、本表内容与招标文件其它内容不一致的，应当以本表内容为准。 </w:t>
      </w:r>
    </w:p>
    <w:p>
      <w:pPr>
        <w:pStyle w:val="8"/>
        <w:kinsoku w:val="0"/>
        <w:overflowPunct w:val="0"/>
        <w:spacing w:before="26" w:line="338" w:lineRule="auto"/>
        <w:ind w:left="760" w:right="1166"/>
        <w:rPr>
          <w:rFonts w:hint="default"/>
          <w:color w:val="auto"/>
          <w:spacing w:val="-9"/>
        </w:rPr>
      </w:pPr>
      <w:r>
        <w:rPr>
          <w:color w:val="auto"/>
        </w:rPr>
        <w:t>1、</w:t>
      </w:r>
      <w:r>
        <w:rPr>
          <w:color w:val="auto"/>
          <w:spacing w:val="21"/>
        </w:rPr>
        <w:t xml:space="preserve"> </w:t>
      </w:r>
      <w:r>
        <w:rPr>
          <w:color w:val="auto"/>
          <w:spacing w:val="-9"/>
        </w:rPr>
        <w:t>本表中“□√”标示选择使用该项，“□”标示不选择使用该项。</w:t>
      </w:r>
    </w:p>
    <w:p>
      <w:pPr>
        <w:pStyle w:val="8"/>
        <w:kinsoku w:val="0"/>
        <w:overflowPunct w:val="0"/>
        <w:spacing w:before="26"/>
        <w:ind w:left="760" w:right="1166"/>
        <w:rPr>
          <w:rFonts w:hint="default"/>
          <w:color w:val="auto"/>
        </w:rPr>
      </w:pPr>
      <w:r>
        <w:rPr>
          <w:color w:val="auto"/>
        </w:rPr>
        <w:t>2、</w:t>
      </w:r>
      <w:r>
        <w:rPr>
          <w:color w:val="auto"/>
          <w:spacing w:val="-2"/>
        </w:rPr>
        <w:t xml:space="preserve"> </w:t>
      </w:r>
      <w:r>
        <w:rPr>
          <w:color w:val="auto"/>
        </w:rPr>
        <w:t>本表中加</w:t>
      </w:r>
      <w:r>
        <w:rPr>
          <w:color w:val="auto"/>
          <w:sz w:val="21"/>
          <w:szCs w:val="21"/>
        </w:rPr>
        <w:t>★</w:t>
      </w:r>
      <w:r>
        <w:rPr>
          <w:color w:val="auto"/>
        </w:rPr>
        <w:t>项目为实质性要求，若有缺失或无效，按无效投标处理。</w:t>
      </w:r>
    </w:p>
    <w:p>
      <w:pPr>
        <w:pStyle w:val="8"/>
        <w:kinsoku w:val="0"/>
        <w:overflowPunct w:val="0"/>
        <w:spacing w:before="26"/>
        <w:ind w:left="760" w:right="1166"/>
        <w:rPr>
          <w:rFonts w:hint="default"/>
          <w:color w:val="auto"/>
        </w:rPr>
        <w:sectPr>
          <w:pgSz w:w="11910" w:h="16840"/>
          <w:pgMar w:top="1340" w:right="1040" w:bottom="1580" w:left="1040" w:header="0" w:footer="1395" w:gutter="0"/>
          <w:cols w:space="720" w:num="1"/>
        </w:sectPr>
      </w:pPr>
    </w:p>
    <w:p>
      <w:pPr>
        <w:pStyle w:val="6"/>
        <w:kinsoku w:val="0"/>
        <w:overflowPunct w:val="0"/>
        <w:spacing w:line="363" w:lineRule="exact"/>
        <w:ind w:left="120" w:right="237"/>
        <w:jc w:val="center"/>
        <w:rPr>
          <w:rFonts w:hint="default"/>
          <w:b w:val="0"/>
          <w:color w:val="auto"/>
        </w:rPr>
      </w:pPr>
      <w:r>
        <w:rPr>
          <w:rFonts w:hint="eastAsia"/>
          <w:color w:val="auto"/>
          <w:lang w:eastAsia="zh-CN"/>
        </w:rPr>
        <w:t>供应商</w:t>
      </w:r>
      <w:r>
        <w:rPr>
          <w:color w:val="auto"/>
        </w:rPr>
        <w:t>须知正文部分</w:t>
      </w:r>
    </w:p>
    <w:p>
      <w:pPr>
        <w:pStyle w:val="7"/>
        <w:kinsoku w:val="0"/>
        <w:overflowPunct w:val="0"/>
        <w:spacing w:before="0" w:line="650" w:lineRule="atLeast"/>
        <w:ind w:right="6878"/>
        <w:rPr>
          <w:rFonts w:hint="default"/>
          <w:color w:val="auto"/>
        </w:rPr>
      </w:pPr>
      <w:bookmarkStart w:id="26" w:name="一、总则"/>
      <w:bookmarkEnd w:id="26"/>
      <w:r>
        <w:rPr>
          <w:color w:val="auto"/>
        </w:rPr>
        <w:t>一、总则</w:t>
      </w:r>
    </w:p>
    <w:p>
      <w:pPr>
        <w:pStyle w:val="7"/>
        <w:kinsoku w:val="0"/>
        <w:overflowPunct w:val="0"/>
        <w:spacing w:before="0" w:line="650" w:lineRule="atLeast"/>
        <w:ind w:right="6878"/>
        <w:rPr>
          <w:rFonts w:hint="default"/>
          <w:b w:val="0"/>
          <w:color w:val="auto"/>
        </w:rPr>
      </w:pPr>
      <w:r>
        <w:rPr>
          <w:color w:val="auto"/>
        </w:rPr>
        <w:t>1.说明</w:t>
      </w:r>
    </w:p>
    <w:p>
      <w:pPr>
        <w:pStyle w:val="8"/>
        <w:kinsoku w:val="0"/>
        <w:overflowPunct w:val="0"/>
        <w:spacing w:before="154"/>
        <w:ind w:left="600" w:right="237"/>
        <w:rPr>
          <w:rFonts w:hint="default"/>
          <w:color w:val="auto"/>
        </w:rPr>
      </w:pPr>
      <w:r>
        <w:rPr>
          <w:color w:val="auto"/>
        </w:rPr>
        <w:t>1.1</w:t>
      </w:r>
      <w:r>
        <w:rPr>
          <w:color w:val="auto"/>
          <w:spacing w:val="-60"/>
        </w:rPr>
        <w:t xml:space="preserve"> </w:t>
      </w:r>
      <w:r>
        <w:rPr>
          <w:color w:val="auto"/>
        </w:rPr>
        <w:t>本招标文件适用于本次招标采购项目的招标投标。</w:t>
      </w:r>
    </w:p>
    <w:p>
      <w:pPr>
        <w:pStyle w:val="7"/>
        <w:kinsoku w:val="0"/>
        <w:overflowPunct w:val="0"/>
        <w:spacing w:before="154"/>
        <w:ind w:right="237"/>
        <w:rPr>
          <w:rFonts w:hint="default"/>
          <w:b w:val="0"/>
          <w:color w:val="auto"/>
        </w:rPr>
      </w:pPr>
      <w:r>
        <w:rPr>
          <w:color w:val="auto"/>
        </w:rPr>
        <w:t>2.定义</w:t>
      </w:r>
    </w:p>
    <w:p>
      <w:pPr>
        <w:pStyle w:val="8"/>
        <w:kinsoku w:val="0"/>
        <w:overflowPunct w:val="0"/>
        <w:spacing w:before="154"/>
        <w:ind w:left="600"/>
        <w:rPr>
          <w:rFonts w:hint="default"/>
          <w:color w:val="auto"/>
        </w:rPr>
      </w:pPr>
      <w:r>
        <w:rPr>
          <w:color w:val="auto"/>
          <w:spacing w:val="-3"/>
        </w:rPr>
        <w:t>2.1“采购人”名称见本招标文件第二部分“</w:t>
      </w:r>
      <w:r>
        <w:rPr>
          <w:rFonts w:hint="eastAsia"/>
          <w:color w:val="auto"/>
          <w:spacing w:val="-3"/>
          <w:lang w:eastAsia="zh-CN"/>
        </w:rPr>
        <w:t>供应商</w:t>
      </w:r>
      <w:r>
        <w:rPr>
          <w:color w:val="auto"/>
          <w:spacing w:val="-3"/>
        </w:rPr>
        <w:t>须知前附表”中第</w:t>
      </w:r>
      <w:r>
        <w:rPr>
          <w:color w:val="auto"/>
          <w:spacing w:val="-61"/>
        </w:rPr>
        <w:t xml:space="preserve"> </w:t>
      </w:r>
      <w:r>
        <w:rPr>
          <w:color w:val="auto"/>
        </w:rPr>
        <w:t>1</w:t>
      </w:r>
      <w:r>
        <w:rPr>
          <w:color w:val="auto"/>
          <w:spacing w:val="-60"/>
        </w:rPr>
        <w:t xml:space="preserve"> </w:t>
      </w:r>
      <w:r>
        <w:rPr>
          <w:color w:val="auto"/>
        </w:rPr>
        <w:t>项。</w:t>
      </w:r>
    </w:p>
    <w:p>
      <w:pPr>
        <w:pStyle w:val="8"/>
        <w:kinsoku w:val="0"/>
        <w:overflowPunct w:val="0"/>
        <w:spacing w:before="154" w:line="357" w:lineRule="auto"/>
        <w:ind w:right="237" w:firstLine="480"/>
        <w:rPr>
          <w:rFonts w:hint="default"/>
          <w:color w:val="auto"/>
        </w:rPr>
      </w:pPr>
      <w:r>
        <w:rPr>
          <w:color w:val="auto"/>
        </w:rPr>
        <w:t>2.2“采购代理机构”名称见本招标文件第二部分“</w:t>
      </w:r>
      <w:r>
        <w:rPr>
          <w:rFonts w:hint="eastAsia"/>
          <w:color w:val="auto"/>
          <w:lang w:eastAsia="zh-CN"/>
        </w:rPr>
        <w:t>供应商</w:t>
      </w:r>
      <w:r>
        <w:rPr>
          <w:color w:val="auto"/>
        </w:rPr>
        <w:t>须知前附表”中 第</w:t>
      </w:r>
      <w:r>
        <w:rPr>
          <w:color w:val="auto"/>
          <w:spacing w:val="-60"/>
        </w:rPr>
        <w:t xml:space="preserve"> </w:t>
      </w:r>
      <w:r>
        <w:rPr>
          <w:color w:val="auto"/>
        </w:rPr>
        <w:t>2</w:t>
      </w:r>
      <w:r>
        <w:rPr>
          <w:color w:val="auto"/>
          <w:spacing w:val="-60"/>
        </w:rPr>
        <w:t xml:space="preserve"> </w:t>
      </w:r>
      <w:r>
        <w:rPr>
          <w:color w:val="auto"/>
        </w:rPr>
        <w:t>项。</w:t>
      </w:r>
    </w:p>
    <w:p>
      <w:pPr>
        <w:pStyle w:val="8"/>
        <w:kinsoku w:val="0"/>
        <w:overflowPunct w:val="0"/>
        <w:spacing w:line="357" w:lineRule="auto"/>
        <w:ind w:right="237" w:firstLine="480"/>
        <w:rPr>
          <w:rFonts w:hint="default"/>
          <w:color w:val="auto"/>
        </w:rPr>
      </w:pPr>
      <w:r>
        <w:rPr>
          <w:color w:val="auto"/>
        </w:rPr>
        <w:t>2.3“招标货物”指招标文件第三部分所述所有货物；“服务”指招标文件 第三部分所述</w:t>
      </w:r>
      <w:r>
        <w:rPr>
          <w:rFonts w:hint="eastAsia"/>
          <w:color w:val="auto"/>
          <w:lang w:eastAsia="zh-CN"/>
        </w:rPr>
        <w:t>供应商</w:t>
      </w:r>
      <w:r>
        <w:rPr>
          <w:color w:val="auto"/>
        </w:rPr>
        <w:t>应该履行的承诺和义务。</w:t>
      </w:r>
    </w:p>
    <w:p>
      <w:pPr>
        <w:pStyle w:val="8"/>
        <w:kinsoku w:val="0"/>
        <w:overflowPunct w:val="0"/>
        <w:ind w:left="600" w:right="237"/>
        <w:rPr>
          <w:rFonts w:hint="default"/>
          <w:color w:val="auto"/>
        </w:rPr>
      </w:pPr>
      <w:r>
        <w:rPr>
          <w:color w:val="auto"/>
        </w:rPr>
        <w:t>2.4“潜在</w:t>
      </w:r>
      <w:r>
        <w:rPr>
          <w:rFonts w:hint="eastAsia"/>
          <w:color w:val="auto"/>
          <w:lang w:eastAsia="zh-CN"/>
        </w:rPr>
        <w:t>供应商</w:t>
      </w:r>
      <w:r>
        <w:rPr>
          <w:color w:val="auto"/>
        </w:rPr>
        <w:t>”指符合招标文件各项规定的供应商。</w:t>
      </w:r>
    </w:p>
    <w:p>
      <w:pPr>
        <w:pStyle w:val="8"/>
        <w:kinsoku w:val="0"/>
        <w:overflowPunct w:val="0"/>
        <w:spacing w:before="154"/>
        <w:ind w:left="600" w:right="237"/>
        <w:rPr>
          <w:rFonts w:hint="default"/>
          <w:color w:val="auto"/>
        </w:rPr>
      </w:pPr>
      <w:r>
        <w:rPr>
          <w:color w:val="auto"/>
        </w:rPr>
        <w:t>2.5“</w:t>
      </w:r>
      <w:r>
        <w:rPr>
          <w:rFonts w:hint="eastAsia"/>
          <w:color w:val="auto"/>
          <w:lang w:eastAsia="zh-CN"/>
        </w:rPr>
        <w:t>供应商</w:t>
      </w:r>
      <w:r>
        <w:rPr>
          <w:color w:val="auto"/>
        </w:rPr>
        <w:t>”指符合招标文件规定并参加投标的供应商。</w:t>
      </w:r>
    </w:p>
    <w:p>
      <w:pPr>
        <w:pStyle w:val="8"/>
        <w:kinsoku w:val="0"/>
        <w:overflowPunct w:val="0"/>
        <w:spacing w:before="154" w:line="357" w:lineRule="auto"/>
        <w:ind w:right="237" w:firstLine="480"/>
        <w:rPr>
          <w:rFonts w:hint="default"/>
          <w:color w:val="auto"/>
        </w:rPr>
      </w:pPr>
      <w:r>
        <w:rPr>
          <w:color w:val="auto"/>
        </w:rPr>
        <w:t>2.6“</w:t>
      </w:r>
      <w:r>
        <w:rPr>
          <w:rFonts w:hint="eastAsia"/>
          <w:color w:val="auto"/>
          <w:lang w:eastAsia="zh-CN"/>
        </w:rPr>
        <w:t>供应商</w:t>
      </w:r>
      <w:r>
        <w:rPr>
          <w:color w:val="auto"/>
        </w:rPr>
        <w:t>公章”在投标文件中指与</w:t>
      </w:r>
      <w:r>
        <w:rPr>
          <w:rFonts w:hint="eastAsia"/>
          <w:color w:val="auto"/>
          <w:lang w:eastAsia="zh-CN"/>
        </w:rPr>
        <w:t>供应商</w:t>
      </w:r>
      <w:r>
        <w:rPr>
          <w:color w:val="auto"/>
        </w:rPr>
        <w:t>标准公章一致的</w:t>
      </w:r>
      <w:r>
        <w:rPr>
          <w:rFonts w:hint="eastAsia"/>
          <w:color w:val="auto"/>
          <w:lang w:eastAsia="zh-CN"/>
        </w:rPr>
        <w:t>供应商</w:t>
      </w:r>
      <w:r>
        <w:rPr>
          <w:color w:val="auto"/>
        </w:rPr>
        <w:t>电子签 章。</w:t>
      </w:r>
    </w:p>
    <w:p>
      <w:pPr>
        <w:pStyle w:val="8"/>
        <w:kinsoku w:val="0"/>
        <w:overflowPunct w:val="0"/>
        <w:spacing w:line="357" w:lineRule="auto"/>
        <w:ind w:right="237" w:firstLine="480"/>
        <w:rPr>
          <w:rFonts w:hint="default"/>
          <w:color w:val="auto"/>
        </w:rPr>
      </w:pPr>
      <w:r>
        <w:rPr>
          <w:color w:val="auto"/>
        </w:rPr>
        <w:t>2.7“电子投标文件”指利用政采云平台提供的“电子投标文件制作工具” 编制加密和未加密的投标文件。</w:t>
      </w:r>
    </w:p>
    <w:p>
      <w:pPr>
        <w:pStyle w:val="7"/>
        <w:kinsoku w:val="0"/>
        <w:overflowPunct w:val="0"/>
        <w:ind w:right="237"/>
        <w:rPr>
          <w:rFonts w:hint="default"/>
          <w:b w:val="0"/>
          <w:color w:val="auto"/>
        </w:rPr>
      </w:pPr>
      <w:r>
        <w:rPr>
          <w:color w:val="auto"/>
        </w:rPr>
        <w:t>3.合格</w:t>
      </w:r>
      <w:r>
        <w:rPr>
          <w:rFonts w:hint="eastAsia"/>
          <w:color w:val="auto"/>
          <w:lang w:eastAsia="zh-CN"/>
        </w:rPr>
        <w:t>供应商</w:t>
      </w:r>
      <w:r>
        <w:rPr>
          <w:color w:val="auto"/>
        </w:rPr>
        <w:t>的条件</w:t>
      </w:r>
    </w:p>
    <w:p>
      <w:pPr>
        <w:pStyle w:val="8"/>
        <w:kinsoku w:val="0"/>
        <w:overflowPunct w:val="0"/>
        <w:spacing w:before="154" w:line="357" w:lineRule="auto"/>
        <w:ind w:right="237" w:firstLine="480"/>
        <w:rPr>
          <w:rFonts w:hint="default"/>
          <w:color w:val="auto"/>
        </w:rPr>
      </w:pPr>
      <w:r>
        <w:rPr>
          <w:color w:val="auto"/>
        </w:rPr>
        <w:t>3.1</w:t>
      </w:r>
      <w:r>
        <w:rPr>
          <w:color w:val="auto"/>
          <w:spacing w:val="-92"/>
        </w:rPr>
        <w:t xml:space="preserve"> </w:t>
      </w:r>
      <w:r>
        <w:rPr>
          <w:color w:val="auto"/>
        </w:rPr>
        <w:t>具有本项目生产、制造、供应或实施能力，符合、承认并承诺履行本文 件各项规定的国内法人、其他组织或自然人均可参加投标。</w:t>
      </w:r>
    </w:p>
    <w:p>
      <w:pPr>
        <w:pStyle w:val="8"/>
        <w:kinsoku w:val="0"/>
        <w:overflowPunct w:val="0"/>
        <w:spacing w:line="357" w:lineRule="auto"/>
        <w:ind w:right="117" w:firstLine="480"/>
        <w:rPr>
          <w:rFonts w:hint="default"/>
          <w:color w:val="auto"/>
        </w:rPr>
      </w:pPr>
      <w:r>
        <w:rPr>
          <w:color w:val="auto"/>
        </w:rPr>
        <w:t>3.2</w:t>
      </w:r>
      <w:r>
        <w:rPr>
          <w:color w:val="auto"/>
          <w:spacing w:val="-57"/>
        </w:rPr>
        <w:t xml:space="preserve"> </w:t>
      </w:r>
      <w:r>
        <w:rPr>
          <w:color w:val="auto"/>
          <w:spacing w:val="-5"/>
        </w:rPr>
        <w:t>遵守有关的国家法律、法规和条例，具备《中华人民共和国政府采购法》</w:t>
      </w:r>
      <w:r>
        <w:rPr>
          <w:color w:val="auto"/>
        </w:rPr>
        <w:t xml:space="preserve"> 和本文件中规定的条件：</w:t>
      </w:r>
    </w:p>
    <w:p>
      <w:pPr>
        <w:pStyle w:val="8"/>
        <w:kinsoku w:val="0"/>
        <w:overflowPunct w:val="0"/>
        <w:ind w:left="600" w:right="237"/>
        <w:rPr>
          <w:rFonts w:hint="default"/>
          <w:color w:val="auto"/>
        </w:rPr>
      </w:pPr>
      <w:r>
        <w:rPr>
          <w:color w:val="auto"/>
        </w:rPr>
        <w:t>1)具有独立承担民事责任的能力；</w:t>
      </w:r>
    </w:p>
    <w:p>
      <w:pPr>
        <w:pStyle w:val="8"/>
        <w:kinsoku w:val="0"/>
        <w:overflowPunct w:val="0"/>
        <w:spacing w:before="154"/>
        <w:ind w:left="600" w:right="237"/>
        <w:rPr>
          <w:rFonts w:hint="default"/>
          <w:color w:val="auto"/>
        </w:rPr>
      </w:pPr>
      <w:r>
        <w:rPr>
          <w:color w:val="auto"/>
        </w:rPr>
        <w:t>2)具有良好的商业信誉和健全的财务会计制度；</w:t>
      </w:r>
    </w:p>
    <w:p>
      <w:pPr>
        <w:pStyle w:val="8"/>
        <w:kinsoku w:val="0"/>
        <w:overflowPunct w:val="0"/>
        <w:spacing w:before="154"/>
        <w:ind w:left="600" w:right="237"/>
        <w:rPr>
          <w:rFonts w:hint="default"/>
          <w:color w:val="auto"/>
        </w:rPr>
      </w:pPr>
      <w:r>
        <w:rPr>
          <w:color w:val="auto"/>
        </w:rPr>
        <w:t>3)具有履行合同所必需的设备和专业技术能力；</w:t>
      </w:r>
    </w:p>
    <w:p>
      <w:pPr>
        <w:pStyle w:val="8"/>
        <w:kinsoku w:val="0"/>
        <w:overflowPunct w:val="0"/>
        <w:spacing w:before="154"/>
        <w:ind w:left="600" w:right="237"/>
        <w:rPr>
          <w:rFonts w:hint="default"/>
          <w:color w:val="auto"/>
        </w:rPr>
      </w:pPr>
      <w:r>
        <w:rPr>
          <w:color w:val="auto"/>
        </w:rPr>
        <w:t>4)具有依法缴纳税收和社会保障资金的良好记录；</w:t>
      </w:r>
    </w:p>
    <w:p>
      <w:pPr>
        <w:pStyle w:val="8"/>
        <w:kinsoku w:val="0"/>
        <w:overflowPunct w:val="0"/>
        <w:spacing w:before="154"/>
        <w:ind w:left="600" w:right="237"/>
        <w:rPr>
          <w:rFonts w:hint="default"/>
          <w:color w:val="auto"/>
        </w:rPr>
      </w:pPr>
      <w:r>
        <w:rPr>
          <w:color w:val="auto"/>
        </w:rPr>
        <w:t>5)参加政府采购活动前三年内，在经营活动中没有重大违法记录；</w:t>
      </w:r>
    </w:p>
    <w:p>
      <w:pPr>
        <w:pStyle w:val="8"/>
        <w:kinsoku w:val="0"/>
        <w:overflowPunct w:val="0"/>
        <w:spacing w:before="154"/>
        <w:ind w:left="600" w:right="237"/>
        <w:rPr>
          <w:rFonts w:hint="default"/>
          <w:color w:val="auto"/>
        </w:rPr>
      </w:pPr>
      <w:r>
        <w:rPr>
          <w:color w:val="auto"/>
        </w:rPr>
        <w:t>6)法律、行政法规规定的其他条件；</w:t>
      </w:r>
    </w:p>
    <w:p>
      <w:pPr>
        <w:pStyle w:val="8"/>
        <w:kinsoku w:val="0"/>
        <w:overflowPunct w:val="0"/>
        <w:spacing w:before="154"/>
        <w:ind w:left="600" w:right="237"/>
        <w:rPr>
          <w:rFonts w:hint="default"/>
          <w:color w:val="auto"/>
        </w:rPr>
        <w:sectPr>
          <w:pgSz w:w="11910" w:h="16840"/>
          <w:pgMar w:top="1500" w:right="1560" w:bottom="1580" w:left="1680" w:header="0" w:footer="1395" w:gutter="0"/>
          <w:cols w:space="720" w:num="1"/>
        </w:sectPr>
      </w:pPr>
    </w:p>
    <w:p>
      <w:pPr>
        <w:pStyle w:val="8"/>
        <w:kinsoku w:val="0"/>
        <w:overflowPunct w:val="0"/>
        <w:spacing w:before="2"/>
        <w:ind w:left="600" w:right="237"/>
        <w:rPr>
          <w:rFonts w:hint="default"/>
          <w:color w:val="auto"/>
        </w:rPr>
      </w:pPr>
      <w:r>
        <w:rPr>
          <w:color w:val="auto"/>
        </w:rPr>
        <w:t>7)具有本招标文件第二部分“</w:t>
      </w:r>
      <w:r>
        <w:rPr>
          <w:rFonts w:hint="eastAsia"/>
          <w:color w:val="auto"/>
          <w:lang w:eastAsia="zh-CN"/>
        </w:rPr>
        <w:t>供应商</w:t>
      </w:r>
      <w:r>
        <w:rPr>
          <w:color w:val="auto"/>
        </w:rPr>
        <w:t>须知前附表”中规定的资格条件。</w:t>
      </w:r>
    </w:p>
    <w:p>
      <w:pPr>
        <w:pStyle w:val="8"/>
        <w:kinsoku w:val="0"/>
        <w:overflowPunct w:val="0"/>
        <w:spacing w:before="154" w:line="357" w:lineRule="auto"/>
        <w:ind w:right="237" w:firstLine="480"/>
        <w:rPr>
          <w:rFonts w:hint="default"/>
          <w:color w:val="auto"/>
        </w:rPr>
      </w:pPr>
      <w:r>
        <w:rPr>
          <w:color w:val="auto"/>
        </w:rPr>
        <w:t>3.3</w:t>
      </w:r>
      <w:r>
        <w:rPr>
          <w:color w:val="auto"/>
          <w:spacing w:val="-91"/>
        </w:rPr>
        <w:t xml:space="preserve"> </w:t>
      </w:r>
      <w:r>
        <w:rPr>
          <w:rFonts w:hint="eastAsia"/>
          <w:color w:val="auto"/>
          <w:lang w:eastAsia="zh-CN"/>
        </w:rPr>
        <w:t>供应商</w:t>
      </w:r>
      <w:r>
        <w:rPr>
          <w:color w:val="auto"/>
        </w:rPr>
        <w:t>之间如果存在下列情形之一的，不得同时参加同一包（标段）或 者不分包（标段）的同一项目投标：</w:t>
      </w:r>
    </w:p>
    <w:p>
      <w:pPr>
        <w:pStyle w:val="8"/>
        <w:kinsoku w:val="0"/>
        <w:overflowPunct w:val="0"/>
        <w:ind w:left="600" w:right="237"/>
        <w:rPr>
          <w:rFonts w:hint="default"/>
          <w:color w:val="auto"/>
        </w:rPr>
      </w:pPr>
      <w:r>
        <w:rPr>
          <w:color w:val="auto"/>
        </w:rPr>
        <w:t>3.3.1</w:t>
      </w:r>
      <w:r>
        <w:rPr>
          <w:color w:val="auto"/>
          <w:spacing w:val="-60"/>
        </w:rPr>
        <w:t xml:space="preserve"> </w:t>
      </w:r>
      <w:r>
        <w:rPr>
          <w:color w:val="auto"/>
        </w:rPr>
        <w:t>法定代表人为同一个人的两个及两个以上法人；</w:t>
      </w:r>
    </w:p>
    <w:p>
      <w:pPr>
        <w:pStyle w:val="8"/>
        <w:kinsoku w:val="0"/>
        <w:overflowPunct w:val="0"/>
        <w:spacing w:before="154"/>
        <w:ind w:left="600" w:right="237"/>
        <w:rPr>
          <w:rFonts w:hint="default"/>
          <w:color w:val="auto"/>
        </w:rPr>
      </w:pPr>
      <w:r>
        <w:rPr>
          <w:color w:val="auto"/>
        </w:rPr>
        <w:t>3.3.2</w:t>
      </w:r>
      <w:r>
        <w:rPr>
          <w:color w:val="auto"/>
          <w:spacing w:val="-60"/>
        </w:rPr>
        <w:t xml:space="preserve"> </w:t>
      </w:r>
      <w:r>
        <w:rPr>
          <w:color w:val="auto"/>
        </w:rPr>
        <w:t>母公司、全资子公司及其控股公司；</w:t>
      </w:r>
    </w:p>
    <w:p>
      <w:pPr>
        <w:pStyle w:val="8"/>
        <w:kinsoku w:val="0"/>
        <w:overflowPunct w:val="0"/>
        <w:spacing w:before="154"/>
        <w:ind w:left="600" w:right="237"/>
        <w:rPr>
          <w:rFonts w:hint="default"/>
          <w:color w:val="auto"/>
        </w:rPr>
      </w:pPr>
      <w:r>
        <w:rPr>
          <w:color w:val="auto"/>
        </w:rPr>
        <w:t>3.3.3</w:t>
      </w:r>
      <w:r>
        <w:rPr>
          <w:color w:val="auto"/>
          <w:spacing w:val="-60"/>
        </w:rPr>
        <w:t xml:space="preserve"> </w:t>
      </w:r>
      <w:r>
        <w:rPr>
          <w:color w:val="auto"/>
        </w:rPr>
        <w:t>参加投标的其他组织之间存在特殊的利害关系的；</w:t>
      </w:r>
    </w:p>
    <w:p>
      <w:pPr>
        <w:pStyle w:val="8"/>
        <w:kinsoku w:val="0"/>
        <w:overflowPunct w:val="0"/>
        <w:spacing w:before="154"/>
        <w:ind w:left="600" w:right="237"/>
        <w:rPr>
          <w:rFonts w:hint="default"/>
          <w:color w:val="auto"/>
        </w:rPr>
      </w:pPr>
      <w:r>
        <w:rPr>
          <w:color w:val="auto"/>
        </w:rPr>
        <w:t>3.3.4</w:t>
      </w:r>
      <w:r>
        <w:rPr>
          <w:color w:val="auto"/>
          <w:spacing w:val="-60"/>
        </w:rPr>
        <w:t xml:space="preserve"> </w:t>
      </w:r>
      <w:r>
        <w:rPr>
          <w:color w:val="auto"/>
        </w:rPr>
        <w:t>法律和行政法规规定的其他情形。</w:t>
      </w:r>
    </w:p>
    <w:p>
      <w:pPr>
        <w:pStyle w:val="8"/>
        <w:kinsoku w:val="0"/>
        <w:overflowPunct w:val="0"/>
        <w:spacing w:before="154"/>
        <w:ind w:left="600" w:right="237"/>
        <w:rPr>
          <w:rFonts w:hint="default"/>
          <w:color w:val="auto"/>
        </w:rPr>
      </w:pPr>
      <w:r>
        <w:rPr>
          <w:color w:val="auto"/>
        </w:rPr>
        <w:t>3.4</w:t>
      </w:r>
      <w:r>
        <w:rPr>
          <w:color w:val="auto"/>
          <w:spacing w:val="-60"/>
        </w:rPr>
        <w:t xml:space="preserve"> </w:t>
      </w:r>
      <w:r>
        <w:rPr>
          <w:rFonts w:hint="eastAsia"/>
          <w:color w:val="auto"/>
          <w:lang w:eastAsia="zh-CN"/>
        </w:rPr>
        <w:t>供应商</w:t>
      </w:r>
      <w:r>
        <w:rPr>
          <w:color w:val="auto"/>
        </w:rPr>
        <w:t>须持有《法定代表人授权委托书》。</w:t>
      </w:r>
    </w:p>
    <w:p>
      <w:pPr>
        <w:pStyle w:val="8"/>
        <w:kinsoku w:val="0"/>
        <w:overflowPunct w:val="0"/>
        <w:spacing w:before="154"/>
        <w:ind w:left="600" w:right="237"/>
        <w:rPr>
          <w:rFonts w:hint="default"/>
          <w:color w:val="auto"/>
        </w:rPr>
      </w:pPr>
      <w:r>
        <w:rPr>
          <w:color w:val="auto"/>
        </w:rPr>
        <w:t>3.5</w:t>
      </w:r>
      <w:r>
        <w:rPr>
          <w:color w:val="auto"/>
          <w:spacing w:val="-60"/>
        </w:rPr>
        <w:t xml:space="preserve"> </w:t>
      </w:r>
      <w:r>
        <w:rPr>
          <w:rFonts w:hint="eastAsia"/>
          <w:color w:val="auto"/>
          <w:lang w:eastAsia="zh-CN"/>
        </w:rPr>
        <w:t>供应商</w:t>
      </w:r>
      <w:r>
        <w:rPr>
          <w:color w:val="auto"/>
        </w:rPr>
        <w:t>在政采云平台内针对本项目下载了电子采购文件。</w:t>
      </w:r>
    </w:p>
    <w:p>
      <w:pPr>
        <w:pStyle w:val="8"/>
        <w:kinsoku w:val="0"/>
        <w:overflowPunct w:val="0"/>
        <w:spacing w:before="154"/>
        <w:ind w:left="600" w:right="237"/>
        <w:rPr>
          <w:rFonts w:hint="default"/>
          <w:color w:val="auto"/>
        </w:rPr>
      </w:pPr>
      <w:r>
        <w:rPr>
          <w:color w:val="auto"/>
        </w:rPr>
        <w:t>3.6</w:t>
      </w:r>
      <w:r>
        <w:rPr>
          <w:color w:val="auto"/>
          <w:spacing w:val="-60"/>
        </w:rPr>
        <w:t xml:space="preserve"> </w:t>
      </w:r>
      <w:r>
        <w:rPr>
          <w:rFonts w:hint="eastAsia"/>
          <w:color w:val="auto"/>
          <w:lang w:eastAsia="zh-CN"/>
        </w:rPr>
        <w:t>供应商</w:t>
      </w:r>
      <w:r>
        <w:rPr>
          <w:color w:val="auto"/>
        </w:rPr>
        <w:t>按时足额交纳投标保证金。</w:t>
      </w:r>
    </w:p>
    <w:p>
      <w:pPr>
        <w:pStyle w:val="8"/>
        <w:kinsoku w:val="0"/>
        <w:overflowPunct w:val="0"/>
        <w:spacing w:before="154" w:line="357" w:lineRule="auto"/>
        <w:ind w:right="117" w:firstLine="480"/>
        <w:rPr>
          <w:rFonts w:hint="default"/>
          <w:color w:val="auto"/>
        </w:rPr>
      </w:pPr>
      <w:r>
        <w:rPr>
          <w:color w:val="auto"/>
        </w:rPr>
        <w:t>3.7</w:t>
      </w:r>
      <w:r>
        <w:rPr>
          <w:color w:val="auto"/>
          <w:spacing w:val="-53"/>
        </w:rPr>
        <w:t xml:space="preserve"> </w:t>
      </w:r>
      <w:r>
        <w:rPr>
          <w:color w:val="auto"/>
          <w:spacing w:val="6"/>
        </w:rPr>
        <w:t>本次招标是否允许由两个以上</w:t>
      </w:r>
      <w:r>
        <w:rPr>
          <w:rFonts w:hint="eastAsia"/>
          <w:color w:val="auto"/>
          <w:spacing w:val="6"/>
          <w:lang w:eastAsia="zh-CN"/>
        </w:rPr>
        <w:t>供应商</w:t>
      </w:r>
      <w:r>
        <w:rPr>
          <w:color w:val="auto"/>
          <w:spacing w:val="6"/>
        </w:rPr>
        <w:t>组成一个联合体以一个</w:t>
      </w:r>
      <w:r>
        <w:rPr>
          <w:rFonts w:hint="eastAsia"/>
          <w:color w:val="auto"/>
          <w:spacing w:val="6"/>
          <w:lang w:eastAsia="zh-CN"/>
        </w:rPr>
        <w:t>供应商</w:t>
      </w:r>
      <w:r>
        <w:rPr>
          <w:color w:val="auto"/>
          <w:spacing w:val="6"/>
        </w:rPr>
        <w:t>身</w:t>
      </w:r>
      <w:r>
        <w:rPr>
          <w:color w:val="auto"/>
        </w:rPr>
        <w:t xml:space="preserve"> </w:t>
      </w:r>
      <w:r>
        <w:rPr>
          <w:color w:val="auto"/>
          <w:spacing w:val="-6"/>
        </w:rPr>
        <w:t>份共同投标，按照招标文件第二部分“</w:t>
      </w:r>
      <w:r>
        <w:rPr>
          <w:rFonts w:hint="eastAsia"/>
          <w:color w:val="auto"/>
          <w:spacing w:val="-6"/>
          <w:lang w:eastAsia="zh-CN"/>
        </w:rPr>
        <w:t>供应商</w:t>
      </w:r>
      <w:r>
        <w:rPr>
          <w:color w:val="auto"/>
          <w:spacing w:val="-6"/>
        </w:rPr>
        <w:t>须知前附表”中的规定。如果允许，</w:t>
      </w:r>
      <w:r>
        <w:rPr>
          <w:color w:val="auto"/>
        </w:rPr>
        <w:t xml:space="preserve"> 除均应符合上述规定外，还应符合下列要求：</w:t>
      </w:r>
    </w:p>
    <w:p>
      <w:pPr>
        <w:pStyle w:val="8"/>
        <w:kinsoku w:val="0"/>
        <w:overflowPunct w:val="0"/>
        <w:spacing w:line="357" w:lineRule="auto"/>
        <w:ind w:right="117" w:firstLine="480"/>
        <w:rPr>
          <w:rFonts w:hint="default"/>
          <w:color w:val="auto"/>
        </w:rPr>
      </w:pPr>
      <w:r>
        <w:rPr>
          <w:color w:val="auto"/>
        </w:rPr>
        <w:t xml:space="preserve">1）联合投标体应提供“联合投标协议书”，该协议书对联合投标各方均具 有法律约束力。联合投标体必须确定其中一方为投标的全权代表参加投标活动， 并承担投标及履约活动中的全部责任与义务，且联合体各方无论是否实际参加、 </w:t>
      </w:r>
      <w:r>
        <w:rPr>
          <w:color w:val="auto"/>
          <w:spacing w:val="-3"/>
        </w:rPr>
        <w:t>发生的情形怎样，一旦该联合体实际开始投标，联合体各方均应当就本次采购所</w:t>
      </w:r>
      <w:r>
        <w:rPr>
          <w:color w:val="auto"/>
          <w:spacing w:val="-109"/>
        </w:rPr>
        <w:t xml:space="preserve"> </w:t>
      </w:r>
      <w:r>
        <w:rPr>
          <w:color w:val="auto"/>
          <w:spacing w:val="-3"/>
        </w:rPr>
        <w:t>引起或相关的任何或所有事项、义务、责任、损失等承担连带责任。申请参与本</w:t>
      </w:r>
      <w:r>
        <w:rPr>
          <w:color w:val="auto"/>
          <w:spacing w:val="-109"/>
        </w:rPr>
        <w:t xml:space="preserve"> </w:t>
      </w:r>
      <w:r>
        <w:rPr>
          <w:color w:val="auto"/>
          <w:spacing w:val="-3"/>
        </w:rPr>
        <w:t>项目联合投标成员各自均应具备政府有权机构核发的有效营业执照；均应是自主</w:t>
      </w:r>
      <w:r>
        <w:rPr>
          <w:color w:val="auto"/>
          <w:spacing w:val="-109"/>
        </w:rPr>
        <w:t xml:space="preserve"> </w:t>
      </w:r>
      <w:r>
        <w:rPr>
          <w:color w:val="auto"/>
        </w:rPr>
        <w:t>经营、独立核算、处于持续正常经营状态的经济实体。</w:t>
      </w:r>
    </w:p>
    <w:p>
      <w:pPr>
        <w:pStyle w:val="8"/>
        <w:kinsoku w:val="0"/>
        <w:overflowPunct w:val="0"/>
        <w:spacing w:line="357" w:lineRule="auto"/>
        <w:ind w:right="237" w:firstLine="480"/>
        <w:jc w:val="both"/>
        <w:rPr>
          <w:rFonts w:hint="default"/>
          <w:color w:val="auto"/>
        </w:rPr>
      </w:pPr>
      <w:r>
        <w:rPr>
          <w:color w:val="auto"/>
        </w:rPr>
        <w:t xml:space="preserve">2）联合体各方中至少应当有一方对应满足本项目规定的相应资质条件，并 </w:t>
      </w:r>
      <w:r>
        <w:rPr>
          <w:color w:val="auto"/>
          <w:spacing w:val="-3"/>
        </w:rPr>
        <w:t>且联合体</w:t>
      </w:r>
      <w:r>
        <w:rPr>
          <w:rFonts w:hint="eastAsia"/>
          <w:color w:val="auto"/>
          <w:spacing w:val="-3"/>
          <w:lang w:eastAsia="zh-CN"/>
        </w:rPr>
        <w:t>供应商</w:t>
      </w:r>
      <w:r>
        <w:rPr>
          <w:color w:val="auto"/>
          <w:spacing w:val="-3"/>
        </w:rPr>
        <w:t>整体应当符合本项目的资质要求，否则，其提交的联合投标将被</w:t>
      </w:r>
      <w:r>
        <w:rPr>
          <w:color w:val="auto"/>
          <w:spacing w:val="-109"/>
        </w:rPr>
        <w:t xml:space="preserve"> </w:t>
      </w:r>
      <w:r>
        <w:rPr>
          <w:color w:val="auto"/>
        </w:rPr>
        <w:t>拒绝。</w:t>
      </w:r>
    </w:p>
    <w:p>
      <w:pPr>
        <w:pStyle w:val="8"/>
        <w:kinsoku w:val="0"/>
        <w:overflowPunct w:val="0"/>
        <w:spacing w:line="357" w:lineRule="auto"/>
        <w:ind w:right="237" w:firstLine="480"/>
        <w:jc w:val="both"/>
        <w:rPr>
          <w:rFonts w:hint="default"/>
          <w:color w:val="auto"/>
        </w:rPr>
      </w:pPr>
      <w:r>
        <w:rPr>
          <w:color w:val="auto"/>
        </w:rPr>
        <w:t>3）由不同专业的</w:t>
      </w:r>
      <w:r>
        <w:rPr>
          <w:rFonts w:hint="eastAsia"/>
          <w:color w:val="auto"/>
          <w:lang w:eastAsia="zh-CN"/>
        </w:rPr>
        <w:t>供应商</w:t>
      </w:r>
      <w:r>
        <w:rPr>
          <w:color w:val="auto"/>
        </w:rPr>
        <w:t>组成的联合体,</w:t>
      </w:r>
      <w:r>
        <w:rPr>
          <w:color w:val="auto"/>
          <w:spacing w:val="20"/>
        </w:rPr>
        <w:t xml:space="preserve"> </w:t>
      </w:r>
      <w:r>
        <w:rPr>
          <w:color w:val="auto"/>
        </w:rPr>
        <w:t>首先以投标的全权代表方的应答材 料作为认定资质以及商务评审的依据；涉及行业专属的资质,按照所属行业所对</w:t>
      </w:r>
      <w:r>
        <w:rPr>
          <w:color w:val="auto"/>
          <w:spacing w:val="-101"/>
        </w:rPr>
        <w:t xml:space="preserve"> </w:t>
      </w:r>
      <w:r>
        <w:rPr>
          <w:color w:val="auto"/>
        </w:rPr>
        <w:t>应的</w:t>
      </w:r>
      <w:r>
        <w:rPr>
          <w:rFonts w:hint="eastAsia"/>
          <w:color w:val="auto"/>
          <w:lang w:eastAsia="zh-CN"/>
        </w:rPr>
        <w:t>供应商</w:t>
      </w:r>
      <w:r>
        <w:rPr>
          <w:color w:val="auto"/>
        </w:rPr>
        <w:t>的应答材料确定。</w:t>
      </w:r>
    </w:p>
    <w:p>
      <w:pPr>
        <w:pStyle w:val="8"/>
        <w:kinsoku w:val="0"/>
        <w:overflowPunct w:val="0"/>
        <w:spacing w:line="357" w:lineRule="auto"/>
        <w:ind w:right="117" w:firstLine="480"/>
        <w:rPr>
          <w:rFonts w:hint="default"/>
          <w:color w:val="auto"/>
          <w:spacing w:val="-3"/>
        </w:rPr>
      </w:pPr>
      <w:r>
        <w:rPr>
          <w:color w:val="auto"/>
          <w:spacing w:val="-3"/>
        </w:rPr>
        <w:t>4）联合体中标后，合同应由各成员的合法授权代表签字并加盖各成员公章，</w:t>
      </w:r>
      <w:r>
        <w:rPr>
          <w:color w:val="auto"/>
        </w:rPr>
        <w:t xml:space="preserve"> </w:t>
      </w:r>
      <w:r>
        <w:rPr>
          <w:color w:val="auto"/>
          <w:spacing w:val="-3"/>
        </w:rPr>
        <w:t>以便对联合体成员作为整体和他们各自作为独立体均具有法律约束力，但若该等</w:t>
      </w:r>
      <w:r>
        <w:rPr>
          <w:color w:val="auto"/>
          <w:spacing w:val="-109"/>
        </w:rPr>
        <w:t xml:space="preserve"> </w:t>
      </w:r>
      <w:r>
        <w:rPr>
          <w:color w:val="auto"/>
          <w:spacing w:val="-3"/>
        </w:rPr>
        <w:t>签字或公章不齐全或缺乏，该联合体的牵头人的签署或类似的意思表示人具有代</w:t>
      </w:r>
    </w:p>
    <w:p>
      <w:pPr>
        <w:pStyle w:val="8"/>
        <w:kinsoku w:val="0"/>
        <w:overflowPunct w:val="0"/>
        <w:spacing w:line="357" w:lineRule="auto"/>
        <w:ind w:right="117" w:firstLine="480"/>
        <w:rPr>
          <w:rFonts w:hint="default"/>
          <w:color w:val="auto"/>
          <w:spacing w:val="-3"/>
        </w:rPr>
        <w:sectPr>
          <w:footerReference r:id="rId6" w:type="default"/>
          <w:pgSz w:w="11910" w:h="16840"/>
          <w:pgMar w:top="1460" w:right="1560" w:bottom="1600" w:left="1680" w:header="0" w:footer="1415" w:gutter="0"/>
          <w:pgNumType w:start="20"/>
          <w:cols w:space="720" w:num="1"/>
        </w:sectPr>
      </w:pPr>
    </w:p>
    <w:p>
      <w:pPr>
        <w:pStyle w:val="8"/>
        <w:kinsoku w:val="0"/>
        <w:overflowPunct w:val="0"/>
        <w:spacing w:before="2" w:line="357" w:lineRule="auto"/>
        <w:rPr>
          <w:rFonts w:hint="default"/>
          <w:color w:val="auto"/>
        </w:rPr>
      </w:pPr>
      <w:r>
        <w:rPr>
          <w:color w:val="auto"/>
          <w:spacing w:val="-3"/>
        </w:rPr>
        <w:t>表该联合体的签署或意思表示的法律效力，并且据此各成员为履行合同应向采购</w:t>
      </w:r>
      <w:r>
        <w:rPr>
          <w:color w:val="auto"/>
          <w:spacing w:val="-110"/>
        </w:rPr>
        <w:t xml:space="preserve"> </w:t>
      </w:r>
      <w:r>
        <w:rPr>
          <w:color w:val="auto"/>
        </w:rPr>
        <w:t>代理机构与采购人承担连带责任。</w:t>
      </w:r>
    </w:p>
    <w:p>
      <w:pPr>
        <w:pStyle w:val="8"/>
        <w:kinsoku w:val="0"/>
        <w:overflowPunct w:val="0"/>
        <w:spacing w:line="357" w:lineRule="auto"/>
        <w:ind w:right="117" w:firstLine="480"/>
        <w:jc w:val="both"/>
        <w:rPr>
          <w:rFonts w:hint="default"/>
          <w:color w:val="auto"/>
        </w:rPr>
      </w:pPr>
      <w:r>
        <w:rPr>
          <w:color w:val="auto"/>
        </w:rPr>
        <w:t xml:space="preserve">5）联合体或其成员不得将其在合同项下的权利或义务全部或部分转让给第 </w:t>
      </w:r>
      <w:r>
        <w:rPr>
          <w:color w:val="auto"/>
          <w:spacing w:val="-3"/>
        </w:rPr>
        <w:t>三人，有关分包事项或服务委托等须事先取得采购代理机构书面同意并且须遵守</w:t>
      </w:r>
      <w:r>
        <w:rPr>
          <w:color w:val="auto"/>
          <w:spacing w:val="-109"/>
        </w:rPr>
        <w:t xml:space="preserve"> </w:t>
      </w:r>
      <w:r>
        <w:rPr>
          <w:color w:val="auto"/>
        </w:rPr>
        <w:t>相关法律、法规、本次招标的全部相关规定。</w:t>
      </w:r>
    </w:p>
    <w:p>
      <w:pPr>
        <w:pStyle w:val="8"/>
        <w:kinsoku w:val="0"/>
        <w:overflowPunct w:val="0"/>
        <w:spacing w:line="357" w:lineRule="auto"/>
        <w:ind w:right="117" w:firstLine="480"/>
        <w:jc w:val="both"/>
        <w:rPr>
          <w:rFonts w:hint="default"/>
          <w:color w:val="auto"/>
        </w:rPr>
      </w:pPr>
      <w:r>
        <w:rPr>
          <w:color w:val="auto"/>
        </w:rPr>
        <w:t xml:space="preserve">6）联合体各方均不得同时再以自己独立的名义单独投标，也不得再同时参 </w:t>
      </w:r>
      <w:r>
        <w:rPr>
          <w:color w:val="auto"/>
          <w:spacing w:val="-3"/>
        </w:rPr>
        <w:t>加其他的联合体投标。若该等情形被发现，其单独的投标和与此有关的联合体的</w:t>
      </w:r>
      <w:r>
        <w:rPr>
          <w:color w:val="auto"/>
          <w:spacing w:val="-109"/>
        </w:rPr>
        <w:t xml:space="preserve"> </w:t>
      </w:r>
      <w:r>
        <w:rPr>
          <w:color w:val="auto"/>
        </w:rPr>
        <w:t>投标均将被一并拒绝。</w:t>
      </w:r>
    </w:p>
    <w:p>
      <w:pPr>
        <w:pStyle w:val="8"/>
        <w:kinsoku w:val="0"/>
        <w:overflowPunct w:val="0"/>
        <w:ind w:left="600"/>
        <w:rPr>
          <w:rFonts w:hint="default"/>
          <w:color w:val="auto"/>
        </w:rPr>
      </w:pPr>
      <w:r>
        <w:rPr>
          <w:color w:val="auto"/>
        </w:rPr>
        <w:t>3.7</w:t>
      </w:r>
      <w:r>
        <w:rPr>
          <w:color w:val="auto"/>
          <w:spacing w:val="-60"/>
        </w:rPr>
        <w:t xml:space="preserve"> </w:t>
      </w:r>
      <w:r>
        <w:rPr>
          <w:rFonts w:hint="eastAsia"/>
          <w:color w:val="auto"/>
          <w:lang w:eastAsia="zh-CN"/>
        </w:rPr>
        <w:t>供应商</w:t>
      </w:r>
      <w:r>
        <w:rPr>
          <w:color w:val="auto"/>
        </w:rPr>
        <w:t>不得与采购人、采购代理机构等有利害关系。</w:t>
      </w:r>
    </w:p>
    <w:p>
      <w:pPr>
        <w:pStyle w:val="7"/>
        <w:kinsoku w:val="0"/>
        <w:overflowPunct w:val="0"/>
        <w:spacing w:before="154"/>
        <w:rPr>
          <w:rFonts w:hint="default"/>
          <w:b w:val="0"/>
          <w:color w:val="auto"/>
        </w:rPr>
      </w:pPr>
      <w:r>
        <w:rPr>
          <w:color w:val="auto"/>
        </w:rPr>
        <w:t>4.投标费用</w:t>
      </w:r>
    </w:p>
    <w:p>
      <w:pPr>
        <w:pStyle w:val="8"/>
        <w:kinsoku w:val="0"/>
        <w:overflowPunct w:val="0"/>
        <w:spacing w:before="154"/>
        <w:ind w:left="600"/>
        <w:rPr>
          <w:rFonts w:hint="default"/>
          <w:color w:val="auto"/>
        </w:rPr>
      </w:pPr>
      <w:r>
        <w:rPr>
          <w:color w:val="auto"/>
        </w:rPr>
        <w:t>4.1</w:t>
      </w:r>
      <w:r>
        <w:rPr>
          <w:color w:val="auto"/>
          <w:spacing w:val="-60"/>
        </w:rPr>
        <w:t xml:space="preserve"> </w:t>
      </w:r>
      <w:r>
        <w:rPr>
          <w:rFonts w:hint="eastAsia"/>
          <w:color w:val="auto"/>
          <w:lang w:eastAsia="zh-CN"/>
        </w:rPr>
        <w:t>供应商</w:t>
      </w:r>
      <w:r>
        <w:rPr>
          <w:color w:val="auto"/>
        </w:rPr>
        <w:t>应承担所有与准备和参加投标有关的费用。</w:t>
      </w:r>
    </w:p>
    <w:p>
      <w:pPr>
        <w:pStyle w:val="7"/>
        <w:kinsoku w:val="0"/>
        <w:overflowPunct w:val="0"/>
        <w:spacing w:before="154"/>
        <w:rPr>
          <w:rFonts w:hint="default"/>
          <w:b w:val="0"/>
          <w:color w:val="auto"/>
        </w:rPr>
      </w:pPr>
      <w:r>
        <w:rPr>
          <w:color w:val="auto"/>
        </w:rPr>
        <w:t>5.纪律</w:t>
      </w:r>
    </w:p>
    <w:p>
      <w:pPr>
        <w:pStyle w:val="8"/>
        <w:kinsoku w:val="0"/>
        <w:overflowPunct w:val="0"/>
        <w:spacing w:before="154"/>
        <w:ind w:left="600"/>
        <w:rPr>
          <w:rFonts w:hint="default"/>
          <w:color w:val="auto"/>
        </w:rPr>
      </w:pPr>
      <w:r>
        <w:rPr>
          <w:color w:val="auto"/>
        </w:rPr>
        <w:t>5.1</w:t>
      </w:r>
      <w:r>
        <w:rPr>
          <w:color w:val="auto"/>
          <w:spacing w:val="-60"/>
        </w:rPr>
        <w:t xml:space="preserve"> </w:t>
      </w:r>
      <w:r>
        <w:rPr>
          <w:rFonts w:hint="eastAsia"/>
          <w:color w:val="auto"/>
          <w:lang w:eastAsia="zh-CN"/>
        </w:rPr>
        <w:t>供应商</w:t>
      </w:r>
      <w:r>
        <w:rPr>
          <w:color w:val="auto"/>
        </w:rPr>
        <w:t>的投标行为应遵守中国的有关法律、法规和规章。</w:t>
      </w:r>
    </w:p>
    <w:p>
      <w:pPr>
        <w:pStyle w:val="8"/>
        <w:kinsoku w:val="0"/>
        <w:overflowPunct w:val="0"/>
        <w:spacing w:before="154" w:line="357" w:lineRule="auto"/>
        <w:ind w:right="117" w:firstLine="480"/>
        <w:jc w:val="both"/>
        <w:rPr>
          <w:rFonts w:hint="default"/>
          <w:color w:val="auto"/>
        </w:rPr>
      </w:pPr>
      <w:r>
        <w:rPr>
          <w:color w:val="auto"/>
        </w:rPr>
        <w:t>5.2</w:t>
      </w:r>
      <w:r>
        <w:rPr>
          <w:color w:val="auto"/>
          <w:spacing w:val="-91"/>
        </w:rPr>
        <w:t xml:space="preserve"> </w:t>
      </w:r>
      <w:r>
        <w:rPr>
          <w:rFonts w:hint="eastAsia"/>
          <w:color w:val="auto"/>
          <w:lang w:eastAsia="zh-CN"/>
        </w:rPr>
        <w:t>供应商</w:t>
      </w:r>
      <w:r>
        <w:rPr>
          <w:color w:val="auto"/>
        </w:rPr>
        <w:t>不得相互串通投标报价，不得妨碍其他</w:t>
      </w:r>
      <w:r>
        <w:rPr>
          <w:rFonts w:hint="eastAsia"/>
          <w:color w:val="auto"/>
          <w:lang w:eastAsia="zh-CN"/>
        </w:rPr>
        <w:t>供应商</w:t>
      </w:r>
      <w:r>
        <w:rPr>
          <w:color w:val="auto"/>
        </w:rPr>
        <w:t xml:space="preserve">的公平竞争，不得 </w:t>
      </w:r>
      <w:r>
        <w:rPr>
          <w:color w:val="auto"/>
          <w:spacing w:val="-3"/>
        </w:rPr>
        <w:t>损害采购人或其他</w:t>
      </w:r>
      <w:r>
        <w:rPr>
          <w:rFonts w:hint="eastAsia"/>
          <w:color w:val="auto"/>
          <w:spacing w:val="-3"/>
          <w:lang w:eastAsia="zh-CN"/>
        </w:rPr>
        <w:t>供应商</w:t>
      </w:r>
      <w:r>
        <w:rPr>
          <w:color w:val="auto"/>
          <w:spacing w:val="-3"/>
        </w:rPr>
        <w:t>的合法权益，</w:t>
      </w:r>
      <w:r>
        <w:rPr>
          <w:rFonts w:hint="eastAsia"/>
          <w:color w:val="auto"/>
          <w:spacing w:val="-3"/>
          <w:lang w:eastAsia="zh-CN"/>
        </w:rPr>
        <w:t>供应商</w:t>
      </w:r>
      <w:r>
        <w:rPr>
          <w:color w:val="auto"/>
          <w:spacing w:val="-3"/>
        </w:rPr>
        <w:t>不得以向采购人、评标委员会成员</w:t>
      </w:r>
      <w:r>
        <w:rPr>
          <w:color w:val="auto"/>
          <w:spacing w:val="-109"/>
        </w:rPr>
        <w:t xml:space="preserve"> </w:t>
      </w:r>
      <w:r>
        <w:rPr>
          <w:color w:val="auto"/>
        </w:rPr>
        <w:t>行贿或者采取其他不正当手段谋取中标。</w:t>
      </w:r>
    </w:p>
    <w:p>
      <w:pPr>
        <w:pStyle w:val="8"/>
        <w:kinsoku w:val="0"/>
        <w:overflowPunct w:val="0"/>
        <w:ind w:left="600"/>
        <w:rPr>
          <w:rFonts w:hint="default"/>
          <w:color w:val="auto"/>
        </w:rPr>
      </w:pPr>
      <w:r>
        <w:rPr>
          <w:color w:val="auto"/>
        </w:rPr>
        <w:t>5.2.1</w:t>
      </w:r>
      <w:r>
        <w:rPr>
          <w:color w:val="auto"/>
          <w:spacing w:val="-60"/>
        </w:rPr>
        <w:t xml:space="preserve"> </w:t>
      </w:r>
      <w:r>
        <w:rPr>
          <w:color w:val="auto"/>
        </w:rPr>
        <w:t>有下列情形之一的，属于</w:t>
      </w:r>
      <w:r>
        <w:rPr>
          <w:rFonts w:hint="eastAsia"/>
          <w:color w:val="auto"/>
          <w:lang w:eastAsia="zh-CN"/>
        </w:rPr>
        <w:t>供应商</w:t>
      </w:r>
      <w:r>
        <w:rPr>
          <w:color w:val="auto"/>
        </w:rPr>
        <w:t>相互串通投标：</w:t>
      </w:r>
    </w:p>
    <w:p>
      <w:pPr>
        <w:pStyle w:val="8"/>
        <w:kinsoku w:val="0"/>
        <w:overflowPunct w:val="0"/>
        <w:spacing w:before="154"/>
        <w:ind w:left="600"/>
        <w:rPr>
          <w:rFonts w:hint="default"/>
          <w:color w:val="auto"/>
        </w:rPr>
      </w:pPr>
      <w:r>
        <w:rPr>
          <w:color w:val="auto"/>
        </w:rPr>
        <w:t>5.2.1.1</w:t>
      </w:r>
      <w:r>
        <w:rPr>
          <w:color w:val="auto"/>
          <w:spacing w:val="-60"/>
        </w:rPr>
        <w:t xml:space="preserve"> </w:t>
      </w:r>
      <w:r>
        <w:rPr>
          <w:rFonts w:hint="eastAsia"/>
          <w:color w:val="auto"/>
          <w:lang w:eastAsia="zh-CN"/>
        </w:rPr>
        <w:t>供应商</w:t>
      </w:r>
      <w:r>
        <w:rPr>
          <w:color w:val="auto"/>
        </w:rPr>
        <w:t>之间协商投标报价等投标文件的实质性内容；</w:t>
      </w:r>
    </w:p>
    <w:p>
      <w:pPr>
        <w:pStyle w:val="8"/>
        <w:kinsoku w:val="0"/>
        <w:overflowPunct w:val="0"/>
        <w:spacing w:before="154"/>
        <w:ind w:left="600"/>
        <w:rPr>
          <w:rFonts w:hint="default"/>
          <w:color w:val="auto"/>
        </w:rPr>
      </w:pPr>
      <w:r>
        <w:rPr>
          <w:color w:val="auto"/>
        </w:rPr>
        <w:t>5.2.1.2</w:t>
      </w:r>
      <w:r>
        <w:rPr>
          <w:color w:val="auto"/>
          <w:spacing w:val="-60"/>
        </w:rPr>
        <w:t xml:space="preserve"> </w:t>
      </w:r>
      <w:r>
        <w:rPr>
          <w:rFonts w:hint="eastAsia"/>
          <w:color w:val="auto"/>
          <w:lang w:eastAsia="zh-CN"/>
        </w:rPr>
        <w:t>供应商</w:t>
      </w:r>
      <w:r>
        <w:rPr>
          <w:color w:val="auto"/>
        </w:rPr>
        <w:t>之间约定中标人；</w:t>
      </w:r>
    </w:p>
    <w:p>
      <w:pPr>
        <w:pStyle w:val="8"/>
        <w:kinsoku w:val="0"/>
        <w:overflowPunct w:val="0"/>
        <w:spacing w:before="154"/>
        <w:ind w:left="600"/>
        <w:rPr>
          <w:rFonts w:hint="default"/>
          <w:color w:val="auto"/>
        </w:rPr>
      </w:pPr>
      <w:r>
        <w:rPr>
          <w:color w:val="auto"/>
        </w:rPr>
        <w:t>5.2.1.3</w:t>
      </w:r>
      <w:r>
        <w:rPr>
          <w:color w:val="auto"/>
          <w:spacing w:val="-60"/>
        </w:rPr>
        <w:t xml:space="preserve"> </w:t>
      </w:r>
      <w:r>
        <w:rPr>
          <w:rFonts w:hint="eastAsia"/>
          <w:color w:val="auto"/>
          <w:lang w:eastAsia="zh-CN"/>
        </w:rPr>
        <w:t>供应商</w:t>
      </w:r>
      <w:r>
        <w:rPr>
          <w:color w:val="auto"/>
        </w:rPr>
        <w:t>之间约定部分</w:t>
      </w:r>
      <w:r>
        <w:rPr>
          <w:rFonts w:hint="eastAsia"/>
          <w:color w:val="auto"/>
          <w:lang w:eastAsia="zh-CN"/>
        </w:rPr>
        <w:t>供应商</w:t>
      </w:r>
      <w:r>
        <w:rPr>
          <w:color w:val="auto"/>
        </w:rPr>
        <w:t>放弃投标或者中标；</w:t>
      </w:r>
    </w:p>
    <w:p>
      <w:pPr>
        <w:pStyle w:val="8"/>
        <w:kinsoku w:val="0"/>
        <w:overflowPunct w:val="0"/>
        <w:spacing w:before="154" w:line="357" w:lineRule="auto"/>
        <w:ind w:right="117" w:firstLine="480"/>
        <w:jc w:val="both"/>
        <w:rPr>
          <w:rFonts w:hint="default"/>
          <w:color w:val="auto"/>
        </w:rPr>
      </w:pPr>
      <w:r>
        <w:rPr>
          <w:color w:val="auto"/>
        </w:rPr>
        <w:t>5.2.1.4</w:t>
      </w:r>
      <w:r>
        <w:rPr>
          <w:color w:val="auto"/>
          <w:spacing w:val="-91"/>
        </w:rPr>
        <w:t xml:space="preserve"> </w:t>
      </w:r>
      <w:r>
        <w:rPr>
          <w:color w:val="auto"/>
        </w:rPr>
        <w:t>属于同一集团、协会、商会等组织成员的</w:t>
      </w:r>
      <w:r>
        <w:rPr>
          <w:rFonts w:hint="eastAsia"/>
          <w:color w:val="auto"/>
          <w:lang w:eastAsia="zh-CN"/>
        </w:rPr>
        <w:t>供应商</w:t>
      </w:r>
      <w:r>
        <w:rPr>
          <w:color w:val="auto"/>
        </w:rPr>
        <w:t>按照该组织要求协 同投标；</w:t>
      </w:r>
    </w:p>
    <w:p>
      <w:pPr>
        <w:pStyle w:val="8"/>
        <w:kinsoku w:val="0"/>
        <w:overflowPunct w:val="0"/>
        <w:spacing w:line="357" w:lineRule="auto"/>
        <w:ind w:right="117" w:firstLine="480"/>
        <w:jc w:val="both"/>
        <w:rPr>
          <w:rFonts w:hint="default"/>
          <w:color w:val="auto"/>
        </w:rPr>
      </w:pPr>
      <w:r>
        <w:rPr>
          <w:color w:val="auto"/>
        </w:rPr>
        <w:t>5.2.1.5</w:t>
      </w:r>
      <w:r>
        <w:rPr>
          <w:color w:val="auto"/>
          <w:spacing w:val="-33"/>
        </w:rPr>
        <w:t xml:space="preserve"> </w:t>
      </w:r>
      <w:r>
        <w:rPr>
          <w:rFonts w:hint="eastAsia"/>
          <w:color w:val="auto"/>
          <w:spacing w:val="6"/>
          <w:lang w:eastAsia="zh-CN"/>
        </w:rPr>
        <w:t>供应商</w:t>
      </w:r>
      <w:r>
        <w:rPr>
          <w:color w:val="auto"/>
          <w:spacing w:val="6"/>
        </w:rPr>
        <w:t>之间为谋取中标或者排斥特定</w:t>
      </w:r>
      <w:r>
        <w:rPr>
          <w:rFonts w:hint="eastAsia"/>
          <w:color w:val="auto"/>
          <w:spacing w:val="6"/>
          <w:lang w:eastAsia="zh-CN"/>
        </w:rPr>
        <w:t>供应商</w:t>
      </w:r>
      <w:r>
        <w:rPr>
          <w:color w:val="auto"/>
          <w:spacing w:val="6"/>
        </w:rPr>
        <w:t>而采取的其他联合行</w:t>
      </w:r>
      <w:r>
        <w:rPr>
          <w:color w:val="auto"/>
        </w:rPr>
        <w:t xml:space="preserve"> 动。</w:t>
      </w:r>
    </w:p>
    <w:p>
      <w:pPr>
        <w:pStyle w:val="8"/>
        <w:kinsoku w:val="0"/>
        <w:overflowPunct w:val="0"/>
        <w:ind w:left="600"/>
        <w:rPr>
          <w:rFonts w:hint="default"/>
          <w:color w:val="auto"/>
        </w:rPr>
      </w:pPr>
      <w:r>
        <w:rPr>
          <w:color w:val="auto"/>
        </w:rPr>
        <w:t>5.2.2</w:t>
      </w:r>
      <w:r>
        <w:rPr>
          <w:color w:val="auto"/>
          <w:spacing w:val="-60"/>
        </w:rPr>
        <w:t xml:space="preserve"> </w:t>
      </w:r>
      <w:r>
        <w:rPr>
          <w:color w:val="auto"/>
        </w:rPr>
        <w:t>有下列情形之一的，视为</w:t>
      </w:r>
      <w:r>
        <w:rPr>
          <w:rFonts w:hint="eastAsia"/>
          <w:color w:val="auto"/>
          <w:lang w:eastAsia="zh-CN"/>
        </w:rPr>
        <w:t>供应商</w:t>
      </w:r>
      <w:r>
        <w:rPr>
          <w:color w:val="auto"/>
        </w:rPr>
        <w:t>相互串通投标：</w:t>
      </w:r>
    </w:p>
    <w:p>
      <w:pPr>
        <w:pStyle w:val="8"/>
        <w:kinsoku w:val="0"/>
        <w:overflowPunct w:val="0"/>
        <w:spacing w:before="154"/>
        <w:ind w:left="600"/>
        <w:rPr>
          <w:rFonts w:hint="default"/>
          <w:color w:val="auto"/>
        </w:rPr>
      </w:pPr>
      <w:r>
        <w:rPr>
          <w:color w:val="auto"/>
        </w:rPr>
        <w:t>5.2.2.1</w:t>
      </w:r>
      <w:r>
        <w:rPr>
          <w:color w:val="auto"/>
          <w:spacing w:val="-60"/>
        </w:rPr>
        <w:t xml:space="preserve"> </w:t>
      </w:r>
      <w:r>
        <w:rPr>
          <w:color w:val="auto"/>
        </w:rPr>
        <w:t>不同</w:t>
      </w:r>
      <w:r>
        <w:rPr>
          <w:rFonts w:hint="eastAsia"/>
          <w:color w:val="auto"/>
          <w:lang w:eastAsia="zh-CN"/>
        </w:rPr>
        <w:t>供应商</w:t>
      </w:r>
      <w:r>
        <w:rPr>
          <w:color w:val="auto"/>
        </w:rPr>
        <w:t>的投标文件由同一单位或者个人编制；</w:t>
      </w:r>
    </w:p>
    <w:p>
      <w:pPr>
        <w:pStyle w:val="8"/>
        <w:kinsoku w:val="0"/>
        <w:overflowPunct w:val="0"/>
        <w:spacing w:before="154" w:line="357" w:lineRule="auto"/>
        <w:ind w:right="117" w:firstLine="480"/>
        <w:jc w:val="both"/>
        <w:rPr>
          <w:rFonts w:hint="default"/>
          <w:color w:val="auto"/>
        </w:rPr>
      </w:pPr>
      <w:r>
        <w:rPr>
          <w:color w:val="auto"/>
        </w:rPr>
        <w:t>5.2.2.2</w:t>
      </w:r>
      <w:r>
        <w:rPr>
          <w:color w:val="auto"/>
          <w:spacing w:val="-91"/>
        </w:rPr>
        <w:t xml:space="preserve"> </w:t>
      </w:r>
      <w:r>
        <w:rPr>
          <w:color w:val="auto"/>
        </w:rPr>
        <w:t>不同</w:t>
      </w:r>
      <w:r>
        <w:rPr>
          <w:rFonts w:hint="eastAsia"/>
          <w:color w:val="auto"/>
          <w:lang w:eastAsia="zh-CN"/>
        </w:rPr>
        <w:t>供应商</w:t>
      </w:r>
      <w:r>
        <w:rPr>
          <w:color w:val="auto"/>
        </w:rPr>
        <w:t>委托同一单位或者个人办理投标事宜，或制作电子投标 文件的文件制作机器码（mac</w:t>
      </w:r>
      <w:r>
        <w:rPr>
          <w:color w:val="auto"/>
          <w:spacing w:val="-92"/>
        </w:rPr>
        <w:t xml:space="preserve"> </w:t>
      </w:r>
      <w:r>
        <w:rPr>
          <w:color w:val="auto"/>
        </w:rPr>
        <w:t>地址）一致，或制作电子投标文件的文件创建标识 码一致；</w:t>
      </w:r>
    </w:p>
    <w:p>
      <w:pPr>
        <w:pStyle w:val="8"/>
        <w:kinsoku w:val="0"/>
        <w:overflowPunct w:val="0"/>
        <w:spacing w:before="154" w:line="357" w:lineRule="auto"/>
        <w:ind w:right="117" w:firstLine="480"/>
        <w:jc w:val="both"/>
        <w:rPr>
          <w:rFonts w:hint="default"/>
          <w:color w:val="auto"/>
        </w:rPr>
        <w:sectPr>
          <w:footerReference r:id="rId7" w:type="default"/>
          <w:pgSz w:w="11910" w:h="16840"/>
          <w:pgMar w:top="1460" w:right="1680" w:bottom="1600" w:left="1680" w:header="0" w:footer="1415" w:gutter="0"/>
          <w:pgNumType w:start="21"/>
          <w:cols w:space="720" w:num="1"/>
        </w:sectPr>
      </w:pPr>
    </w:p>
    <w:p>
      <w:pPr>
        <w:pStyle w:val="8"/>
        <w:kinsoku w:val="0"/>
        <w:overflowPunct w:val="0"/>
        <w:spacing w:before="2"/>
        <w:ind w:left="600" w:right="237"/>
        <w:rPr>
          <w:rFonts w:hint="default"/>
          <w:color w:val="auto"/>
        </w:rPr>
      </w:pPr>
      <w:r>
        <w:rPr>
          <w:color w:val="auto"/>
        </w:rPr>
        <w:t>5.2.2.3</w:t>
      </w:r>
      <w:r>
        <w:rPr>
          <w:color w:val="auto"/>
          <w:spacing w:val="-60"/>
        </w:rPr>
        <w:t xml:space="preserve"> </w:t>
      </w:r>
      <w:r>
        <w:rPr>
          <w:color w:val="auto"/>
        </w:rPr>
        <w:t>不同</w:t>
      </w:r>
      <w:r>
        <w:rPr>
          <w:rFonts w:hint="eastAsia"/>
          <w:color w:val="auto"/>
          <w:lang w:eastAsia="zh-CN"/>
        </w:rPr>
        <w:t>供应商</w:t>
      </w:r>
      <w:r>
        <w:rPr>
          <w:color w:val="auto"/>
        </w:rPr>
        <w:t>的投标文件载明的项目管理成员为同一人；</w:t>
      </w:r>
    </w:p>
    <w:p>
      <w:pPr>
        <w:pStyle w:val="8"/>
        <w:kinsoku w:val="0"/>
        <w:overflowPunct w:val="0"/>
        <w:spacing w:before="154"/>
        <w:ind w:left="600" w:right="237"/>
        <w:rPr>
          <w:rFonts w:hint="default"/>
          <w:color w:val="auto"/>
        </w:rPr>
      </w:pPr>
      <w:r>
        <w:rPr>
          <w:color w:val="auto"/>
        </w:rPr>
        <w:t>5.2.2.4</w:t>
      </w:r>
      <w:r>
        <w:rPr>
          <w:color w:val="auto"/>
          <w:spacing w:val="-60"/>
        </w:rPr>
        <w:t xml:space="preserve"> </w:t>
      </w:r>
      <w:r>
        <w:rPr>
          <w:color w:val="auto"/>
        </w:rPr>
        <w:t>不同</w:t>
      </w:r>
      <w:r>
        <w:rPr>
          <w:rFonts w:hint="eastAsia"/>
          <w:color w:val="auto"/>
          <w:lang w:eastAsia="zh-CN"/>
        </w:rPr>
        <w:t>供应商</w:t>
      </w:r>
      <w:r>
        <w:rPr>
          <w:color w:val="auto"/>
        </w:rPr>
        <w:t>的投标文件异常一致或者投标报价呈规律性差异；</w:t>
      </w:r>
    </w:p>
    <w:p>
      <w:pPr>
        <w:pStyle w:val="8"/>
        <w:kinsoku w:val="0"/>
        <w:overflowPunct w:val="0"/>
        <w:spacing w:before="154"/>
        <w:ind w:left="600" w:right="237"/>
        <w:rPr>
          <w:rFonts w:hint="default"/>
          <w:color w:val="auto"/>
        </w:rPr>
      </w:pPr>
      <w:r>
        <w:rPr>
          <w:color w:val="auto"/>
        </w:rPr>
        <w:t>5.2.2.5</w:t>
      </w:r>
      <w:r>
        <w:rPr>
          <w:color w:val="auto"/>
          <w:spacing w:val="-60"/>
        </w:rPr>
        <w:t xml:space="preserve"> </w:t>
      </w:r>
      <w:r>
        <w:rPr>
          <w:color w:val="auto"/>
        </w:rPr>
        <w:t>不同</w:t>
      </w:r>
      <w:r>
        <w:rPr>
          <w:rFonts w:hint="eastAsia"/>
          <w:color w:val="auto"/>
          <w:lang w:eastAsia="zh-CN"/>
        </w:rPr>
        <w:t>供应商</w:t>
      </w:r>
      <w:r>
        <w:rPr>
          <w:color w:val="auto"/>
        </w:rPr>
        <w:t>的投标文件相互混装；</w:t>
      </w:r>
    </w:p>
    <w:p>
      <w:pPr>
        <w:pStyle w:val="8"/>
        <w:kinsoku w:val="0"/>
        <w:overflowPunct w:val="0"/>
        <w:spacing w:before="154"/>
        <w:ind w:left="600" w:right="237"/>
        <w:rPr>
          <w:rFonts w:hint="default"/>
          <w:color w:val="auto"/>
        </w:rPr>
      </w:pPr>
      <w:r>
        <w:rPr>
          <w:color w:val="auto"/>
        </w:rPr>
        <w:t>5.2.2.6</w:t>
      </w:r>
      <w:r>
        <w:rPr>
          <w:color w:val="auto"/>
          <w:spacing w:val="-60"/>
        </w:rPr>
        <w:t xml:space="preserve"> </w:t>
      </w:r>
      <w:r>
        <w:rPr>
          <w:color w:val="auto"/>
        </w:rPr>
        <w:t>不同</w:t>
      </w:r>
      <w:r>
        <w:rPr>
          <w:rFonts w:hint="eastAsia"/>
          <w:color w:val="auto"/>
          <w:lang w:eastAsia="zh-CN"/>
        </w:rPr>
        <w:t>供应商</w:t>
      </w:r>
      <w:r>
        <w:rPr>
          <w:color w:val="auto"/>
        </w:rPr>
        <w:t>的投标保证金从同一单位或者个人的账户转出。</w:t>
      </w:r>
    </w:p>
    <w:p>
      <w:pPr>
        <w:pStyle w:val="7"/>
        <w:kinsoku w:val="0"/>
        <w:overflowPunct w:val="0"/>
        <w:spacing w:before="154"/>
        <w:ind w:right="237"/>
        <w:rPr>
          <w:rFonts w:hint="default"/>
          <w:b w:val="0"/>
          <w:color w:val="auto"/>
        </w:rPr>
      </w:pPr>
      <w:r>
        <w:rPr>
          <w:color w:val="auto"/>
        </w:rPr>
        <w:t>6.通知</w:t>
      </w:r>
    </w:p>
    <w:p>
      <w:pPr>
        <w:pStyle w:val="8"/>
        <w:kinsoku w:val="0"/>
        <w:overflowPunct w:val="0"/>
        <w:spacing w:before="154" w:line="357" w:lineRule="auto"/>
        <w:ind w:right="117" w:firstLine="480"/>
        <w:rPr>
          <w:rFonts w:hint="default"/>
          <w:color w:val="auto"/>
        </w:rPr>
      </w:pPr>
      <w:r>
        <w:rPr>
          <w:color w:val="auto"/>
        </w:rPr>
        <w:t>6.1</w:t>
      </w:r>
      <w:r>
        <w:rPr>
          <w:color w:val="auto"/>
          <w:spacing w:val="-56"/>
        </w:rPr>
        <w:t xml:space="preserve"> </w:t>
      </w:r>
      <w:r>
        <w:rPr>
          <w:color w:val="auto"/>
          <w:spacing w:val="-5"/>
        </w:rPr>
        <w:t>对与本项目有关的通知，采购代理机构将以书面（包括书面材料、信函、</w:t>
      </w:r>
      <w:r>
        <w:rPr>
          <w:color w:val="auto"/>
        </w:rPr>
        <w:t xml:space="preserve"> </w:t>
      </w:r>
      <w:r>
        <w:rPr>
          <w:color w:val="auto"/>
          <w:spacing w:val="-3"/>
        </w:rPr>
        <w:t>传真等，下同）或在本次招标公告刊登的媒体上发布公告并在政采云平台内发送</w:t>
      </w:r>
      <w:r>
        <w:rPr>
          <w:color w:val="auto"/>
          <w:spacing w:val="-109"/>
        </w:rPr>
        <w:t xml:space="preserve"> </w:t>
      </w:r>
      <w:r>
        <w:rPr>
          <w:color w:val="auto"/>
        </w:rPr>
        <w:t>变更通知及/或答疑文件的形式，向潜在</w:t>
      </w:r>
      <w:r>
        <w:rPr>
          <w:rFonts w:hint="eastAsia"/>
          <w:color w:val="auto"/>
          <w:lang w:eastAsia="zh-CN"/>
        </w:rPr>
        <w:t>供应商</w:t>
      </w:r>
      <w:r>
        <w:rPr>
          <w:color w:val="auto"/>
        </w:rPr>
        <w:t>发出，传真和电话号码以潜在投</w:t>
      </w:r>
      <w:r>
        <w:rPr>
          <w:color w:val="auto"/>
          <w:spacing w:val="-99"/>
        </w:rPr>
        <w:t xml:space="preserve"> </w:t>
      </w:r>
      <w:r>
        <w:rPr>
          <w:color w:val="auto"/>
          <w:spacing w:val="-3"/>
        </w:rPr>
        <w:t>标人的登记为准。收到通知的</w:t>
      </w:r>
      <w:r>
        <w:rPr>
          <w:rFonts w:hint="eastAsia"/>
          <w:color w:val="auto"/>
          <w:spacing w:val="-3"/>
          <w:lang w:eastAsia="zh-CN"/>
        </w:rPr>
        <w:t>供应商</w:t>
      </w:r>
      <w:r>
        <w:rPr>
          <w:color w:val="auto"/>
          <w:spacing w:val="-3"/>
        </w:rPr>
        <w:t>须立即予以回复确认，但</w:t>
      </w:r>
      <w:r>
        <w:rPr>
          <w:rFonts w:hint="eastAsia"/>
          <w:color w:val="auto"/>
          <w:spacing w:val="-3"/>
          <w:lang w:eastAsia="zh-CN"/>
        </w:rPr>
        <w:t>供应商</w:t>
      </w:r>
      <w:r>
        <w:rPr>
          <w:color w:val="auto"/>
          <w:spacing w:val="-3"/>
        </w:rPr>
        <w:t>未回复或采</w:t>
      </w:r>
      <w:r>
        <w:rPr>
          <w:color w:val="auto"/>
          <w:spacing w:val="-109"/>
        </w:rPr>
        <w:t xml:space="preserve"> </w:t>
      </w:r>
      <w:r>
        <w:rPr>
          <w:color w:val="auto"/>
          <w:spacing w:val="-3"/>
        </w:rPr>
        <w:t>购代理机构未收到回复时，并不应当被理解为采购代理机构知道或应当知道投标</w:t>
      </w:r>
      <w:r>
        <w:rPr>
          <w:color w:val="auto"/>
          <w:spacing w:val="-109"/>
        </w:rPr>
        <w:t xml:space="preserve"> </w:t>
      </w:r>
      <w:r>
        <w:rPr>
          <w:color w:val="auto"/>
          <w:spacing w:val="-3"/>
        </w:rPr>
        <w:t>人是否收到通知。因登记有误、传真线路故障或其它任何意外情形，导致所发出</w:t>
      </w:r>
      <w:r>
        <w:rPr>
          <w:color w:val="auto"/>
          <w:spacing w:val="-111"/>
        </w:rPr>
        <w:t xml:space="preserve"> </w:t>
      </w:r>
      <w:r>
        <w:rPr>
          <w:color w:val="auto"/>
          <w:spacing w:val="-3"/>
        </w:rPr>
        <w:t>的通知延迟送达或无法到达</w:t>
      </w:r>
      <w:r>
        <w:rPr>
          <w:rFonts w:hint="eastAsia"/>
          <w:color w:val="auto"/>
          <w:spacing w:val="-3"/>
          <w:lang w:eastAsia="zh-CN"/>
        </w:rPr>
        <w:t>供应商</w:t>
      </w:r>
      <w:r>
        <w:rPr>
          <w:color w:val="auto"/>
          <w:spacing w:val="-3"/>
        </w:rPr>
        <w:t>，采购代理机构不因此承担任何责任，有关的</w:t>
      </w:r>
      <w:r>
        <w:rPr>
          <w:color w:val="auto"/>
          <w:spacing w:val="-109"/>
        </w:rPr>
        <w:t xml:space="preserve"> </w:t>
      </w:r>
      <w:r>
        <w:rPr>
          <w:color w:val="auto"/>
        </w:rPr>
        <w:t>招标活动可以继续有效地进行。</w:t>
      </w:r>
    </w:p>
    <w:p>
      <w:pPr>
        <w:pStyle w:val="7"/>
        <w:kinsoku w:val="0"/>
        <w:overflowPunct w:val="0"/>
        <w:spacing w:before="0" w:line="650" w:lineRule="atLeast"/>
        <w:ind w:right="6859"/>
        <w:rPr>
          <w:rFonts w:hint="default"/>
          <w:b w:val="0"/>
          <w:color w:val="auto"/>
        </w:rPr>
      </w:pPr>
      <w:bookmarkStart w:id="27" w:name="二、招标文件"/>
      <w:bookmarkEnd w:id="27"/>
      <w:r>
        <w:rPr>
          <w:color w:val="auto"/>
        </w:rPr>
        <w:t>二、招标文件</w:t>
      </w:r>
      <w:r>
        <w:rPr>
          <w:color w:val="auto"/>
          <w:w w:val="99"/>
        </w:rPr>
        <w:t xml:space="preserve"> </w:t>
      </w:r>
      <w:r>
        <w:rPr>
          <w:color w:val="auto"/>
        </w:rPr>
        <w:t>7.招标文件组成</w:t>
      </w:r>
    </w:p>
    <w:p>
      <w:pPr>
        <w:pStyle w:val="8"/>
        <w:kinsoku w:val="0"/>
        <w:overflowPunct w:val="0"/>
        <w:spacing w:before="154"/>
        <w:ind w:left="600" w:right="237"/>
        <w:rPr>
          <w:rFonts w:hint="default"/>
          <w:color w:val="auto"/>
        </w:rPr>
      </w:pPr>
      <w:r>
        <w:rPr>
          <w:color w:val="auto"/>
        </w:rPr>
        <w:t>7.1</w:t>
      </w:r>
      <w:r>
        <w:rPr>
          <w:color w:val="auto"/>
          <w:spacing w:val="-60"/>
        </w:rPr>
        <w:t xml:space="preserve"> </w:t>
      </w:r>
      <w:r>
        <w:rPr>
          <w:color w:val="auto"/>
        </w:rPr>
        <w:t>招标文件由招标文件目录所列内容组成。</w:t>
      </w:r>
    </w:p>
    <w:p>
      <w:pPr>
        <w:pStyle w:val="7"/>
        <w:kinsoku w:val="0"/>
        <w:overflowPunct w:val="0"/>
        <w:spacing w:before="154"/>
        <w:ind w:right="237"/>
        <w:rPr>
          <w:rFonts w:hint="default"/>
          <w:b w:val="0"/>
          <w:color w:val="auto"/>
        </w:rPr>
      </w:pPr>
      <w:r>
        <w:rPr>
          <w:color w:val="auto"/>
        </w:rPr>
        <w:t>8.踏勘现场</w:t>
      </w:r>
    </w:p>
    <w:p>
      <w:pPr>
        <w:pStyle w:val="8"/>
        <w:kinsoku w:val="0"/>
        <w:overflowPunct w:val="0"/>
        <w:spacing w:before="154" w:line="357" w:lineRule="auto"/>
        <w:ind w:right="117" w:firstLine="480"/>
        <w:rPr>
          <w:rFonts w:hint="default"/>
          <w:color w:val="auto"/>
        </w:rPr>
      </w:pPr>
      <w:r>
        <w:rPr>
          <w:color w:val="auto"/>
        </w:rPr>
        <w:t>8.1</w:t>
      </w:r>
      <w:r>
        <w:rPr>
          <w:color w:val="auto"/>
          <w:spacing w:val="-71"/>
        </w:rPr>
        <w:t xml:space="preserve"> </w:t>
      </w:r>
      <w:r>
        <w:rPr>
          <w:color w:val="auto"/>
        </w:rPr>
        <w:t>本项目是否统一组织</w:t>
      </w:r>
      <w:r>
        <w:rPr>
          <w:rFonts w:hint="eastAsia"/>
          <w:color w:val="auto"/>
          <w:lang w:eastAsia="zh-CN"/>
        </w:rPr>
        <w:t>供应商</w:t>
      </w:r>
      <w:r>
        <w:rPr>
          <w:color w:val="auto"/>
        </w:rPr>
        <w:t>踏勘现场见招标文件第二部分“</w:t>
      </w:r>
      <w:r>
        <w:rPr>
          <w:rFonts w:hint="eastAsia"/>
          <w:color w:val="auto"/>
          <w:lang w:eastAsia="zh-CN"/>
        </w:rPr>
        <w:t>供应商</w:t>
      </w:r>
      <w:r>
        <w:rPr>
          <w:color w:val="auto"/>
        </w:rPr>
        <w:t xml:space="preserve">须知 </w:t>
      </w:r>
      <w:r>
        <w:rPr>
          <w:color w:val="auto"/>
          <w:spacing w:val="-6"/>
        </w:rPr>
        <w:t>前附表”中规定。无论是否统一组织，</w:t>
      </w:r>
      <w:r>
        <w:rPr>
          <w:rFonts w:hint="eastAsia"/>
          <w:color w:val="auto"/>
          <w:spacing w:val="-6"/>
          <w:lang w:eastAsia="zh-CN"/>
        </w:rPr>
        <w:t>供应商</w:t>
      </w:r>
      <w:r>
        <w:rPr>
          <w:color w:val="auto"/>
          <w:spacing w:val="-6"/>
        </w:rPr>
        <w:t>应对供货现场和周围环境进行勘察，</w:t>
      </w:r>
      <w:r>
        <w:rPr>
          <w:color w:val="auto"/>
        </w:rPr>
        <w:t xml:space="preserve"> 以获取编制投标文件所需的资料。</w:t>
      </w:r>
    </w:p>
    <w:p>
      <w:pPr>
        <w:pStyle w:val="8"/>
        <w:kinsoku w:val="0"/>
        <w:overflowPunct w:val="0"/>
        <w:spacing w:line="357" w:lineRule="auto"/>
        <w:ind w:right="117" w:firstLine="480"/>
        <w:rPr>
          <w:rFonts w:hint="default"/>
          <w:color w:val="auto"/>
        </w:rPr>
      </w:pPr>
      <w:r>
        <w:rPr>
          <w:color w:val="auto"/>
        </w:rPr>
        <w:t>8.2</w:t>
      </w:r>
      <w:r>
        <w:rPr>
          <w:color w:val="auto"/>
          <w:spacing w:val="-73"/>
        </w:rPr>
        <w:t xml:space="preserve"> </w:t>
      </w:r>
      <w:r>
        <w:rPr>
          <w:color w:val="auto"/>
        </w:rPr>
        <w:t>踏勘现场所发生的费用由</w:t>
      </w:r>
      <w:r>
        <w:rPr>
          <w:rFonts w:hint="eastAsia"/>
          <w:color w:val="auto"/>
          <w:lang w:eastAsia="zh-CN"/>
        </w:rPr>
        <w:t>供应商</w:t>
      </w:r>
      <w:r>
        <w:rPr>
          <w:color w:val="auto"/>
        </w:rPr>
        <w:t>自行承担。采购人向</w:t>
      </w:r>
      <w:r>
        <w:rPr>
          <w:rFonts w:hint="eastAsia"/>
          <w:color w:val="auto"/>
          <w:lang w:eastAsia="zh-CN"/>
        </w:rPr>
        <w:t>供应商</w:t>
      </w:r>
      <w:r>
        <w:rPr>
          <w:color w:val="auto"/>
        </w:rPr>
        <w:t xml:space="preserve">提供的有关 </w:t>
      </w:r>
      <w:r>
        <w:rPr>
          <w:color w:val="auto"/>
          <w:spacing w:val="-3"/>
        </w:rPr>
        <w:t>供货现场的资料和数据，是采购人现有的能使</w:t>
      </w:r>
      <w:r>
        <w:rPr>
          <w:rFonts w:hint="eastAsia"/>
          <w:color w:val="auto"/>
          <w:spacing w:val="-3"/>
          <w:lang w:eastAsia="zh-CN"/>
        </w:rPr>
        <w:t>供应商</w:t>
      </w:r>
      <w:r>
        <w:rPr>
          <w:color w:val="auto"/>
          <w:spacing w:val="-3"/>
        </w:rPr>
        <w:t>利用的资料。采购人对投标</w:t>
      </w:r>
      <w:r>
        <w:rPr>
          <w:color w:val="auto"/>
          <w:spacing w:val="-109"/>
        </w:rPr>
        <w:t xml:space="preserve"> </w:t>
      </w:r>
      <w:r>
        <w:rPr>
          <w:color w:val="auto"/>
        </w:rPr>
        <w:t>人由此而做出的推论、理解和结论概不负责。</w:t>
      </w:r>
      <w:r>
        <w:rPr>
          <w:rFonts w:hint="eastAsia"/>
          <w:color w:val="auto"/>
          <w:lang w:eastAsia="zh-CN"/>
        </w:rPr>
        <w:t>供应商</w:t>
      </w:r>
      <w:r>
        <w:rPr>
          <w:color w:val="auto"/>
        </w:rPr>
        <w:t xml:space="preserve">未到供货现场实地踏勘的， </w:t>
      </w:r>
      <w:r>
        <w:rPr>
          <w:color w:val="auto"/>
          <w:spacing w:val="-3"/>
        </w:rPr>
        <w:t>中标后签订合同时和履约过程中，不得以不完全了解现场情况为由，提出任何形</w:t>
      </w:r>
      <w:r>
        <w:rPr>
          <w:color w:val="auto"/>
          <w:spacing w:val="-109"/>
        </w:rPr>
        <w:t xml:space="preserve"> </w:t>
      </w:r>
      <w:r>
        <w:rPr>
          <w:color w:val="auto"/>
        </w:rPr>
        <w:t>式的增加合同价款或索赔的要求。</w:t>
      </w:r>
    </w:p>
    <w:p>
      <w:pPr>
        <w:pStyle w:val="8"/>
        <w:kinsoku w:val="0"/>
        <w:overflowPunct w:val="0"/>
        <w:spacing w:line="357" w:lineRule="auto"/>
        <w:ind w:right="237" w:firstLine="480"/>
        <w:rPr>
          <w:rFonts w:hint="default"/>
          <w:color w:val="auto"/>
        </w:rPr>
      </w:pPr>
      <w:r>
        <w:rPr>
          <w:color w:val="auto"/>
        </w:rPr>
        <w:t>8.3</w:t>
      </w:r>
      <w:r>
        <w:rPr>
          <w:color w:val="auto"/>
          <w:spacing w:val="-91"/>
        </w:rPr>
        <w:t xml:space="preserve"> </w:t>
      </w:r>
      <w:r>
        <w:rPr>
          <w:color w:val="auto"/>
        </w:rPr>
        <w:t>除非有特殊要求，招标文件不单独提供供货使用地的自然环境、气候条 件、公用设施等情况，</w:t>
      </w:r>
      <w:r>
        <w:rPr>
          <w:rFonts w:hint="eastAsia"/>
          <w:color w:val="auto"/>
          <w:lang w:eastAsia="zh-CN"/>
        </w:rPr>
        <w:t>供应商</w:t>
      </w:r>
      <w:r>
        <w:rPr>
          <w:color w:val="auto"/>
        </w:rPr>
        <w:t>被视为熟悉上述与履行合同有关的一切情况。</w:t>
      </w:r>
    </w:p>
    <w:p>
      <w:pPr>
        <w:pStyle w:val="8"/>
        <w:kinsoku w:val="0"/>
        <w:overflowPunct w:val="0"/>
        <w:spacing w:line="357" w:lineRule="auto"/>
        <w:ind w:right="237" w:firstLine="480"/>
        <w:rPr>
          <w:rFonts w:hint="default"/>
          <w:color w:val="auto"/>
        </w:rPr>
        <w:sectPr>
          <w:footerReference r:id="rId8" w:type="default"/>
          <w:pgSz w:w="11910" w:h="16840"/>
          <w:pgMar w:top="1460" w:right="1560" w:bottom="1600" w:left="1680" w:header="0" w:footer="1415" w:gutter="0"/>
          <w:pgNumType w:start="22"/>
          <w:cols w:space="720" w:num="1"/>
        </w:sectPr>
      </w:pPr>
    </w:p>
    <w:p>
      <w:pPr>
        <w:pStyle w:val="8"/>
        <w:kinsoku w:val="0"/>
        <w:overflowPunct w:val="0"/>
        <w:spacing w:before="2" w:line="357" w:lineRule="auto"/>
        <w:ind w:right="357" w:firstLine="480"/>
        <w:jc w:val="both"/>
        <w:rPr>
          <w:rFonts w:hint="default"/>
          <w:color w:val="auto"/>
        </w:rPr>
      </w:pPr>
      <w:r>
        <w:rPr>
          <w:color w:val="auto"/>
        </w:rPr>
        <w:t>8.4</w:t>
      </w:r>
      <w:r>
        <w:rPr>
          <w:color w:val="auto"/>
          <w:spacing w:val="-91"/>
        </w:rPr>
        <w:t xml:space="preserve"> </w:t>
      </w:r>
      <w:r>
        <w:rPr>
          <w:color w:val="auto"/>
        </w:rPr>
        <w:t>除采购人原因外，</w:t>
      </w:r>
      <w:r>
        <w:rPr>
          <w:rFonts w:hint="eastAsia"/>
          <w:color w:val="auto"/>
          <w:lang w:eastAsia="zh-CN"/>
        </w:rPr>
        <w:t>供应商</w:t>
      </w:r>
      <w:r>
        <w:rPr>
          <w:color w:val="auto"/>
        </w:rPr>
        <w:t>自行负责在踏勘现场中所发生的人员伤亡和财 产损失。</w:t>
      </w:r>
    </w:p>
    <w:p>
      <w:pPr>
        <w:pStyle w:val="7"/>
        <w:kinsoku w:val="0"/>
        <w:overflowPunct w:val="0"/>
        <w:ind w:right="117"/>
        <w:rPr>
          <w:rFonts w:hint="default"/>
          <w:b w:val="0"/>
          <w:color w:val="auto"/>
        </w:rPr>
      </w:pPr>
      <w:r>
        <w:rPr>
          <w:color w:val="auto"/>
        </w:rPr>
        <w:t>9.知识产权</w:t>
      </w:r>
    </w:p>
    <w:p>
      <w:pPr>
        <w:pStyle w:val="8"/>
        <w:kinsoku w:val="0"/>
        <w:overflowPunct w:val="0"/>
        <w:spacing w:before="154" w:line="357" w:lineRule="auto"/>
        <w:ind w:right="357" w:firstLine="480"/>
        <w:jc w:val="both"/>
        <w:rPr>
          <w:rFonts w:hint="default"/>
          <w:color w:val="auto"/>
        </w:rPr>
      </w:pPr>
      <w:r>
        <w:rPr>
          <w:color w:val="auto"/>
        </w:rPr>
        <w:t>9.1</w:t>
      </w:r>
      <w:r>
        <w:rPr>
          <w:color w:val="auto"/>
          <w:spacing w:val="-91"/>
        </w:rPr>
        <w:t xml:space="preserve"> </w:t>
      </w:r>
      <w:r>
        <w:rPr>
          <w:rFonts w:hint="eastAsia"/>
          <w:color w:val="auto"/>
          <w:lang w:eastAsia="zh-CN"/>
        </w:rPr>
        <w:t>供应商</w:t>
      </w:r>
      <w:r>
        <w:rPr>
          <w:color w:val="auto"/>
        </w:rPr>
        <w:t xml:space="preserve">须保证，采购人在中华人民共和国境内使用投标货物、资料、技 </w:t>
      </w:r>
      <w:r>
        <w:rPr>
          <w:color w:val="auto"/>
          <w:spacing w:val="-3"/>
        </w:rPr>
        <w:t>术、服务或其任何一部分时，享有不受限制的无偿使用权，不会产生因第三方提</w:t>
      </w:r>
      <w:r>
        <w:rPr>
          <w:color w:val="auto"/>
          <w:spacing w:val="-111"/>
        </w:rPr>
        <w:t xml:space="preserve"> </w:t>
      </w:r>
      <w:r>
        <w:rPr>
          <w:color w:val="auto"/>
          <w:spacing w:val="-3"/>
        </w:rPr>
        <w:t>出侵犯其专利权、商标权或其它知识产权而引起的法律或经济纠纷。如</w:t>
      </w:r>
      <w:r>
        <w:rPr>
          <w:rFonts w:hint="eastAsia"/>
          <w:color w:val="auto"/>
          <w:spacing w:val="-3"/>
          <w:lang w:eastAsia="zh-CN"/>
        </w:rPr>
        <w:t>供应商</w:t>
      </w:r>
      <w:r>
        <w:rPr>
          <w:color w:val="auto"/>
          <w:spacing w:val="-3"/>
        </w:rPr>
        <w:t>不</w:t>
      </w:r>
      <w:r>
        <w:rPr>
          <w:color w:val="auto"/>
          <w:spacing w:val="-109"/>
        </w:rPr>
        <w:t xml:space="preserve"> </w:t>
      </w:r>
      <w:r>
        <w:rPr>
          <w:color w:val="auto"/>
          <w:spacing w:val="-3"/>
        </w:rPr>
        <w:t>拥有相应的知识产权，则在投标报价中必须包括合法获取该知识产权的一切相关</w:t>
      </w:r>
      <w:r>
        <w:rPr>
          <w:color w:val="auto"/>
          <w:spacing w:val="-109"/>
        </w:rPr>
        <w:t xml:space="preserve"> </w:t>
      </w:r>
      <w:r>
        <w:rPr>
          <w:color w:val="auto"/>
        </w:rPr>
        <w:t>费用。如因此导致采购人损失的，</w:t>
      </w:r>
      <w:r>
        <w:rPr>
          <w:rFonts w:hint="eastAsia"/>
          <w:color w:val="auto"/>
          <w:lang w:eastAsia="zh-CN"/>
        </w:rPr>
        <w:t>供应商</w:t>
      </w:r>
      <w:r>
        <w:rPr>
          <w:color w:val="auto"/>
        </w:rPr>
        <w:t>须承担全部赔偿责任。</w:t>
      </w:r>
    </w:p>
    <w:p>
      <w:pPr>
        <w:pStyle w:val="8"/>
        <w:kinsoku w:val="0"/>
        <w:overflowPunct w:val="0"/>
        <w:spacing w:line="357" w:lineRule="auto"/>
        <w:ind w:right="117" w:firstLine="480"/>
        <w:rPr>
          <w:rFonts w:hint="default"/>
          <w:color w:val="auto"/>
        </w:rPr>
      </w:pPr>
      <w:r>
        <w:rPr>
          <w:color w:val="auto"/>
        </w:rPr>
        <w:t>9.2</w:t>
      </w:r>
      <w:r>
        <w:rPr>
          <w:color w:val="auto"/>
          <w:spacing w:val="-91"/>
        </w:rPr>
        <w:t xml:space="preserve"> </w:t>
      </w:r>
      <w:r>
        <w:rPr>
          <w:rFonts w:hint="eastAsia"/>
          <w:color w:val="auto"/>
          <w:lang w:eastAsia="zh-CN"/>
        </w:rPr>
        <w:t>供应商</w:t>
      </w:r>
      <w:r>
        <w:rPr>
          <w:color w:val="auto"/>
        </w:rPr>
        <w:t xml:space="preserve">如欲在项目实施过程中采用自有知识成果，须在投标文件中声明， </w:t>
      </w:r>
      <w:r>
        <w:rPr>
          <w:color w:val="auto"/>
          <w:spacing w:val="-3"/>
        </w:rPr>
        <w:t>并提供相关知识产权证明文件。使用该知识成果后，</w:t>
      </w:r>
      <w:r>
        <w:rPr>
          <w:rFonts w:hint="eastAsia"/>
          <w:color w:val="auto"/>
          <w:spacing w:val="-3"/>
          <w:lang w:eastAsia="zh-CN"/>
        </w:rPr>
        <w:t>供应商</w:t>
      </w:r>
      <w:r>
        <w:rPr>
          <w:color w:val="auto"/>
          <w:spacing w:val="-3"/>
        </w:rPr>
        <w:t>须提供开发接口和开</w:t>
      </w:r>
      <w:r>
        <w:rPr>
          <w:color w:val="auto"/>
          <w:spacing w:val="-109"/>
        </w:rPr>
        <w:t xml:space="preserve"> </w:t>
      </w:r>
      <w:r>
        <w:rPr>
          <w:color w:val="auto"/>
        </w:rPr>
        <w:t>发手册等技术文档。</w:t>
      </w:r>
    </w:p>
    <w:p>
      <w:pPr>
        <w:pStyle w:val="7"/>
        <w:kinsoku w:val="0"/>
        <w:overflowPunct w:val="0"/>
        <w:ind w:right="117"/>
        <w:rPr>
          <w:rFonts w:hint="default"/>
          <w:b w:val="0"/>
          <w:color w:val="auto"/>
        </w:rPr>
      </w:pPr>
      <w:r>
        <w:rPr>
          <w:color w:val="auto"/>
        </w:rPr>
        <w:t>10.答疑及招标文件的澄清和修改</w:t>
      </w:r>
    </w:p>
    <w:p>
      <w:pPr>
        <w:pStyle w:val="8"/>
        <w:kinsoku w:val="0"/>
        <w:overflowPunct w:val="0"/>
        <w:spacing w:before="154" w:line="357" w:lineRule="auto"/>
        <w:ind w:right="357" w:firstLine="480"/>
        <w:jc w:val="both"/>
        <w:rPr>
          <w:rFonts w:hint="default"/>
          <w:color w:val="auto"/>
        </w:rPr>
      </w:pPr>
      <w:r>
        <w:rPr>
          <w:color w:val="auto"/>
        </w:rPr>
        <w:t>10.1</w:t>
      </w:r>
      <w:r>
        <w:rPr>
          <w:color w:val="auto"/>
          <w:spacing w:val="-51"/>
        </w:rPr>
        <w:t xml:space="preserve"> </w:t>
      </w:r>
      <w:r>
        <w:rPr>
          <w:rFonts w:hint="eastAsia"/>
          <w:color w:val="auto"/>
          <w:spacing w:val="2"/>
          <w:lang w:eastAsia="zh-CN"/>
        </w:rPr>
        <w:t>供应商</w:t>
      </w:r>
      <w:r>
        <w:rPr>
          <w:color w:val="auto"/>
          <w:spacing w:val="2"/>
        </w:rPr>
        <w:t>如果对招标文件有疑问或要求进行澄清的，应按照招标文件第</w:t>
      </w:r>
      <w:r>
        <w:rPr>
          <w:color w:val="auto"/>
        </w:rPr>
        <w:t xml:space="preserve"> </w:t>
      </w:r>
      <w:r>
        <w:rPr>
          <w:color w:val="auto"/>
          <w:spacing w:val="-3"/>
        </w:rPr>
        <w:t>二部分“</w:t>
      </w:r>
      <w:r>
        <w:rPr>
          <w:rFonts w:hint="eastAsia"/>
          <w:color w:val="auto"/>
          <w:spacing w:val="-3"/>
          <w:lang w:eastAsia="zh-CN"/>
        </w:rPr>
        <w:t>供应商</w:t>
      </w:r>
      <w:r>
        <w:rPr>
          <w:color w:val="auto"/>
          <w:spacing w:val="-3"/>
        </w:rPr>
        <w:t>须知前附表”中规定向采购代理机构提出。提出后，请</w:t>
      </w:r>
      <w:r>
        <w:rPr>
          <w:rFonts w:hint="eastAsia"/>
          <w:color w:val="auto"/>
          <w:spacing w:val="-3"/>
          <w:lang w:eastAsia="zh-CN"/>
        </w:rPr>
        <w:t>供应商</w:t>
      </w:r>
      <w:r>
        <w:rPr>
          <w:color w:val="auto"/>
          <w:spacing w:val="-3"/>
        </w:rPr>
        <w:t>及</w:t>
      </w:r>
      <w:r>
        <w:rPr>
          <w:color w:val="auto"/>
          <w:spacing w:val="-109"/>
        </w:rPr>
        <w:t xml:space="preserve"> </w:t>
      </w:r>
      <w:r>
        <w:rPr>
          <w:color w:val="auto"/>
          <w:spacing w:val="-3"/>
        </w:rPr>
        <w:t>时通过平台查看答疑文件或澄清文件。必要时，采购代理机构将组织相关专家召</w:t>
      </w:r>
      <w:r>
        <w:rPr>
          <w:color w:val="auto"/>
          <w:spacing w:val="-109"/>
        </w:rPr>
        <w:t xml:space="preserve"> </w:t>
      </w:r>
      <w:r>
        <w:rPr>
          <w:color w:val="auto"/>
        </w:rPr>
        <w:t>开答疑会，如召开，答疑会安排另行通知。</w:t>
      </w:r>
    </w:p>
    <w:p>
      <w:pPr>
        <w:pStyle w:val="8"/>
        <w:kinsoku w:val="0"/>
        <w:overflowPunct w:val="0"/>
        <w:spacing w:line="357" w:lineRule="auto"/>
        <w:ind w:right="357" w:firstLine="480"/>
        <w:jc w:val="both"/>
        <w:rPr>
          <w:rFonts w:hint="default"/>
          <w:color w:val="auto"/>
        </w:rPr>
      </w:pPr>
      <w:r>
        <w:rPr>
          <w:rFonts w:hint="eastAsia"/>
          <w:color w:val="auto"/>
          <w:spacing w:val="-3"/>
          <w:lang w:eastAsia="zh-CN"/>
        </w:rPr>
        <w:t>供应商</w:t>
      </w:r>
      <w:r>
        <w:rPr>
          <w:color w:val="auto"/>
          <w:spacing w:val="-3"/>
        </w:rPr>
        <w:t>在规定的时间内未对招标文件提出疑问或要求澄清的，采购代理机构</w:t>
      </w:r>
      <w:r>
        <w:rPr>
          <w:color w:val="auto"/>
        </w:rPr>
        <w:t xml:space="preserve"> </w:t>
      </w:r>
      <w:r>
        <w:rPr>
          <w:color w:val="auto"/>
          <w:spacing w:val="-3"/>
        </w:rPr>
        <w:t>将视其为同意，对在“答疑接受时间”后就招标文件内容提出的疑问及澄清要求</w:t>
      </w:r>
      <w:r>
        <w:rPr>
          <w:color w:val="auto"/>
          <w:spacing w:val="-111"/>
        </w:rPr>
        <w:t xml:space="preserve"> </w:t>
      </w:r>
      <w:r>
        <w:rPr>
          <w:color w:val="auto"/>
        </w:rPr>
        <w:t>将不予受理。</w:t>
      </w:r>
    </w:p>
    <w:p>
      <w:pPr>
        <w:pStyle w:val="8"/>
        <w:kinsoku w:val="0"/>
        <w:overflowPunct w:val="0"/>
        <w:spacing w:line="357" w:lineRule="auto"/>
        <w:ind w:right="357" w:firstLine="480"/>
        <w:jc w:val="both"/>
        <w:rPr>
          <w:rFonts w:hint="default"/>
          <w:color w:val="auto"/>
        </w:rPr>
      </w:pPr>
      <w:r>
        <w:rPr>
          <w:color w:val="auto"/>
        </w:rPr>
        <w:t>10.2</w:t>
      </w:r>
      <w:r>
        <w:rPr>
          <w:color w:val="auto"/>
          <w:spacing w:val="-51"/>
        </w:rPr>
        <w:t xml:space="preserve"> </w:t>
      </w:r>
      <w:r>
        <w:rPr>
          <w:color w:val="auto"/>
          <w:spacing w:val="2"/>
        </w:rPr>
        <w:t>无论出于何种原因，采购代理机构主动或出于解答</w:t>
      </w:r>
      <w:r>
        <w:rPr>
          <w:rFonts w:hint="eastAsia"/>
          <w:color w:val="auto"/>
          <w:spacing w:val="2"/>
          <w:lang w:eastAsia="zh-CN"/>
        </w:rPr>
        <w:t>供应商</w:t>
      </w:r>
      <w:r>
        <w:rPr>
          <w:color w:val="auto"/>
          <w:spacing w:val="2"/>
        </w:rPr>
        <w:t>疑问对已发</w:t>
      </w:r>
      <w:r>
        <w:rPr>
          <w:color w:val="auto"/>
        </w:rPr>
        <w:t xml:space="preserve"> </w:t>
      </w:r>
      <w:r>
        <w:rPr>
          <w:color w:val="auto"/>
          <w:spacing w:val="-3"/>
        </w:rPr>
        <w:t>出的招标文件进行必要澄清或修改的，应当在招标文件要求提交投标文件截止时</w:t>
      </w:r>
      <w:r>
        <w:rPr>
          <w:color w:val="auto"/>
          <w:spacing w:val="-109"/>
        </w:rPr>
        <w:t xml:space="preserve"> </w:t>
      </w:r>
      <w:r>
        <w:rPr>
          <w:color w:val="auto"/>
        </w:rPr>
        <w:t>间</w:t>
      </w:r>
      <w:r>
        <w:rPr>
          <w:color w:val="auto"/>
          <w:spacing w:val="-51"/>
        </w:rPr>
        <w:t xml:space="preserve"> </w:t>
      </w:r>
      <w:r>
        <w:rPr>
          <w:color w:val="auto"/>
        </w:rPr>
        <w:t>15</w:t>
      </w:r>
      <w:r>
        <w:rPr>
          <w:color w:val="auto"/>
          <w:spacing w:val="-51"/>
        </w:rPr>
        <w:t xml:space="preserve"> </w:t>
      </w:r>
      <w:r>
        <w:rPr>
          <w:color w:val="auto"/>
        </w:rPr>
        <w:t xml:space="preserve">日前，以当面交接、邮寄、传真或电子邮件、网站披露等其中至少一种方 </w:t>
      </w:r>
      <w:r>
        <w:rPr>
          <w:color w:val="auto"/>
          <w:spacing w:val="-3"/>
        </w:rPr>
        <w:t>式，向潜在</w:t>
      </w:r>
      <w:r>
        <w:rPr>
          <w:rFonts w:hint="eastAsia"/>
          <w:color w:val="auto"/>
          <w:spacing w:val="-3"/>
          <w:lang w:eastAsia="zh-CN"/>
        </w:rPr>
        <w:t>供应商</w:t>
      </w:r>
      <w:r>
        <w:rPr>
          <w:color w:val="auto"/>
          <w:spacing w:val="-3"/>
        </w:rPr>
        <w:t>发出澄清、修改的补充文件。需要为此调整投标文件提交截止</w:t>
      </w:r>
      <w:r>
        <w:rPr>
          <w:color w:val="auto"/>
          <w:spacing w:val="-111"/>
        </w:rPr>
        <w:t xml:space="preserve"> </w:t>
      </w:r>
      <w:r>
        <w:rPr>
          <w:color w:val="auto"/>
        </w:rPr>
        <w:t>时间的，应当重新确定，并就变更后的投标截止时间重新发出通知。</w:t>
      </w:r>
    </w:p>
    <w:p>
      <w:pPr>
        <w:pStyle w:val="8"/>
        <w:kinsoku w:val="0"/>
        <w:overflowPunct w:val="0"/>
        <w:spacing w:line="357" w:lineRule="auto"/>
        <w:ind w:right="357" w:firstLine="480"/>
        <w:jc w:val="both"/>
        <w:rPr>
          <w:rFonts w:hint="default"/>
          <w:color w:val="auto"/>
        </w:rPr>
      </w:pPr>
      <w:r>
        <w:rPr>
          <w:color w:val="auto"/>
          <w:spacing w:val="-3"/>
        </w:rPr>
        <w:t>特殊情况下，采购代理机构发布澄清、修改文件后，征得</w:t>
      </w:r>
      <w:r>
        <w:rPr>
          <w:rFonts w:hint="eastAsia"/>
          <w:color w:val="auto"/>
          <w:spacing w:val="-3"/>
          <w:lang w:eastAsia="zh-CN"/>
        </w:rPr>
        <w:t>供应商</w:t>
      </w:r>
      <w:r>
        <w:rPr>
          <w:color w:val="auto"/>
          <w:spacing w:val="-3"/>
        </w:rPr>
        <w:t>同意，可不</w:t>
      </w:r>
      <w:r>
        <w:rPr>
          <w:color w:val="auto"/>
        </w:rPr>
        <w:t xml:space="preserve"> 改变投标截止时间和开标时间。</w:t>
      </w:r>
    </w:p>
    <w:p>
      <w:pPr>
        <w:pStyle w:val="8"/>
        <w:kinsoku w:val="0"/>
        <w:overflowPunct w:val="0"/>
        <w:spacing w:line="357" w:lineRule="auto"/>
        <w:ind w:right="357" w:firstLine="480"/>
        <w:jc w:val="both"/>
        <w:rPr>
          <w:rFonts w:hint="default"/>
          <w:color w:val="auto"/>
          <w:spacing w:val="-3"/>
        </w:rPr>
      </w:pPr>
      <w:r>
        <w:rPr>
          <w:color w:val="auto"/>
        </w:rPr>
        <w:t>10.3</w:t>
      </w:r>
      <w:r>
        <w:rPr>
          <w:color w:val="auto"/>
          <w:spacing w:val="-51"/>
        </w:rPr>
        <w:t xml:space="preserve"> </w:t>
      </w:r>
      <w:r>
        <w:rPr>
          <w:color w:val="auto"/>
          <w:spacing w:val="2"/>
        </w:rPr>
        <w:t>采购代理机构一旦对招标文件作出了澄清、修改，即刻发生效力，采</w:t>
      </w:r>
      <w:r>
        <w:rPr>
          <w:color w:val="auto"/>
        </w:rPr>
        <w:t xml:space="preserve"> </w:t>
      </w:r>
      <w:r>
        <w:rPr>
          <w:color w:val="auto"/>
          <w:spacing w:val="-3"/>
        </w:rPr>
        <w:t>购代理机构有关的补充文件，将作为招标文件的组成部分，对所有现实的或潜在</w:t>
      </w:r>
      <w:r>
        <w:rPr>
          <w:color w:val="auto"/>
          <w:spacing w:val="-109"/>
        </w:rPr>
        <w:t xml:space="preserve"> </w:t>
      </w:r>
      <w:r>
        <w:rPr>
          <w:color w:val="auto"/>
          <w:spacing w:val="-3"/>
        </w:rPr>
        <w:t>的</w:t>
      </w:r>
      <w:r>
        <w:rPr>
          <w:rFonts w:hint="eastAsia"/>
          <w:color w:val="auto"/>
          <w:spacing w:val="-3"/>
          <w:lang w:eastAsia="zh-CN"/>
        </w:rPr>
        <w:t>供应商</w:t>
      </w:r>
      <w:r>
        <w:rPr>
          <w:color w:val="auto"/>
          <w:spacing w:val="-3"/>
        </w:rPr>
        <w:t>均具有约束力，而无论是否已经实际收到上述文件。同时，采购代理机</w:t>
      </w:r>
    </w:p>
    <w:p>
      <w:pPr>
        <w:pStyle w:val="8"/>
        <w:kinsoku w:val="0"/>
        <w:overflowPunct w:val="0"/>
        <w:spacing w:line="357" w:lineRule="auto"/>
        <w:ind w:right="357" w:firstLine="480"/>
        <w:jc w:val="both"/>
        <w:rPr>
          <w:rFonts w:hint="default"/>
          <w:color w:val="auto"/>
          <w:spacing w:val="-3"/>
        </w:rPr>
        <w:sectPr>
          <w:footerReference r:id="rId9" w:type="default"/>
          <w:pgSz w:w="11910" w:h="16840"/>
          <w:pgMar w:top="1460" w:right="1440" w:bottom="1600" w:left="1680" w:header="0" w:footer="1415" w:gutter="0"/>
          <w:pgNumType w:start="23"/>
          <w:cols w:space="720" w:num="1"/>
        </w:sectPr>
      </w:pPr>
    </w:p>
    <w:p>
      <w:pPr>
        <w:pStyle w:val="8"/>
        <w:kinsoku w:val="0"/>
        <w:overflowPunct w:val="0"/>
        <w:spacing w:before="2"/>
        <w:ind w:right="237"/>
        <w:rPr>
          <w:rFonts w:hint="default"/>
          <w:color w:val="auto"/>
        </w:rPr>
      </w:pPr>
      <w:r>
        <w:rPr>
          <w:color w:val="auto"/>
        </w:rPr>
        <w:t>构和</w:t>
      </w:r>
      <w:r>
        <w:rPr>
          <w:rFonts w:hint="eastAsia"/>
          <w:color w:val="auto"/>
          <w:lang w:eastAsia="zh-CN"/>
        </w:rPr>
        <w:t>供应商</w:t>
      </w:r>
      <w:r>
        <w:rPr>
          <w:color w:val="auto"/>
        </w:rPr>
        <w:t>的权利及义务将受到新的截止期的约束。</w:t>
      </w:r>
    </w:p>
    <w:p>
      <w:pPr>
        <w:pStyle w:val="8"/>
        <w:kinsoku w:val="0"/>
        <w:overflowPunct w:val="0"/>
        <w:spacing w:before="154" w:line="357" w:lineRule="auto"/>
        <w:ind w:right="117" w:firstLine="480"/>
        <w:rPr>
          <w:rFonts w:hint="default"/>
          <w:color w:val="auto"/>
        </w:rPr>
      </w:pPr>
      <w:r>
        <w:rPr>
          <w:color w:val="auto"/>
        </w:rPr>
        <w:t>10.4</w:t>
      </w:r>
      <w:r>
        <w:rPr>
          <w:color w:val="auto"/>
          <w:spacing w:val="-91"/>
        </w:rPr>
        <w:t xml:space="preserve"> </w:t>
      </w:r>
      <w:r>
        <w:rPr>
          <w:color w:val="auto"/>
        </w:rPr>
        <w:t xml:space="preserve">采购代理机构对招标文件作出的澄清、修改在政采云平台内进行披露， </w:t>
      </w:r>
      <w:r>
        <w:rPr>
          <w:color w:val="auto"/>
          <w:spacing w:val="-6"/>
        </w:rPr>
        <w:t>请</w:t>
      </w:r>
      <w:r>
        <w:rPr>
          <w:rFonts w:hint="eastAsia"/>
          <w:color w:val="auto"/>
          <w:spacing w:val="-6"/>
          <w:lang w:eastAsia="zh-CN"/>
        </w:rPr>
        <w:t>供应商</w:t>
      </w:r>
      <w:r>
        <w:rPr>
          <w:color w:val="auto"/>
          <w:spacing w:val="-6"/>
        </w:rPr>
        <w:t>及时关注并获取相关资料。因登记有误、线路故障或其它任何意外情形，</w:t>
      </w:r>
      <w:r>
        <w:rPr>
          <w:color w:val="auto"/>
        </w:rPr>
        <w:t xml:space="preserve"> </w:t>
      </w:r>
      <w:r>
        <w:rPr>
          <w:color w:val="auto"/>
          <w:spacing w:val="-3"/>
        </w:rPr>
        <w:t>导致</w:t>
      </w:r>
      <w:r>
        <w:rPr>
          <w:rFonts w:hint="eastAsia"/>
          <w:color w:val="auto"/>
          <w:spacing w:val="-3"/>
          <w:lang w:eastAsia="zh-CN"/>
        </w:rPr>
        <w:t>供应商</w:t>
      </w:r>
      <w:r>
        <w:rPr>
          <w:color w:val="auto"/>
          <w:spacing w:val="-3"/>
        </w:rPr>
        <w:t>未及时获取的，采购代理机构不因此承担任何责任，且有关的招标活</w:t>
      </w:r>
      <w:r>
        <w:rPr>
          <w:color w:val="auto"/>
          <w:spacing w:val="-109"/>
        </w:rPr>
        <w:t xml:space="preserve"> </w:t>
      </w:r>
      <w:r>
        <w:rPr>
          <w:color w:val="auto"/>
          <w:spacing w:val="-3"/>
        </w:rPr>
        <w:t>动继续有效地进行。当招标文件的澄清、修改及进行其他答复等就同一内容的表</w:t>
      </w:r>
      <w:r>
        <w:rPr>
          <w:color w:val="auto"/>
          <w:spacing w:val="-109"/>
        </w:rPr>
        <w:t xml:space="preserve"> </w:t>
      </w:r>
      <w:r>
        <w:rPr>
          <w:color w:val="auto"/>
        </w:rPr>
        <w:t>述不一致时，以最后发布的内容为准。</w:t>
      </w:r>
    </w:p>
    <w:p>
      <w:pPr>
        <w:pStyle w:val="8"/>
        <w:kinsoku w:val="0"/>
        <w:overflowPunct w:val="0"/>
        <w:spacing w:line="357" w:lineRule="auto"/>
        <w:ind w:right="117" w:firstLine="480"/>
        <w:rPr>
          <w:rFonts w:hint="default"/>
          <w:color w:val="auto"/>
        </w:rPr>
      </w:pPr>
      <w:r>
        <w:rPr>
          <w:color w:val="auto"/>
          <w:spacing w:val="-3"/>
        </w:rPr>
        <w:t>上述澄清、修改在交易平台上发布的同时，交易平台将通过第三方短信群发</w:t>
      </w:r>
      <w:r>
        <w:rPr>
          <w:color w:val="auto"/>
        </w:rPr>
        <w:t xml:space="preserve"> </w:t>
      </w:r>
      <w:r>
        <w:rPr>
          <w:color w:val="auto"/>
          <w:spacing w:val="-6"/>
        </w:rPr>
        <w:t>方式提醒</w:t>
      </w:r>
      <w:r>
        <w:rPr>
          <w:rFonts w:hint="eastAsia"/>
          <w:color w:val="auto"/>
          <w:spacing w:val="-6"/>
          <w:lang w:eastAsia="zh-CN"/>
        </w:rPr>
        <w:t>供应商</w:t>
      </w:r>
      <w:r>
        <w:rPr>
          <w:color w:val="auto"/>
          <w:spacing w:val="-6"/>
        </w:rPr>
        <w:t>进行查询。此短信仅系友情提示，并不具有任何约束性和必要性，</w:t>
      </w:r>
      <w:r>
        <w:rPr>
          <w:color w:val="auto"/>
        </w:rPr>
        <w:t xml:space="preserve"> 采购代理机构不承担</w:t>
      </w:r>
      <w:r>
        <w:rPr>
          <w:rFonts w:hint="eastAsia"/>
          <w:color w:val="auto"/>
          <w:lang w:eastAsia="zh-CN"/>
        </w:rPr>
        <w:t>供应商</w:t>
      </w:r>
      <w:r>
        <w:rPr>
          <w:color w:val="auto"/>
        </w:rPr>
        <w:t>未收到短信而引起的一切后果和法律责任。</w:t>
      </w:r>
    </w:p>
    <w:p>
      <w:pPr>
        <w:pStyle w:val="8"/>
        <w:kinsoku w:val="0"/>
        <w:overflowPunct w:val="0"/>
        <w:spacing w:line="357" w:lineRule="auto"/>
        <w:ind w:right="237" w:firstLine="480"/>
        <w:rPr>
          <w:rFonts w:hint="default"/>
          <w:color w:val="auto"/>
        </w:rPr>
      </w:pPr>
      <w:r>
        <w:rPr>
          <w:color w:val="auto"/>
        </w:rPr>
        <w:t>10.5</w:t>
      </w:r>
      <w:r>
        <w:rPr>
          <w:color w:val="auto"/>
          <w:spacing w:val="-51"/>
        </w:rPr>
        <w:t xml:space="preserve"> </w:t>
      </w:r>
      <w:r>
        <w:rPr>
          <w:color w:val="auto"/>
          <w:spacing w:val="2"/>
        </w:rPr>
        <w:t>澄清、修改文件发出后，</w:t>
      </w:r>
      <w:r>
        <w:rPr>
          <w:rFonts w:hint="eastAsia"/>
          <w:color w:val="auto"/>
          <w:spacing w:val="2"/>
          <w:lang w:eastAsia="zh-CN"/>
        </w:rPr>
        <w:t>供应商</w:t>
      </w:r>
      <w:r>
        <w:rPr>
          <w:color w:val="auto"/>
          <w:spacing w:val="2"/>
        </w:rPr>
        <w:t>必须使用最新的答疑、澄清文件制作</w:t>
      </w:r>
      <w:r>
        <w:rPr>
          <w:color w:val="auto"/>
        </w:rPr>
        <w:t xml:space="preserve"> 电子投标文件，否则将无法完成上传。</w:t>
      </w:r>
    </w:p>
    <w:p>
      <w:pPr>
        <w:pStyle w:val="8"/>
        <w:kinsoku w:val="0"/>
        <w:overflowPunct w:val="0"/>
        <w:spacing w:line="357" w:lineRule="auto"/>
        <w:ind w:right="117" w:firstLine="480"/>
        <w:rPr>
          <w:rFonts w:hint="default"/>
          <w:color w:val="auto"/>
        </w:rPr>
      </w:pPr>
      <w:r>
        <w:rPr>
          <w:color w:val="auto"/>
        </w:rPr>
        <w:t>10.6采购人以</w:t>
      </w:r>
      <w:r>
        <w:rPr>
          <w:rFonts w:hint="eastAsia"/>
          <w:color w:val="auto"/>
          <w:lang w:eastAsia="zh-CN"/>
        </w:rPr>
        <w:t>供应商</w:t>
      </w:r>
      <w:r>
        <w:rPr>
          <w:color w:val="auto"/>
        </w:rPr>
        <w:t>须知前附表规定的形式修改招标文件，并通知所有获取采购文件的</w:t>
      </w:r>
      <w:r>
        <w:rPr>
          <w:rFonts w:hint="eastAsia"/>
          <w:color w:val="auto"/>
          <w:lang w:eastAsia="zh-CN"/>
        </w:rPr>
        <w:t>供应商</w:t>
      </w:r>
      <w:r>
        <w:rPr>
          <w:color w:val="auto"/>
        </w:rPr>
        <w:t>。修改招标文件的时间距规定的投标截止时间不足 15 日的，并且修改内容可能影响投标文件编制的，将相应延长投标截止时间。</w:t>
      </w:r>
    </w:p>
    <w:p>
      <w:pPr>
        <w:pStyle w:val="8"/>
        <w:kinsoku w:val="0"/>
        <w:overflowPunct w:val="0"/>
        <w:spacing w:line="357" w:lineRule="auto"/>
        <w:ind w:right="237" w:firstLine="480"/>
        <w:rPr>
          <w:rFonts w:hint="default"/>
          <w:color w:val="auto"/>
        </w:rPr>
      </w:pPr>
      <w:r>
        <w:rPr>
          <w:color w:val="auto"/>
        </w:rPr>
        <w:t xml:space="preserve">10.7 </w:t>
      </w:r>
      <w:r>
        <w:rPr>
          <w:rFonts w:hint="eastAsia"/>
          <w:color w:val="auto"/>
          <w:lang w:eastAsia="zh-CN"/>
        </w:rPr>
        <w:t>供应商</w:t>
      </w:r>
      <w:r>
        <w:rPr>
          <w:color w:val="auto"/>
        </w:rPr>
        <w:t>或者其他利害关系人对招标文件有异议的，应当在投标截止时间 10 日前以书面形式提出。采购人将在收到异议之日起 3 日内作出答复；作出答复前，将暂停招标投标活动。</w:t>
      </w:r>
    </w:p>
    <w:p>
      <w:pPr>
        <w:pStyle w:val="7"/>
        <w:kinsoku w:val="0"/>
        <w:overflowPunct w:val="0"/>
        <w:spacing w:before="0" w:line="650" w:lineRule="atLeast"/>
        <w:ind w:right="5292"/>
        <w:rPr>
          <w:rFonts w:hint="default"/>
          <w:color w:val="auto"/>
        </w:rPr>
      </w:pPr>
      <w:bookmarkStart w:id="28" w:name="三、投标文件"/>
      <w:bookmarkEnd w:id="28"/>
      <w:r>
        <w:rPr>
          <w:color w:val="auto"/>
        </w:rPr>
        <w:t>三、投标文件</w:t>
      </w:r>
    </w:p>
    <w:p>
      <w:pPr>
        <w:pStyle w:val="7"/>
        <w:kinsoku w:val="0"/>
        <w:overflowPunct w:val="0"/>
        <w:spacing w:before="0" w:line="650" w:lineRule="atLeast"/>
        <w:ind w:right="5292"/>
        <w:rPr>
          <w:rFonts w:hint="default"/>
          <w:b w:val="0"/>
          <w:color w:val="auto"/>
        </w:rPr>
      </w:pPr>
      <w:r>
        <w:rPr>
          <w:color w:val="auto"/>
          <w:w w:val="99"/>
        </w:rPr>
        <w:t xml:space="preserve"> </w:t>
      </w:r>
      <w:r>
        <w:rPr>
          <w:color w:val="auto"/>
        </w:rPr>
        <w:t>11.投标文件的语言及计量位</w:t>
      </w:r>
    </w:p>
    <w:p>
      <w:pPr>
        <w:pStyle w:val="8"/>
        <w:kinsoku w:val="0"/>
        <w:overflowPunct w:val="0"/>
        <w:spacing w:before="154" w:line="357" w:lineRule="auto"/>
        <w:ind w:right="237" w:firstLine="480"/>
        <w:rPr>
          <w:rFonts w:hint="default"/>
          <w:color w:val="auto"/>
        </w:rPr>
      </w:pPr>
      <w:r>
        <w:rPr>
          <w:color w:val="auto"/>
        </w:rPr>
        <w:t>11.1</w:t>
      </w:r>
      <w:r>
        <w:rPr>
          <w:color w:val="auto"/>
          <w:spacing w:val="-51"/>
        </w:rPr>
        <w:t xml:space="preserve"> </w:t>
      </w:r>
      <w:r>
        <w:rPr>
          <w:rFonts w:hint="eastAsia"/>
          <w:color w:val="auto"/>
          <w:spacing w:val="2"/>
          <w:lang w:eastAsia="zh-CN"/>
        </w:rPr>
        <w:t>供应商</w:t>
      </w:r>
      <w:r>
        <w:rPr>
          <w:color w:val="auto"/>
          <w:spacing w:val="2"/>
        </w:rPr>
        <w:t>提交的投标文件（包括技术文件和资料、图纸中的说明）以及</w:t>
      </w:r>
      <w:r>
        <w:rPr>
          <w:color w:val="auto"/>
        </w:rPr>
        <w:t xml:space="preserve"> </w:t>
      </w:r>
      <w:r>
        <w:rPr>
          <w:rFonts w:hint="eastAsia"/>
          <w:color w:val="auto"/>
          <w:lang w:eastAsia="zh-CN"/>
        </w:rPr>
        <w:t>供应商</w:t>
      </w:r>
      <w:r>
        <w:rPr>
          <w:color w:val="auto"/>
        </w:rPr>
        <w:t>与采购代理机构就有关投标的所有来往函电均应使用中文简体字。</w:t>
      </w:r>
    </w:p>
    <w:p>
      <w:pPr>
        <w:pStyle w:val="8"/>
        <w:kinsoku w:val="0"/>
        <w:overflowPunct w:val="0"/>
        <w:spacing w:line="357" w:lineRule="auto"/>
        <w:ind w:right="117" w:firstLine="480"/>
        <w:rPr>
          <w:rFonts w:hint="default"/>
          <w:color w:val="auto"/>
        </w:rPr>
      </w:pPr>
      <w:r>
        <w:rPr>
          <w:color w:val="auto"/>
        </w:rPr>
        <w:t>11.2</w:t>
      </w:r>
      <w:r>
        <w:rPr>
          <w:color w:val="auto"/>
          <w:spacing w:val="-55"/>
        </w:rPr>
        <w:t xml:space="preserve"> </w:t>
      </w:r>
      <w:r>
        <w:rPr>
          <w:color w:val="auto"/>
          <w:spacing w:val="2"/>
        </w:rPr>
        <w:t>原版为外文的证书类文件，以及由外国人作出的本人签名、外国公司</w:t>
      </w:r>
      <w:r>
        <w:rPr>
          <w:color w:val="auto"/>
        </w:rPr>
        <w:t xml:space="preserve"> 的名称或外国印章等可以是外文，但应当提供中文翻译文件并加盖</w:t>
      </w:r>
      <w:r>
        <w:rPr>
          <w:rFonts w:hint="eastAsia"/>
          <w:color w:val="auto"/>
          <w:lang w:eastAsia="zh-CN"/>
        </w:rPr>
        <w:t>供应商</w:t>
      </w:r>
      <w:r>
        <w:rPr>
          <w:color w:val="auto"/>
        </w:rPr>
        <w:t xml:space="preserve">公章。 </w:t>
      </w:r>
      <w:r>
        <w:rPr>
          <w:color w:val="auto"/>
          <w:spacing w:val="3"/>
        </w:rPr>
        <w:t>必要时评标委员会可以要求</w:t>
      </w:r>
      <w:r>
        <w:rPr>
          <w:rFonts w:hint="eastAsia"/>
          <w:color w:val="auto"/>
          <w:spacing w:val="3"/>
          <w:lang w:eastAsia="zh-CN"/>
        </w:rPr>
        <w:t>供应商</w:t>
      </w:r>
      <w:r>
        <w:rPr>
          <w:color w:val="auto"/>
          <w:spacing w:val="3"/>
        </w:rPr>
        <w:t>提供附有公证书的中文翻译文件或者与原版</w:t>
      </w:r>
      <w:r>
        <w:rPr>
          <w:color w:val="auto"/>
          <w:spacing w:val="-101"/>
        </w:rPr>
        <w:t xml:space="preserve"> </w:t>
      </w:r>
      <w:r>
        <w:rPr>
          <w:color w:val="auto"/>
          <w:spacing w:val="-3"/>
        </w:rPr>
        <w:t>文件签章相一致的中文翻译文件。原版为外文的证书类、证明类文件，与</w:t>
      </w:r>
      <w:r>
        <w:rPr>
          <w:rFonts w:hint="eastAsia"/>
          <w:color w:val="auto"/>
          <w:spacing w:val="-3"/>
          <w:lang w:eastAsia="zh-CN"/>
        </w:rPr>
        <w:t>供应商</w:t>
      </w:r>
      <w:r>
        <w:rPr>
          <w:color w:val="auto"/>
          <w:spacing w:val="-111"/>
        </w:rPr>
        <w:t xml:space="preserve"> </w:t>
      </w:r>
      <w:r>
        <w:rPr>
          <w:color w:val="auto"/>
        </w:rPr>
        <w:t>名称或其他实际情况不符的，</w:t>
      </w:r>
      <w:r>
        <w:rPr>
          <w:rFonts w:hint="eastAsia"/>
          <w:color w:val="auto"/>
          <w:lang w:eastAsia="zh-CN"/>
        </w:rPr>
        <w:t>供应商</w:t>
      </w:r>
      <w:r>
        <w:rPr>
          <w:color w:val="auto"/>
        </w:rPr>
        <w:t>应当提供相关证明文件。</w:t>
      </w:r>
    </w:p>
    <w:p>
      <w:pPr>
        <w:pStyle w:val="8"/>
        <w:kinsoku w:val="0"/>
        <w:overflowPunct w:val="0"/>
        <w:spacing w:line="357" w:lineRule="auto"/>
        <w:ind w:right="237" w:firstLine="480"/>
        <w:rPr>
          <w:rFonts w:hint="default"/>
          <w:color w:val="auto"/>
        </w:rPr>
      </w:pPr>
      <w:r>
        <w:rPr>
          <w:color w:val="auto"/>
        </w:rPr>
        <w:t>11.3</w:t>
      </w:r>
      <w:r>
        <w:rPr>
          <w:color w:val="auto"/>
          <w:spacing w:val="-51"/>
        </w:rPr>
        <w:t xml:space="preserve"> </w:t>
      </w:r>
      <w:r>
        <w:rPr>
          <w:color w:val="auto"/>
          <w:spacing w:val="2"/>
        </w:rPr>
        <w:t>除非招标文件另有规定，投标文件所使用的计量单位，应使用国家法</w:t>
      </w:r>
      <w:r>
        <w:rPr>
          <w:color w:val="auto"/>
        </w:rPr>
        <w:t xml:space="preserve"> 定计量单位。</w:t>
      </w:r>
    </w:p>
    <w:p>
      <w:pPr>
        <w:pStyle w:val="8"/>
        <w:kinsoku w:val="0"/>
        <w:overflowPunct w:val="0"/>
        <w:spacing w:line="357" w:lineRule="auto"/>
        <w:ind w:right="237" w:firstLine="480"/>
        <w:rPr>
          <w:rFonts w:hint="default"/>
          <w:color w:val="auto"/>
        </w:rPr>
      </w:pPr>
      <w:r>
        <w:rPr>
          <w:color w:val="auto"/>
        </w:rPr>
        <w:t>11.4</w:t>
      </w:r>
      <w:r>
        <w:rPr>
          <w:color w:val="auto"/>
          <w:spacing w:val="-51"/>
        </w:rPr>
        <w:t xml:space="preserve"> </w:t>
      </w:r>
      <w:r>
        <w:rPr>
          <w:color w:val="auto"/>
          <w:spacing w:val="2"/>
        </w:rPr>
        <w:t>对违反上述规定情形的，评标委员会有权要求</w:t>
      </w:r>
      <w:r>
        <w:rPr>
          <w:rFonts w:hint="eastAsia"/>
          <w:color w:val="auto"/>
          <w:spacing w:val="2"/>
          <w:lang w:eastAsia="zh-CN"/>
        </w:rPr>
        <w:t>供应商</w:t>
      </w:r>
      <w:r>
        <w:rPr>
          <w:color w:val="auto"/>
          <w:spacing w:val="2"/>
        </w:rPr>
        <w:t>限期提供相应文</w:t>
      </w:r>
      <w:r>
        <w:rPr>
          <w:color w:val="auto"/>
        </w:rPr>
        <w:t xml:space="preserve"> 件或决定对其投标予以拒绝。</w:t>
      </w:r>
    </w:p>
    <w:p>
      <w:pPr>
        <w:pStyle w:val="8"/>
        <w:kinsoku w:val="0"/>
        <w:overflowPunct w:val="0"/>
        <w:spacing w:line="357" w:lineRule="auto"/>
        <w:ind w:right="237" w:firstLine="480"/>
        <w:rPr>
          <w:rFonts w:hint="default"/>
          <w:color w:val="auto"/>
        </w:rPr>
      </w:pPr>
      <w:r>
        <w:rPr>
          <w:color w:val="auto"/>
        </w:rPr>
        <w:t>11.5</w:t>
      </w:r>
      <w:r>
        <w:rPr>
          <w:color w:val="auto"/>
          <w:spacing w:val="-51"/>
        </w:rPr>
        <w:t xml:space="preserve"> </w:t>
      </w:r>
      <w:r>
        <w:rPr>
          <w:color w:val="auto"/>
          <w:spacing w:val="2"/>
        </w:rPr>
        <w:t>电报、电话、传真形式的投标概不接受。</w:t>
      </w:r>
      <w:r>
        <w:rPr>
          <w:rFonts w:hint="eastAsia"/>
          <w:color w:val="auto"/>
          <w:spacing w:val="2"/>
          <w:lang w:eastAsia="zh-CN"/>
        </w:rPr>
        <w:t>供应商</w:t>
      </w:r>
      <w:r>
        <w:rPr>
          <w:color w:val="auto"/>
          <w:spacing w:val="2"/>
        </w:rPr>
        <w:t>的投标文件一律不予</w:t>
      </w:r>
      <w:r>
        <w:rPr>
          <w:color w:val="auto"/>
        </w:rPr>
        <w:t xml:space="preserve"> 退还。</w:t>
      </w:r>
    </w:p>
    <w:p>
      <w:pPr>
        <w:pStyle w:val="7"/>
        <w:kinsoku w:val="0"/>
        <w:overflowPunct w:val="0"/>
        <w:ind w:right="237"/>
        <w:rPr>
          <w:rFonts w:hint="default"/>
          <w:color w:val="auto"/>
        </w:rPr>
      </w:pPr>
      <w:r>
        <w:rPr>
          <w:color w:val="auto"/>
        </w:rPr>
        <w:t>12.投标文件组成及编制</w:t>
      </w:r>
    </w:p>
    <w:p>
      <w:pPr>
        <w:pStyle w:val="8"/>
        <w:kinsoku w:val="0"/>
        <w:overflowPunct w:val="0"/>
        <w:spacing w:before="2" w:line="357" w:lineRule="auto"/>
        <w:ind w:left="600" w:right="237"/>
        <w:rPr>
          <w:rFonts w:hint="default"/>
          <w:color w:val="auto"/>
          <w:spacing w:val="3"/>
        </w:rPr>
      </w:pPr>
      <w:r>
        <w:rPr>
          <w:color w:val="auto"/>
        </w:rPr>
        <w:t>12.1</w:t>
      </w:r>
      <w:r>
        <w:rPr>
          <w:color w:val="auto"/>
          <w:spacing w:val="-60"/>
        </w:rPr>
        <w:t xml:space="preserve"> </w:t>
      </w:r>
      <w:r>
        <w:rPr>
          <w:color w:val="auto"/>
        </w:rPr>
        <w:t xml:space="preserve">投标文件分为资格审查资料、商务文件、技术文件和服务文件。 </w:t>
      </w:r>
      <w:r>
        <w:rPr>
          <w:color w:val="auto"/>
          <w:spacing w:val="3"/>
        </w:rPr>
        <w:t>商务文件指</w:t>
      </w:r>
      <w:r>
        <w:rPr>
          <w:rFonts w:hint="eastAsia"/>
          <w:color w:val="auto"/>
          <w:spacing w:val="3"/>
          <w:lang w:eastAsia="zh-CN"/>
        </w:rPr>
        <w:t>供应商</w:t>
      </w:r>
      <w:r>
        <w:rPr>
          <w:color w:val="auto"/>
          <w:spacing w:val="3"/>
        </w:rPr>
        <w:t>提交的证明其有资格参加投标和中标后有能力履行合同</w:t>
      </w:r>
    </w:p>
    <w:p>
      <w:pPr>
        <w:pStyle w:val="8"/>
        <w:kinsoku w:val="0"/>
        <w:overflowPunct w:val="0"/>
        <w:spacing w:line="357" w:lineRule="auto"/>
        <w:ind w:right="117"/>
        <w:rPr>
          <w:rFonts w:hint="default"/>
          <w:color w:val="auto"/>
        </w:rPr>
      </w:pPr>
      <w:r>
        <w:rPr>
          <w:color w:val="auto"/>
          <w:spacing w:val="-3"/>
        </w:rPr>
        <w:t>的文件。技术和服务文件指</w:t>
      </w:r>
      <w:r>
        <w:rPr>
          <w:rFonts w:hint="eastAsia"/>
          <w:color w:val="auto"/>
          <w:spacing w:val="-3"/>
          <w:lang w:eastAsia="zh-CN"/>
        </w:rPr>
        <w:t>供应商</w:t>
      </w:r>
      <w:r>
        <w:rPr>
          <w:color w:val="auto"/>
          <w:spacing w:val="-3"/>
        </w:rPr>
        <w:t>提交的能够证明其提供的货物及服务符合招标</w:t>
      </w:r>
      <w:r>
        <w:rPr>
          <w:color w:val="auto"/>
          <w:spacing w:val="-109"/>
        </w:rPr>
        <w:t xml:space="preserve"> </w:t>
      </w:r>
      <w:r>
        <w:rPr>
          <w:color w:val="auto"/>
          <w:spacing w:val="-6"/>
        </w:rPr>
        <w:t>文件规定的文件。本次招标，</w:t>
      </w:r>
      <w:r>
        <w:rPr>
          <w:rFonts w:hint="eastAsia"/>
          <w:color w:val="auto"/>
          <w:spacing w:val="-6"/>
          <w:lang w:eastAsia="zh-CN"/>
        </w:rPr>
        <w:t>供应商</w:t>
      </w:r>
      <w:r>
        <w:rPr>
          <w:color w:val="auto"/>
          <w:spacing w:val="-6"/>
        </w:rPr>
        <w:t>须按招标文件第二部分“</w:t>
      </w:r>
      <w:r>
        <w:rPr>
          <w:rFonts w:hint="eastAsia"/>
          <w:color w:val="auto"/>
          <w:spacing w:val="-6"/>
          <w:lang w:eastAsia="zh-CN"/>
        </w:rPr>
        <w:t>供应商</w:t>
      </w:r>
      <w:r>
        <w:rPr>
          <w:color w:val="auto"/>
          <w:spacing w:val="-6"/>
        </w:rPr>
        <w:t>须知前附表”</w:t>
      </w:r>
      <w:r>
        <w:rPr>
          <w:color w:val="auto"/>
        </w:rPr>
        <w:t xml:space="preserve"> </w:t>
      </w:r>
      <w:r>
        <w:rPr>
          <w:color w:val="auto"/>
          <w:spacing w:val="-3"/>
        </w:rPr>
        <w:t>中规定提交资格审查资料、商务文件、技术文件和服务文件，其中加★项目若有</w:t>
      </w:r>
      <w:r>
        <w:rPr>
          <w:color w:val="auto"/>
          <w:spacing w:val="-111"/>
        </w:rPr>
        <w:t xml:space="preserve"> </w:t>
      </w:r>
      <w:r>
        <w:rPr>
          <w:color w:val="auto"/>
        </w:rPr>
        <w:t>缺失或无效，将导致投标被拒绝且不允许在开标后补正。</w:t>
      </w:r>
    </w:p>
    <w:p>
      <w:pPr>
        <w:pStyle w:val="8"/>
        <w:kinsoku w:val="0"/>
        <w:overflowPunct w:val="0"/>
        <w:spacing w:line="357" w:lineRule="auto"/>
        <w:ind w:right="237" w:firstLine="480"/>
        <w:jc w:val="both"/>
        <w:rPr>
          <w:rFonts w:hint="default"/>
          <w:color w:val="auto"/>
        </w:rPr>
      </w:pPr>
      <w:r>
        <w:rPr>
          <w:color w:val="auto"/>
        </w:rPr>
        <w:t>12.2</w:t>
      </w:r>
      <w:r>
        <w:rPr>
          <w:color w:val="auto"/>
          <w:spacing w:val="-51"/>
        </w:rPr>
        <w:t xml:space="preserve"> </w:t>
      </w:r>
      <w:r>
        <w:rPr>
          <w:rFonts w:hint="eastAsia"/>
          <w:color w:val="auto"/>
          <w:spacing w:val="2"/>
          <w:lang w:eastAsia="zh-CN"/>
        </w:rPr>
        <w:t>供应商</w:t>
      </w:r>
      <w:r>
        <w:rPr>
          <w:color w:val="auto"/>
          <w:spacing w:val="2"/>
        </w:rPr>
        <w:t>递交的投标文件及相关要求按照招标文件第二部分“</w:t>
      </w:r>
      <w:r>
        <w:rPr>
          <w:rFonts w:hint="eastAsia"/>
          <w:color w:val="auto"/>
          <w:spacing w:val="2"/>
          <w:lang w:eastAsia="zh-CN"/>
        </w:rPr>
        <w:t>供应商</w:t>
      </w:r>
      <w:r>
        <w:rPr>
          <w:color w:val="auto"/>
          <w:spacing w:val="2"/>
        </w:rPr>
        <w:t>须</w:t>
      </w:r>
      <w:r>
        <w:rPr>
          <w:color w:val="auto"/>
        </w:rPr>
        <w:t xml:space="preserve"> 知前附表”中的规定。</w:t>
      </w:r>
    </w:p>
    <w:p>
      <w:pPr>
        <w:pStyle w:val="8"/>
        <w:kinsoku w:val="0"/>
        <w:overflowPunct w:val="0"/>
        <w:ind w:left="600" w:right="237"/>
        <w:rPr>
          <w:rFonts w:hint="default"/>
          <w:color w:val="auto"/>
        </w:rPr>
      </w:pPr>
      <w:r>
        <w:rPr>
          <w:color w:val="auto"/>
        </w:rPr>
        <w:t>12.2.1</w:t>
      </w:r>
      <w:r>
        <w:rPr>
          <w:color w:val="auto"/>
          <w:spacing w:val="-60"/>
        </w:rPr>
        <w:t xml:space="preserve"> </w:t>
      </w:r>
      <w:r>
        <w:rPr>
          <w:color w:val="auto"/>
        </w:rPr>
        <w:t>电子投标文件的编制</w:t>
      </w:r>
    </w:p>
    <w:p>
      <w:pPr>
        <w:pStyle w:val="8"/>
        <w:kinsoku w:val="0"/>
        <w:overflowPunct w:val="0"/>
        <w:spacing w:before="154" w:line="357" w:lineRule="auto"/>
        <w:ind w:right="237" w:firstLine="480"/>
        <w:jc w:val="both"/>
        <w:rPr>
          <w:rFonts w:hint="default"/>
          <w:color w:val="auto"/>
        </w:rPr>
      </w:pPr>
      <w:r>
        <w:rPr>
          <w:color w:val="auto"/>
        </w:rPr>
        <w:t>12.2.1.1</w:t>
      </w:r>
      <w:r>
        <w:rPr>
          <w:color w:val="auto"/>
          <w:spacing w:val="-48"/>
        </w:rPr>
        <w:t xml:space="preserve"> </w:t>
      </w:r>
      <w:r>
        <w:rPr>
          <w:color w:val="auto"/>
          <w:spacing w:val="2"/>
        </w:rPr>
        <w:t>电子投标文件使用政采云平台提供的投标文件制作工具以及招标</w:t>
      </w:r>
      <w:r>
        <w:rPr>
          <w:color w:val="auto"/>
        </w:rPr>
        <w:t xml:space="preserve"> </w:t>
      </w:r>
      <w:r>
        <w:rPr>
          <w:color w:val="auto"/>
          <w:spacing w:val="-3"/>
        </w:rPr>
        <w:t>文件要求进行制作编制。投标文件制作时，不同内容按标签提示制作导入，按照</w:t>
      </w:r>
      <w:r>
        <w:rPr>
          <w:color w:val="auto"/>
          <w:spacing w:val="-111"/>
        </w:rPr>
        <w:t xml:space="preserve"> </w:t>
      </w:r>
      <w:r>
        <w:rPr>
          <w:color w:val="auto"/>
        </w:rPr>
        <w:t>招标文件中明确的投标文件目录和格式进行编制，保证目录清晰、内容完整。</w:t>
      </w:r>
    </w:p>
    <w:p>
      <w:pPr>
        <w:pStyle w:val="8"/>
        <w:kinsoku w:val="0"/>
        <w:overflowPunct w:val="0"/>
        <w:spacing w:line="357" w:lineRule="auto"/>
        <w:ind w:right="237" w:firstLine="480"/>
        <w:jc w:val="both"/>
        <w:rPr>
          <w:rFonts w:hint="default"/>
          <w:color w:val="auto"/>
        </w:rPr>
      </w:pPr>
      <w:r>
        <w:rPr>
          <w:color w:val="auto"/>
        </w:rPr>
        <w:t>12.2.1.2</w:t>
      </w:r>
      <w:r>
        <w:rPr>
          <w:color w:val="auto"/>
          <w:spacing w:val="-48"/>
        </w:rPr>
        <w:t xml:space="preserve"> </w:t>
      </w:r>
      <w:r>
        <w:rPr>
          <w:color w:val="auto"/>
          <w:spacing w:val="2"/>
        </w:rPr>
        <w:t>电子投标文件须使用</w:t>
      </w:r>
      <w:r>
        <w:rPr>
          <w:rFonts w:hint="eastAsia"/>
          <w:color w:val="auto"/>
          <w:spacing w:val="2"/>
          <w:lang w:eastAsia="zh-CN"/>
        </w:rPr>
        <w:t>供应商</w:t>
      </w:r>
      <w:r>
        <w:rPr>
          <w:color w:val="auto"/>
          <w:spacing w:val="2"/>
        </w:rPr>
        <w:t>公章的电子签章以及法定代表人的电</w:t>
      </w:r>
      <w:r>
        <w:rPr>
          <w:color w:val="auto"/>
        </w:rPr>
        <w:t xml:space="preserve"> 子签章。若无电子签章，则视为无效投标。</w:t>
      </w:r>
    </w:p>
    <w:p>
      <w:pPr>
        <w:pStyle w:val="8"/>
        <w:kinsoku w:val="0"/>
        <w:overflowPunct w:val="0"/>
        <w:spacing w:before="122" w:line="364" w:lineRule="auto"/>
        <w:ind w:right="145" w:firstLine="480"/>
        <w:jc w:val="both"/>
        <w:rPr>
          <w:rFonts w:hint="default" w:hAnsi="Segoe UI"/>
          <w:color w:val="auto"/>
        </w:rPr>
      </w:pPr>
      <w:r>
        <w:rPr>
          <w:rFonts w:hint="default" w:ascii="Segoe UI" w:hAnsi="Segoe UI" w:cs="Segoe UI"/>
          <w:color w:val="auto"/>
        </w:rPr>
        <w:t>1</w:t>
      </w:r>
      <w:r>
        <w:rPr>
          <w:rFonts w:hAnsi="Segoe UI"/>
          <w:color w:val="auto"/>
        </w:rPr>
        <w:t>2.2.1.3</w:t>
      </w:r>
      <w:r>
        <w:rPr>
          <w:rFonts w:hAnsi="Segoe UI"/>
          <w:color w:val="auto"/>
          <w:spacing w:val="-56"/>
        </w:rPr>
        <w:t xml:space="preserve"> </w:t>
      </w:r>
      <w:r>
        <w:rPr>
          <w:rFonts w:hAnsi="Segoe UI"/>
          <w:color w:val="auto"/>
          <w:spacing w:val="2"/>
        </w:rPr>
        <w:t>电子招投标文件具有法律效力，与其他形式的招投标文件在内容</w:t>
      </w:r>
      <w:r>
        <w:rPr>
          <w:rFonts w:hAnsi="Segoe UI"/>
          <w:color w:val="auto"/>
        </w:rPr>
        <w:t xml:space="preserve"> </w:t>
      </w:r>
      <w:r>
        <w:rPr>
          <w:rFonts w:hAnsi="Segoe UI"/>
          <w:color w:val="auto"/>
          <w:spacing w:val="-3"/>
        </w:rPr>
        <w:t>和格式上等同，若投标文件与招标文件要求不一致，其内容影响中标结果时，责</w:t>
      </w:r>
      <w:r>
        <w:rPr>
          <w:rFonts w:hAnsi="Segoe UI"/>
          <w:color w:val="auto"/>
          <w:spacing w:val="-111"/>
        </w:rPr>
        <w:t xml:space="preserve"> </w:t>
      </w:r>
      <w:r>
        <w:rPr>
          <w:rFonts w:hAnsi="Segoe UI"/>
          <w:color w:val="auto"/>
          <w:spacing w:val="-3"/>
        </w:rPr>
        <w:t>任由</w:t>
      </w:r>
      <w:r>
        <w:rPr>
          <w:rFonts w:hint="eastAsia" w:hAnsi="Segoe UI"/>
          <w:color w:val="auto"/>
          <w:spacing w:val="-3"/>
          <w:lang w:eastAsia="zh-CN"/>
        </w:rPr>
        <w:t>供应商</w:t>
      </w:r>
      <w:r>
        <w:rPr>
          <w:rFonts w:hAnsi="Segoe UI"/>
          <w:color w:val="auto"/>
          <w:spacing w:val="-3"/>
        </w:rPr>
        <w:t>自行承担。</w:t>
      </w:r>
      <w:r>
        <w:rPr>
          <w:rFonts w:hint="eastAsia" w:hAnsi="Segoe UI"/>
          <w:color w:val="auto"/>
          <w:spacing w:val="-3"/>
          <w:lang w:eastAsia="zh-CN"/>
        </w:rPr>
        <w:t>供应商</w:t>
      </w:r>
      <w:r>
        <w:rPr>
          <w:rFonts w:hAnsi="Segoe UI"/>
          <w:color w:val="auto"/>
          <w:spacing w:val="-3"/>
        </w:rPr>
        <w:t>递交的电子投标文件因</w:t>
      </w:r>
      <w:r>
        <w:rPr>
          <w:rFonts w:hint="eastAsia" w:hAnsi="Segoe UI"/>
          <w:color w:val="auto"/>
          <w:spacing w:val="-3"/>
          <w:lang w:eastAsia="zh-CN"/>
        </w:rPr>
        <w:t>供应商</w:t>
      </w:r>
      <w:r>
        <w:rPr>
          <w:rFonts w:hAnsi="Segoe UI"/>
          <w:color w:val="auto"/>
          <w:spacing w:val="-3"/>
        </w:rPr>
        <w:t>自身原因而导致无法</w:t>
      </w:r>
      <w:r>
        <w:rPr>
          <w:rFonts w:hAnsi="Segoe UI"/>
          <w:color w:val="auto"/>
          <w:spacing w:val="-109"/>
        </w:rPr>
        <w:t xml:space="preserve"> </w:t>
      </w:r>
      <w:r>
        <w:rPr>
          <w:rFonts w:hAnsi="Segoe UI"/>
          <w:color w:val="auto"/>
        </w:rPr>
        <w:t>导入电子辅助评标系统，该投标文件视为无效投标文件，将导致其投标被拒绝。</w:t>
      </w:r>
    </w:p>
    <w:p>
      <w:pPr>
        <w:pStyle w:val="8"/>
        <w:kinsoku w:val="0"/>
        <w:overflowPunct w:val="0"/>
        <w:spacing w:before="29" w:line="357" w:lineRule="auto"/>
        <w:ind w:right="237" w:firstLine="480"/>
        <w:jc w:val="both"/>
        <w:rPr>
          <w:rFonts w:hint="default"/>
          <w:color w:val="auto"/>
        </w:rPr>
      </w:pPr>
      <w:r>
        <w:rPr>
          <w:color w:val="auto"/>
        </w:rPr>
        <w:t>12.2.1.4</w:t>
      </w:r>
      <w:r>
        <w:rPr>
          <w:color w:val="auto"/>
          <w:spacing w:val="-48"/>
        </w:rPr>
        <w:t xml:space="preserve"> </w:t>
      </w:r>
      <w:r>
        <w:rPr>
          <w:color w:val="auto"/>
          <w:spacing w:val="2"/>
        </w:rPr>
        <w:t>电子投标文件制作工具在生成加密投标文件时，同时生成非加密</w:t>
      </w:r>
      <w:r>
        <w:rPr>
          <w:color w:val="auto"/>
        </w:rPr>
        <w:t xml:space="preserve"> </w:t>
      </w:r>
      <w:r>
        <w:rPr>
          <w:color w:val="auto"/>
          <w:spacing w:val="-3"/>
        </w:rPr>
        <w:t>投标文件一份。未加密的电子投标文件由</w:t>
      </w:r>
      <w:r>
        <w:rPr>
          <w:rFonts w:hint="eastAsia"/>
          <w:color w:val="auto"/>
          <w:spacing w:val="-3"/>
          <w:lang w:eastAsia="zh-CN"/>
        </w:rPr>
        <w:t>供应商</w:t>
      </w:r>
      <w:r>
        <w:rPr>
          <w:color w:val="auto"/>
          <w:spacing w:val="-3"/>
        </w:rPr>
        <w:t>使用光盘制作（</w:t>
      </w:r>
      <w:r>
        <w:rPr>
          <w:rFonts w:hint="eastAsia"/>
          <w:color w:val="auto"/>
          <w:spacing w:val="-3"/>
          <w:lang w:eastAsia="zh-CN"/>
        </w:rPr>
        <w:t>供应商</w:t>
      </w:r>
      <w:r>
        <w:rPr>
          <w:color w:val="auto"/>
          <w:spacing w:val="-3"/>
        </w:rPr>
        <w:t>须保证启</w:t>
      </w:r>
      <w:r>
        <w:rPr>
          <w:color w:val="auto"/>
          <w:spacing w:val="-109"/>
        </w:rPr>
        <w:t xml:space="preserve"> </w:t>
      </w:r>
      <w:r>
        <w:rPr>
          <w:color w:val="auto"/>
        </w:rPr>
        <w:t>用光盘时能正常读取）。</w:t>
      </w:r>
    </w:p>
    <w:p>
      <w:pPr>
        <w:pStyle w:val="7"/>
        <w:kinsoku w:val="0"/>
        <w:overflowPunct w:val="0"/>
        <w:ind w:right="237"/>
        <w:rPr>
          <w:rFonts w:hint="default"/>
          <w:b w:val="0"/>
          <w:color w:val="auto"/>
        </w:rPr>
      </w:pPr>
      <w:r>
        <w:rPr>
          <w:color w:val="auto"/>
        </w:rPr>
        <w:t>13.投标报价</w:t>
      </w:r>
    </w:p>
    <w:p>
      <w:pPr>
        <w:pStyle w:val="8"/>
        <w:kinsoku w:val="0"/>
        <w:overflowPunct w:val="0"/>
        <w:spacing w:before="154" w:line="357" w:lineRule="auto"/>
        <w:ind w:right="237" w:firstLine="480"/>
        <w:jc w:val="both"/>
        <w:rPr>
          <w:rFonts w:hint="default"/>
          <w:color w:val="auto"/>
        </w:rPr>
      </w:pPr>
      <w:r>
        <w:rPr>
          <w:color w:val="auto"/>
        </w:rPr>
        <w:t>13.1</w:t>
      </w:r>
      <w:r>
        <w:rPr>
          <w:color w:val="auto"/>
          <w:spacing w:val="-51"/>
        </w:rPr>
        <w:t xml:space="preserve"> </w:t>
      </w:r>
      <w:r>
        <w:rPr>
          <w:color w:val="auto"/>
          <w:spacing w:val="2"/>
        </w:rPr>
        <w:t>所有投标报价均以人民币元为计算单位。只要投报了一个确定数额的</w:t>
      </w:r>
      <w:r>
        <w:rPr>
          <w:color w:val="auto"/>
        </w:rPr>
        <w:t xml:space="preserve"> </w:t>
      </w:r>
      <w:r>
        <w:rPr>
          <w:color w:val="auto"/>
          <w:spacing w:val="-3"/>
        </w:rPr>
        <w:t>总价，无论分项价格是否全部填报了相应的金额或免费字样，报价应被视为已经</w:t>
      </w:r>
      <w:r>
        <w:rPr>
          <w:color w:val="auto"/>
          <w:spacing w:val="-109"/>
        </w:rPr>
        <w:t xml:space="preserve"> </w:t>
      </w:r>
      <w:r>
        <w:rPr>
          <w:color w:val="auto"/>
          <w:spacing w:val="-3"/>
        </w:rPr>
        <w:t>包含了但并不限于各项购买货物及其运送、安装、调试、验收、保险和相关服务</w:t>
      </w:r>
      <w:r>
        <w:rPr>
          <w:color w:val="auto"/>
          <w:spacing w:val="-109"/>
        </w:rPr>
        <w:t xml:space="preserve"> </w:t>
      </w:r>
      <w:r>
        <w:rPr>
          <w:color w:val="auto"/>
          <w:spacing w:val="-3"/>
        </w:rPr>
        <w:t>等的费用和所需缴纳的所有价格、税、费。在其他情况下，由于分项报价填报不</w:t>
      </w:r>
      <w:r>
        <w:rPr>
          <w:color w:val="auto"/>
          <w:spacing w:val="-109"/>
        </w:rPr>
        <w:t xml:space="preserve"> </w:t>
      </w:r>
      <w:r>
        <w:rPr>
          <w:color w:val="auto"/>
          <w:spacing w:val="-3"/>
        </w:rPr>
        <w:t>完整、不清楚或存在其他任何失误，所导致的任何不利后果均应当由</w:t>
      </w:r>
      <w:r>
        <w:rPr>
          <w:rFonts w:hint="eastAsia"/>
          <w:color w:val="auto"/>
          <w:spacing w:val="-3"/>
          <w:lang w:eastAsia="zh-CN"/>
        </w:rPr>
        <w:t>供应商</w:t>
      </w:r>
      <w:r>
        <w:rPr>
          <w:color w:val="auto"/>
          <w:spacing w:val="-3"/>
        </w:rPr>
        <w:t>自行</w:t>
      </w:r>
      <w:r>
        <w:rPr>
          <w:color w:val="auto"/>
          <w:spacing w:val="-109"/>
        </w:rPr>
        <w:t xml:space="preserve"> </w:t>
      </w:r>
      <w:r>
        <w:rPr>
          <w:color w:val="auto"/>
        </w:rPr>
        <w:t>承担。</w:t>
      </w:r>
    </w:p>
    <w:p>
      <w:pPr>
        <w:pStyle w:val="8"/>
        <w:kinsoku w:val="0"/>
        <w:overflowPunct w:val="0"/>
        <w:spacing w:before="154" w:line="357" w:lineRule="auto"/>
        <w:ind w:right="117" w:firstLine="480"/>
        <w:rPr>
          <w:rFonts w:hint="default" w:ascii="宋体" w:eastAsia="宋体" w:cs="宋体"/>
          <w:color w:val="auto"/>
        </w:rPr>
      </w:pPr>
      <w:r>
        <w:rPr>
          <w:rFonts w:ascii="宋体" w:eastAsia="宋体" w:cs="宋体"/>
          <w:color w:val="auto"/>
        </w:rPr>
        <w:t xml:space="preserve">13.2 </w:t>
      </w:r>
      <w:r>
        <w:rPr>
          <w:rFonts w:hint="eastAsia" w:ascii="宋体" w:eastAsia="宋体" w:cs="宋体"/>
          <w:color w:val="auto"/>
          <w:lang w:eastAsia="zh-CN"/>
        </w:rPr>
        <w:t>供应商</w:t>
      </w:r>
      <w:r>
        <w:rPr>
          <w:rFonts w:ascii="宋体" w:eastAsia="宋体" w:cs="宋体"/>
          <w:color w:val="auto"/>
        </w:rPr>
        <w:t>投报多包的，须对每包分别制作投标文件并报价。</w:t>
      </w:r>
    </w:p>
    <w:p>
      <w:pPr>
        <w:pStyle w:val="8"/>
        <w:kinsoku w:val="0"/>
        <w:overflowPunct w:val="0"/>
        <w:spacing w:before="154" w:line="357" w:lineRule="auto"/>
        <w:ind w:right="117" w:firstLine="480"/>
        <w:rPr>
          <w:rFonts w:hint="default" w:ascii="宋体" w:eastAsia="宋体" w:cs="宋体"/>
          <w:color w:val="auto"/>
        </w:rPr>
      </w:pPr>
      <w:r>
        <w:rPr>
          <w:rFonts w:ascii="宋体" w:eastAsia="宋体" w:cs="宋体"/>
          <w:color w:val="auto"/>
        </w:rPr>
        <w:t>13.3 除非招标文件另有规定，不接受可选择或可调整的投标方案和报价， 任何有选择的或可调整的投标方案和报价将被视为非响应性投标而被拒绝。</w:t>
      </w:r>
    </w:p>
    <w:p>
      <w:pPr>
        <w:pStyle w:val="8"/>
        <w:kinsoku w:val="0"/>
        <w:overflowPunct w:val="0"/>
        <w:spacing w:before="154" w:line="357" w:lineRule="auto"/>
        <w:ind w:right="117" w:firstLine="480"/>
        <w:rPr>
          <w:rFonts w:hint="default" w:ascii="宋体" w:eastAsia="宋体" w:cs="宋体"/>
          <w:color w:val="auto"/>
        </w:rPr>
      </w:pPr>
      <w:r>
        <w:rPr>
          <w:rFonts w:ascii="宋体" w:eastAsia="宋体" w:cs="宋体"/>
          <w:color w:val="auto"/>
        </w:rPr>
        <w:t>13.4 本项目是否接受进口产品按照招标文件第二部分“</w:t>
      </w:r>
      <w:r>
        <w:rPr>
          <w:rFonts w:hint="eastAsia" w:ascii="宋体" w:eastAsia="宋体" w:cs="宋体"/>
          <w:color w:val="auto"/>
          <w:lang w:eastAsia="zh-CN"/>
        </w:rPr>
        <w:t>供应商</w:t>
      </w:r>
      <w:r>
        <w:rPr>
          <w:rFonts w:ascii="宋体" w:eastAsia="宋体" w:cs="宋体"/>
          <w:color w:val="auto"/>
        </w:rPr>
        <w:t>须知前附表 中”中的规定（本项目不适用）。</w:t>
      </w:r>
    </w:p>
    <w:p>
      <w:pPr>
        <w:pStyle w:val="8"/>
        <w:kinsoku w:val="0"/>
        <w:overflowPunct w:val="0"/>
        <w:spacing w:before="154" w:line="357" w:lineRule="auto"/>
        <w:ind w:right="117" w:firstLine="480"/>
        <w:rPr>
          <w:rFonts w:hint="default" w:ascii="宋体" w:eastAsia="宋体" w:cs="宋体"/>
          <w:color w:val="auto"/>
        </w:rPr>
      </w:pPr>
      <w:r>
        <w:rPr>
          <w:rFonts w:ascii="宋体" w:eastAsia="宋体" w:cs="宋体"/>
          <w:color w:val="auto"/>
        </w:rPr>
        <w:t>13.5 本项目是否允许</w:t>
      </w:r>
      <w:r>
        <w:rPr>
          <w:rFonts w:hint="eastAsia" w:ascii="宋体" w:eastAsia="宋体" w:cs="宋体"/>
          <w:color w:val="auto"/>
          <w:lang w:eastAsia="zh-CN"/>
        </w:rPr>
        <w:t>供应商</w:t>
      </w:r>
      <w:r>
        <w:rPr>
          <w:rFonts w:ascii="宋体" w:eastAsia="宋体" w:cs="宋体"/>
          <w:color w:val="auto"/>
        </w:rPr>
        <w:t>将项目的非主体、非关键性工作交由他人完成 按照招标文件第二部分“</w:t>
      </w:r>
      <w:r>
        <w:rPr>
          <w:rFonts w:hint="eastAsia" w:ascii="宋体" w:eastAsia="宋体" w:cs="宋体"/>
          <w:color w:val="auto"/>
          <w:lang w:eastAsia="zh-CN"/>
        </w:rPr>
        <w:t>供应商</w:t>
      </w:r>
      <w:r>
        <w:rPr>
          <w:rFonts w:ascii="宋体" w:eastAsia="宋体" w:cs="宋体"/>
          <w:color w:val="auto"/>
        </w:rPr>
        <w:t>须知前附表”中的规定。如允许，</w:t>
      </w:r>
      <w:r>
        <w:rPr>
          <w:rFonts w:hint="eastAsia" w:ascii="宋体" w:eastAsia="宋体" w:cs="宋体"/>
          <w:color w:val="auto"/>
          <w:lang w:eastAsia="zh-CN"/>
        </w:rPr>
        <w:t>供应商</w:t>
      </w:r>
      <w:r>
        <w:rPr>
          <w:rFonts w:ascii="宋体" w:eastAsia="宋体" w:cs="宋体"/>
          <w:color w:val="auto"/>
        </w:rPr>
        <w:t>根据采购项目的实际情况，拟在中标后将中标项目的非主体、非关键性工作交由他人完成，须在技术文件中载明。</w:t>
      </w:r>
    </w:p>
    <w:p>
      <w:pPr>
        <w:pStyle w:val="8"/>
        <w:kinsoku w:val="0"/>
        <w:overflowPunct w:val="0"/>
        <w:spacing w:before="154" w:line="357" w:lineRule="auto"/>
        <w:ind w:right="117" w:firstLine="480"/>
        <w:rPr>
          <w:rFonts w:hint="default" w:ascii="宋体" w:eastAsia="宋体" w:cs="宋体"/>
          <w:color w:val="auto"/>
        </w:rPr>
      </w:pPr>
      <w:r>
        <w:rPr>
          <w:rFonts w:ascii="宋体" w:eastAsia="宋体" w:cs="宋体"/>
          <w:color w:val="auto"/>
        </w:rPr>
        <w:t xml:space="preserve">13.6 </w:t>
      </w:r>
      <w:r>
        <w:rPr>
          <w:rFonts w:hint="eastAsia" w:ascii="宋体" w:eastAsia="宋体" w:cs="宋体"/>
          <w:color w:val="auto"/>
          <w:lang w:eastAsia="zh-CN"/>
        </w:rPr>
        <w:t>供应商</w:t>
      </w:r>
      <w:r>
        <w:rPr>
          <w:rFonts w:ascii="宋体" w:eastAsia="宋体" w:cs="宋体"/>
          <w:color w:val="auto"/>
        </w:rPr>
        <w:t>须严格按照报价明细表规定的内容填写单价以及其他事项。</w:t>
      </w:r>
    </w:p>
    <w:p>
      <w:pPr>
        <w:pStyle w:val="8"/>
        <w:kinsoku w:val="0"/>
        <w:overflowPunct w:val="0"/>
        <w:spacing w:before="154" w:line="357" w:lineRule="auto"/>
        <w:ind w:right="117" w:firstLine="480"/>
        <w:rPr>
          <w:rFonts w:hint="default" w:ascii="宋体" w:eastAsia="宋体" w:cs="宋体"/>
          <w:color w:val="auto"/>
        </w:rPr>
      </w:pPr>
      <w:r>
        <w:rPr>
          <w:rFonts w:ascii="宋体" w:eastAsia="宋体" w:cs="宋体"/>
          <w:color w:val="auto"/>
        </w:rPr>
        <w:t xml:space="preserve">13.7 </w:t>
      </w:r>
      <w:r>
        <w:rPr>
          <w:rFonts w:hint="eastAsia" w:ascii="宋体" w:eastAsia="宋体" w:cs="宋体"/>
          <w:color w:val="auto"/>
          <w:lang w:eastAsia="zh-CN"/>
        </w:rPr>
        <w:t>供应商</w:t>
      </w:r>
      <w:r>
        <w:rPr>
          <w:rFonts w:ascii="宋体" w:eastAsia="宋体" w:cs="宋体"/>
          <w:color w:val="auto"/>
        </w:rPr>
        <w:t>对投标报价若有说明应在投标文件中显著处注明。除政策性文件规定以外，</w:t>
      </w:r>
      <w:r>
        <w:rPr>
          <w:rFonts w:hint="eastAsia" w:ascii="宋体" w:eastAsia="宋体" w:cs="宋体"/>
          <w:color w:val="auto"/>
          <w:lang w:eastAsia="zh-CN"/>
        </w:rPr>
        <w:t>供应商</w:t>
      </w:r>
      <w:r>
        <w:rPr>
          <w:rFonts w:ascii="宋体" w:eastAsia="宋体" w:cs="宋体"/>
          <w:color w:val="auto"/>
        </w:rPr>
        <w:t>所报价格在合同实施期间不因市场变化因素而变动。</w:t>
      </w:r>
    </w:p>
    <w:p>
      <w:pPr>
        <w:pStyle w:val="8"/>
        <w:kinsoku w:val="0"/>
        <w:overflowPunct w:val="0"/>
        <w:spacing w:before="154" w:line="357" w:lineRule="auto"/>
        <w:ind w:right="117" w:firstLine="480"/>
        <w:rPr>
          <w:rFonts w:hint="default"/>
          <w:color w:val="auto"/>
        </w:rPr>
      </w:pPr>
      <w:r>
        <w:rPr>
          <w:color w:val="auto"/>
        </w:rPr>
        <w:t>13.8</w:t>
      </w:r>
      <w:r>
        <w:rPr>
          <w:color w:val="auto"/>
          <w:spacing w:val="-55"/>
        </w:rPr>
        <w:t xml:space="preserve"> </w:t>
      </w:r>
      <w:r>
        <w:rPr>
          <w:color w:val="auto"/>
          <w:spacing w:val="2"/>
        </w:rPr>
        <w:t>对于有配件、耗材、选件、备件和特殊工具的货物，还应填报投标货</w:t>
      </w:r>
      <w:r>
        <w:rPr>
          <w:color w:val="auto"/>
        </w:rPr>
        <w:t xml:space="preserve"> 物配件、耗材、选件表和备件及特殊工具清单，注明品牌、型号、产地、功能、</w:t>
      </w:r>
      <w:r>
        <w:rPr>
          <w:color w:val="auto"/>
          <w:spacing w:val="-3"/>
        </w:rPr>
        <w:t>单价、批量折扣等内容，该表格格式由</w:t>
      </w:r>
      <w:r>
        <w:rPr>
          <w:rFonts w:hint="eastAsia"/>
          <w:color w:val="auto"/>
          <w:spacing w:val="-3"/>
          <w:lang w:eastAsia="zh-CN"/>
        </w:rPr>
        <w:t>供应商</w:t>
      </w:r>
      <w:r>
        <w:rPr>
          <w:color w:val="auto"/>
          <w:spacing w:val="-3"/>
        </w:rPr>
        <w:t>自行设计。</w:t>
      </w:r>
      <w:r>
        <w:rPr>
          <w:rFonts w:hint="eastAsia"/>
          <w:color w:val="auto"/>
          <w:spacing w:val="-3"/>
          <w:lang w:eastAsia="zh-CN"/>
        </w:rPr>
        <w:t>供应商</w:t>
      </w:r>
      <w:r>
        <w:rPr>
          <w:color w:val="auto"/>
          <w:spacing w:val="-3"/>
        </w:rPr>
        <w:t>按照上述要求分</w:t>
      </w:r>
      <w:r>
        <w:rPr>
          <w:color w:val="auto"/>
          <w:spacing w:val="-111"/>
        </w:rPr>
        <w:t xml:space="preserve"> </w:t>
      </w:r>
      <w:r>
        <w:rPr>
          <w:color w:val="auto"/>
          <w:spacing w:val="-3"/>
        </w:rPr>
        <w:t>类报价，其目的是便于评标，但在任何情况下并不限制采购人以其他条款签订合</w:t>
      </w:r>
      <w:r>
        <w:rPr>
          <w:color w:val="auto"/>
          <w:spacing w:val="-109"/>
        </w:rPr>
        <w:t xml:space="preserve"> </w:t>
      </w:r>
      <w:r>
        <w:rPr>
          <w:color w:val="auto"/>
        </w:rPr>
        <w:t>同的权利。</w:t>
      </w:r>
    </w:p>
    <w:p>
      <w:pPr>
        <w:pStyle w:val="8"/>
        <w:kinsoku w:val="0"/>
        <w:overflowPunct w:val="0"/>
        <w:spacing w:line="357" w:lineRule="auto"/>
        <w:ind w:right="237" w:firstLine="480"/>
        <w:jc w:val="both"/>
        <w:rPr>
          <w:rFonts w:hint="default"/>
          <w:color w:val="auto"/>
        </w:rPr>
      </w:pPr>
      <w:r>
        <w:rPr>
          <w:color w:val="auto"/>
        </w:rPr>
        <w:t>13.9</w:t>
      </w:r>
      <w:r>
        <w:rPr>
          <w:color w:val="auto"/>
          <w:spacing w:val="72"/>
        </w:rPr>
        <w:t xml:space="preserve"> </w:t>
      </w:r>
      <w:r>
        <w:rPr>
          <w:color w:val="auto"/>
          <w:spacing w:val="2"/>
        </w:rPr>
        <w:t>本项目不接受选择性报价，对于出现的政采云平台开标唱标环节经</w:t>
      </w:r>
      <w:r>
        <w:rPr>
          <w:color w:val="auto"/>
        </w:rPr>
        <w:t xml:space="preserve"> </w:t>
      </w:r>
      <w:r>
        <w:rPr>
          <w:color w:val="auto"/>
          <w:spacing w:val="-3"/>
        </w:rPr>
        <w:t>投标供应商确认的投标报价与投标文件中开标一览表的报价不一致的现象，视作</w:t>
      </w:r>
      <w:r>
        <w:rPr>
          <w:color w:val="auto"/>
          <w:spacing w:val="-109"/>
        </w:rPr>
        <w:t xml:space="preserve"> </w:t>
      </w:r>
      <w:r>
        <w:rPr>
          <w:color w:val="auto"/>
        </w:rPr>
        <w:t>选择性报价，将被作为无效投标处理。</w:t>
      </w:r>
    </w:p>
    <w:p>
      <w:pPr>
        <w:pStyle w:val="7"/>
        <w:kinsoku w:val="0"/>
        <w:overflowPunct w:val="0"/>
        <w:ind w:right="237"/>
        <w:rPr>
          <w:rFonts w:hint="default"/>
          <w:b w:val="0"/>
          <w:color w:val="auto"/>
        </w:rPr>
      </w:pPr>
      <w:r>
        <w:rPr>
          <w:color w:val="auto"/>
        </w:rPr>
        <w:t>14.投标有效期</w:t>
      </w:r>
    </w:p>
    <w:p>
      <w:pPr>
        <w:pStyle w:val="8"/>
        <w:kinsoku w:val="0"/>
        <w:overflowPunct w:val="0"/>
        <w:spacing w:line="357" w:lineRule="auto"/>
        <w:ind w:leftChars="50" w:right="117" w:firstLine="244" w:firstLineChars="100"/>
        <w:rPr>
          <w:rFonts w:hint="default" w:ascii="宋体" w:eastAsia="宋体" w:cs="宋体"/>
          <w:color w:val="auto"/>
          <w:spacing w:val="2"/>
        </w:rPr>
      </w:pPr>
      <w:r>
        <w:rPr>
          <w:rFonts w:ascii="宋体" w:eastAsia="宋体" w:cs="宋体"/>
          <w:color w:val="auto"/>
          <w:spacing w:val="2"/>
        </w:rPr>
        <w:t>14.1 本项目的投标有效期按照招标文件第二部分“</w:t>
      </w:r>
      <w:r>
        <w:rPr>
          <w:rFonts w:hint="eastAsia" w:ascii="宋体" w:eastAsia="宋体" w:cs="宋体"/>
          <w:color w:val="auto"/>
          <w:spacing w:val="2"/>
          <w:lang w:eastAsia="zh-CN"/>
        </w:rPr>
        <w:t>供应商</w:t>
      </w:r>
      <w:r>
        <w:rPr>
          <w:rFonts w:ascii="宋体" w:eastAsia="宋体" w:cs="宋体"/>
          <w:color w:val="auto"/>
          <w:spacing w:val="2"/>
        </w:rPr>
        <w:t>须知前附表中”</w:t>
      </w:r>
    </w:p>
    <w:p>
      <w:pPr>
        <w:pStyle w:val="8"/>
        <w:kinsoku w:val="0"/>
        <w:overflowPunct w:val="0"/>
        <w:spacing w:line="357" w:lineRule="auto"/>
        <w:ind w:leftChars="50" w:right="117" w:firstLine="244" w:firstLineChars="100"/>
        <w:rPr>
          <w:rFonts w:hint="default" w:ascii="宋体" w:eastAsia="宋体" w:cs="宋体"/>
          <w:color w:val="auto"/>
          <w:spacing w:val="2"/>
        </w:rPr>
      </w:pPr>
      <w:r>
        <w:rPr>
          <w:rFonts w:ascii="宋体" w:eastAsia="宋体" w:cs="宋体"/>
          <w:color w:val="auto"/>
          <w:spacing w:val="2"/>
        </w:rPr>
        <w:t>，投标有效期为90天。</w:t>
      </w:r>
    </w:p>
    <w:p>
      <w:pPr>
        <w:pStyle w:val="8"/>
        <w:kinsoku w:val="0"/>
        <w:overflowPunct w:val="0"/>
        <w:spacing w:line="357" w:lineRule="auto"/>
        <w:ind w:leftChars="50" w:right="117" w:firstLine="244" w:firstLineChars="100"/>
        <w:rPr>
          <w:rFonts w:hint="default" w:ascii="宋体" w:eastAsia="宋体" w:cs="宋体"/>
          <w:color w:val="auto"/>
          <w:spacing w:val="2"/>
        </w:rPr>
      </w:pPr>
      <w:r>
        <w:rPr>
          <w:rFonts w:ascii="宋体" w:eastAsia="宋体" w:cs="宋体"/>
          <w:color w:val="auto"/>
          <w:spacing w:val="2"/>
        </w:rPr>
        <w:t>14.2在投标有效期内，</w:t>
      </w:r>
      <w:r>
        <w:rPr>
          <w:rFonts w:hint="eastAsia" w:ascii="宋体" w:eastAsia="宋体" w:cs="宋体"/>
          <w:color w:val="auto"/>
          <w:spacing w:val="2"/>
          <w:lang w:eastAsia="zh-CN"/>
        </w:rPr>
        <w:t>供应商</w:t>
      </w:r>
      <w:r>
        <w:rPr>
          <w:rFonts w:ascii="宋体" w:eastAsia="宋体" w:cs="宋体"/>
          <w:color w:val="auto"/>
          <w:spacing w:val="2"/>
        </w:rPr>
        <w:t>撤销投标文件的，应承担招标文件和法律规定的责任。</w:t>
      </w:r>
    </w:p>
    <w:p>
      <w:pPr>
        <w:pStyle w:val="8"/>
        <w:kinsoku w:val="0"/>
        <w:overflowPunct w:val="0"/>
        <w:spacing w:line="357" w:lineRule="auto"/>
        <w:ind w:leftChars="50" w:right="117" w:firstLine="244" w:firstLineChars="100"/>
        <w:rPr>
          <w:rFonts w:hint="default"/>
          <w:color w:val="auto"/>
          <w:spacing w:val="2"/>
        </w:rPr>
      </w:pPr>
      <w:r>
        <w:rPr>
          <w:color w:val="auto"/>
          <w:spacing w:val="2"/>
        </w:rPr>
        <w:t>14.3 出现特殊情况需要延长投标有效期的，采购人以书面形式通知所有</w:t>
      </w:r>
      <w:r>
        <w:rPr>
          <w:rFonts w:hint="eastAsia"/>
          <w:color w:val="auto"/>
          <w:spacing w:val="2"/>
          <w:lang w:eastAsia="zh-CN"/>
        </w:rPr>
        <w:t>供应商</w:t>
      </w:r>
      <w:r>
        <w:rPr>
          <w:color w:val="auto"/>
          <w:spacing w:val="2"/>
        </w:rPr>
        <w:t>延长投标有效期。</w:t>
      </w:r>
      <w:r>
        <w:rPr>
          <w:rFonts w:hint="eastAsia"/>
          <w:color w:val="auto"/>
          <w:spacing w:val="2"/>
          <w:lang w:eastAsia="zh-CN"/>
        </w:rPr>
        <w:t>供应商</w:t>
      </w:r>
      <w:r>
        <w:rPr>
          <w:color w:val="auto"/>
          <w:spacing w:val="2"/>
        </w:rPr>
        <w:t>应予以书面答复，同意延长的，应相应延长其投标保证金的有效期，但不得要求或被允许修改其投标文件；</w:t>
      </w:r>
      <w:r>
        <w:rPr>
          <w:rFonts w:hint="eastAsia"/>
          <w:color w:val="auto"/>
          <w:spacing w:val="2"/>
          <w:lang w:eastAsia="zh-CN"/>
        </w:rPr>
        <w:t>供应商</w:t>
      </w:r>
      <w:r>
        <w:rPr>
          <w:color w:val="auto"/>
          <w:spacing w:val="2"/>
        </w:rPr>
        <w:t>拒绝延长的，其投标失效，但</w:t>
      </w:r>
      <w:r>
        <w:rPr>
          <w:rFonts w:hint="eastAsia"/>
          <w:color w:val="auto"/>
          <w:spacing w:val="2"/>
          <w:lang w:eastAsia="zh-CN"/>
        </w:rPr>
        <w:t>供应商</w:t>
      </w:r>
      <w:r>
        <w:rPr>
          <w:color w:val="auto"/>
          <w:spacing w:val="2"/>
        </w:rPr>
        <w:t xml:space="preserve">有权收回其投标保证金及以现金或者支票形式递交的投标保证金的银行同期存款利息。 </w:t>
      </w:r>
    </w:p>
    <w:p>
      <w:pPr>
        <w:pStyle w:val="8"/>
        <w:kinsoku w:val="0"/>
        <w:overflowPunct w:val="0"/>
        <w:spacing w:line="357" w:lineRule="auto"/>
        <w:ind w:right="117"/>
        <w:rPr>
          <w:rFonts w:hint="default"/>
          <w:color w:val="auto"/>
        </w:rPr>
      </w:pPr>
      <w:r>
        <w:rPr>
          <w:b/>
          <w:color w:val="auto"/>
        </w:rPr>
        <w:t>15.投标内容填写说明</w:t>
      </w:r>
    </w:p>
    <w:p>
      <w:pPr>
        <w:pStyle w:val="8"/>
        <w:kinsoku w:val="0"/>
        <w:overflowPunct w:val="0"/>
        <w:spacing w:before="2" w:line="357" w:lineRule="auto"/>
        <w:ind w:right="117" w:firstLine="480"/>
        <w:jc w:val="both"/>
        <w:rPr>
          <w:rFonts w:hint="default"/>
          <w:color w:val="auto"/>
        </w:rPr>
      </w:pPr>
      <w:r>
        <w:rPr>
          <w:color w:val="auto"/>
        </w:rPr>
        <w:t>15.1</w:t>
      </w:r>
      <w:r>
        <w:rPr>
          <w:color w:val="auto"/>
          <w:spacing w:val="-51"/>
        </w:rPr>
        <w:t xml:space="preserve"> </w:t>
      </w:r>
      <w:r>
        <w:rPr>
          <w:rFonts w:hint="eastAsia"/>
          <w:color w:val="auto"/>
          <w:spacing w:val="2"/>
          <w:lang w:eastAsia="zh-CN"/>
        </w:rPr>
        <w:t>供应商</w:t>
      </w:r>
      <w:r>
        <w:rPr>
          <w:color w:val="auto"/>
          <w:spacing w:val="2"/>
        </w:rPr>
        <w:t>应详细阅读招标文件的全部内容。投标文件须对招标文件中的</w:t>
      </w:r>
      <w:r>
        <w:rPr>
          <w:color w:val="auto"/>
        </w:rPr>
        <w:t xml:space="preserve"> </w:t>
      </w:r>
      <w:r>
        <w:rPr>
          <w:color w:val="auto"/>
          <w:spacing w:val="-3"/>
        </w:rPr>
        <w:t>内容作出实质性和完整的响应，如果投标文件填报的内容不详，或没有提供招标</w:t>
      </w:r>
      <w:r>
        <w:rPr>
          <w:color w:val="auto"/>
          <w:spacing w:val="-109"/>
        </w:rPr>
        <w:t xml:space="preserve"> </w:t>
      </w:r>
      <w:r>
        <w:rPr>
          <w:color w:val="auto"/>
        </w:rPr>
        <w:t>文件中所要求的全部资料及数据，将可能导致投标被拒绝。</w:t>
      </w:r>
    </w:p>
    <w:p>
      <w:pPr>
        <w:pStyle w:val="8"/>
        <w:kinsoku w:val="0"/>
        <w:overflowPunct w:val="0"/>
        <w:spacing w:line="357" w:lineRule="auto"/>
        <w:ind w:right="117" w:firstLine="480"/>
        <w:jc w:val="both"/>
        <w:rPr>
          <w:rFonts w:hint="default"/>
          <w:color w:val="auto"/>
        </w:rPr>
      </w:pPr>
      <w:r>
        <w:rPr>
          <w:color w:val="auto"/>
        </w:rPr>
        <w:t>15.2</w:t>
      </w:r>
      <w:r>
        <w:rPr>
          <w:color w:val="auto"/>
          <w:spacing w:val="-51"/>
        </w:rPr>
        <w:t xml:space="preserve"> </w:t>
      </w:r>
      <w:r>
        <w:rPr>
          <w:color w:val="auto"/>
          <w:spacing w:val="2"/>
        </w:rPr>
        <w:t>投标文件须严格按照招标文件第六部分规定的格式提交，并按规定的</w:t>
      </w:r>
      <w:r>
        <w:rPr>
          <w:color w:val="auto"/>
        </w:rPr>
        <w:t xml:space="preserve"> </w:t>
      </w:r>
      <w:r>
        <w:rPr>
          <w:color w:val="auto"/>
          <w:spacing w:val="-3"/>
        </w:rPr>
        <w:t>统一格式逐项填写，不准有空项；无相应内容可填的项，应填写“无”、“未测</w:t>
      </w:r>
      <w:r>
        <w:rPr>
          <w:color w:val="auto"/>
          <w:spacing w:val="-114"/>
        </w:rPr>
        <w:t xml:space="preserve"> </w:t>
      </w:r>
      <w:r>
        <w:rPr>
          <w:color w:val="auto"/>
          <w:spacing w:val="-3"/>
        </w:rPr>
        <w:t>试”、“没有相应指标”等明确的回答文字。由于编排混乱导致投标文件被误读</w:t>
      </w:r>
      <w:r>
        <w:rPr>
          <w:color w:val="auto"/>
          <w:spacing w:val="-111"/>
        </w:rPr>
        <w:t xml:space="preserve"> </w:t>
      </w:r>
      <w:r>
        <w:rPr>
          <w:color w:val="auto"/>
          <w:spacing w:val="-3"/>
        </w:rPr>
        <w:t>或查找不到，其责任由</w:t>
      </w:r>
      <w:r>
        <w:rPr>
          <w:rFonts w:hint="eastAsia"/>
          <w:color w:val="auto"/>
          <w:spacing w:val="-3"/>
          <w:lang w:eastAsia="zh-CN"/>
        </w:rPr>
        <w:t>供应商</w:t>
      </w:r>
      <w:r>
        <w:rPr>
          <w:color w:val="auto"/>
          <w:spacing w:val="-3"/>
        </w:rPr>
        <w:t>承担。投标文件未按规定提交或留有空项，将被视</w:t>
      </w:r>
      <w:r>
        <w:rPr>
          <w:color w:val="auto"/>
          <w:spacing w:val="-111"/>
        </w:rPr>
        <w:t xml:space="preserve"> </w:t>
      </w:r>
      <w:r>
        <w:rPr>
          <w:color w:val="auto"/>
        </w:rPr>
        <w:t>为不完整响应的投标文件，其投标有可能被拒绝</w:t>
      </w:r>
      <w:r>
        <w:rPr>
          <w:b/>
          <w:color w:val="auto"/>
        </w:rPr>
        <w:t>。</w:t>
      </w:r>
    </w:p>
    <w:p>
      <w:pPr>
        <w:pStyle w:val="8"/>
        <w:kinsoku w:val="0"/>
        <w:overflowPunct w:val="0"/>
        <w:spacing w:line="357" w:lineRule="auto"/>
        <w:ind w:right="117" w:firstLine="480"/>
        <w:jc w:val="both"/>
        <w:rPr>
          <w:rFonts w:hint="default"/>
          <w:color w:val="auto"/>
        </w:rPr>
      </w:pPr>
      <w:r>
        <w:rPr>
          <w:color w:val="auto"/>
        </w:rPr>
        <w:t>15.3</w:t>
      </w:r>
      <w:r>
        <w:rPr>
          <w:color w:val="auto"/>
          <w:spacing w:val="-51"/>
        </w:rPr>
        <w:t xml:space="preserve"> </w:t>
      </w:r>
      <w:r>
        <w:rPr>
          <w:color w:val="auto"/>
          <w:spacing w:val="2"/>
        </w:rPr>
        <w:t>开标一览表为在开标仪式上唱标的内容，要求按格式统一填写，不得</w:t>
      </w:r>
      <w:r>
        <w:rPr>
          <w:color w:val="auto"/>
        </w:rPr>
        <w:t xml:space="preserve"> 自行增减内容。</w:t>
      </w:r>
    </w:p>
    <w:p>
      <w:pPr>
        <w:pStyle w:val="8"/>
        <w:kinsoku w:val="0"/>
        <w:overflowPunct w:val="0"/>
        <w:spacing w:line="357" w:lineRule="auto"/>
        <w:ind w:right="117" w:firstLine="480"/>
        <w:jc w:val="both"/>
        <w:rPr>
          <w:rFonts w:hint="default"/>
          <w:color w:val="auto"/>
        </w:rPr>
      </w:pPr>
      <w:r>
        <w:rPr>
          <w:color w:val="auto"/>
        </w:rPr>
        <w:t>15.4</w:t>
      </w:r>
      <w:r>
        <w:rPr>
          <w:color w:val="auto"/>
          <w:spacing w:val="-51"/>
        </w:rPr>
        <w:t xml:space="preserve"> </w:t>
      </w:r>
      <w:r>
        <w:rPr>
          <w:rFonts w:hint="eastAsia"/>
          <w:color w:val="auto"/>
          <w:spacing w:val="2"/>
          <w:lang w:eastAsia="zh-CN"/>
        </w:rPr>
        <w:t>供应商</w:t>
      </w:r>
      <w:r>
        <w:rPr>
          <w:color w:val="auto"/>
          <w:spacing w:val="2"/>
        </w:rPr>
        <w:t>须注意：为合理节约政府采购评审成本，提倡诚实信用的投标</w:t>
      </w:r>
      <w:r>
        <w:rPr>
          <w:color w:val="auto"/>
        </w:rPr>
        <w:t xml:space="preserve"> </w:t>
      </w:r>
      <w:r>
        <w:rPr>
          <w:color w:val="auto"/>
          <w:spacing w:val="-3"/>
        </w:rPr>
        <w:t>行为，特别要求</w:t>
      </w:r>
      <w:r>
        <w:rPr>
          <w:rFonts w:hint="eastAsia"/>
          <w:color w:val="auto"/>
          <w:spacing w:val="-3"/>
          <w:lang w:eastAsia="zh-CN"/>
        </w:rPr>
        <w:t>供应商</w:t>
      </w:r>
      <w:r>
        <w:rPr>
          <w:color w:val="auto"/>
          <w:spacing w:val="-3"/>
        </w:rPr>
        <w:t>应本着诚信精神，在本次投标文件的偏离表中，均以审慎</w:t>
      </w:r>
      <w:r>
        <w:rPr>
          <w:color w:val="auto"/>
          <w:spacing w:val="-111"/>
        </w:rPr>
        <w:t xml:space="preserve"> </w:t>
      </w:r>
      <w:r>
        <w:rPr>
          <w:color w:val="auto"/>
          <w:spacing w:val="-3"/>
        </w:rPr>
        <w:t>的态度明确、清楚地披露各项偏离。若</w:t>
      </w:r>
      <w:r>
        <w:rPr>
          <w:rFonts w:hint="eastAsia"/>
          <w:color w:val="auto"/>
          <w:spacing w:val="-3"/>
          <w:lang w:eastAsia="zh-CN"/>
        </w:rPr>
        <w:t>供应商</w:t>
      </w:r>
      <w:r>
        <w:rPr>
          <w:color w:val="auto"/>
          <w:spacing w:val="-3"/>
        </w:rPr>
        <w:t>对某一事项是否存在或是否属于偏</w:t>
      </w:r>
      <w:r>
        <w:rPr>
          <w:color w:val="auto"/>
          <w:spacing w:val="-109"/>
        </w:rPr>
        <w:t xml:space="preserve"> </w:t>
      </w:r>
      <w:r>
        <w:rPr>
          <w:color w:val="auto"/>
          <w:spacing w:val="-3"/>
        </w:rPr>
        <w:t>离不能确定，亦必须在偏离表中清楚地表明该偏离事项，并可以注明不能确定的</w:t>
      </w:r>
      <w:r>
        <w:rPr>
          <w:color w:val="auto"/>
          <w:spacing w:val="-109"/>
        </w:rPr>
        <w:t xml:space="preserve"> </w:t>
      </w:r>
      <w:r>
        <w:rPr>
          <w:color w:val="auto"/>
          <w:spacing w:val="-3"/>
        </w:rPr>
        <w:t>字样。任何情况下，对于</w:t>
      </w:r>
      <w:r>
        <w:rPr>
          <w:rFonts w:hint="eastAsia"/>
          <w:color w:val="auto"/>
          <w:spacing w:val="-3"/>
          <w:lang w:eastAsia="zh-CN"/>
        </w:rPr>
        <w:t>供应商</w:t>
      </w:r>
      <w:r>
        <w:rPr>
          <w:color w:val="auto"/>
          <w:spacing w:val="-3"/>
        </w:rPr>
        <w:t>没有在偏离表中明确、清楚地披露的事项，包括</w:t>
      </w:r>
      <w:r>
        <w:rPr>
          <w:color w:val="auto"/>
          <w:spacing w:val="-109"/>
        </w:rPr>
        <w:t xml:space="preserve"> </w:t>
      </w:r>
      <w:r>
        <w:rPr>
          <w:color w:val="auto"/>
          <w:spacing w:val="-3"/>
        </w:rPr>
        <w:t>可能属于被</w:t>
      </w:r>
      <w:r>
        <w:rPr>
          <w:rFonts w:hint="eastAsia"/>
          <w:color w:val="auto"/>
          <w:spacing w:val="-3"/>
          <w:lang w:eastAsia="zh-CN"/>
        </w:rPr>
        <w:t>供应商</w:t>
      </w:r>
      <w:r>
        <w:rPr>
          <w:color w:val="auto"/>
          <w:spacing w:val="-3"/>
        </w:rPr>
        <w:t>在偏离表中遗漏披露的事项，一旦在评审中被发现存在偏离或</w:t>
      </w:r>
      <w:r>
        <w:rPr>
          <w:color w:val="auto"/>
          <w:spacing w:val="-109"/>
        </w:rPr>
        <w:t xml:space="preserve"> </w:t>
      </w:r>
      <w:r>
        <w:rPr>
          <w:color w:val="auto"/>
          <w:spacing w:val="-3"/>
        </w:rPr>
        <w:t>被认定为属于偏离，则评标委员会有权视具体情形评审时予以处理，乃至对该投</w:t>
      </w:r>
      <w:r>
        <w:rPr>
          <w:color w:val="auto"/>
          <w:spacing w:val="-109"/>
        </w:rPr>
        <w:t xml:space="preserve"> </w:t>
      </w:r>
      <w:r>
        <w:rPr>
          <w:color w:val="auto"/>
        </w:rPr>
        <w:t>标予以拒绝。</w:t>
      </w:r>
    </w:p>
    <w:p>
      <w:pPr>
        <w:pStyle w:val="8"/>
        <w:kinsoku w:val="0"/>
        <w:overflowPunct w:val="0"/>
        <w:spacing w:line="357" w:lineRule="auto"/>
        <w:ind w:right="117" w:firstLine="480"/>
        <w:jc w:val="both"/>
        <w:rPr>
          <w:rFonts w:hint="default"/>
          <w:color w:val="auto"/>
        </w:rPr>
      </w:pPr>
      <w:r>
        <w:rPr>
          <w:color w:val="auto"/>
        </w:rPr>
        <w:t>15.5</w:t>
      </w:r>
      <w:r>
        <w:rPr>
          <w:color w:val="auto"/>
          <w:spacing w:val="-51"/>
        </w:rPr>
        <w:t xml:space="preserve"> </w:t>
      </w:r>
      <w:r>
        <w:rPr>
          <w:rFonts w:hint="eastAsia"/>
          <w:color w:val="auto"/>
          <w:spacing w:val="2"/>
          <w:lang w:eastAsia="zh-CN"/>
        </w:rPr>
        <w:t>供应商</w:t>
      </w:r>
      <w:r>
        <w:rPr>
          <w:color w:val="auto"/>
          <w:spacing w:val="2"/>
        </w:rPr>
        <w:t>必须保证投标文件所提供的全部资料真实可靠，并接受采购代</w:t>
      </w:r>
      <w:r>
        <w:rPr>
          <w:color w:val="auto"/>
        </w:rPr>
        <w:t xml:space="preserve"> 理机构或评标委员会对其中任何资料进一步审查的要求。</w:t>
      </w:r>
    </w:p>
    <w:p>
      <w:pPr>
        <w:pStyle w:val="8"/>
        <w:kinsoku w:val="0"/>
        <w:overflowPunct w:val="0"/>
        <w:spacing w:line="357" w:lineRule="auto"/>
        <w:ind w:right="117" w:firstLine="480"/>
        <w:jc w:val="both"/>
        <w:rPr>
          <w:rFonts w:hint="default"/>
          <w:color w:val="auto"/>
        </w:rPr>
      </w:pPr>
      <w:r>
        <w:rPr>
          <w:color w:val="auto"/>
        </w:rPr>
        <w:t>15.6</w:t>
      </w:r>
      <w:r>
        <w:rPr>
          <w:color w:val="auto"/>
          <w:spacing w:val="-51"/>
        </w:rPr>
        <w:t xml:space="preserve"> </w:t>
      </w:r>
      <w:r>
        <w:rPr>
          <w:rFonts w:hint="eastAsia"/>
          <w:color w:val="auto"/>
          <w:spacing w:val="2"/>
          <w:lang w:eastAsia="zh-CN"/>
        </w:rPr>
        <w:t>供应商</w:t>
      </w:r>
      <w:r>
        <w:rPr>
          <w:color w:val="auto"/>
          <w:spacing w:val="2"/>
        </w:rPr>
        <w:t>在投标文件及相关文件的签订、履行、通知等事项的文件中的</w:t>
      </w:r>
      <w:r>
        <w:rPr>
          <w:color w:val="auto"/>
        </w:rPr>
        <w:t xml:space="preserve"> </w:t>
      </w:r>
      <w:r>
        <w:rPr>
          <w:color w:val="auto"/>
          <w:spacing w:val="-3"/>
        </w:rPr>
        <w:t>单位盖章、印章、公章等处均指与当事人全称相一致的电子签章或标准公章，不</w:t>
      </w:r>
      <w:r>
        <w:rPr>
          <w:color w:val="auto"/>
          <w:spacing w:val="-111"/>
        </w:rPr>
        <w:t xml:space="preserve"> </w:t>
      </w:r>
      <w:r>
        <w:rPr>
          <w:color w:val="auto"/>
          <w:spacing w:val="-3"/>
        </w:rPr>
        <w:t>得使用其他形式（如带有“专用章”等字样的印章）。不符合本条规定的按无效</w:t>
      </w:r>
      <w:r>
        <w:rPr>
          <w:color w:val="auto"/>
          <w:spacing w:val="-112"/>
        </w:rPr>
        <w:t xml:space="preserve"> </w:t>
      </w:r>
      <w:r>
        <w:rPr>
          <w:color w:val="auto"/>
        </w:rPr>
        <w:t>投标处理。</w:t>
      </w:r>
    </w:p>
    <w:p>
      <w:pPr>
        <w:pStyle w:val="8"/>
        <w:kinsoku w:val="0"/>
        <w:overflowPunct w:val="0"/>
        <w:spacing w:line="357" w:lineRule="auto"/>
        <w:ind w:right="117" w:firstLine="480"/>
        <w:jc w:val="both"/>
        <w:rPr>
          <w:rFonts w:hint="default"/>
          <w:color w:val="auto"/>
        </w:rPr>
      </w:pPr>
      <w:r>
        <w:rPr>
          <w:color w:val="auto"/>
        </w:rPr>
        <w:t>15.7</w:t>
      </w:r>
      <w:r>
        <w:rPr>
          <w:color w:val="auto"/>
          <w:spacing w:val="-34"/>
        </w:rPr>
        <w:t xml:space="preserve"> </w:t>
      </w:r>
      <w:r>
        <w:rPr>
          <w:color w:val="auto"/>
          <w:spacing w:val="-6"/>
        </w:rPr>
        <w:t>本项目技术部分是否采用“暗标”评审方式按照招标文件第二部分“投</w:t>
      </w:r>
      <w:r>
        <w:rPr>
          <w:color w:val="auto"/>
        </w:rPr>
        <w:t xml:space="preserve"> </w:t>
      </w:r>
      <w:r>
        <w:rPr>
          <w:color w:val="auto"/>
          <w:spacing w:val="-3"/>
        </w:rPr>
        <w:t>标人须知前附表中”中的规定。如果采用暗标评审方式的，</w:t>
      </w:r>
      <w:r>
        <w:rPr>
          <w:rFonts w:hint="eastAsia"/>
          <w:color w:val="auto"/>
          <w:spacing w:val="-3"/>
          <w:lang w:eastAsia="zh-CN"/>
        </w:rPr>
        <w:t>供应商</w:t>
      </w:r>
      <w:r>
        <w:rPr>
          <w:color w:val="auto"/>
          <w:spacing w:val="-3"/>
        </w:rPr>
        <w:t>在制作投标文</w:t>
      </w:r>
      <w:r>
        <w:rPr>
          <w:color w:val="auto"/>
          <w:spacing w:val="-111"/>
        </w:rPr>
        <w:t xml:space="preserve"> </w:t>
      </w:r>
      <w:r>
        <w:rPr>
          <w:color w:val="auto"/>
        </w:rPr>
        <w:t>件时应当以能够隐去</w:t>
      </w:r>
      <w:r>
        <w:rPr>
          <w:rFonts w:hint="eastAsia"/>
          <w:color w:val="auto"/>
          <w:lang w:eastAsia="zh-CN"/>
        </w:rPr>
        <w:t>供应商</w:t>
      </w:r>
      <w:r>
        <w:rPr>
          <w:color w:val="auto"/>
        </w:rPr>
        <w:t>的身份为原则并需严格遵守以下各项规定：</w:t>
      </w:r>
    </w:p>
    <w:p>
      <w:pPr>
        <w:pStyle w:val="8"/>
        <w:kinsoku w:val="0"/>
        <w:overflowPunct w:val="0"/>
        <w:ind w:left="600"/>
        <w:rPr>
          <w:rFonts w:hint="default"/>
          <w:color w:val="auto"/>
        </w:rPr>
      </w:pPr>
      <w:r>
        <w:rPr>
          <w:color w:val="auto"/>
        </w:rPr>
        <w:t>15.7.1</w:t>
      </w:r>
      <w:r>
        <w:rPr>
          <w:color w:val="auto"/>
          <w:spacing w:val="-60"/>
        </w:rPr>
        <w:t xml:space="preserve"> </w:t>
      </w:r>
      <w:r>
        <w:rPr>
          <w:color w:val="auto"/>
        </w:rPr>
        <w:t>技术部分中纳入“暗标”部分的内容：样品。</w:t>
      </w:r>
    </w:p>
    <w:p>
      <w:pPr>
        <w:pStyle w:val="8"/>
        <w:kinsoku w:val="0"/>
        <w:overflowPunct w:val="0"/>
        <w:spacing w:line="357" w:lineRule="auto"/>
        <w:ind w:right="117" w:firstLine="480"/>
        <w:jc w:val="both"/>
        <w:rPr>
          <w:rFonts w:ascii="宋体" w:eastAsia="宋体" w:cs="宋体"/>
          <w:color w:val="auto"/>
          <w:spacing w:val="-3"/>
        </w:rPr>
      </w:pPr>
      <w:r>
        <w:rPr>
          <w:rFonts w:ascii="宋体" w:eastAsia="宋体" w:cs="宋体"/>
          <w:color w:val="auto"/>
          <w:spacing w:val="-3"/>
        </w:rPr>
        <w:t>15.7.2 暗标的编制要求</w:t>
      </w:r>
    </w:p>
    <w:p>
      <w:pPr>
        <w:pStyle w:val="8"/>
        <w:kinsoku w:val="0"/>
        <w:overflowPunct w:val="0"/>
        <w:spacing w:line="357" w:lineRule="auto"/>
        <w:ind w:right="117" w:firstLine="480"/>
        <w:jc w:val="both"/>
        <w:rPr>
          <w:rFonts w:hint="default"/>
          <w:color w:val="auto"/>
        </w:rPr>
      </w:pPr>
      <w:r>
        <w:rPr>
          <w:rFonts w:ascii="宋体" w:eastAsia="宋体" w:cs="宋体"/>
          <w:color w:val="auto"/>
          <w:spacing w:val="-3"/>
        </w:rPr>
        <w:t>15.7.2.1 投标文件技术部分全</w:t>
      </w:r>
      <w:r>
        <w:rPr>
          <w:color w:val="auto"/>
          <w:spacing w:val="2"/>
        </w:rPr>
        <w:t>部内容中不能出现任何本</w:t>
      </w:r>
      <w:r>
        <w:rPr>
          <w:rFonts w:hint="eastAsia"/>
          <w:color w:val="auto"/>
          <w:spacing w:val="2"/>
          <w:lang w:eastAsia="zh-CN"/>
        </w:rPr>
        <w:t>供应商</w:t>
      </w:r>
      <w:r>
        <w:rPr>
          <w:color w:val="auto"/>
          <w:spacing w:val="2"/>
        </w:rPr>
        <w:t>的名称和其</w:t>
      </w:r>
      <w:r>
        <w:rPr>
          <w:color w:val="auto"/>
        </w:rPr>
        <w:t xml:space="preserve"> </w:t>
      </w:r>
      <w:r>
        <w:rPr>
          <w:color w:val="auto"/>
          <w:spacing w:val="-10"/>
        </w:rPr>
        <w:t>它可识别</w:t>
      </w:r>
      <w:r>
        <w:rPr>
          <w:rFonts w:hint="eastAsia"/>
          <w:color w:val="auto"/>
          <w:spacing w:val="-10"/>
          <w:lang w:eastAsia="zh-CN"/>
        </w:rPr>
        <w:t>供应商</w:t>
      </w:r>
      <w:r>
        <w:rPr>
          <w:color w:val="auto"/>
          <w:spacing w:val="-10"/>
        </w:rPr>
        <w:t>身份的字符、企业徽标或符号、人员名称以及其他特殊标记等（如</w:t>
      </w:r>
      <w:r>
        <w:rPr>
          <w:color w:val="auto"/>
          <w:spacing w:val="-95"/>
        </w:rPr>
        <w:t xml:space="preserve"> </w:t>
      </w:r>
      <w:r>
        <w:rPr>
          <w:color w:val="auto"/>
          <w:spacing w:val="-3"/>
        </w:rPr>
        <w:t>有此类文件应放于商务文件“用于评审的证明材料”中），否则将导致投标被拒</w:t>
      </w:r>
      <w:r>
        <w:rPr>
          <w:color w:val="auto"/>
          <w:spacing w:val="-109"/>
        </w:rPr>
        <w:t xml:space="preserve"> </w:t>
      </w:r>
      <w:r>
        <w:rPr>
          <w:color w:val="auto"/>
        </w:rPr>
        <w:t>绝。</w:t>
      </w:r>
    </w:p>
    <w:p>
      <w:pPr>
        <w:pStyle w:val="8"/>
        <w:kinsoku w:val="0"/>
        <w:overflowPunct w:val="0"/>
        <w:spacing w:line="357" w:lineRule="auto"/>
        <w:ind w:right="137" w:firstLine="480"/>
        <w:rPr>
          <w:rFonts w:hint="default"/>
          <w:color w:val="auto"/>
        </w:rPr>
      </w:pPr>
      <w:r>
        <w:rPr>
          <w:color w:val="auto"/>
        </w:rPr>
        <w:t>15.7.2.2</w:t>
      </w:r>
      <w:r>
        <w:rPr>
          <w:color w:val="auto"/>
          <w:spacing w:val="-60"/>
        </w:rPr>
        <w:t xml:space="preserve"> </w:t>
      </w:r>
      <w:r>
        <w:rPr>
          <w:color w:val="auto"/>
        </w:rPr>
        <w:t>页面设置及字体要求：采用标准</w:t>
      </w:r>
      <w:r>
        <w:rPr>
          <w:color w:val="auto"/>
          <w:spacing w:val="-60"/>
        </w:rPr>
        <w:t xml:space="preserve"> </w:t>
      </w:r>
      <w:r>
        <w:rPr>
          <w:color w:val="auto"/>
        </w:rPr>
        <w:t>A4</w:t>
      </w:r>
      <w:r>
        <w:rPr>
          <w:color w:val="auto"/>
          <w:spacing w:val="-60"/>
        </w:rPr>
        <w:t xml:space="preserve"> </w:t>
      </w:r>
      <w:r>
        <w:rPr>
          <w:color w:val="auto"/>
        </w:rPr>
        <w:t>纸张，上下页边距为</w:t>
      </w:r>
      <w:r>
        <w:rPr>
          <w:color w:val="auto"/>
          <w:spacing w:val="-60"/>
        </w:rPr>
        <w:t xml:space="preserve"> </w:t>
      </w:r>
      <w:r>
        <w:rPr>
          <w:color w:val="auto"/>
        </w:rPr>
        <w:t>2.54cm， 左右页边距为</w:t>
      </w:r>
      <w:r>
        <w:rPr>
          <w:color w:val="auto"/>
          <w:spacing w:val="-91"/>
        </w:rPr>
        <w:t xml:space="preserve"> </w:t>
      </w:r>
      <w:r>
        <w:rPr>
          <w:color w:val="auto"/>
        </w:rPr>
        <w:t xml:space="preserve">3.17cm，装订线位置为左；不得设置页码；正文使用四号宋体字， </w:t>
      </w:r>
      <w:r>
        <w:rPr>
          <w:color w:val="auto"/>
          <w:spacing w:val="-3"/>
        </w:rPr>
        <w:t>单倍行距，段前段后</w:t>
      </w:r>
      <w:r>
        <w:rPr>
          <w:color w:val="auto"/>
          <w:spacing w:val="-59"/>
        </w:rPr>
        <w:t xml:space="preserve"> </w:t>
      </w:r>
      <w:r>
        <w:rPr>
          <w:color w:val="auto"/>
        </w:rPr>
        <w:t>0</w:t>
      </w:r>
      <w:r>
        <w:rPr>
          <w:color w:val="auto"/>
          <w:spacing w:val="-59"/>
        </w:rPr>
        <w:t xml:space="preserve"> </w:t>
      </w:r>
      <w:r>
        <w:rPr>
          <w:color w:val="auto"/>
          <w:spacing w:val="-3"/>
        </w:rPr>
        <w:t>行间距；标题为二号黑体字，图、表中的字体统一用宋体</w:t>
      </w:r>
      <w:r>
        <w:rPr>
          <w:color w:val="auto"/>
          <w:spacing w:val="-116"/>
        </w:rPr>
        <w:t xml:space="preserve"> </w:t>
      </w:r>
      <w:r>
        <w:rPr>
          <w:color w:val="auto"/>
        </w:rPr>
        <w:t>小四，1.5</w:t>
      </w:r>
      <w:r>
        <w:rPr>
          <w:color w:val="auto"/>
          <w:spacing w:val="-60"/>
        </w:rPr>
        <w:t xml:space="preserve"> </w:t>
      </w:r>
      <w:r>
        <w:rPr>
          <w:color w:val="auto"/>
        </w:rPr>
        <w:t>倍行距，段前段后</w:t>
      </w:r>
      <w:r>
        <w:rPr>
          <w:color w:val="auto"/>
          <w:spacing w:val="-60"/>
        </w:rPr>
        <w:t xml:space="preserve"> </w:t>
      </w:r>
      <w:r>
        <w:rPr>
          <w:color w:val="auto"/>
        </w:rPr>
        <w:t>0</w:t>
      </w:r>
      <w:r>
        <w:rPr>
          <w:color w:val="auto"/>
          <w:spacing w:val="-60"/>
        </w:rPr>
        <w:t xml:space="preserve"> </w:t>
      </w:r>
      <w:r>
        <w:rPr>
          <w:color w:val="auto"/>
        </w:rPr>
        <w:t>行间距。</w:t>
      </w:r>
    </w:p>
    <w:p>
      <w:pPr>
        <w:pStyle w:val="8"/>
        <w:kinsoku w:val="0"/>
        <w:overflowPunct w:val="0"/>
        <w:spacing w:line="357" w:lineRule="auto"/>
        <w:ind w:right="137" w:firstLine="480"/>
        <w:rPr>
          <w:rFonts w:hint="default"/>
          <w:color w:val="auto"/>
        </w:rPr>
      </w:pPr>
      <w:r>
        <w:rPr>
          <w:color w:val="auto"/>
        </w:rPr>
        <w:t>15.7.2.3</w:t>
      </w:r>
      <w:r>
        <w:rPr>
          <w:color w:val="auto"/>
          <w:spacing w:val="-49"/>
        </w:rPr>
        <w:t xml:space="preserve"> </w:t>
      </w:r>
      <w:r>
        <w:rPr>
          <w:color w:val="auto"/>
          <w:spacing w:val="2"/>
        </w:rPr>
        <w:t>任何情况下，技术部分（“暗标”部分）中不得出现任何</w:t>
      </w:r>
      <w:r>
        <w:rPr>
          <w:rFonts w:hint="eastAsia"/>
          <w:color w:val="auto"/>
          <w:spacing w:val="2"/>
          <w:lang w:eastAsia="zh-CN"/>
        </w:rPr>
        <w:t>供应商</w:t>
      </w:r>
      <w:r>
        <w:rPr>
          <w:color w:val="auto"/>
        </w:rPr>
        <w:t xml:space="preserve"> 的审阅或者批注痕迹，否则将导致投标被拒绝。</w:t>
      </w:r>
    </w:p>
    <w:p>
      <w:pPr>
        <w:pStyle w:val="7"/>
        <w:kinsoku w:val="0"/>
        <w:overflowPunct w:val="0"/>
        <w:spacing w:before="0" w:line="650" w:lineRule="atLeast"/>
        <w:ind w:right="5331"/>
        <w:rPr>
          <w:rFonts w:hint="default"/>
          <w:color w:val="auto"/>
        </w:rPr>
      </w:pPr>
      <w:bookmarkStart w:id="29" w:name="四、投标保证金"/>
      <w:bookmarkEnd w:id="29"/>
      <w:r>
        <w:rPr>
          <w:color w:val="auto"/>
        </w:rPr>
        <w:t>四、投标保证金</w:t>
      </w:r>
    </w:p>
    <w:p>
      <w:pPr>
        <w:pStyle w:val="7"/>
        <w:kinsoku w:val="0"/>
        <w:overflowPunct w:val="0"/>
        <w:spacing w:before="0" w:line="650" w:lineRule="atLeast"/>
        <w:ind w:right="5331"/>
        <w:rPr>
          <w:rFonts w:hint="default"/>
          <w:b w:val="0"/>
          <w:color w:val="auto"/>
        </w:rPr>
      </w:pPr>
      <w:r>
        <w:rPr>
          <w:color w:val="auto"/>
          <w:w w:val="99"/>
        </w:rPr>
        <w:t xml:space="preserve"> </w:t>
      </w:r>
      <w:r>
        <w:rPr>
          <w:color w:val="auto"/>
        </w:rPr>
        <w:t>16.投标保证金</w:t>
      </w:r>
    </w:p>
    <w:p>
      <w:pPr>
        <w:pStyle w:val="8"/>
        <w:kinsoku w:val="0"/>
        <w:overflowPunct w:val="0"/>
        <w:spacing w:before="154" w:line="357" w:lineRule="auto"/>
        <w:ind w:right="137" w:firstLine="480"/>
        <w:rPr>
          <w:rFonts w:hint="default"/>
          <w:color w:val="auto"/>
        </w:rPr>
      </w:pPr>
      <w:r>
        <w:rPr>
          <w:color w:val="auto"/>
        </w:rPr>
        <w:t>16.1</w:t>
      </w:r>
      <w:r>
        <w:rPr>
          <w:color w:val="auto"/>
          <w:spacing w:val="-91"/>
        </w:rPr>
        <w:t xml:space="preserve"> </w:t>
      </w:r>
      <w:r>
        <w:rPr>
          <w:rFonts w:hint="eastAsia"/>
          <w:color w:val="auto"/>
          <w:lang w:eastAsia="zh-CN"/>
        </w:rPr>
        <w:t>供应商</w:t>
      </w:r>
      <w:r>
        <w:rPr>
          <w:color w:val="auto"/>
        </w:rPr>
        <w:t>应按照招标文件第二部分“</w:t>
      </w:r>
      <w:r>
        <w:rPr>
          <w:rFonts w:hint="eastAsia"/>
          <w:color w:val="auto"/>
          <w:lang w:eastAsia="zh-CN"/>
        </w:rPr>
        <w:t>供应商</w:t>
      </w:r>
      <w:r>
        <w:rPr>
          <w:color w:val="auto"/>
        </w:rPr>
        <w:t>须知前附表”中的规定交纳。 投标保证金须于到账截止时间前到帐，并经采购代理机构确认。</w:t>
      </w:r>
    </w:p>
    <w:p>
      <w:pPr>
        <w:pStyle w:val="8"/>
        <w:kinsoku w:val="0"/>
        <w:overflowPunct w:val="0"/>
        <w:spacing w:line="357" w:lineRule="auto"/>
        <w:ind w:right="137" w:firstLine="480"/>
        <w:rPr>
          <w:rFonts w:hint="default"/>
          <w:color w:val="auto"/>
        </w:rPr>
      </w:pPr>
      <w:r>
        <w:rPr>
          <w:color w:val="auto"/>
        </w:rPr>
        <w:t>16.2</w:t>
      </w:r>
      <w:r>
        <w:rPr>
          <w:color w:val="auto"/>
          <w:spacing w:val="-51"/>
        </w:rPr>
        <w:t xml:space="preserve"> </w:t>
      </w:r>
      <w:r>
        <w:rPr>
          <w:color w:val="auto"/>
          <w:spacing w:val="2"/>
        </w:rPr>
        <w:t>采购代理机构不接收以现金或汇票等其他形式递交的投标保证金。未</w:t>
      </w:r>
      <w:r>
        <w:rPr>
          <w:color w:val="auto"/>
        </w:rPr>
        <w:t xml:space="preserve"> 按要求提交投标保证金的，将被视为无效投标。</w:t>
      </w:r>
    </w:p>
    <w:p>
      <w:pPr>
        <w:pStyle w:val="8"/>
        <w:kinsoku w:val="0"/>
        <w:overflowPunct w:val="0"/>
        <w:ind w:left="600" w:right="137"/>
        <w:rPr>
          <w:rFonts w:hint="default"/>
          <w:color w:val="auto"/>
        </w:rPr>
      </w:pPr>
      <w:r>
        <w:rPr>
          <w:color w:val="auto"/>
        </w:rPr>
        <w:t>16.3</w:t>
      </w:r>
      <w:r>
        <w:rPr>
          <w:color w:val="auto"/>
          <w:spacing w:val="-53"/>
        </w:rPr>
        <w:t xml:space="preserve"> </w:t>
      </w:r>
      <w:r>
        <w:rPr>
          <w:color w:val="auto"/>
          <w:spacing w:val="2"/>
        </w:rPr>
        <w:t>未中标的</w:t>
      </w:r>
      <w:r>
        <w:rPr>
          <w:rFonts w:hint="eastAsia"/>
          <w:color w:val="auto"/>
          <w:spacing w:val="2"/>
          <w:lang w:eastAsia="zh-CN"/>
        </w:rPr>
        <w:t>供应商</w:t>
      </w:r>
      <w:r>
        <w:rPr>
          <w:color w:val="auto"/>
          <w:spacing w:val="2"/>
        </w:rPr>
        <w:t>的投标保证金在中标通知书发出之日起</w:t>
      </w:r>
      <w:r>
        <w:rPr>
          <w:color w:val="auto"/>
          <w:spacing w:val="-50"/>
        </w:rPr>
        <w:t xml:space="preserve"> </w:t>
      </w:r>
      <w:r>
        <w:rPr>
          <w:color w:val="auto"/>
        </w:rPr>
        <w:t>5</w:t>
      </w:r>
      <w:r>
        <w:rPr>
          <w:color w:val="auto"/>
          <w:spacing w:val="-53"/>
        </w:rPr>
        <w:t xml:space="preserve"> </w:t>
      </w:r>
      <w:r>
        <w:rPr>
          <w:color w:val="auto"/>
        </w:rPr>
        <w:t>个工作日内</w:t>
      </w:r>
    </w:p>
    <w:p>
      <w:pPr>
        <w:pStyle w:val="8"/>
        <w:kinsoku w:val="0"/>
        <w:overflowPunct w:val="0"/>
        <w:spacing w:before="154" w:line="357" w:lineRule="auto"/>
        <w:ind w:right="137"/>
        <w:rPr>
          <w:rFonts w:hint="default"/>
          <w:color w:val="auto"/>
        </w:rPr>
      </w:pPr>
      <w:r>
        <w:rPr>
          <w:color w:val="auto"/>
          <w:spacing w:val="-4"/>
        </w:rPr>
        <w:t>退还；中标人的投标保证金将在交纳履约保证金并于合同生效后</w:t>
      </w:r>
      <w:r>
        <w:rPr>
          <w:color w:val="auto"/>
          <w:spacing w:val="-52"/>
        </w:rPr>
        <w:t xml:space="preserve"> </w:t>
      </w:r>
      <w:r>
        <w:rPr>
          <w:color w:val="auto"/>
        </w:rPr>
        <w:t>5</w:t>
      </w:r>
      <w:r>
        <w:rPr>
          <w:color w:val="auto"/>
          <w:spacing w:val="-52"/>
        </w:rPr>
        <w:t xml:space="preserve"> </w:t>
      </w:r>
      <w:r>
        <w:rPr>
          <w:color w:val="auto"/>
        </w:rPr>
        <w:t>个工作日内退 还。</w:t>
      </w:r>
    </w:p>
    <w:p>
      <w:pPr>
        <w:pStyle w:val="8"/>
        <w:kinsoku w:val="0"/>
        <w:overflowPunct w:val="0"/>
        <w:spacing w:line="357" w:lineRule="auto"/>
        <w:ind w:firstLine="480"/>
        <w:rPr>
          <w:rFonts w:hint="default"/>
          <w:color w:val="auto"/>
        </w:rPr>
      </w:pPr>
      <w:r>
        <w:rPr>
          <w:color w:val="auto"/>
        </w:rPr>
        <w:t>16.4</w:t>
      </w:r>
      <w:r>
        <w:rPr>
          <w:color w:val="auto"/>
          <w:spacing w:val="-60"/>
        </w:rPr>
        <w:t xml:space="preserve"> </w:t>
      </w:r>
      <w:r>
        <w:rPr>
          <w:color w:val="auto"/>
        </w:rPr>
        <w:t>投标保证金退还一律采用网上银行转帐方式退还至</w:t>
      </w:r>
      <w:r>
        <w:rPr>
          <w:rFonts w:hint="eastAsia"/>
          <w:color w:val="auto"/>
          <w:lang w:eastAsia="zh-CN"/>
        </w:rPr>
        <w:t>供应商</w:t>
      </w:r>
      <w:r>
        <w:rPr>
          <w:color w:val="auto"/>
        </w:rPr>
        <w:t>的汇款帐户， 资金原路返回。</w:t>
      </w:r>
    </w:p>
    <w:p>
      <w:pPr>
        <w:pStyle w:val="8"/>
        <w:kinsoku w:val="0"/>
        <w:overflowPunct w:val="0"/>
        <w:spacing w:line="357" w:lineRule="auto"/>
        <w:ind w:right="257" w:firstLine="480"/>
        <w:jc w:val="both"/>
        <w:rPr>
          <w:rFonts w:hint="default"/>
          <w:color w:val="auto"/>
        </w:rPr>
      </w:pPr>
      <w:r>
        <w:rPr>
          <w:color w:val="auto"/>
        </w:rPr>
        <w:t>16.5</w:t>
      </w:r>
      <w:r>
        <w:rPr>
          <w:color w:val="auto"/>
          <w:spacing w:val="-51"/>
        </w:rPr>
        <w:t xml:space="preserve"> </w:t>
      </w:r>
      <w:r>
        <w:rPr>
          <w:color w:val="auto"/>
          <w:spacing w:val="2"/>
        </w:rPr>
        <w:t>如开标时</w:t>
      </w:r>
      <w:r>
        <w:rPr>
          <w:rFonts w:hint="eastAsia"/>
          <w:color w:val="auto"/>
          <w:spacing w:val="2"/>
          <w:lang w:eastAsia="zh-CN"/>
        </w:rPr>
        <w:t>供应商</w:t>
      </w:r>
      <w:r>
        <w:rPr>
          <w:color w:val="auto"/>
          <w:spacing w:val="2"/>
        </w:rPr>
        <w:t>对本单位投标保证金缴纳情况有疑义，</w:t>
      </w:r>
      <w:r>
        <w:rPr>
          <w:rFonts w:hint="eastAsia"/>
          <w:color w:val="auto"/>
          <w:spacing w:val="2"/>
          <w:lang w:eastAsia="zh-CN"/>
        </w:rPr>
        <w:t>供应商</w:t>
      </w:r>
      <w:r>
        <w:rPr>
          <w:color w:val="auto"/>
          <w:spacing w:val="2"/>
        </w:rPr>
        <w:t>应在开</w:t>
      </w:r>
      <w:r>
        <w:rPr>
          <w:color w:val="auto"/>
        </w:rPr>
        <w:t xml:space="preserve"> </w:t>
      </w:r>
      <w:r>
        <w:rPr>
          <w:color w:val="auto"/>
          <w:spacing w:val="-3"/>
        </w:rPr>
        <w:t>标结束前向招标人提交书面申请核实保证金缴纳情况。由银行或保险公司核实后</w:t>
      </w:r>
      <w:r>
        <w:rPr>
          <w:color w:val="auto"/>
          <w:spacing w:val="-109"/>
        </w:rPr>
        <w:t xml:space="preserve"> </w:t>
      </w:r>
      <w:r>
        <w:rPr>
          <w:color w:val="auto"/>
        </w:rPr>
        <w:t>出具书面材料予以答复。</w:t>
      </w:r>
    </w:p>
    <w:p>
      <w:pPr>
        <w:pStyle w:val="8"/>
        <w:kinsoku w:val="0"/>
        <w:overflowPunct w:val="0"/>
        <w:spacing w:before="154" w:line="357" w:lineRule="auto"/>
        <w:ind w:right="357" w:firstLine="480"/>
        <w:jc w:val="both"/>
        <w:rPr>
          <w:rFonts w:hint="default" w:ascii="宋体" w:eastAsia="宋体" w:cs="宋体"/>
          <w:color w:val="auto"/>
          <w:spacing w:val="2"/>
        </w:rPr>
      </w:pPr>
      <w:r>
        <w:rPr>
          <w:rFonts w:ascii="宋体" w:eastAsia="宋体" w:cs="宋体"/>
          <w:color w:val="auto"/>
          <w:spacing w:val="2"/>
        </w:rPr>
        <w:t>16.6 开标结束后，转账、电汇、网银形式缴纳的保证金由招标代理或招标 人统一办理中标人和未中标人的保证金退还事宜。如本项目招标中遇质疑，投诉， 复议等特殊情况，保证金退还时间按相关规定执行。银行电子保函、保险电子保函等形式缴纳的投标保证金按协议执行，无需办理退款手续。</w:t>
      </w:r>
    </w:p>
    <w:p>
      <w:pPr>
        <w:pStyle w:val="7"/>
        <w:kinsoku w:val="0"/>
        <w:overflowPunct w:val="0"/>
        <w:spacing w:before="0" w:line="650" w:lineRule="atLeast"/>
        <w:ind w:right="5331"/>
        <w:rPr>
          <w:rFonts w:hint="default" w:ascii="宋体" w:eastAsia="宋体" w:cs="宋体"/>
          <w:color w:val="auto"/>
        </w:rPr>
      </w:pPr>
      <w:bookmarkStart w:id="30" w:name="五、投标文件的递交"/>
      <w:bookmarkEnd w:id="30"/>
      <w:r>
        <w:rPr>
          <w:rFonts w:ascii="宋体" w:eastAsia="宋体" w:cs="宋体"/>
          <w:color w:val="auto"/>
        </w:rPr>
        <w:t>五、投标文件的递交</w:t>
      </w:r>
    </w:p>
    <w:p>
      <w:pPr>
        <w:pStyle w:val="7"/>
        <w:kinsoku w:val="0"/>
        <w:overflowPunct w:val="0"/>
        <w:spacing w:before="0" w:line="650" w:lineRule="atLeast"/>
        <w:ind w:right="5190"/>
        <w:rPr>
          <w:rFonts w:hint="default"/>
          <w:b w:val="0"/>
          <w:color w:val="auto"/>
        </w:rPr>
      </w:pPr>
      <w:r>
        <w:rPr>
          <w:color w:val="auto"/>
        </w:rPr>
        <w:t>17.投标文件的密封和标记</w:t>
      </w:r>
    </w:p>
    <w:p>
      <w:pPr>
        <w:pStyle w:val="8"/>
        <w:kinsoku w:val="0"/>
        <w:overflowPunct w:val="0"/>
        <w:spacing w:before="154" w:line="357" w:lineRule="auto"/>
        <w:ind w:right="357" w:firstLine="480"/>
        <w:jc w:val="both"/>
        <w:rPr>
          <w:rFonts w:hint="default"/>
          <w:color w:val="auto"/>
        </w:rPr>
      </w:pPr>
      <w:r>
        <w:rPr>
          <w:color w:val="auto"/>
        </w:rPr>
        <w:t>17.1</w:t>
      </w:r>
      <w:r>
        <w:rPr>
          <w:color w:val="auto"/>
          <w:spacing w:val="-51"/>
        </w:rPr>
        <w:t xml:space="preserve"> </w:t>
      </w:r>
      <w:r>
        <w:rPr>
          <w:rFonts w:hint="eastAsia"/>
          <w:color w:val="auto"/>
          <w:spacing w:val="2"/>
          <w:lang w:eastAsia="zh-CN"/>
        </w:rPr>
        <w:t>供应商</w:t>
      </w:r>
      <w:r>
        <w:rPr>
          <w:color w:val="auto"/>
          <w:spacing w:val="2"/>
        </w:rPr>
        <w:t>应通过电子投标文件制作工具严格按招标文件要求制作投标文</w:t>
      </w:r>
      <w:r>
        <w:rPr>
          <w:color w:val="auto"/>
        </w:rPr>
        <w:t xml:space="preserve"> </w:t>
      </w:r>
      <w:r>
        <w:rPr>
          <w:color w:val="auto"/>
          <w:spacing w:val="-3"/>
        </w:rPr>
        <w:t>件，在投标截止时间前完成上传经过数字证书电子签章并加密的投标文件（加密</w:t>
      </w:r>
      <w:r>
        <w:rPr>
          <w:color w:val="auto"/>
          <w:spacing w:val="-109"/>
        </w:rPr>
        <w:t xml:space="preserve"> </w:t>
      </w:r>
      <w:r>
        <w:rPr>
          <w:color w:val="auto"/>
          <w:spacing w:val="-3"/>
        </w:rPr>
        <w:t>和解密须用同一把数字证书）。</w:t>
      </w:r>
      <w:r>
        <w:rPr>
          <w:rFonts w:hint="eastAsia"/>
          <w:color w:val="auto"/>
          <w:spacing w:val="-3"/>
          <w:lang w:eastAsia="zh-CN"/>
        </w:rPr>
        <w:t>供应商</w:t>
      </w:r>
      <w:r>
        <w:rPr>
          <w:color w:val="auto"/>
          <w:spacing w:val="-3"/>
        </w:rPr>
        <w:t>在投标截止时间前，可以对其所递交的投</w:t>
      </w:r>
      <w:r>
        <w:rPr>
          <w:color w:val="auto"/>
          <w:spacing w:val="-113"/>
        </w:rPr>
        <w:t xml:space="preserve"> </w:t>
      </w:r>
      <w:r>
        <w:rPr>
          <w:color w:val="auto"/>
          <w:spacing w:val="-3"/>
        </w:rPr>
        <w:t>标文件进行修改并重新上传，但以投标截止时间前最后一次上传的投标文件为有</w:t>
      </w:r>
      <w:r>
        <w:rPr>
          <w:color w:val="auto"/>
          <w:spacing w:val="-109"/>
        </w:rPr>
        <w:t xml:space="preserve"> </w:t>
      </w:r>
      <w:r>
        <w:rPr>
          <w:color w:val="auto"/>
        </w:rPr>
        <w:t>效投标文件。</w:t>
      </w:r>
    </w:p>
    <w:p>
      <w:pPr>
        <w:pStyle w:val="8"/>
        <w:kinsoku w:val="0"/>
        <w:overflowPunct w:val="0"/>
        <w:spacing w:line="357" w:lineRule="auto"/>
        <w:ind w:right="117" w:firstLine="480"/>
        <w:rPr>
          <w:rFonts w:hint="default"/>
          <w:color w:val="auto"/>
        </w:rPr>
      </w:pPr>
      <w:r>
        <w:rPr>
          <w:color w:val="auto"/>
          <w:spacing w:val="-3"/>
        </w:rPr>
        <w:t>投标截止时间以政采云中心交易平台显示的时间为准，逾期系统将自动关闭，</w:t>
      </w:r>
      <w:r>
        <w:rPr>
          <w:color w:val="auto"/>
        </w:rPr>
        <w:t xml:space="preserve"> 未完成上传的投标文件视为逾期送达，将被拒绝。</w:t>
      </w:r>
    </w:p>
    <w:p>
      <w:pPr>
        <w:pStyle w:val="8"/>
        <w:kinsoku w:val="0"/>
        <w:overflowPunct w:val="0"/>
        <w:spacing w:line="357" w:lineRule="auto"/>
        <w:ind w:right="357" w:firstLine="480"/>
        <w:jc w:val="both"/>
        <w:rPr>
          <w:rFonts w:hint="default"/>
          <w:color w:val="auto"/>
        </w:rPr>
      </w:pPr>
      <w:r>
        <w:rPr>
          <w:color w:val="auto"/>
        </w:rPr>
        <w:t>17.2</w:t>
      </w:r>
      <w:r>
        <w:rPr>
          <w:color w:val="auto"/>
          <w:spacing w:val="-51"/>
        </w:rPr>
        <w:t xml:space="preserve"> </w:t>
      </w:r>
      <w:r>
        <w:rPr>
          <w:color w:val="auto"/>
          <w:spacing w:val="2"/>
        </w:rPr>
        <w:t>是否采用不见面开标方式详见</w:t>
      </w:r>
      <w:r>
        <w:rPr>
          <w:rFonts w:hint="eastAsia"/>
          <w:color w:val="auto"/>
          <w:spacing w:val="2"/>
          <w:lang w:eastAsia="zh-CN"/>
        </w:rPr>
        <w:t>供应商</w:t>
      </w:r>
      <w:r>
        <w:rPr>
          <w:color w:val="auto"/>
          <w:spacing w:val="2"/>
        </w:rPr>
        <w:t>须知前附表，若本项目采用不见</w:t>
      </w:r>
      <w:r>
        <w:rPr>
          <w:color w:val="auto"/>
        </w:rPr>
        <w:t xml:space="preserve"> 面开标，无需提供电子投标文件</w:t>
      </w:r>
      <w:r>
        <w:rPr>
          <w:color w:val="auto"/>
          <w:spacing w:val="-60"/>
        </w:rPr>
        <w:t xml:space="preserve"> </w:t>
      </w:r>
      <w:r>
        <w:rPr>
          <w:color w:val="auto"/>
        </w:rPr>
        <w:t>U</w:t>
      </w:r>
      <w:r>
        <w:rPr>
          <w:color w:val="auto"/>
          <w:spacing w:val="-60"/>
        </w:rPr>
        <w:t xml:space="preserve"> </w:t>
      </w:r>
      <w:r>
        <w:rPr>
          <w:color w:val="auto"/>
        </w:rPr>
        <w:t>盘、纸质投标文件。</w:t>
      </w:r>
    </w:p>
    <w:p>
      <w:pPr>
        <w:pStyle w:val="7"/>
        <w:kinsoku w:val="0"/>
        <w:overflowPunct w:val="0"/>
        <w:ind w:right="117"/>
        <w:rPr>
          <w:rFonts w:hint="default"/>
          <w:b w:val="0"/>
          <w:color w:val="auto"/>
        </w:rPr>
      </w:pPr>
      <w:r>
        <w:rPr>
          <w:color w:val="auto"/>
        </w:rPr>
        <w:t>18.投标文件的递交</w:t>
      </w:r>
    </w:p>
    <w:p>
      <w:pPr>
        <w:pStyle w:val="8"/>
        <w:kinsoku w:val="0"/>
        <w:overflowPunct w:val="0"/>
        <w:spacing w:before="154" w:line="357" w:lineRule="auto"/>
        <w:ind w:right="357" w:firstLine="480"/>
        <w:jc w:val="both"/>
        <w:rPr>
          <w:rFonts w:hint="default"/>
          <w:color w:val="auto"/>
        </w:rPr>
      </w:pPr>
      <w:r>
        <w:rPr>
          <w:color w:val="auto"/>
        </w:rPr>
        <w:t>18.1</w:t>
      </w:r>
      <w:r>
        <w:rPr>
          <w:color w:val="auto"/>
          <w:spacing w:val="-51"/>
        </w:rPr>
        <w:t xml:space="preserve"> </w:t>
      </w:r>
      <w:r>
        <w:rPr>
          <w:rFonts w:hint="eastAsia"/>
          <w:color w:val="auto"/>
          <w:spacing w:val="2"/>
          <w:lang w:eastAsia="zh-CN"/>
        </w:rPr>
        <w:t>供应商</w:t>
      </w:r>
      <w:r>
        <w:rPr>
          <w:color w:val="auto"/>
          <w:spacing w:val="2"/>
        </w:rPr>
        <w:t>应当在招标文件要求提交投标文件的截止时间前网上投标，并</w:t>
      </w:r>
      <w:r>
        <w:rPr>
          <w:color w:val="auto"/>
        </w:rPr>
        <w:t xml:space="preserve"> 将未加密的电子投标文件光盘密封送达指定开标地点。</w:t>
      </w:r>
    </w:p>
    <w:p>
      <w:pPr>
        <w:pStyle w:val="8"/>
        <w:kinsoku w:val="0"/>
        <w:overflowPunct w:val="0"/>
        <w:spacing w:line="357" w:lineRule="auto"/>
        <w:ind w:right="357" w:firstLine="480"/>
        <w:jc w:val="both"/>
        <w:rPr>
          <w:rFonts w:hint="default"/>
          <w:color w:val="auto"/>
        </w:rPr>
      </w:pPr>
      <w:r>
        <w:rPr>
          <w:color w:val="auto"/>
        </w:rPr>
        <w:t>18.2</w:t>
      </w:r>
      <w:r>
        <w:rPr>
          <w:color w:val="auto"/>
          <w:spacing w:val="-51"/>
        </w:rPr>
        <w:t xml:space="preserve"> </w:t>
      </w:r>
      <w:r>
        <w:rPr>
          <w:color w:val="auto"/>
          <w:spacing w:val="2"/>
        </w:rPr>
        <w:t>在招标文件要求提交投标文件的截止时间之后送达的投标文件，为无</w:t>
      </w:r>
      <w:r>
        <w:rPr>
          <w:color w:val="auto"/>
        </w:rPr>
        <w:t xml:space="preserve"> 效投标文件，采购代理机构将拒绝接收。</w:t>
      </w:r>
    </w:p>
    <w:p>
      <w:pPr>
        <w:pStyle w:val="8"/>
        <w:kinsoku w:val="0"/>
        <w:overflowPunct w:val="0"/>
        <w:spacing w:line="357" w:lineRule="auto"/>
        <w:ind w:right="237" w:firstLine="480"/>
        <w:rPr>
          <w:rFonts w:hint="default"/>
          <w:color w:val="auto"/>
        </w:rPr>
      </w:pPr>
      <w:r>
        <w:rPr>
          <w:color w:val="auto"/>
        </w:rPr>
        <w:t>18.3</w:t>
      </w:r>
      <w:r>
        <w:rPr>
          <w:color w:val="auto"/>
          <w:spacing w:val="-91"/>
        </w:rPr>
        <w:t xml:space="preserve"> </w:t>
      </w:r>
      <w:r>
        <w:rPr>
          <w:color w:val="auto"/>
        </w:rPr>
        <w:t>是否采用不见面开标详见</w:t>
      </w:r>
      <w:r>
        <w:rPr>
          <w:rFonts w:hint="eastAsia"/>
          <w:color w:val="auto"/>
          <w:lang w:eastAsia="zh-CN"/>
        </w:rPr>
        <w:t>供应商</w:t>
      </w:r>
      <w:r>
        <w:rPr>
          <w:color w:val="auto"/>
        </w:rPr>
        <w:t xml:space="preserve">须知前附表，若项目采用不见面开标。 </w:t>
      </w:r>
      <w:r>
        <w:rPr>
          <w:color w:val="auto"/>
          <w:spacing w:val="-3"/>
        </w:rPr>
        <w:t>只需将加密电子投标文件在投标截止时间前通过政采云平台上传完成。上传时必</w:t>
      </w:r>
      <w:r>
        <w:rPr>
          <w:color w:val="auto"/>
          <w:spacing w:val="-109"/>
        </w:rPr>
        <w:t xml:space="preserve"> </w:t>
      </w:r>
      <w:r>
        <w:rPr>
          <w:color w:val="auto"/>
          <w:spacing w:val="-3"/>
        </w:rPr>
        <w:t>须得到电脑“上传成功”的确认回复后方为上传成功。逾期上传的或者未上传到</w:t>
      </w:r>
      <w:r>
        <w:rPr>
          <w:color w:val="auto"/>
          <w:spacing w:val="-111"/>
        </w:rPr>
        <w:t xml:space="preserve"> </w:t>
      </w:r>
      <w:r>
        <w:rPr>
          <w:color w:val="auto"/>
        </w:rPr>
        <w:t>平台的投标文件，采购人不予受理。</w:t>
      </w:r>
    </w:p>
    <w:p>
      <w:pPr>
        <w:pStyle w:val="7"/>
        <w:kinsoku w:val="0"/>
        <w:overflowPunct w:val="0"/>
        <w:ind w:right="117"/>
        <w:rPr>
          <w:rFonts w:hint="default"/>
          <w:b w:val="0"/>
          <w:color w:val="auto"/>
        </w:rPr>
      </w:pPr>
      <w:r>
        <w:rPr>
          <w:color w:val="auto"/>
        </w:rPr>
        <w:t>19.投标文件的修改和撤回</w:t>
      </w:r>
    </w:p>
    <w:p>
      <w:pPr>
        <w:pStyle w:val="8"/>
        <w:kinsoku w:val="0"/>
        <w:overflowPunct w:val="0"/>
        <w:spacing w:before="154" w:line="357" w:lineRule="auto"/>
        <w:ind w:right="357" w:firstLine="480"/>
        <w:jc w:val="both"/>
        <w:rPr>
          <w:rFonts w:hint="default"/>
          <w:color w:val="auto"/>
        </w:rPr>
      </w:pPr>
      <w:r>
        <w:rPr>
          <w:color w:val="auto"/>
        </w:rPr>
        <w:t>19.1</w:t>
      </w:r>
      <w:r>
        <w:rPr>
          <w:color w:val="auto"/>
          <w:spacing w:val="-51"/>
        </w:rPr>
        <w:t xml:space="preserve"> </w:t>
      </w:r>
      <w:r>
        <w:rPr>
          <w:rFonts w:hint="eastAsia"/>
          <w:color w:val="auto"/>
          <w:spacing w:val="2"/>
          <w:lang w:eastAsia="zh-CN"/>
        </w:rPr>
        <w:t>供应商</w:t>
      </w:r>
      <w:r>
        <w:rPr>
          <w:color w:val="auto"/>
          <w:spacing w:val="2"/>
        </w:rPr>
        <w:t>在递交投标文件后，可以修改或撤回其投标，但这种修改和撤</w:t>
      </w:r>
      <w:r>
        <w:rPr>
          <w:color w:val="auto"/>
        </w:rPr>
        <w:t xml:space="preserve"> </w:t>
      </w:r>
      <w:r>
        <w:rPr>
          <w:color w:val="auto"/>
          <w:spacing w:val="-3"/>
        </w:rPr>
        <w:t>回，必须在规定的投标截止时间前。在投标截止时间后，</w:t>
      </w:r>
      <w:r>
        <w:rPr>
          <w:rFonts w:hint="eastAsia"/>
          <w:color w:val="auto"/>
          <w:spacing w:val="-3"/>
          <w:lang w:eastAsia="zh-CN"/>
        </w:rPr>
        <w:t>供应商</w:t>
      </w:r>
      <w:r>
        <w:rPr>
          <w:color w:val="auto"/>
          <w:spacing w:val="-3"/>
        </w:rPr>
        <w:t>不得要求修改或</w:t>
      </w:r>
      <w:r>
        <w:rPr>
          <w:color w:val="auto"/>
          <w:spacing w:val="-111"/>
        </w:rPr>
        <w:t xml:space="preserve"> </w:t>
      </w:r>
      <w:r>
        <w:rPr>
          <w:color w:val="auto"/>
        </w:rPr>
        <w:t>撤回其投标文件。</w:t>
      </w:r>
    </w:p>
    <w:p>
      <w:pPr>
        <w:pStyle w:val="7"/>
        <w:kinsoku w:val="0"/>
        <w:overflowPunct w:val="0"/>
        <w:spacing w:before="8" w:line="496" w:lineRule="auto"/>
        <w:ind w:right="6877"/>
        <w:rPr>
          <w:rFonts w:hint="default"/>
          <w:color w:val="auto"/>
        </w:rPr>
      </w:pPr>
      <w:bookmarkStart w:id="31" w:name="六、开标"/>
      <w:bookmarkEnd w:id="31"/>
      <w:r>
        <w:rPr>
          <w:color w:val="auto"/>
        </w:rPr>
        <w:t>六、开标</w:t>
      </w:r>
    </w:p>
    <w:p>
      <w:pPr>
        <w:pStyle w:val="7"/>
        <w:kinsoku w:val="0"/>
        <w:overflowPunct w:val="0"/>
        <w:spacing w:before="8" w:line="496" w:lineRule="auto"/>
        <w:ind w:right="6877"/>
        <w:rPr>
          <w:rFonts w:hint="default"/>
          <w:color w:val="auto"/>
        </w:rPr>
      </w:pPr>
      <w:r>
        <w:rPr>
          <w:color w:val="auto"/>
        </w:rPr>
        <w:t>20.开标</w:t>
      </w:r>
    </w:p>
    <w:p>
      <w:pPr>
        <w:pStyle w:val="8"/>
        <w:kinsoku w:val="0"/>
        <w:overflowPunct w:val="0"/>
        <w:spacing w:before="0" w:line="290" w:lineRule="exact"/>
        <w:ind w:right="117"/>
        <w:rPr>
          <w:rFonts w:hint="default"/>
          <w:color w:val="auto"/>
        </w:rPr>
      </w:pPr>
      <w:r>
        <w:rPr>
          <w:b/>
          <w:color w:val="auto"/>
        </w:rPr>
        <w:t>A．采用见面开标方式</w:t>
      </w:r>
    </w:p>
    <w:p>
      <w:pPr>
        <w:pStyle w:val="8"/>
        <w:kinsoku w:val="0"/>
        <w:overflowPunct w:val="0"/>
        <w:spacing w:before="106" w:line="357" w:lineRule="auto"/>
        <w:ind w:right="357" w:firstLine="480"/>
        <w:jc w:val="both"/>
        <w:rPr>
          <w:rFonts w:hint="default"/>
          <w:color w:val="auto"/>
        </w:rPr>
      </w:pPr>
      <w:r>
        <w:rPr>
          <w:color w:val="auto"/>
        </w:rPr>
        <w:t>20.1</w:t>
      </w:r>
      <w:r>
        <w:rPr>
          <w:color w:val="auto"/>
          <w:spacing w:val="-51"/>
        </w:rPr>
        <w:t xml:space="preserve"> </w:t>
      </w:r>
      <w:r>
        <w:rPr>
          <w:color w:val="auto"/>
          <w:spacing w:val="2"/>
        </w:rPr>
        <w:t>采购代理机构按照招标文件规定的时间、地点主持开标。</w:t>
      </w:r>
      <w:r>
        <w:rPr>
          <w:rFonts w:hint="eastAsia"/>
          <w:color w:val="auto"/>
          <w:spacing w:val="2"/>
          <w:lang w:eastAsia="zh-CN"/>
        </w:rPr>
        <w:t>供应商</w:t>
      </w:r>
      <w:r>
        <w:rPr>
          <w:color w:val="auto"/>
          <w:spacing w:val="2"/>
        </w:rPr>
        <w:t>法定</w:t>
      </w:r>
      <w:r>
        <w:rPr>
          <w:color w:val="auto"/>
        </w:rPr>
        <w:t xml:space="preserve"> </w:t>
      </w:r>
      <w:r>
        <w:rPr>
          <w:color w:val="auto"/>
          <w:spacing w:val="-3"/>
        </w:rPr>
        <w:t>代表人或授权代理人应携带身份证明、电子密钥（电子证书）、未加密的电子投</w:t>
      </w:r>
      <w:r>
        <w:rPr>
          <w:color w:val="auto"/>
          <w:spacing w:val="-109"/>
        </w:rPr>
        <w:t xml:space="preserve"> </w:t>
      </w:r>
      <w:r>
        <w:rPr>
          <w:color w:val="auto"/>
        </w:rPr>
        <w:t>标文件（用信封密封）及应当提交的其他资料参加开标并签到。</w:t>
      </w:r>
    </w:p>
    <w:p>
      <w:pPr>
        <w:pStyle w:val="8"/>
        <w:kinsoku w:val="0"/>
        <w:overflowPunct w:val="0"/>
        <w:spacing w:line="357" w:lineRule="auto"/>
        <w:ind w:right="117" w:firstLine="480"/>
        <w:rPr>
          <w:rFonts w:hint="default"/>
          <w:color w:val="auto"/>
        </w:rPr>
      </w:pPr>
      <w:r>
        <w:rPr>
          <w:color w:val="auto"/>
        </w:rPr>
        <w:t>20.2</w:t>
      </w:r>
      <w:r>
        <w:rPr>
          <w:color w:val="auto"/>
          <w:spacing w:val="-57"/>
        </w:rPr>
        <w:t xml:space="preserve"> </w:t>
      </w:r>
      <w:r>
        <w:rPr>
          <w:color w:val="auto"/>
          <w:spacing w:val="2"/>
        </w:rPr>
        <w:t>开标前，采购代理机构将会同监督人员或公证人员进行验标（检查网</w:t>
      </w:r>
      <w:r>
        <w:rPr>
          <w:color w:val="auto"/>
        </w:rPr>
        <w:t xml:space="preserve"> </w:t>
      </w:r>
      <w:r>
        <w:rPr>
          <w:color w:val="auto"/>
          <w:spacing w:val="-10"/>
        </w:rPr>
        <w:t>上招标系统正常与否，检查未加密的电子投标文件，检查</w:t>
      </w:r>
      <w:r>
        <w:rPr>
          <w:rFonts w:hint="eastAsia"/>
          <w:color w:val="auto"/>
          <w:spacing w:val="-10"/>
          <w:lang w:eastAsia="zh-CN"/>
        </w:rPr>
        <w:t>供应商</w:t>
      </w:r>
      <w:r>
        <w:rPr>
          <w:color w:val="auto"/>
          <w:spacing w:val="-10"/>
        </w:rPr>
        <w:t>保证金交纳情况），</w:t>
      </w:r>
      <w:r>
        <w:rPr>
          <w:color w:val="auto"/>
          <w:spacing w:val="-85"/>
        </w:rPr>
        <w:t xml:space="preserve"> </w:t>
      </w:r>
      <w:r>
        <w:rPr>
          <w:color w:val="auto"/>
          <w:spacing w:val="-6"/>
        </w:rPr>
        <w:t>确认无误后开标。开标时，各</w:t>
      </w:r>
      <w:r>
        <w:rPr>
          <w:rFonts w:hint="eastAsia"/>
          <w:color w:val="auto"/>
          <w:spacing w:val="-6"/>
          <w:lang w:eastAsia="zh-CN"/>
        </w:rPr>
        <w:t>供应商</w:t>
      </w:r>
      <w:r>
        <w:rPr>
          <w:color w:val="auto"/>
          <w:spacing w:val="-6"/>
        </w:rPr>
        <w:t>应对本单位的加密的电子投标文件现场解密，</w:t>
      </w:r>
      <w:r>
        <w:rPr>
          <w:color w:val="auto"/>
        </w:rPr>
        <w:t xml:space="preserve"> 采购代理机构工作人员在监督人员或公证人员监督下解密所有投标文件。</w:t>
      </w:r>
      <w:r>
        <w:rPr>
          <w:color w:val="auto"/>
          <w:spacing w:val="-3"/>
        </w:rPr>
        <w:t>因网上招标系统故障导致所有</w:t>
      </w:r>
      <w:r>
        <w:rPr>
          <w:rFonts w:hint="eastAsia"/>
          <w:color w:val="auto"/>
          <w:spacing w:val="-3"/>
          <w:lang w:eastAsia="zh-CN"/>
        </w:rPr>
        <w:t>供应商</w:t>
      </w:r>
      <w:r>
        <w:rPr>
          <w:color w:val="auto"/>
          <w:spacing w:val="-3"/>
        </w:rPr>
        <w:t>均解密失败时，</w:t>
      </w:r>
      <w:r>
        <w:rPr>
          <w:rFonts w:hint="eastAsia"/>
          <w:color w:val="auto"/>
          <w:spacing w:val="-3"/>
          <w:lang w:eastAsia="zh-CN"/>
        </w:rPr>
        <w:t>供应商</w:t>
      </w:r>
      <w:r>
        <w:rPr>
          <w:color w:val="auto"/>
          <w:spacing w:val="-3"/>
        </w:rPr>
        <w:t>使用未加密的电</w:t>
      </w:r>
      <w:r>
        <w:rPr>
          <w:color w:val="auto"/>
        </w:rPr>
        <w:t xml:space="preserve"> 子投标文件进行开评标。</w:t>
      </w:r>
    </w:p>
    <w:p>
      <w:pPr>
        <w:pStyle w:val="8"/>
        <w:kinsoku w:val="0"/>
        <w:overflowPunct w:val="0"/>
        <w:spacing w:line="357" w:lineRule="auto"/>
        <w:ind w:right="265" w:firstLine="480"/>
        <w:jc w:val="both"/>
        <w:rPr>
          <w:rFonts w:hint="default"/>
          <w:color w:val="auto"/>
        </w:rPr>
      </w:pPr>
      <w:r>
        <w:rPr>
          <w:color w:val="auto"/>
        </w:rPr>
        <w:t>20.3</w:t>
      </w:r>
      <w:r>
        <w:rPr>
          <w:color w:val="auto"/>
          <w:spacing w:val="-55"/>
        </w:rPr>
        <w:t xml:space="preserve"> </w:t>
      </w:r>
      <w:r>
        <w:rPr>
          <w:color w:val="auto"/>
          <w:spacing w:val="2"/>
        </w:rPr>
        <w:t>开标时，采购代理机构将通过网上开标系统公布</w:t>
      </w:r>
      <w:r>
        <w:rPr>
          <w:rFonts w:hint="eastAsia"/>
          <w:color w:val="auto"/>
          <w:spacing w:val="2"/>
          <w:lang w:eastAsia="zh-CN"/>
        </w:rPr>
        <w:t>供应商</w:t>
      </w:r>
      <w:r>
        <w:rPr>
          <w:color w:val="auto"/>
          <w:spacing w:val="2"/>
        </w:rPr>
        <w:t>名称、投标价</w:t>
      </w:r>
      <w:r>
        <w:rPr>
          <w:color w:val="auto"/>
        </w:rPr>
        <w:t xml:space="preserve"> </w:t>
      </w:r>
      <w:r>
        <w:rPr>
          <w:color w:val="auto"/>
          <w:spacing w:val="-3"/>
        </w:rPr>
        <w:t>格，以及采购代理机构认为合适的其它详细内容。</w:t>
      </w:r>
      <w:r>
        <w:rPr>
          <w:rFonts w:hint="eastAsia"/>
          <w:color w:val="auto"/>
          <w:spacing w:val="-3"/>
          <w:lang w:eastAsia="zh-CN"/>
        </w:rPr>
        <w:t>供应商</w:t>
      </w:r>
      <w:r>
        <w:rPr>
          <w:color w:val="auto"/>
          <w:spacing w:val="-3"/>
        </w:rPr>
        <w:t>若有报价和优惠未被唱</w:t>
      </w:r>
      <w:r>
        <w:rPr>
          <w:color w:val="auto"/>
          <w:spacing w:val="-109"/>
        </w:rPr>
        <w:t xml:space="preserve"> </w:t>
      </w:r>
      <w:r>
        <w:rPr>
          <w:color w:val="auto"/>
        </w:rPr>
        <w:t>出，应在开标时及时声明或提请注意，否则采购代理机构对此不承担任何责任。</w:t>
      </w:r>
    </w:p>
    <w:p>
      <w:pPr>
        <w:pStyle w:val="8"/>
        <w:kinsoku w:val="0"/>
        <w:overflowPunct w:val="0"/>
        <w:spacing w:line="357" w:lineRule="auto"/>
        <w:ind w:right="117" w:firstLine="480"/>
        <w:rPr>
          <w:rFonts w:hint="default"/>
          <w:color w:val="auto"/>
        </w:rPr>
      </w:pPr>
      <w:r>
        <w:rPr>
          <w:color w:val="auto"/>
        </w:rPr>
        <w:t>20.4</w:t>
      </w:r>
      <w:r>
        <w:rPr>
          <w:color w:val="auto"/>
          <w:spacing w:val="-51"/>
        </w:rPr>
        <w:t xml:space="preserve"> </w:t>
      </w:r>
      <w:r>
        <w:rPr>
          <w:color w:val="auto"/>
          <w:spacing w:val="2"/>
        </w:rPr>
        <w:t>在评审结束前，未得到采购代理机构允许，</w:t>
      </w:r>
      <w:r>
        <w:rPr>
          <w:rFonts w:hint="eastAsia"/>
          <w:color w:val="auto"/>
          <w:spacing w:val="2"/>
          <w:lang w:eastAsia="zh-CN"/>
        </w:rPr>
        <w:t>供应商</w:t>
      </w:r>
      <w:r>
        <w:rPr>
          <w:color w:val="auto"/>
          <w:spacing w:val="2"/>
        </w:rPr>
        <w:t>法定代表人或授权</w:t>
      </w:r>
      <w:r>
        <w:rPr>
          <w:color w:val="auto"/>
        </w:rPr>
        <w:t xml:space="preserve"> 代理人不得离开开标现场。</w:t>
      </w:r>
    </w:p>
    <w:p>
      <w:pPr>
        <w:pStyle w:val="8"/>
        <w:kinsoku w:val="0"/>
        <w:overflowPunct w:val="0"/>
        <w:spacing w:line="420" w:lineRule="auto"/>
        <w:ind w:leftChars="50" w:right="117" w:firstLine="241" w:firstLineChars="100"/>
        <w:rPr>
          <w:rFonts w:hint="default"/>
          <w:color w:val="auto"/>
        </w:rPr>
      </w:pPr>
      <w:r>
        <w:rPr>
          <w:b/>
          <w:color w:val="auto"/>
        </w:rPr>
        <w:t>B．采用不见面开标方式</w:t>
      </w:r>
      <w:r>
        <w:rPr>
          <w:color w:val="auto"/>
        </w:rPr>
        <w:t>（是否采用详见</w:t>
      </w:r>
      <w:r>
        <w:rPr>
          <w:rFonts w:hint="eastAsia"/>
          <w:color w:val="auto"/>
          <w:lang w:eastAsia="zh-CN"/>
        </w:rPr>
        <w:t>供应商</w:t>
      </w:r>
      <w:r>
        <w:rPr>
          <w:color w:val="auto"/>
        </w:rPr>
        <w:t>须知前附表）</w:t>
      </w:r>
    </w:p>
    <w:p>
      <w:pPr>
        <w:pStyle w:val="8"/>
        <w:kinsoku w:val="0"/>
        <w:overflowPunct w:val="0"/>
        <w:spacing w:before="5" w:line="360" w:lineRule="auto"/>
        <w:ind w:right="117" w:firstLine="480"/>
        <w:rPr>
          <w:rFonts w:hint="default"/>
          <w:color w:val="auto"/>
        </w:rPr>
      </w:pPr>
      <w:r>
        <w:rPr>
          <w:color w:val="auto"/>
          <w:spacing w:val="-3"/>
        </w:rPr>
        <w:t>招标人在规定的投标截止时间（开标时间）和</w:t>
      </w:r>
      <w:r>
        <w:rPr>
          <w:rFonts w:hint="eastAsia"/>
          <w:color w:val="auto"/>
          <w:spacing w:val="-3"/>
          <w:lang w:eastAsia="zh-CN"/>
        </w:rPr>
        <w:t>供应商</w:t>
      </w:r>
      <w:r>
        <w:rPr>
          <w:color w:val="auto"/>
          <w:spacing w:val="-3"/>
        </w:rPr>
        <w:t>须知前附表规定的地点</w:t>
      </w:r>
      <w:r>
        <w:rPr>
          <w:color w:val="auto"/>
        </w:rPr>
        <w:t xml:space="preserve"> </w:t>
      </w:r>
      <w:r>
        <w:rPr>
          <w:color w:val="auto"/>
          <w:spacing w:val="-3"/>
        </w:rPr>
        <w:t>开标。</w:t>
      </w:r>
      <w:r>
        <w:rPr>
          <w:rFonts w:hint="eastAsia"/>
          <w:color w:val="auto"/>
          <w:spacing w:val="-3"/>
          <w:lang w:eastAsia="zh-CN"/>
        </w:rPr>
        <w:t>供应商</w:t>
      </w:r>
      <w:r>
        <w:rPr>
          <w:color w:val="auto"/>
          <w:spacing w:val="-3"/>
        </w:rPr>
        <w:t>的法定代表人或其委托代理人无需到达开标现场，仅需在任意地点</w:t>
      </w:r>
      <w:r>
        <w:rPr>
          <w:color w:val="auto"/>
          <w:spacing w:val="-109"/>
        </w:rPr>
        <w:t xml:space="preserve"> </w:t>
      </w:r>
      <w:r>
        <w:rPr>
          <w:color w:val="auto"/>
          <w:spacing w:val="-3"/>
        </w:rPr>
        <w:t xml:space="preserve">通过政采云不见面开标系统，使用 </w:t>
      </w:r>
      <w:r>
        <w:rPr>
          <w:color w:val="auto"/>
        </w:rPr>
        <w:t>CA</w:t>
      </w:r>
      <w:r>
        <w:rPr>
          <w:color w:val="auto"/>
          <w:spacing w:val="-95"/>
        </w:rPr>
        <w:t xml:space="preserve"> </w:t>
      </w:r>
      <w:r>
        <w:rPr>
          <w:color w:val="auto"/>
          <w:spacing w:val="-4"/>
        </w:rPr>
        <w:t>密钥完成远程解密、提疑澄清、开标唱标、</w:t>
      </w:r>
      <w:r>
        <w:rPr>
          <w:color w:val="auto"/>
        </w:rPr>
        <w:t xml:space="preserve"> 结果公布等交互环节。</w:t>
      </w:r>
      <w:r>
        <w:rPr>
          <w:color w:val="auto"/>
          <w:spacing w:val="-7"/>
        </w:rPr>
        <w:t>法定代表人或法定代表人授权委托人参与远程交互，中途不得更换，在废标、</w:t>
      </w:r>
      <w:r>
        <w:rPr>
          <w:color w:val="auto"/>
        </w:rPr>
        <w:t xml:space="preserve"> </w:t>
      </w:r>
      <w:r>
        <w:rPr>
          <w:color w:val="auto"/>
          <w:spacing w:val="-3"/>
        </w:rPr>
        <w:t>澄清、提疑、传送文件等特殊情况下需要交互时，</w:t>
      </w:r>
      <w:r>
        <w:rPr>
          <w:rFonts w:hint="eastAsia"/>
          <w:color w:val="auto"/>
          <w:spacing w:val="-3"/>
          <w:lang w:eastAsia="zh-CN"/>
        </w:rPr>
        <w:t>供应商</w:t>
      </w:r>
      <w:r>
        <w:rPr>
          <w:color w:val="auto"/>
          <w:spacing w:val="-3"/>
        </w:rPr>
        <w:t>一端参与交互的人员将</w:t>
      </w:r>
      <w:r>
        <w:rPr>
          <w:color w:val="auto"/>
          <w:spacing w:val="-111"/>
        </w:rPr>
        <w:t xml:space="preserve"> </w:t>
      </w:r>
      <w:r>
        <w:rPr>
          <w:color w:val="auto"/>
          <w:spacing w:val="-3"/>
        </w:rPr>
        <w:t>均被视为是</w:t>
      </w:r>
      <w:r>
        <w:rPr>
          <w:rFonts w:hint="eastAsia"/>
          <w:color w:val="auto"/>
          <w:spacing w:val="-3"/>
          <w:lang w:eastAsia="zh-CN"/>
        </w:rPr>
        <w:t>供应商</w:t>
      </w:r>
      <w:r>
        <w:rPr>
          <w:color w:val="auto"/>
          <w:spacing w:val="-3"/>
        </w:rPr>
        <w:t>的授权委托人或法人代表，</w:t>
      </w:r>
      <w:r>
        <w:rPr>
          <w:rFonts w:hint="eastAsia"/>
          <w:color w:val="auto"/>
          <w:spacing w:val="-3"/>
          <w:lang w:eastAsia="zh-CN"/>
        </w:rPr>
        <w:t>供应商</w:t>
      </w:r>
      <w:r>
        <w:rPr>
          <w:color w:val="auto"/>
          <w:spacing w:val="-3"/>
        </w:rPr>
        <w:t>不得以不承认交互人员的资</w:t>
      </w:r>
      <w:r>
        <w:rPr>
          <w:color w:val="auto"/>
          <w:spacing w:val="-109"/>
        </w:rPr>
        <w:t xml:space="preserve"> </w:t>
      </w:r>
      <w:r>
        <w:rPr>
          <w:color w:val="auto"/>
        </w:rPr>
        <w:t>格或身份等为借口推脱，</w:t>
      </w:r>
      <w:r>
        <w:rPr>
          <w:rFonts w:hint="eastAsia"/>
          <w:color w:val="auto"/>
          <w:lang w:eastAsia="zh-CN"/>
        </w:rPr>
        <w:t>供应商</w:t>
      </w:r>
      <w:r>
        <w:rPr>
          <w:color w:val="auto"/>
        </w:rPr>
        <w:t>自行承担随意更换人员所导致的一切后果。</w:t>
      </w:r>
    </w:p>
    <w:p>
      <w:pPr>
        <w:pStyle w:val="7"/>
        <w:kinsoku w:val="0"/>
        <w:overflowPunct w:val="0"/>
        <w:spacing w:before="8" w:line="360" w:lineRule="auto"/>
        <w:rPr>
          <w:rFonts w:hint="default"/>
          <w:b w:val="0"/>
          <w:color w:val="auto"/>
        </w:rPr>
      </w:pPr>
      <w:bookmarkStart w:id="32" w:name="七、评标步骤和要求"/>
      <w:bookmarkEnd w:id="32"/>
      <w:r>
        <w:rPr>
          <w:color w:val="auto"/>
        </w:rPr>
        <w:t>七、评标步骤和要求</w:t>
      </w:r>
    </w:p>
    <w:p>
      <w:pPr>
        <w:pStyle w:val="8"/>
        <w:kinsoku w:val="0"/>
        <w:overflowPunct w:val="0"/>
        <w:spacing w:before="0" w:line="360" w:lineRule="auto"/>
        <w:rPr>
          <w:rFonts w:hint="default"/>
          <w:color w:val="auto"/>
        </w:rPr>
      </w:pPr>
      <w:r>
        <w:rPr>
          <w:b/>
          <w:color w:val="auto"/>
        </w:rPr>
        <w:t>21.组建评标委员会</w:t>
      </w:r>
    </w:p>
    <w:p>
      <w:pPr>
        <w:pStyle w:val="8"/>
        <w:kinsoku w:val="0"/>
        <w:overflowPunct w:val="0"/>
        <w:spacing w:before="154" w:line="357" w:lineRule="auto"/>
        <w:ind w:right="117" w:firstLine="480"/>
        <w:jc w:val="both"/>
        <w:rPr>
          <w:rFonts w:hint="default"/>
          <w:color w:val="auto"/>
        </w:rPr>
      </w:pPr>
      <w:r>
        <w:rPr>
          <w:color w:val="auto"/>
        </w:rPr>
        <w:t>21.1</w:t>
      </w:r>
      <w:r>
        <w:rPr>
          <w:color w:val="auto"/>
          <w:spacing w:val="-51"/>
        </w:rPr>
        <w:t xml:space="preserve"> </w:t>
      </w:r>
      <w:r>
        <w:rPr>
          <w:color w:val="auto"/>
          <w:spacing w:val="2"/>
        </w:rPr>
        <w:t>采购代理机构根据有关法律法规和本招标文件的规定，结合招标项目</w:t>
      </w:r>
      <w:r>
        <w:rPr>
          <w:color w:val="auto"/>
        </w:rPr>
        <w:t xml:space="preserve"> </w:t>
      </w:r>
      <w:r>
        <w:rPr>
          <w:color w:val="auto"/>
          <w:spacing w:val="-3"/>
        </w:rPr>
        <w:t>的特点组建评标委员会，对投标文件进行评估和比较。评标委员会由五人以上单</w:t>
      </w:r>
      <w:r>
        <w:rPr>
          <w:color w:val="auto"/>
          <w:spacing w:val="-109"/>
        </w:rPr>
        <w:t xml:space="preserve"> </w:t>
      </w:r>
      <w:r>
        <w:rPr>
          <w:color w:val="auto"/>
        </w:rPr>
        <w:t>数组成，其中经济、技术等方面的专家不少于三分之二。</w:t>
      </w:r>
    </w:p>
    <w:p>
      <w:pPr>
        <w:pStyle w:val="8"/>
        <w:kinsoku w:val="0"/>
        <w:overflowPunct w:val="0"/>
        <w:spacing w:line="357" w:lineRule="auto"/>
        <w:ind w:right="117" w:firstLine="480"/>
        <w:jc w:val="both"/>
        <w:rPr>
          <w:rFonts w:hint="default"/>
          <w:color w:val="auto"/>
        </w:rPr>
      </w:pPr>
      <w:r>
        <w:rPr>
          <w:color w:val="auto"/>
        </w:rPr>
        <w:t>21.2</w:t>
      </w:r>
      <w:r>
        <w:rPr>
          <w:color w:val="auto"/>
          <w:spacing w:val="-51"/>
        </w:rPr>
        <w:t xml:space="preserve"> </w:t>
      </w:r>
      <w:r>
        <w:rPr>
          <w:color w:val="auto"/>
          <w:spacing w:val="2"/>
        </w:rPr>
        <w:t>参与过本项目的论证专家不得作为评标专家参加评标，采购人不得以</w:t>
      </w:r>
      <w:r>
        <w:rPr>
          <w:color w:val="auto"/>
        </w:rPr>
        <w:t xml:space="preserve"> 专家身份参与评标。</w:t>
      </w:r>
    </w:p>
    <w:p>
      <w:pPr>
        <w:pStyle w:val="7"/>
        <w:kinsoku w:val="0"/>
        <w:overflowPunct w:val="0"/>
        <w:rPr>
          <w:rFonts w:hint="default"/>
          <w:b w:val="0"/>
          <w:color w:val="auto"/>
        </w:rPr>
      </w:pPr>
      <w:r>
        <w:rPr>
          <w:color w:val="auto"/>
        </w:rPr>
        <w:t>22、资格审查</w:t>
      </w:r>
    </w:p>
    <w:p>
      <w:pPr>
        <w:pStyle w:val="8"/>
        <w:kinsoku w:val="0"/>
        <w:overflowPunct w:val="0"/>
        <w:spacing w:before="154"/>
        <w:ind w:left="600"/>
        <w:rPr>
          <w:rFonts w:hint="default"/>
          <w:color w:val="auto"/>
          <w:spacing w:val="2"/>
        </w:rPr>
      </w:pPr>
      <w:r>
        <w:rPr>
          <w:color w:val="auto"/>
        </w:rPr>
        <w:t>22.1</w:t>
      </w:r>
      <w:r>
        <w:rPr>
          <w:color w:val="auto"/>
          <w:spacing w:val="-49"/>
        </w:rPr>
        <w:t xml:space="preserve"> </w:t>
      </w:r>
      <w:r>
        <w:rPr>
          <w:color w:val="auto"/>
          <w:spacing w:val="2"/>
        </w:rPr>
        <w:t>公开招标采购项目开标结束后，采购人或者采购代理机构应当依法对</w:t>
      </w:r>
    </w:p>
    <w:p>
      <w:pPr>
        <w:pStyle w:val="8"/>
        <w:kinsoku w:val="0"/>
        <w:overflowPunct w:val="0"/>
        <w:spacing w:before="154" w:line="357" w:lineRule="auto"/>
        <w:ind w:right="1180"/>
        <w:rPr>
          <w:rFonts w:hint="default"/>
          <w:color w:val="auto"/>
        </w:rPr>
      </w:pPr>
      <w:r>
        <w:rPr>
          <w:rFonts w:hint="eastAsia"/>
          <w:color w:val="auto"/>
          <w:lang w:eastAsia="zh-CN"/>
        </w:rPr>
        <w:t>供应商</w:t>
      </w:r>
      <w:r>
        <w:rPr>
          <w:color w:val="auto"/>
        </w:rPr>
        <w:t>的资格进行审查。合格</w:t>
      </w:r>
      <w:r>
        <w:rPr>
          <w:rFonts w:hint="eastAsia"/>
          <w:color w:val="auto"/>
          <w:lang w:eastAsia="zh-CN"/>
        </w:rPr>
        <w:t>供应商</w:t>
      </w:r>
      <w:r>
        <w:rPr>
          <w:color w:val="auto"/>
        </w:rPr>
        <w:t>不足</w:t>
      </w:r>
      <w:r>
        <w:rPr>
          <w:color w:val="auto"/>
          <w:spacing w:val="-60"/>
        </w:rPr>
        <w:t xml:space="preserve"> </w:t>
      </w:r>
      <w:r>
        <w:rPr>
          <w:color w:val="auto"/>
        </w:rPr>
        <w:t>3</w:t>
      </w:r>
      <w:r>
        <w:rPr>
          <w:color w:val="auto"/>
          <w:spacing w:val="-60"/>
        </w:rPr>
        <w:t xml:space="preserve"> </w:t>
      </w:r>
      <w:r>
        <w:rPr>
          <w:color w:val="auto"/>
        </w:rPr>
        <w:t xml:space="preserve">家的，不得评标。 </w:t>
      </w:r>
    </w:p>
    <w:p>
      <w:pPr>
        <w:pStyle w:val="8"/>
        <w:kinsoku w:val="0"/>
        <w:overflowPunct w:val="0"/>
        <w:spacing w:before="154" w:line="357" w:lineRule="auto"/>
        <w:ind w:right="1180"/>
        <w:rPr>
          <w:rFonts w:hint="default"/>
          <w:color w:val="auto"/>
        </w:rPr>
      </w:pPr>
      <w:r>
        <w:rPr>
          <w:b/>
          <w:color w:val="auto"/>
        </w:rPr>
        <w:t>23.初步评审</w:t>
      </w:r>
    </w:p>
    <w:p>
      <w:pPr>
        <w:pStyle w:val="8"/>
        <w:kinsoku w:val="0"/>
        <w:overflowPunct w:val="0"/>
        <w:spacing w:line="357" w:lineRule="auto"/>
        <w:ind w:right="117" w:firstLine="480"/>
        <w:jc w:val="both"/>
        <w:rPr>
          <w:rFonts w:hint="default"/>
          <w:color w:val="auto"/>
        </w:rPr>
      </w:pPr>
      <w:r>
        <w:rPr>
          <w:color w:val="auto"/>
        </w:rPr>
        <w:t>23.1</w:t>
      </w:r>
      <w:r>
        <w:rPr>
          <w:color w:val="auto"/>
          <w:spacing w:val="-51"/>
        </w:rPr>
        <w:t xml:space="preserve"> </w:t>
      </w:r>
      <w:r>
        <w:rPr>
          <w:color w:val="auto"/>
          <w:spacing w:val="2"/>
        </w:rPr>
        <w:t>评标委员会审查投标文件是否符合招标文件的基本要求：内容是否完</w:t>
      </w:r>
      <w:r>
        <w:rPr>
          <w:color w:val="auto"/>
        </w:rPr>
        <w:t xml:space="preserve"> 整、资格证明文件是否合格、文件签署是否齐全、有无计算错误等。</w:t>
      </w:r>
    </w:p>
    <w:p>
      <w:pPr>
        <w:pStyle w:val="8"/>
        <w:kinsoku w:val="0"/>
        <w:overflowPunct w:val="0"/>
        <w:ind w:left="600"/>
        <w:rPr>
          <w:rFonts w:hint="default"/>
          <w:color w:val="auto"/>
        </w:rPr>
      </w:pPr>
      <w:r>
        <w:rPr>
          <w:color w:val="auto"/>
        </w:rPr>
        <w:t>23.2</w:t>
      </w:r>
      <w:r>
        <w:rPr>
          <w:color w:val="auto"/>
          <w:spacing w:val="-60"/>
        </w:rPr>
        <w:t xml:space="preserve"> </w:t>
      </w:r>
      <w:r>
        <w:rPr>
          <w:color w:val="auto"/>
        </w:rPr>
        <w:t>评标委员会审查投标文件是否实质上响应招标文件的要求。</w:t>
      </w:r>
    </w:p>
    <w:p>
      <w:pPr>
        <w:pStyle w:val="8"/>
        <w:kinsoku w:val="0"/>
        <w:overflowPunct w:val="0"/>
        <w:spacing w:before="154" w:line="357" w:lineRule="auto"/>
        <w:ind w:right="120" w:firstLine="480"/>
        <w:jc w:val="both"/>
        <w:rPr>
          <w:rFonts w:hint="default"/>
          <w:color w:val="auto"/>
        </w:rPr>
      </w:pPr>
      <w:r>
        <w:rPr>
          <w:color w:val="auto"/>
        </w:rPr>
        <w:t>1）实质上响应的投标是指与招标文件上的条款、条件和规格相符，没有重 大偏离或保留，否则将视为无效投标。</w:t>
      </w:r>
    </w:p>
    <w:p>
      <w:pPr>
        <w:pStyle w:val="8"/>
        <w:kinsoku w:val="0"/>
        <w:overflowPunct w:val="0"/>
        <w:spacing w:line="357" w:lineRule="auto"/>
        <w:ind w:right="117" w:firstLine="480"/>
        <w:jc w:val="both"/>
        <w:rPr>
          <w:rFonts w:hint="default"/>
          <w:color w:val="auto"/>
        </w:rPr>
      </w:pPr>
      <w:r>
        <w:rPr>
          <w:color w:val="auto"/>
        </w:rPr>
        <w:t xml:space="preserve">2）重大偏离或保留系指投标货物的质量、数量和交付日期等明显不能满足 </w:t>
      </w:r>
      <w:r>
        <w:rPr>
          <w:color w:val="auto"/>
          <w:spacing w:val="-3"/>
        </w:rPr>
        <w:t>招标文件的要求，或者实质上与招标文件不一致，纠正这些偏离或保留将对其他</w:t>
      </w:r>
      <w:r>
        <w:rPr>
          <w:color w:val="auto"/>
          <w:spacing w:val="-109"/>
        </w:rPr>
        <w:t xml:space="preserve"> </w:t>
      </w:r>
      <w:r>
        <w:rPr>
          <w:color w:val="auto"/>
        </w:rPr>
        <w:t>实质上响应要求的</w:t>
      </w:r>
      <w:r>
        <w:rPr>
          <w:rFonts w:hint="eastAsia"/>
          <w:color w:val="auto"/>
          <w:lang w:eastAsia="zh-CN"/>
        </w:rPr>
        <w:t>供应商</w:t>
      </w:r>
      <w:r>
        <w:rPr>
          <w:color w:val="auto"/>
        </w:rPr>
        <w:t>的竞争地位产生不公正的影响。包括但不限于：</w:t>
      </w:r>
    </w:p>
    <w:p>
      <w:pPr>
        <w:pStyle w:val="8"/>
        <w:kinsoku w:val="0"/>
        <w:overflowPunct w:val="0"/>
        <w:spacing w:line="357" w:lineRule="auto"/>
        <w:ind w:right="117" w:firstLine="470"/>
        <w:jc w:val="both"/>
        <w:rPr>
          <w:rFonts w:hint="default"/>
          <w:color w:val="auto"/>
        </w:rPr>
      </w:pPr>
      <w:r>
        <w:rPr>
          <w:color w:val="auto"/>
        </w:rPr>
        <w:t>A、招标文件第二部分“</w:t>
      </w:r>
      <w:r>
        <w:rPr>
          <w:rFonts w:hint="eastAsia"/>
          <w:color w:val="auto"/>
          <w:lang w:eastAsia="zh-CN"/>
        </w:rPr>
        <w:t>供应商</w:t>
      </w:r>
      <w:r>
        <w:rPr>
          <w:color w:val="auto"/>
        </w:rPr>
        <w:t>须知前附表”“投标文件组成”部分中，带 “★”号部分的证明文件不全或无效的；</w:t>
      </w:r>
    </w:p>
    <w:p>
      <w:pPr>
        <w:pStyle w:val="8"/>
        <w:kinsoku w:val="0"/>
        <w:overflowPunct w:val="0"/>
        <w:spacing w:line="357" w:lineRule="auto"/>
        <w:ind w:left="590" w:right="1180"/>
        <w:rPr>
          <w:color w:val="auto"/>
        </w:rPr>
      </w:pPr>
      <w:r>
        <w:rPr>
          <w:color w:val="auto"/>
        </w:rPr>
        <w:t>B、投标文件未按招标文件的规定签章的；</w:t>
      </w:r>
    </w:p>
    <w:p>
      <w:pPr>
        <w:pStyle w:val="8"/>
        <w:kinsoku w:val="0"/>
        <w:overflowPunct w:val="0"/>
        <w:spacing w:line="357" w:lineRule="auto"/>
        <w:ind w:left="590" w:right="1180"/>
        <w:rPr>
          <w:color w:val="auto"/>
        </w:rPr>
      </w:pPr>
      <w:r>
        <w:rPr>
          <w:color w:val="auto"/>
        </w:rPr>
        <w:t xml:space="preserve"> C、未按投标文件份数要求提交投标文件的；</w:t>
      </w:r>
    </w:p>
    <w:p>
      <w:pPr>
        <w:pStyle w:val="8"/>
        <w:kinsoku w:val="0"/>
        <w:overflowPunct w:val="0"/>
        <w:spacing w:line="357" w:lineRule="auto"/>
        <w:ind w:left="590" w:right="1180"/>
        <w:rPr>
          <w:color w:val="auto"/>
        </w:rPr>
      </w:pPr>
      <w:r>
        <w:rPr>
          <w:color w:val="auto"/>
        </w:rPr>
        <w:t>D、招标文件带“★”号部分任意一款不满足要求的；</w:t>
      </w:r>
    </w:p>
    <w:p>
      <w:pPr>
        <w:pStyle w:val="8"/>
        <w:kinsoku w:val="0"/>
        <w:overflowPunct w:val="0"/>
        <w:spacing w:line="357" w:lineRule="auto"/>
        <w:ind w:left="590" w:right="1180"/>
        <w:rPr>
          <w:color w:val="auto"/>
        </w:rPr>
      </w:pPr>
      <w:r>
        <w:rPr>
          <w:color w:val="auto"/>
        </w:rPr>
        <w:t>E、报价超过项目预算或经评标委员会认定低于成本的；</w:t>
      </w:r>
    </w:p>
    <w:p>
      <w:pPr>
        <w:pStyle w:val="8"/>
        <w:kinsoku w:val="0"/>
        <w:overflowPunct w:val="0"/>
        <w:spacing w:line="357" w:lineRule="auto"/>
        <w:ind w:left="590" w:right="1180"/>
        <w:rPr>
          <w:color w:val="auto"/>
        </w:rPr>
      </w:pPr>
      <w:r>
        <w:rPr>
          <w:color w:val="auto"/>
        </w:rPr>
        <w:t>F、投标有效期不足的；</w:t>
      </w:r>
    </w:p>
    <w:p>
      <w:pPr>
        <w:pStyle w:val="8"/>
        <w:kinsoku w:val="0"/>
        <w:overflowPunct w:val="0"/>
        <w:spacing w:line="357" w:lineRule="auto"/>
        <w:ind w:left="590" w:right="1180"/>
        <w:rPr>
          <w:color w:val="auto"/>
        </w:rPr>
      </w:pPr>
      <w:r>
        <w:rPr>
          <w:color w:val="auto"/>
        </w:rPr>
        <w:t>G、联合体投标文件未附联合体投标协议书的；</w:t>
      </w:r>
    </w:p>
    <w:p>
      <w:pPr>
        <w:pStyle w:val="8"/>
        <w:kinsoku w:val="0"/>
        <w:overflowPunct w:val="0"/>
        <w:spacing w:line="357" w:lineRule="auto"/>
        <w:ind w:left="590" w:right="1180"/>
        <w:rPr>
          <w:rFonts w:hint="default"/>
          <w:color w:val="auto"/>
        </w:rPr>
      </w:pPr>
      <w:r>
        <w:rPr>
          <w:color w:val="auto"/>
        </w:rPr>
        <w:t>H、不符合招标文件中有关分包规定的；</w:t>
      </w:r>
    </w:p>
    <w:p>
      <w:pPr>
        <w:pStyle w:val="8"/>
        <w:kinsoku w:val="0"/>
        <w:overflowPunct w:val="0"/>
        <w:spacing w:line="357" w:lineRule="auto"/>
        <w:ind w:right="117" w:firstLine="480"/>
        <w:jc w:val="both"/>
        <w:rPr>
          <w:rFonts w:ascii="宋体" w:eastAsia="宋体" w:cs="宋体"/>
          <w:color w:val="auto"/>
          <w:spacing w:val="-6"/>
        </w:rPr>
      </w:pPr>
      <w:r>
        <w:rPr>
          <w:rFonts w:ascii="宋体" w:eastAsia="宋体" w:cs="宋体"/>
          <w:color w:val="auto"/>
          <w:spacing w:val="-6"/>
        </w:rPr>
        <w:t>I、有串通投标或弄虚作假或有其他违法行为的；</w:t>
      </w:r>
    </w:p>
    <w:p>
      <w:pPr>
        <w:pStyle w:val="8"/>
        <w:kinsoku w:val="0"/>
        <w:overflowPunct w:val="0"/>
        <w:spacing w:line="357" w:lineRule="auto"/>
        <w:ind w:right="117" w:firstLine="480"/>
        <w:jc w:val="both"/>
        <w:rPr>
          <w:rFonts w:hint="default" w:ascii="宋体" w:eastAsia="宋体" w:cs="宋体"/>
          <w:color w:val="auto"/>
          <w:spacing w:val="-6"/>
        </w:rPr>
      </w:pPr>
      <w:r>
        <w:rPr>
          <w:rFonts w:ascii="宋体" w:eastAsia="宋体" w:cs="宋体"/>
          <w:color w:val="auto"/>
          <w:spacing w:val="-6"/>
        </w:rPr>
        <w:t>J、</w:t>
      </w:r>
      <w:r>
        <w:rPr>
          <w:rFonts w:hint="eastAsia" w:ascii="宋体" w:eastAsia="宋体" w:cs="宋体"/>
          <w:color w:val="auto"/>
          <w:spacing w:val="-6"/>
          <w:lang w:eastAsia="zh-CN"/>
        </w:rPr>
        <w:t>供应商</w:t>
      </w:r>
      <w:r>
        <w:rPr>
          <w:rFonts w:ascii="宋体" w:eastAsia="宋体" w:cs="宋体"/>
          <w:color w:val="auto"/>
          <w:spacing w:val="-6"/>
        </w:rPr>
        <w:t>递交的电子投标文件（加密电子投标文件和未加密电子投标文件） 均无法满足正常开标、评标使用功能的；</w:t>
      </w:r>
    </w:p>
    <w:p>
      <w:pPr>
        <w:pStyle w:val="8"/>
        <w:kinsoku w:val="0"/>
        <w:overflowPunct w:val="0"/>
        <w:spacing w:line="357" w:lineRule="auto"/>
        <w:ind w:right="117" w:firstLine="480"/>
        <w:jc w:val="both"/>
        <w:rPr>
          <w:rFonts w:hint="default" w:ascii="宋体" w:eastAsia="宋体" w:cs="宋体"/>
          <w:color w:val="auto"/>
          <w:spacing w:val="-6"/>
        </w:rPr>
      </w:pPr>
      <w:r>
        <w:rPr>
          <w:rFonts w:ascii="宋体" w:eastAsia="宋体" w:cs="宋体"/>
          <w:color w:val="auto"/>
          <w:spacing w:val="-6"/>
        </w:rPr>
        <w:t>K、</w:t>
      </w:r>
      <w:r>
        <w:rPr>
          <w:rFonts w:hint="eastAsia" w:ascii="宋体" w:eastAsia="宋体" w:cs="宋体"/>
          <w:color w:val="auto"/>
          <w:spacing w:val="-6"/>
          <w:lang w:eastAsia="zh-CN"/>
        </w:rPr>
        <w:t>供应商</w:t>
      </w:r>
      <w:r>
        <w:rPr>
          <w:rFonts w:ascii="宋体" w:eastAsia="宋体" w:cs="宋体"/>
          <w:color w:val="auto"/>
          <w:spacing w:val="-6"/>
        </w:rPr>
        <w:t>名称或组织结构与领取采购文件时不一致且无有效变更证明的； L、不符合招标文件中规定的其他实质性要求。</w:t>
      </w:r>
    </w:p>
    <w:p>
      <w:pPr>
        <w:pStyle w:val="8"/>
        <w:kinsoku w:val="0"/>
        <w:overflowPunct w:val="0"/>
        <w:spacing w:line="357" w:lineRule="auto"/>
        <w:ind w:right="117" w:firstLine="480"/>
        <w:jc w:val="both"/>
        <w:rPr>
          <w:rFonts w:hint="default"/>
          <w:color w:val="auto"/>
          <w:spacing w:val="-6"/>
        </w:rPr>
      </w:pPr>
      <w:r>
        <w:rPr>
          <w:color w:val="auto"/>
        </w:rPr>
        <w:t>23.3</w:t>
      </w:r>
      <w:r>
        <w:rPr>
          <w:color w:val="auto"/>
          <w:spacing w:val="-56"/>
        </w:rPr>
        <w:t xml:space="preserve"> </w:t>
      </w:r>
      <w:r>
        <w:rPr>
          <w:color w:val="auto"/>
          <w:spacing w:val="2"/>
        </w:rPr>
        <w:t>投标文件的细微偏差是指在实质上响应招标文件要求，但在个别地方</w:t>
      </w:r>
      <w:r>
        <w:rPr>
          <w:color w:val="auto"/>
        </w:rPr>
        <w:t xml:space="preserve"> </w:t>
      </w:r>
      <w:r>
        <w:rPr>
          <w:color w:val="auto"/>
          <w:spacing w:val="-3"/>
        </w:rPr>
        <w:t>存在漏项或者提供了不完整的技术信息和数据等情况，并且补正这些遗漏或者不</w:t>
      </w:r>
      <w:r>
        <w:rPr>
          <w:color w:val="auto"/>
          <w:spacing w:val="-109"/>
        </w:rPr>
        <w:t xml:space="preserve"> </w:t>
      </w:r>
      <w:r>
        <w:rPr>
          <w:color w:val="auto"/>
          <w:spacing w:val="-6"/>
        </w:rPr>
        <w:t>完整，不会对其他</w:t>
      </w:r>
      <w:r>
        <w:rPr>
          <w:rFonts w:hint="eastAsia"/>
          <w:color w:val="auto"/>
          <w:spacing w:val="-6"/>
          <w:lang w:eastAsia="zh-CN"/>
        </w:rPr>
        <w:t>供应商</w:t>
      </w:r>
      <w:r>
        <w:rPr>
          <w:color w:val="auto"/>
          <w:spacing w:val="-6"/>
        </w:rPr>
        <w:t>造成不公正的结果。细微偏差不影响投标文件的有效性。</w:t>
      </w:r>
    </w:p>
    <w:p>
      <w:pPr>
        <w:pStyle w:val="8"/>
        <w:kinsoku w:val="0"/>
        <w:overflowPunct w:val="0"/>
        <w:spacing w:line="357" w:lineRule="auto"/>
        <w:ind w:right="237" w:firstLine="480"/>
        <w:rPr>
          <w:rFonts w:hint="default"/>
          <w:color w:val="auto"/>
        </w:rPr>
      </w:pPr>
      <w:r>
        <w:rPr>
          <w:color w:val="auto"/>
        </w:rPr>
        <w:t>23.4</w:t>
      </w:r>
      <w:r>
        <w:rPr>
          <w:color w:val="auto"/>
          <w:spacing w:val="-51"/>
        </w:rPr>
        <w:t xml:space="preserve"> </w:t>
      </w:r>
      <w:r>
        <w:rPr>
          <w:color w:val="auto"/>
          <w:spacing w:val="2"/>
        </w:rPr>
        <w:t>初步评审中，对明显的文字和计算错误按下述原则处理，若出现相互</w:t>
      </w:r>
      <w:r>
        <w:rPr>
          <w:color w:val="auto"/>
        </w:rPr>
        <w:t xml:space="preserve"> 矛盾之处，应以排列在先的原则为准优先处理：</w:t>
      </w:r>
    </w:p>
    <w:p>
      <w:pPr>
        <w:pStyle w:val="8"/>
        <w:kinsoku w:val="0"/>
        <w:overflowPunct w:val="0"/>
        <w:ind w:left="590" w:right="237"/>
        <w:rPr>
          <w:rFonts w:hint="default"/>
          <w:color w:val="auto"/>
        </w:rPr>
      </w:pPr>
      <w:r>
        <w:rPr>
          <w:color w:val="auto"/>
        </w:rPr>
        <w:t>1）投标文件中的开标一览表与明细表内容不一致的，以开标一览表为准。</w:t>
      </w:r>
    </w:p>
    <w:p>
      <w:pPr>
        <w:pStyle w:val="8"/>
        <w:kinsoku w:val="0"/>
        <w:overflowPunct w:val="0"/>
        <w:spacing w:before="154" w:line="357" w:lineRule="auto"/>
        <w:ind w:right="237" w:firstLine="480"/>
        <w:rPr>
          <w:rFonts w:hint="default"/>
          <w:color w:val="auto"/>
        </w:rPr>
      </w:pPr>
      <w:r>
        <w:rPr>
          <w:color w:val="auto"/>
        </w:rPr>
        <w:t>2）如果以文字表示的数据与数字表示的有差别，以文字为准修正数字。如 果大写金额和小写金额不一致的，以大写金额为准；</w:t>
      </w:r>
    </w:p>
    <w:p>
      <w:pPr>
        <w:pStyle w:val="8"/>
        <w:kinsoku w:val="0"/>
        <w:overflowPunct w:val="0"/>
        <w:spacing w:line="357" w:lineRule="auto"/>
        <w:ind w:right="237" w:firstLine="480"/>
        <w:jc w:val="both"/>
        <w:rPr>
          <w:rFonts w:hint="default"/>
          <w:color w:val="auto"/>
        </w:rPr>
      </w:pPr>
      <w:r>
        <w:rPr>
          <w:color w:val="auto"/>
        </w:rPr>
        <w:t xml:space="preserve">3）如果单价乘以数量不等于总价，以单价为准修正总价，但单价金额小数 </w:t>
      </w:r>
      <w:r>
        <w:rPr>
          <w:color w:val="auto"/>
          <w:spacing w:val="-3"/>
        </w:rPr>
        <w:t>点有明显错位的，应以总价为准，并修改单价。如果明细价格相加不等于汇总价</w:t>
      </w:r>
      <w:r>
        <w:rPr>
          <w:color w:val="auto"/>
          <w:spacing w:val="-111"/>
        </w:rPr>
        <w:t xml:space="preserve"> </w:t>
      </w:r>
      <w:r>
        <w:rPr>
          <w:color w:val="auto"/>
        </w:rPr>
        <w:t>格，以明细价格为准。</w:t>
      </w:r>
    </w:p>
    <w:p>
      <w:pPr>
        <w:pStyle w:val="8"/>
        <w:kinsoku w:val="0"/>
        <w:overflowPunct w:val="0"/>
        <w:spacing w:line="357" w:lineRule="auto"/>
        <w:ind w:right="237" w:firstLine="480"/>
        <w:rPr>
          <w:rFonts w:hint="default"/>
          <w:color w:val="auto"/>
        </w:rPr>
      </w:pPr>
      <w:r>
        <w:rPr>
          <w:color w:val="auto"/>
        </w:rPr>
        <w:t>4）调整后的数据对</w:t>
      </w:r>
      <w:r>
        <w:rPr>
          <w:rFonts w:hint="eastAsia"/>
          <w:color w:val="auto"/>
          <w:lang w:eastAsia="zh-CN"/>
        </w:rPr>
        <w:t>供应商</w:t>
      </w:r>
      <w:r>
        <w:rPr>
          <w:color w:val="auto"/>
        </w:rPr>
        <w:t>具有约束力，</w:t>
      </w:r>
      <w:r>
        <w:rPr>
          <w:rFonts w:hint="eastAsia"/>
          <w:color w:val="auto"/>
          <w:lang w:eastAsia="zh-CN"/>
        </w:rPr>
        <w:t>供应商</w:t>
      </w:r>
      <w:r>
        <w:rPr>
          <w:color w:val="auto"/>
        </w:rPr>
        <w:t>不同意以上修正，其投标将 被拒绝。</w:t>
      </w:r>
    </w:p>
    <w:p>
      <w:pPr>
        <w:pStyle w:val="8"/>
        <w:kinsoku w:val="0"/>
        <w:overflowPunct w:val="0"/>
        <w:spacing w:line="357" w:lineRule="auto"/>
        <w:ind w:right="237" w:firstLine="480"/>
        <w:rPr>
          <w:rFonts w:hint="default"/>
          <w:color w:val="auto"/>
        </w:rPr>
      </w:pPr>
      <w:r>
        <w:rPr>
          <w:color w:val="auto"/>
        </w:rPr>
        <w:t>23.5</w:t>
      </w:r>
      <w:r>
        <w:rPr>
          <w:color w:val="auto"/>
          <w:spacing w:val="-51"/>
        </w:rPr>
        <w:t xml:space="preserve"> </w:t>
      </w:r>
      <w:r>
        <w:rPr>
          <w:color w:val="auto"/>
          <w:spacing w:val="2"/>
        </w:rPr>
        <w:t>评标委员会对投标文件的判定，只依据投标文件内容本身，不依据其</w:t>
      </w:r>
      <w:r>
        <w:rPr>
          <w:color w:val="auto"/>
        </w:rPr>
        <w:t xml:space="preserve"> 他外来证明。</w:t>
      </w:r>
    </w:p>
    <w:p>
      <w:pPr>
        <w:pStyle w:val="7"/>
        <w:kinsoku w:val="0"/>
        <w:overflowPunct w:val="0"/>
        <w:ind w:right="237"/>
        <w:rPr>
          <w:rFonts w:hint="default"/>
          <w:b w:val="0"/>
          <w:color w:val="auto"/>
        </w:rPr>
      </w:pPr>
      <w:r>
        <w:rPr>
          <w:color w:val="auto"/>
        </w:rPr>
        <w:t>24.投标的澄清</w:t>
      </w:r>
    </w:p>
    <w:p>
      <w:pPr>
        <w:pStyle w:val="8"/>
        <w:kinsoku w:val="0"/>
        <w:overflowPunct w:val="0"/>
        <w:spacing w:before="154" w:line="357" w:lineRule="auto"/>
        <w:ind w:right="237" w:firstLine="480"/>
        <w:jc w:val="both"/>
        <w:rPr>
          <w:rFonts w:hint="default"/>
          <w:color w:val="auto"/>
        </w:rPr>
      </w:pPr>
      <w:r>
        <w:rPr>
          <w:color w:val="auto"/>
        </w:rPr>
        <w:t>24.1</w:t>
      </w:r>
      <w:r>
        <w:rPr>
          <w:color w:val="auto"/>
          <w:spacing w:val="-51"/>
        </w:rPr>
        <w:t xml:space="preserve"> </w:t>
      </w:r>
      <w:r>
        <w:rPr>
          <w:color w:val="auto"/>
          <w:spacing w:val="2"/>
        </w:rPr>
        <w:t>评标委员会有权要求</w:t>
      </w:r>
      <w:r>
        <w:rPr>
          <w:rFonts w:hint="eastAsia"/>
          <w:color w:val="auto"/>
          <w:spacing w:val="2"/>
          <w:lang w:eastAsia="zh-CN"/>
        </w:rPr>
        <w:t>供应商</w:t>
      </w:r>
      <w:r>
        <w:rPr>
          <w:color w:val="auto"/>
          <w:spacing w:val="2"/>
        </w:rPr>
        <w:t>对投标文件中含义不明确、对同类问题表</w:t>
      </w:r>
      <w:r>
        <w:rPr>
          <w:color w:val="auto"/>
        </w:rPr>
        <w:t xml:space="preserve"> </w:t>
      </w:r>
      <w:r>
        <w:rPr>
          <w:color w:val="auto"/>
          <w:spacing w:val="-3"/>
        </w:rPr>
        <w:t>述不一致或者有明显文字和计算错误等内容作必要的澄清、说明或者补正。该要</w:t>
      </w:r>
      <w:r>
        <w:rPr>
          <w:color w:val="auto"/>
          <w:spacing w:val="-109"/>
        </w:rPr>
        <w:t xml:space="preserve"> </w:t>
      </w:r>
      <w:r>
        <w:rPr>
          <w:color w:val="auto"/>
          <w:spacing w:val="-3"/>
        </w:rPr>
        <w:t>求应当采用书面形式，并由评标委员会成员签字。评标委员会不接受</w:t>
      </w:r>
      <w:r>
        <w:rPr>
          <w:rFonts w:hint="eastAsia"/>
          <w:color w:val="auto"/>
          <w:spacing w:val="-3"/>
          <w:lang w:eastAsia="zh-CN"/>
        </w:rPr>
        <w:t>供应商</w:t>
      </w:r>
      <w:r>
        <w:rPr>
          <w:color w:val="auto"/>
          <w:spacing w:val="-3"/>
        </w:rPr>
        <w:t>主动</w:t>
      </w:r>
      <w:r>
        <w:rPr>
          <w:color w:val="auto"/>
          <w:spacing w:val="-109"/>
        </w:rPr>
        <w:t xml:space="preserve"> </w:t>
      </w:r>
      <w:r>
        <w:rPr>
          <w:color w:val="auto"/>
        </w:rPr>
        <w:t>提出的澄清、说明或者补正。</w:t>
      </w:r>
    </w:p>
    <w:p>
      <w:pPr>
        <w:pStyle w:val="8"/>
        <w:kinsoku w:val="0"/>
        <w:overflowPunct w:val="0"/>
        <w:spacing w:line="357" w:lineRule="auto"/>
        <w:ind w:right="197" w:firstLine="480"/>
        <w:jc w:val="both"/>
        <w:rPr>
          <w:rFonts w:hint="default" w:ascii="宋体" w:eastAsia="宋体" w:cs="宋体"/>
          <w:color w:val="auto"/>
          <w:spacing w:val="2"/>
        </w:rPr>
      </w:pPr>
      <w:r>
        <w:rPr>
          <w:rFonts w:ascii="宋体" w:eastAsia="宋体" w:cs="宋体"/>
          <w:color w:val="auto"/>
          <w:spacing w:val="2"/>
        </w:rPr>
        <w:t xml:space="preserve">24.2 </w:t>
      </w:r>
      <w:r>
        <w:rPr>
          <w:rFonts w:hint="eastAsia" w:ascii="宋体" w:eastAsia="宋体" w:cs="宋体"/>
          <w:color w:val="auto"/>
          <w:spacing w:val="2"/>
          <w:lang w:eastAsia="zh-CN"/>
        </w:rPr>
        <w:t>供应商</w:t>
      </w:r>
      <w:r>
        <w:rPr>
          <w:rFonts w:ascii="宋体" w:eastAsia="宋体" w:cs="宋体"/>
          <w:color w:val="auto"/>
          <w:spacing w:val="2"/>
        </w:rPr>
        <w:t>必须按照评标委员会通知的内容和时间做出书面答复，该答复 经法定代表人或授权代理人的签字认可，将作为投标文件内容的一部分。澄清、 说明或者补正不得超出投标文件的范围或者改变投标文件的实质性内容。</w:t>
      </w:r>
      <w:r>
        <w:rPr>
          <w:rFonts w:hint="eastAsia" w:ascii="宋体" w:eastAsia="宋体" w:cs="宋体"/>
          <w:color w:val="auto"/>
          <w:spacing w:val="2"/>
          <w:lang w:eastAsia="zh-CN"/>
        </w:rPr>
        <w:t>供应商</w:t>
      </w:r>
      <w:r>
        <w:rPr>
          <w:rFonts w:ascii="宋体" w:eastAsia="宋体" w:cs="宋体"/>
          <w:color w:val="auto"/>
          <w:spacing w:val="2"/>
        </w:rPr>
        <w:t xml:space="preserve"> 拒不按照要求对投标文件进行澄清、说明或者补正的，评标委员会可拒绝该投标。</w:t>
      </w:r>
    </w:p>
    <w:p>
      <w:pPr>
        <w:pStyle w:val="8"/>
        <w:kinsoku w:val="0"/>
        <w:overflowPunct w:val="0"/>
        <w:spacing w:line="357" w:lineRule="auto"/>
        <w:ind w:right="197" w:firstLine="480"/>
        <w:jc w:val="both"/>
        <w:rPr>
          <w:rFonts w:hint="default" w:ascii="宋体" w:eastAsia="宋体" w:cs="宋体"/>
          <w:color w:val="auto"/>
          <w:spacing w:val="2"/>
        </w:rPr>
      </w:pPr>
      <w:r>
        <w:rPr>
          <w:rFonts w:ascii="宋体" w:eastAsia="宋体" w:cs="宋体"/>
          <w:color w:val="auto"/>
          <w:spacing w:val="2"/>
        </w:rPr>
        <w:t>24.3 如评标委员会一致认为某个</w:t>
      </w:r>
      <w:r>
        <w:rPr>
          <w:rFonts w:hint="eastAsia" w:ascii="宋体" w:eastAsia="宋体" w:cs="宋体"/>
          <w:color w:val="auto"/>
          <w:spacing w:val="2"/>
          <w:lang w:eastAsia="zh-CN"/>
        </w:rPr>
        <w:t>供应商</w:t>
      </w:r>
      <w:r>
        <w:rPr>
          <w:rFonts w:ascii="宋体" w:eastAsia="宋体" w:cs="宋体"/>
          <w:color w:val="auto"/>
          <w:spacing w:val="2"/>
        </w:rPr>
        <w:t>的报价明显不合理，有降低质量、不能诚信履行的可能时，评标委员会有权决定是否通知</w:t>
      </w:r>
      <w:r>
        <w:rPr>
          <w:rFonts w:hint="eastAsia" w:ascii="宋体" w:eastAsia="宋体" w:cs="宋体"/>
          <w:color w:val="auto"/>
          <w:spacing w:val="2"/>
          <w:lang w:eastAsia="zh-CN"/>
        </w:rPr>
        <w:t>供应商</w:t>
      </w:r>
      <w:r>
        <w:rPr>
          <w:rFonts w:ascii="宋体" w:eastAsia="宋体" w:cs="宋体"/>
          <w:color w:val="auto"/>
          <w:spacing w:val="2"/>
        </w:rPr>
        <w:t>限期进行书面解释 或提供相关证明材料。若已要求，而该</w:t>
      </w:r>
      <w:r>
        <w:rPr>
          <w:rFonts w:hint="eastAsia" w:ascii="宋体" w:eastAsia="宋体" w:cs="宋体"/>
          <w:color w:val="auto"/>
          <w:spacing w:val="2"/>
          <w:lang w:eastAsia="zh-CN"/>
        </w:rPr>
        <w:t>供应商</w:t>
      </w:r>
      <w:r>
        <w:rPr>
          <w:rFonts w:ascii="宋体" w:eastAsia="宋体" w:cs="宋体"/>
          <w:color w:val="auto"/>
          <w:spacing w:val="2"/>
        </w:rPr>
        <w:t>在规定期限内未做出解释、作出的 解释不合理或不能提供证明材料的，经评标委员会取得一致意见后，可拒绝该投标。</w:t>
      </w:r>
    </w:p>
    <w:p>
      <w:pPr>
        <w:pStyle w:val="7"/>
        <w:kinsoku w:val="0"/>
        <w:overflowPunct w:val="0"/>
        <w:jc w:val="both"/>
        <w:rPr>
          <w:rFonts w:hint="default"/>
          <w:b w:val="0"/>
          <w:color w:val="auto"/>
        </w:rPr>
      </w:pPr>
      <w:r>
        <w:rPr>
          <w:color w:val="auto"/>
        </w:rPr>
        <w:t>25.详细评审</w:t>
      </w:r>
    </w:p>
    <w:p>
      <w:pPr>
        <w:pStyle w:val="8"/>
        <w:kinsoku w:val="0"/>
        <w:overflowPunct w:val="0"/>
        <w:spacing w:before="154" w:line="357" w:lineRule="auto"/>
        <w:ind w:right="197" w:firstLine="480"/>
        <w:jc w:val="both"/>
        <w:rPr>
          <w:rFonts w:hint="default"/>
          <w:color w:val="auto"/>
        </w:rPr>
      </w:pPr>
      <w:r>
        <w:rPr>
          <w:color w:val="auto"/>
        </w:rPr>
        <w:t>25.1</w:t>
      </w:r>
      <w:r>
        <w:rPr>
          <w:color w:val="auto"/>
          <w:spacing w:val="-51"/>
        </w:rPr>
        <w:t xml:space="preserve"> </w:t>
      </w:r>
      <w:r>
        <w:rPr>
          <w:color w:val="auto"/>
          <w:spacing w:val="2"/>
        </w:rPr>
        <w:t>评标委员会只对实质上响应招标文件的投标进行评价和比较；评审应</w:t>
      </w:r>
      <w:r>
        <w:rPr>
          <w:color w:val="auto"/>
        </w:rPr>
        <w:t xml:space="preserve"> </w:t>
      </w:r>
      <w:r>
        <w:rPr>
          <w:color w:val="auto"/>
          <w:spacing w:val="-3"/>
        </w:rPr>
        <w:t>严格按照招标文件第二部分“</w:t>
      </w:r>
      <w:r>
        <w:rPr>
          <w:rFonts w:hint="eastAsia"/>
          <w:color w:val="auto"/>
          <w:spacing w:val="-3"/>
          <w:lang w:eastAsia="zh-CN"/>
        </w:rPr>
        <w:t>供应商</w:t>
      </w:r>
      <w:r>
        <w:rPr>
          <w:color w:val="auto"/>
          <w:spacing w:val="-3"/>
        </w:rPr>
        <w:t>须知前附表”中的规定以及招标文件的要求</w:t>
      </w:r>
      <w:r>
        <w:rPr>
          <w:color w:val="auto"/>
          <w:spacing w:val="-109"/>
        </w:rPr>
        <w:t xml:space="preserve"> </w:t>
      </w:r>
      <w:r>
        <w:rPr>
          <w:color w:val="auto"/>
        </w:rPr>
        <w:t>进行。具体要求等详见招标文件第五部分“评审方法”。</w:t>
      </w:r>
    </w:p>
    <w:p>
      <w:pPr>
        <w:pStyle w:val="8"/>
        <w:kinsoku w:val="0"/>
        <w:overflowPunct w:val="0"/>
        <w:spacing w:line="357" w:lineRule="auto"/>
        <w:ind w:right="197" w:firstLine="480"/>
        <w:jc w:val="both"/>
        <w:rPr>
          <w:rFonts w:hint="default"/>
          <w:color w:val="auto"/>
        </w:rPr>
      </w:pPr>
      <w:r>
        <w:rPr>
          <w:color w:val="auto"/>
        </w:rPr>
        <w:t>25.2</w:t>
      </w:r>
      <w:r>
        <w:rPr>
          <w:color w:val="auto"/>
          <w:spacing w:val="-51"/>
        </w:rPr>
        <w:t xml:space="preserve"> </w:t>
      </w:r>
      <w:r>
        <w:rPr>
          <w:color w:val="auto"/>
          <w:spacing w:val="2"/>
        </w:rPr>
        <w:t>评标委员会依法独立评审，严格遵守评审工作纪律。对需要共同认定</w:t>
      </w:r>
      <w:r>
        <w:rPr>
          <w:color w:val="auto"/>
        </w:rPr>
        <w:t xml:space="preserve"> </w:t>
      </w:r>
      <w:r>
        <w:rPr>
          <w:color w:val="auto"/>
          <w:spacing w:val="-3"/>
        </w:rPr>
        <w:t>的事项存在争议的，按照少数服从多数的原则作出评审结论。持不同意见的评标</w:t>
      </w:r>
      <w:r>
        <w:rPr>
          <w:color w:val="auto"/>
          <w:spacing w:val="-109"/>
        </w:rPr>
        <w:t xml:space="preserve"> </w:t>
      </w:r>
      <w:r>
        <w:rPr>
          <w:color w:val="auto"/>
          <w:spacing w:val="-3"/>
        </w:rPr>
        <w:t>委员会成员应当在评标报告上签署不同意见并说明理由，不签署不同意见的视为</w:t>
      </w:r>
      <w:r>
        <w:rPr>
          <w:color w:val="auto"/>
          <w:spacing w:val="-109"/>
        </w:rPr>
        <w:t xml:space="preserve"> </w:t>
      </w:r>
      <w:r>
        <w:rPr>
          <w:color w:val="auto"/>
        </w:rPr>
        <w:t>同意。</w:t>
      </w:r>
    </w:p>
    <w:p>
      <w:pPr>
        <w:pStyle w:val="7"/>
        <w:kinsoku w:val="0"/>
        <w:overflowPunct w:val="0"/>
        <w:jc w:val="both"/>
        <w:rPr>
          <w:rFonts w:hint="default"/>
          <w:b w:val="0"/>
          <w:color w:val="auto"/>
        </w:rPr>
      </w:pPr>
      <w:r>
        <w:rPr>
          <w:color w:val="auto"/>
        </w:rPr>
        <w:t>26.中标候选人</w:t>
      </w:r>
    </w:p>
    <w:p>
      <w:pPr>
        <w:pStyle w:val="8"/>
        <w:kinsoku w:val="0"/>
        <w:overflowPunct w:val="0"/>
        <w:spacing w:before="154" w:line="357" w:lineRule="auto"/>
        <w:ind w:right="200" w:firstLine="480"/>
        <w:jc w:val="both"/>
        <w:rPr>
          <w:rFonts w:hint="default"/>
          <w:color w:val="auto"/>
        </w:rPr>
      </w:pPr>
      <w:r>
        <w:rPr>
          <w:color w:val="auto"/>
        </w:rPr>
        <w:t>26.1</w:t>
      </w:r>
      <w:r>
        <w:rPr>
          <w:color w:val="auto"/>
          <w:spacing w:val="-53"/>
        </w:rPr>
        <w:t xml:space="preserve"> </w:t>
      </w:r>
      <w:r>
        <w:rPr>
          <w:color w:val="auto"/>
          <w:spacing w:val="2"/>
        </w:rPr>
        <w:t>采用综合评分法的采购项目，评标委员会根据评审结果及招标文件的</w:t>
      </w:r>
      <w:r>
        <w:rPr>
          <w:color w:val="auto"/>
        </w:rPr>
        <w:t xml:space="preserve"> 规定推荐中标候选人。</w:t>
      </w:r>
    </w:p>
    <w:p>
      <w:pPr>
        <w:pStyle w:val="7"/>
        <w:kinsoku w:val="0"/>
        <w:overflowPunct w:val="0"/>
        <w:jc w:val="both"/>
        <w:rPr>
          <w:rFonts w:hint="default"/>
          <w:b w:val="0"/>
          <w:color w:val="auto"/>
        </w:rPr>
      </w:pPr>
      <w:r>
        <w:rPr>
          <w:color w:val="auto"/>
        </w:rPr>
        <w:t>27.评标过程要求</w:t>
      </w:r>
    </w:p>
    <w:p>
      <w:pPr>
        <w:pStyle w:val="8"/>
        <w:kinsoku w:val="0"/>
        <w:overflowPunct w:val="0"/>
        <w:spacing w:before="154" w:line="357" w:lineRule="auto"/>
        <w:ind w:right="197" w:firstLine="480"/>
        <w:jc w:val="both"/>
        <w:rPr>
          <w:rFonts w:hint="default"/>
          <w:color w:val="auto"/>
        </w:rPr>
      </w:pPr>
      <w:r>
        <w:rPr>
          <w:color w:val="auto"/>
        </w:rPr>
        <w:t>27.1</w:t>
      </w:r>
      <w:r>
        <w:rPr>
          <w:color w:val="auto"/>
          <w:spacing w:val="-51"/>
        </w:rPr>
        <w:t xml:space="preserve"> </w:t>
      </w:r>
      <w:r>
        <w:rPr>
          <w:color w:val="auto"/>
          <w:spacing w:val="2"/>
        </w:rPr>
        <w:t>开标之后，直到签订合同止，凡是属于审查、澄清、评价和比较投标</w:t>
      </w:r>
      <w:r>
        <w:rPr>
          <w:color w:val="auto"/>
        </w:rPr>
        <w:t xml:space="preserve"> 的有关资料以及定标意向等，均不向</w:t>
      </w:r>
      <w:r>
        <w:rPr>
          <w:rFonts w:hint="eastAsia"/>
          <w:color w:val="auto"/>
          <w:lang w:eastAsia="zh-CN"/>
        </w:rPr>
        <w:t>供应商</w:t>
      </w:r>
      <w:r>
        <w:rPr>
          <w:color w:val="auto"/>
        </w:rPr>
        <w:t>或者其他与评标无关的人员透露。</w:t>
      </w:r>
    </w:p>
    <w:p>
      <w:pPr>
        <w:pStyle w:val="8"/>
        <w:kinsoku w:val="0"/>
        <w:overflowPunct w:val="0"/>
        <w:spacing w:line="357" w:lineRule="auto"/>
        <w:ind w:right="105" w:firstLine="480"/>
        <w:jc w:val="both"/>
        <w:rPr>
          <w:rFonts w:hint="default"/>
          <w:color w:val="auto"/>
        </w:rPr>
      </w:pPr>
      <w:r>
        <w:rPr>
          <w:color w:val="auto"/>
        </w:rPr>
        <w:t>27.2</w:t>
      </w:r>
      <w:r>
        <w:rPr>
          <w:color w:val="auto"/>
          <w:spacing w:val="-55"/>
        </w:rPr>
        <w:t xml:space="preserve"> </w:t>
      </w:r>
      <w:r>
        <w:rPr>
          <w:color w:val="auto"/>
          <w:spacing w:val="2"/>
        </w:rPr>
        <w:t>在确定中标人之前，</w:t>
      </w:r>
      <w:r>
        <w:rPr>
          <w:rFonts w:hint="eastAsia"/>
          <w:color w:val="auto"/>
          <w:spacing w:val="2"/>
          <w:lang w:eastAsia="zh-CN"/>
        </w:rPr>
        <w:t>供应商</w:t>
      </w:r>
      <w:r>
        <w:rPr>
          <w:color w:val="auto"/>
          <w:spacing w:val="2"/>
        </w:rPr>
        <w:t>试图在投标文件审查、澄清、比较和评标</w:t>
      </w:r>
      <w:r>
        <w:rPr>
          <w:color w:val="auto"/>
        </w:rPr>
        <w:t xml:space="preserve"> 时对评标委员会、采购人和采购代理机构施加任何影响都可能导致其投标无效。</w:t>
      </w:r>
    </w:p>
    <w:p>
      <w:pPr>
        <w:pStyle w:val="8"/>
        <w:kinsoku w:val="0"/>
        <w:overflowPunct w:val="0"/>
        <w:ind w:left="600"/>
        <w:rPr>
          <w:rFonts w:hint="default"/>
          <w:color w:val="auto"/>
        </w:rPr>
      </w:pPr>
      <w:r>
        <w:rPr>
          <w:color w:val="auto"/>
        </w:rPr>
        <w:t>27.3</w:t>
      </w:r>
      <w:r>
        <w:rPr>
          <w:color w:val="auto"/>
          <w:spacing w:val="-60"/>
        </w:rPr>
        <w:t xml:space="preserve"> </w:t>
      </w:r>
      <w:r>
        <w:rPr>
          <w:color w:val="auto"/>
        </w:rPr>
        <w:t>电子招投标的应急措施</w:t>
      </w:r>
    </w:p>
    <w:p>
      <w:pPr>
        <w:pStyle w:val="8"/>
        <w:kinsoku w:val="0"/>
        <w:overflowPunct w:val="0"/>
        <w:spacing w:before="154" w:line="357" w:lineRule="auto"/>
        <w:ind w:right="197" w:firstLine="480"/>
        <w:jc w:val="both"/>
        <w:rPr>
          <w:rFonts w:hint="default"/>
          <w:color w:val="auto"/>
        </w:rPr>
      </w:pPr>
      <w:r>
        <w:rPr>
          <w:color w:val="auto"/>
        </w:rPr>
        <w:t>27.3.1</w:t>
      </w:r>
      <w:r>
        <w:rPr>
          <w:color w:val="auto"/>
          <w:spacing w:val="-50"/>
        </w:rPr>
        <w:t xml:space="preserve"> </w:t>
      </w:r>
      <w:r>
        <w:rPr>
          <w:color w:val="auto"/>
          <w:spacing w:val="2"/>
        </w:rPr>
        <w:t>电子开标、评标如出现下列原因，导致系统无法正常运行或无法正</w:t>
      </w:r>
      <w:r>
        <w:rPr>
          <w:color w:val="auto"/>
        </w:rPr>
        <w:t xml:space="preserve"> 常评标时，应采取应急措施。</w:t>
      </w:r>
    </w:p>
    <w:p>
      <w:pPr>
        <w:pStyle w:val="8"/>
        <w:kinsoku w:val="0"/>
        <w:overflowPunct w:val="0"/>
        <w:ind w:left="600"/>
        <w:rPr>
          <w:rFonts w:hint="default"/>
          <w:color w:val="auto"/>
        </w:rPr>
      </w:pPr>
      <w:r>
        <w:rPr>
          <w:color w:val="auto"/>
        </w:rPr>
        <w:t>（1）系统服务器发生故障，无法访问或无法使用系统；</w:t>
      </w:r>
    </w:p>
    <w:p>
      <w:pPr>
        <w:pStyle w:val="8"/>
        <w:kinsoku w:val="0"/>
        <w:overflowPunct w:val="0"/>
        <w:spacing w:before="154"/>
        <w:ind w:left="600"/>
        <w:rPr>
          <w:rFonts w:hint="default"/>
          <w:color w:val="auto"/>
        </w:rPr>
      </w:pPr>
      <w:r>
        <w:rPr>
          <w:color w:val="auto"/>
        </w:rPr>
        <w:t>（2）系统的软件或数据库出现错误，不能进行正常操作；</w:t>
      </w:r>
    </w:p>
    <w:p>
      <w:pPr>
        <w:pStyle w:val="8"/>
        <w:kinsoku w:val="0"/>
        <w:overflowPunct w:val="0"/>
        <w:spacing w:before="154"/>
        <w:ind w:left="600"/>
        <w:rPr>
          <w:rFonts w:hint="default"/>
          <w:color w:val="auto"/>
        </w:rPr>
      </w:pPr>
      <w:r>
        <w:rPr>
          <w:color w:val="auto"/>
        </w:rPr>
        <w:t>（3）系统发现有安全漏洞，有潜在的泄密危险；</w:t>
      </w:r>
    </w:p>
    <w:p>
      <w:pPr>
        <w:pStyle w:val="8"/>
        <w:kinsoku w:val="0"/>
        <w:overflowPunct w:val="0"/>
        <w:spacing w:before="154"/>
        <w:ind w:left="600"/>
        <w:rPr>
          <w:rFonts w:hint="default"/>
          <w:color w:val="auto"/>
        </w:rPr>
      </w:pPr>
      <w:r>
        <w:rPr>
          <w:color w:val="auto"/>
        </w:rPr>
        <w:t>（4）病毒发作或受到外来病毒的攻击；</w:t>
      </w:r>
    </w:p>
    <w:p>
      <w:pPr>
        <w:pStyle w:val="8"/>
        <w:kinsoku w:val="0"/>
        <w:overflowPunct w:val="0"/>
        <w:spacing w:line="357" w:lineRule="auto"/>
        <w:ind w:right="105" w:firstLine="480"/>
        <w:jc w:val="both"/>
        <w:rPr>
          <w:rFonts w:hint="default" w:ascii="宋体" w:eastAsia="宋体" w:cs="宋体"/>
          <w:color w:val="auto"/>
        </w:rPr>
      </w:pPr>
      <w:r>
        <w:rPr>
          <w:rFonts w:ascii="宋体" w:eastAsia="宋体" w:cs="宋体"/>
          <w:color w:val="auto"/>
        </w:rPr>
        <w:t>（5）出现其他不可抗拒的客观原因造成开评标系统无法正常使用。 出现上述情况时，应对未开标的暂停开标。已在系统内开标、评标的立即停止。采取应急措施时，必须对原有资料及信息作出妥善保密处理。</w:t>
      </w:r>
    </w:p>
    <w:p>
      <w:pPr>
        <w:pStyle w:val="8"/>
        <w:kinsoku w:val="0"/>
        <w:overflowPunct w:val="0"/>
        <w:spacing w:before="154" w:line="357" w:lineRule="auto"/>
        <w:ind w:right="117" w:firstLine="480"/>
        <w:jc w:val="both"/>
        <w:rPr>
          <w:rFonts w:hint="default"/>
          <w:color w:val="auto"/>
        </w:rPr>
      </w:pPr>
      <w:r>
        <w:rPr>
          <w:color w:val="auto"/>
        </w:rPr>
        <w:t>27.3.2</w:t>
      </w:r>
      <w:r>
        <w:rPr>
          <w:color w:val="auto"/>
          <w:spacing w:val="-50"/>
        </w:rPr>
        <w:t xml:space="preserve"> </w:t>
      </w:r>
      <w:r>
        <w:rPr>
          <w:color w:val="auto"/>
          <w:spacing w:val="2"/>
        </w:rPr>
        <w:t>因系统原因导致</w:t>
      </w:r>
      <w:r>
        <w:rPr>
          <w:rFonts w:hint="eastAsia"/>
          <w:color w:val="auto"/>
          <w:spacing w:val="2"/>
          <w:lang w:eastAsia="zh-CN"/>
        </w:rPr>
        <w:t>供应商</w:t>
      </w:r>
      <w:r>
        <w:rPr>
          <w:color w:val="auto"/>
          <w:spacing w:val="2"/>
        </w:rPr>
        <w:t>均无法解密电子投标文件时，采购代理机构</w:t>
      </w:r>
      <w:r>
        <w:rPr>
          <w:color w:val="auto"/>
        </w:rPr>
        <w:t xml:space="preserve"> </w:t>
      </w:r>
      <w:r>
        <w:rPr>
          <w:color w:val="auto"/>
          <w:spacing w:val="3"/>
        </w:rPr>
        <w:t>可在开标现场直接导入</w:t>
      </w:r>
      <w:r>
        <w:rPr>
          <w:rFonts w:hint="eastAsia"/>
          <w:color w:val="auto"/>
          <w:spacing w:val="3"/>
          <w:lang w:eastAsia="zh-CN"/>
        </w:rPr>
        <w:t>供应商</w:t>
      </w:r>
      <w:r>
        <w:rPr>
          <w:color w:val="auto"/>
          <w:spacing w:val="3"/>
        </w:rPr>
        <w:t>在投标截止时间前递交的未加密的电子投标文件</w:t>
      </w:r>
      <w:r>
        <w:rPr>
          <w:color w:val="auto"/>
          <w:spacing w:val="-101"/>
        </w:rPr>
        <w:t xml:space="preserve"> </w:t>
      </w:r>
      <w:r>
        <w:rPr>
          <w:color w:val="auto"/>
        </w:rPr>
        <w:t>进行开标、评标。</w:t>
      </w:r>
    </w:p>
    <w:p>
      <w:pPr>
        <w:pStyle w:val="7"/>
        <w:kinsoku w:val="0"/>
        <w:overflowPunct w:val="0"/>
        <w:rPr>
          <w:rFonts w:hint="default"/>
          <w:b w:val="0"/>
          <w:color w:val="auto"/>
        </w:rPr>
      </w:pPr>
      <w:r>
        <w:rPr>
          <w:color w:val="auto"/>
        </w:rPr>
        <w:t>28.</w:t>
      </w:r>
      <w:r>
        <w:rPr>
          <w:rFonts w:hint="eastAsia"/>
          <w:color w:val="auto"/>
          <w:lang w:eastAsia="zh-CN"/>
        </w:rPr>
        <w:t>供应商</w:t>
      </w:r>
      <w:r>
        <w:rPr>
          <w:color w:val="auto"/>
        </w:rPr>
        <w:t>瑕疵滞后发现的处理规则</w:t>
      </w:r>
    </w:p>
    <w:p>
      <w:pPr>
        <w:pStyle w:val="8"/>
        <w:kinsoku w:val="0"/>
        <w:overflowPunct w:val="0"/>
        <w:spacing w:before="154" w:line="357" w:lineRule="auto"/>
        <w:ind w:right="117" w:firstLine="480"/>
        <w:jc w:val="both"/>
        <w:rPr>
          <w:rFonts w:hint="default"/>
          <w:color w:val="auto"/>
        </w:rPr>
      </w:pPr>
      <w:r>
        <w:rPr>
          <w:color w:val="auto"/>
        </w:rPr>
        <w:t>28.1</w:t>
      </w:r>
      <w:r>
        <w:rPr>
          <w:color w:val="auto"/>
          <w:spacing w:val="-51"/>
        </w:rPr>
        <w:t xml:space="preserve"> </w:t>
      </w:r>
      <w:r>
        <w:rPr>
          <w:color w:val="auto"/>
          <w:spacing w:val="2"/>
        </w:rPr>
        <w:t>无论基于何种原因，各项本应作拒绝处理的情形即便未被及时发现而</w:t>
      </w:r>
      <w:r>
        <w:rPr>
          <w:color w:val="auto"/>
        </w:rPr>
        <w:t xml:space="preserve"> </w:t>
      </w:r>
      <w:r>
        <w:rPr>
          <w:color w:val="auto"/>
          <w:spacing w:val="-3"/>
        </w:rPr>
        <w:t>使该</w:t>
      </w:r>
      <w:r>
        <w:rPr>
          <w:rFonts w:hint="eastAsia"/>
          <w:color w:val="auto"/>
          <w:spacing w:val="-3"/>
          <w:lang w:eastAsia="zh-CN"/>
        </w:rPr>
        <w:t>供应商</w:t>
      </w:r>
      <w:r>
        <w:rPr>
          <w:color w:val="auto"/>
          <w:spacing w:val="-3"/>
        </w:rPr>
        <w:t>进入初审、综合评审或其他后续程序，包括已经签订合同的情形，一</w:t>
      </w:r>
      <w:r>
        <w:rPr>
          <w:color w:val="auto"/>
          <w:spacing w:val="-111"/>
        </w:rPr>
        <w:t xml:space="preserve"> </w:t>
      </w:r>
      <w:r>
        <w:rPr>
          <w:color w:val="auto"/>
          <w:spacing w:val="-3"/>
        </w:rPr>
        <w:t>旦</w:t>
      </w:r>
      <w:r>
        <w:rPr>
          <w:rFonts w:hint="eastAsia"/>
          <w:color w:val="auto"/>
          <w:spacing w:val="-3"/>
          <w:lang w:eastAsia="zh-CN"/>
        </w:rPr>
        <w:t>供应商</w:t>
      </w:r>
      <w:r>
        <w:rPr>
          <w:color w:val="auto"/>
          <w:spacing w:val="-3"/>
        </w:rPr>
        <w:t>被拒绝或该</w:t>
      </w:r>
      <w:r>
        <w:rPr>
          <w:rFonts w:hint="eastAsia"/>
          <w:color w:val="auto"/>
          <w:spacing w:val="-3"/>
          <w:lang w:eastAsia="zh-CN"/>
        </w:rPr>
        <w:t>供应商</w:t>
      </w:r>
      <w:r>
        <w:rPr>
          <w:color w:val="auto"/>
          <w:spacing w:val="-3"/>
        </w:rPr>
        <w:t>的此前评议结果被取消，其现有的位置将被其他投标</w:t>
      </w:r>
      <w:r>
        <w:rPr>
          <w:color w:val="auto"/>
          <w:spacing w:val="-109"/>
        </w:rPr>
        <w:t xml:space="preserve"> </w:t>
      </w:r>
      <w:r>
        <w:rPr>
          <w:color w:val="auto"/>
        </w:rPr>
        <w:t>人依序替代，相关的一切损失均由该</w:t>
      </w:r>
      <w:r>
        <w:rPr>
          <w:rFonts w:hint="eastAsia"/>
          <w:color w:val="auto"/>
          <w:lang w:eastAsia="zh-CN"/>
        </w:rPr>
        <w:t>供应商</w:t>
      </w:r>
      <w:r>
        <w:rPr>
          <w:color w:val="auto"/>
        </w:rPr>
        <w:t>承担。</w:t>
      </w:r>
    </w:p>
    <w:p>
      <w:pPr>
        <w:pStyle w:val="7"/>
        <w:kinsoku w:val="0"/>
        <w:overflowPunct w:val="0"/>
        <w:rPr>
          <w:rFonts w:hint="default"/>
          <w:b w:val="0"/>
          <w:color w:val="auto"/>
        </w:rPr>
      </w:pPr>
      <w:r>
        <w:rPr>
          <w:color w:val="auto"/>
        </w:rPr>
        <w:t>29.采购项目废标</w:t>
      </w:r>
    </w:p>
    <w:p>
      <w:pPr>
        <w:pStyle w:val="8"/>
        <w:kinsoku w:val="0"/>
        <w:overflowPunct w:val="0"/>
        <w:spacing w:before="154" w:line="357" w:lineRule="auto"/>
        <w:ind w:right="117" w:firstLine="480"/>
        <w:jc w:val="both"/>
        <w:rPr>
          <w:rFonts w:hint="default"/>
          <w:color w:val="auto"/>
        </w:rPr>
      </w:pPr>
      <w:r>
        <w:rPr>
          <w:color w:val="auto"/>
        </w:rPr>
        <w:t>29.1</w:t>
      </w:r>
      <w:r>
        <w:rPr>
          <w:color w:val="auto"/>
          <w:spacing w:val="-51"/>
        </w:rPr>
        <w:t xml:space="preserve"> </w:t>
      </w:r>
      <w:r>
        <w:rPr>
          <w:color w:val="auto"/>
          <w:spacing w:val="2"/>
        </w:rPr>
        <w:t>在评标过程中，评标委员会发现有下列情形之一的，应对采购项目予</w:t>
      </w:r>
      <w:r>
        <w:rPr>
          <w:color w:val="auto"/>
        </w:rPr>
        <w:t xml:space="preserve"> 以废标：</w:t>
      </w:r>
    </w:p>
    <w:p>
      <w:pPr>
        <w:pStyle w:val="8"/>
        <w:kinsoku w:val="0"/>
        <w:overflowPunct w:val="0"/>
        <w:spacing w:line="357" w:lineRule="auto"/>
        <w:ind w:right="120" w:firstLine="480"/>
        <w:jc w:val="both"/>
        <w:rPr>
          <w:rFonts w:hint="default"/>
          <w:color w:val="auto"/>
        </w:rPr>
      </w:pPr>
      <w:r>
        <w:rPr>
          <w:color w:val="auto"/>
        </w:rPr>
        <w:t>1）符合专业条件的供应商或者对招标文件作实质响应的供应商数量不足， 导致进入详细评审阶段的供应商不足</w:t>
      </w:r>
      <w:r>
        <w:rPr>
          <w:color w:val="auto"/>
          <w:spacing w:val="-60"/>
        </w:rPr>
        <w:t xml:space="preserve"> </w:t>
      </w:r>
      <w:r>
        <w:rPr>
          <w:color w:val="auto"/>
        </w:rPr>
        <w:t>3</w:t>
      </w:r>
      <w:r>
        <w:rPr>
          <w:color w:val="auto"/>
          <w:spacing w:val="-60"/>
        </w:rPr>
        <w:t xml:space="preserve"> </w:t>
      </w:r>
      <w:r>
        <w:rPr>
          <w:color w:val="auto"/>
        </w:rPr>
        <w:t>家的；</w:t>
      </w:r>
    </w:p>
    <w:p>
      <w:pPr>
        <w:pStyle w:val="8"/>
        <w:kinsoku w:val="0"/>
        <w:overflowPunct w:val="0"/>
        <w:ind w:left="600"/>
        <w:rPr>
          <w:rFonts w:hint="default"/>
          <w:color w:val="auto"/>
        </w:rPr>
      </w:pPr>
      <w:r>
        <w:rPr>
          <w:color w:val="auto"/>
        </w:rPr>
        <w:t>2）</w:t>
      </w:r>
      <w:r>
        <w:rPr>
          <w:rFonts w:hint="eastAsia"/>
          <w:color w:val="auto"/>
          <w:lang w:eastAsia="zh-CN"/>
        </w:rPr>
        <w:t>供应商</w:t>
      </w:r>
      <w:r>
        <w:rPr>
          <w:color w:val="auto"/>
        </w:rPr>
        <w:t>的报价均超过了采购预算；</w:t>
      </w:r>
    </w:p>
    <w:p>
      <w:pPr>
        <w:pStyle w:val="8"/>
        <w:kinsoku w:val="0"/>
        <w:overflowPunct w:val="0"/>
        <w:spacing w:before="154"/>
        <w:ind w:left="600"/>
        <w:rPr>
          <w:rFonts w:hint="default"/>
          <w:color w:val="auto"/>
        </w:rPr>
      </w:pPr>
      <w:r>
        <w:rPr>
          <w:color w:val="auto"/>
        </w:rPr>
        <w:t>3）出现影响采购公正的违法、违规行为的；</w:t>
      </w:r>
    </w:p>
    <w:p>
      <w:pPr>
        <w:pStyle w:val="8"/>
        <w:kinsoku w:val="0"/>
        <w:overflowPunct w:val="0"/>
        <w:spacing w:before="154"/>
        <w:ind w:left="600"/>
        <w:rPr>
          <w:rFonts w:hint="default"/>
          <w:color w:val="auto"/>
        </w:rPr>
      </w:pPr>
      <w:r>
        <w:rPr>
          <w:color w:val="auto"/>
        </w:rPr>
        <w:t>4）因重大变故，采购任务取消的。</w:t>
      </w:r>
    </w:p>
    <w:p>
      <w:pPr>
        <w:pStyle w:val="8"/>
        <w:kinsoku w:val="0"/>
        <w:overflowPunct w:val="0"/>
        <w:spacing w:before="154" w:line="357" w:lineRule="auto"/>
        <w:ind w:left="600"/>
        <w:rPr>
          <w:rFonts w:hint="default"/>
          <w:color w:val="auto"/>
        </w:rPr>
      </w:pPr>
      <w:r>
        <w:rPr>
          <w:color w:val="auto"/>
        </w:rPr>
        <w:t>29.2</w:t>
      </w:r>
      <w:r>
        <w:rPr>
          <w:color w:val="auto"/>
          <w:spacing w:val="-60"/>
        </w:rPr>
        <w:t xml:space="preserve"> </w:t>
      </w:r>
      <w:r>
        <w:rPr>
          <w:rFonts w:hint="eastAsia"/>
          <w:color w:val="auto"/>
          <w:lang w:eastAsia="zh-CN"/>
        </w:rPr>
        <w:t>供应商</w:t>
      </w:r>
      <w:r>
        <w:rPr>
          <w:color w:val="auto"/>
        </w:rPr>
        <w:t>存在下列情况之一的,投标无效； (一)未按照招标文件的规定提交投标保证金的； (二)投标文件未按招标文件要求签署、盖章的； (三)不具备招标文件中规定的资格要求的； (四)报价超过招标文件中规定的预算金额或者最高限价的； (五)投标文件含有采购人不能接受的附加条件的； (六)法律、法规和招标文件规定的其他无效情形；</w:t>
      </w:r>
      <w:r>
        <w:rPr>
          <w:color w:val="auto"/>
          <w:spacing w:val="-3"/>
        </w:rPr>
        <w:t>（七）本项目不接受选择性报价，对于出现的政采云平台开标唱标环节经投</w:t>
      </w:r>
      <w:r>
        <w:rPr>
          <w:color w:val="auto"/>
        </w:rPr>
        <w:t xml:space="preserve"> </w:t>
      </w:r>
      <w:r>
        <w:rPr>
          <w:color w:val="auto"/>
          <w:spacing w:val="-3"/>
        </w:rPr>
        <w:t>标供应商确认的投标报价与投标文件中开标一览表的报价不一致的现象，视作选</w:t>
      </w:r>
      <w:r>
        <w:rPr>
          <w:color w:val="auto"/>
          <w:spacing w:val="-109"/>
        </w:rPr>
        <w:t xml:space="preserve"> </w:t>
      </w:r>
      <w:r>
        <w:rPr>
          <w:color w:val="auto"/>
        </w:rPr>
        <w:t>择性报价，将被作为无效投标处理。</w:t>
      </w:r>
    </w:p>
    <w:p>
      <w:pPr>
        <w:pStyle w:val="7"/>
        <w:kinsoku w:val="0"/>
        <w:overflowPunct w:val="0"/>
        <w:spacing w:before="8" w:line="360" w:lineRule="auto"/>
        <w:rPr>
          <w:rFonts w:hint="default"/>
          <w:b w:val="0"/>
          <w:color w:val="auto"/>
        </w:rPr>
      </w:pPr>
      <w:bookmarkStart w:id="33" w:name="八、履约保证金"/>
      <w:bookmarkEnd w:id="33"/>
      <w:r>
        <w:rPr>
          <w:color w:val="auto"/>
        </w:rPr>
        <w:t>八、履约保证金</w:t>
      </w:r>
    </w:p>
    <w:p>
      <w:pPr>
        <w:pStyle w:val="8"/>
        <w:kinsoku w:val="0"/>
        <w:overflowPunct w:val="0"/>
        <w:spacing w:before="0" w:line="360" w:lineRule="auto"/>
        <w:rPr>
          <w:rFonts w:hint="default"/>
          <w:color w:val="auto"/>
        </w:rPr>
      </w:pPr>
      <w:r>
        <w:rPr>
          <w:b/>
          <w:color w:val="auto"/>
        </w:rPr>
        <w:t>30.履约保证金</w:t>
      </w:r>
    </w:p>
    <w:p>
      <w:pPr>
        <w:pStyle w:val="8"/>
        <w:kinsoku w:val="0"/>
        <w:overflowPunct w:val="0"/>
        <w:spacing w:before="154" w:line="357" w:lineRule="auto"/>
        <w:ind w:firstLine="480"/>
        <w:rPr>
          <w:rFonts w:hint="default"/>
          <w:color w:val="auto"/>
        </w:rPr>
      </w:pPr>
      <w:r>
        <w:rPr>
          <w:color w:val="auto"/>
        </w:rPr>
        <w:t>30.1</w:t>
      </w:r>
      <w:r>
        <w:rPr>
          <w:color w:val="auto"/>
          <w:spacing w:val="-51"/>
        </w:rPr>
        <w:t xml:space="preserve"> </w:t>
      </w:r>
      <w:r>
        <w:rPr>
          <w:color w:val="auto"/>
          <w:spacing w:val="2"/>
        </w:rPr>
        <w:t>履约保证金按照招标文件第二部分“</w:t>
      </w:r>
      <w:r>
        <w:rPr>
          <w:rFonts w:hint="eastAsia"/>
          <w:color w:val="auto"/>
          <w:spacing w:val="2"/>
          <w:lang w:eastAsia="zh-CN"/>
        </w:rPr>
        <w:t>供应商</w:t>
      </w:r>
      <w:r>
        <w:rPr>
          <w:color w:val="auto"/>
          <w:spacing w:val="2"/>
        </w:rPr>
        <w:t>须知前附表”中规定，在</w:t>
      </w:r>
      <w:r>
        <w:rPr>
          <w:color w:val="auto"/>
        </w:rPr>
        <w:t xml:space="preserve"> 签订合同前交纳。</w:t>
      </w:r>
    </w:p>
    <w:p>
      <w:pPr>
        <w:pStyle w:val="8"/>
        <w:kinsoku w:val="0"/>
        <w:overflowPunct w:val="0"/>
        <w:ind w:firstLine="480"/>
        <w:jc w:val="both"/>
        <w:rPr>
          <w:rFonts w:hint="default"/>
          <w:color w:val="auto"/>
        </w:rPr>
      </w:pPr>
      <w:r>
        <w:rPr>
          <w:color w:val="auto"/>
        </w:rPr>
        <w:t>30.2</w:t>
      </w:r>
      <w:r>
        <w:rPr>
          <w:color w:val="auto"/>
          <w:spacing w:val="-60"/>
        </w:rPr>
        <w:t xml:space="preserve"> </w:t>
      </w:r>
      <w:r>
        <w:rPr>
          <w:color w:val="auto"/>
        </w:rPr>
        <w:t>中标人在中标公告发布后及时足额交纳履约保证金。</w:t>
      </w:r>
    </w:p>
    <w:p>
      <w:pPr>
        <w:pStyle w:val="7"/>
        <w:kinsoku w:val="0"/>
        <w:overflowPunct w:val="0"/>
        <w:spacing w:before="0" w:line="650" w:lineRule="atLeast"/>
        <w:ind w:right="3646"/>
        <w:rPr>
          <w:rFonts w:hint="default"/>
          <w:b w:val="0"/>
          <w:color w:val="auto"/>
        </w:rPr>
      </w:pPr>
      <w:bookmarkStart w:id="34" w:name="九、代理服务费、公证费"/>
      <w:bookmarkEnd w:id="34"/>
      <w:r>
        <w:rPr>
          <w:color w:val="auto"/>
        </w:rPr>
        <w:t>九、代理服务费、公证费</w:t>
      </w:r>
      <w:r>
        <w:rPr>
          <w:color w:val="auto"/>
          <w:w w:val="99"/>
        </w:rPr>
        <w:t xml:space="preserve"> </w:t>
      </w:r>
      <w:r>
        <w:rPr>
          <w:color w:val="auto"/>
        </w:rPr>
        <w:t>31.代理服务费、公证费</w:t>
      </w:r>
    </w:p>
    <w:p>
      <w:pPr>
        <w:pStyle w:val="8"/>
        <w:kinsoku w:val="0"/>
        <w:overflowPunct w:val="0"/>
        <w:spacing w:before="154" w:line="357" w:lineRule="auto"/>
        <w:ind w:firstLine="470"/>
        <w:rPr>
          <w:rFonts w:hint="default"/>
          <w:color w:val="auto"/>
        </w:rPr>
      </w:pPr>
      <w:r>
        <w:rPr>
          <w:color w:val="auto"/>
        </w:rPr>
        <w:t>31.1</w:t>
      </w:r>
      <w:r>
        <w:rPr>
          <w:color w:val="auto"/>
          <w:spacing w:val="-46"/>
        </w:rPr>
        <w:t xml:space="preserve"> </w:t>
      </w:r>
      <w:r>
        <w:rPr>
          <w:color w:val="auto"/>
          <w:spacing w:val="2"/>
        </w:rPr>
        <w:t>代理服务费、公证费按照招标文件第二部分“</w:t>
      </w:r>
      <w:r>
        <w:rPr>
          <w:rFonts w:hint="eastAsia"/>
          <w:color w:val="auto"/>
          <w:spacing w:val="2"/>
          <w:lang w:eastAsia="zh-CN"/>
        </w:rPr>
        <w:t>供应商</w:t>
      </w:r>
      <w:r>
        <w:rPr>
          <w:color w:val="auto"/>
          <w:spacing w:val="2"/>
        </w:rPr>
        <w:t>须知前附表”中</w:t>
      </w:r>
      <w:r>
        <w:rPr>
          <w:color w:val="auto"/>
        </w:rPr>
        <w:t xml:space="preserve"> 的规定由中标人交纳，请</w:t>
      </w:r>
      <w:r>
        <w:rPr>
          <w:rFonts w:hint="eastAsia"/>
          <w:color w:val="auto"/>
          <w:lang w:eastAsia="zh-CN"/>
        </w:rPr>
        <w:t>供应商</w:t>
      </w:r>
      <w:r>
        <w:rPr>
          <w:color w:val="auto"/>
        </w:rPr>
        <w:t>在测算投标报价时充分考虑这一因素。</w:t>
      </w:r>
    </w:p>
    <w:p>
      <w:pPr>
        <w:pStyle w:val="7"/>
        <w:kinsoku w:val="0"/>
        <w:overflowPunct w:val="0"/>
        <w:spacing w:before="0" w:line="650" w:lineRule="atLeast"/>
        <w:ind w:right="4950"/>
        <w:rPr>
          <w:rFonts w:hint="default"/>
          <w:color w:val="auto"/>
        </w:rPr>
      </w:pPr>
      <w:bookmarkStart w:id="35" w:name="十、签订、审核合同"/>
      <w:bookmarkEnd w:id="35"/>
      <w:r>
        <w:rPr>
          <w:color w:val="auto"/>
        </w:rPr>
        <w:t>十、签订、审核合同</w:t>
      </w:r>
    </w:p>
    <w:p>
      <w:pPr>
        <w:pStyle w:val="7"/>
        <w:kinsoku w:val="0"/>
        <w:overflowPunct w:val="0"/>
        <w:spacing w:before="0" w:line="650" w:lineRule="atLeast"/>
        <w:ind w:right="4950"/>
        <w:rPr>
          <w:rFonts w:hint="default"/>
          <w:b w:val="0"/>
          <w:color w:val="auto"/>
        </w:rPr>
      </w:pPr>
      <w:r>
        <w:rPr>
          <w:color w:val="auto"/>
          <w:w w:val="99"/>
        </w:rPr>
        <w:t xml:space="preserve"> </w:t>
      </w:r>
      <w:r>
        <w:rPr>
          <w:color w:val="auto"/>
        </w:rPr>
        <w:t>32.中标通知</w:t>
      </w:r>
    </w:p>
    <w:p>
      <w:pPr>
        <w:pStyle w:val="8"/>
        <w:kinsoku w:val="0"/>
        <w:overflowPunct w:val="0"/>
        <w:spacing w:before="154" w:line="357" w:lineRule="auto"/>
        <w:ind w:right="117" w:firstLine="480"/>
        <w:jc w:val="both"/>
        <w:rPr>
          <w:rFonts w:hint="default"/>
          <w:color w:val="auto"/>
        </w:rPr>
      </w:pPr>
      <w:r>
        <w:rPr>
          <w:color w:val="auto"/>
        </w:rPr>
        <w:t>32.1</w:t>
      </w:r>
      <w:r>
        <w:rPr>
          <w:color w:val="auto"/>
          <w:spacing w:val="-49"/>
        </w:rPr>
        <w:t xml:space="preserve"> </w:t>
      </w:r>
      <w:r>
        <w:rPr>
          <w:color w:val="auto"/>
          <w:spacing w:val="6"/>
        </w:rPr>
        <w:t>中标人确定后,采购代理机构将在相关政府采购信息发布媒体上发布</w:t>
      </w:r>
      <w:r>
        <w:rPr>
          <w:color w:val="auto"/>
        </w:rPr>
        <w:t xml:space="preserve"> </w:t>
      </w:r>
      <w:r>
        <w:rPr>
          <w:color w:val="auto"/>
          <w:spacing w:val="-3"/>
        </w:rPr>
        <w:t>中标公告，并以书面形式向中标人发出中标通知书，但该中标结果的有效性不依</w:t>
      </w:r>
      <w:r>
        <w:rPr>
          <w:color w:val="auto"/>
          <w:spacing w:val="-109"/>
        </w:rPr>
        <w:t xml:space="preserve"> </w:t>
      </w:r>
      <w:r>
        <w:rPr>
          <w:color w:val="auto"/>
          <w:spacing w:val="-3"/>
        </w:rPr>
        <w:t>赖于未中标的</w:t>
      </w:r>
      <w:r>
        <w:rPr>
          <w:rFonts w:hint="eastAsia"/>
          <w:color w:val="auto"/>
          <w:spacing w:val="-3"/>
          <w:lang w:eastAsia="zh-CN"/>
        </w:rPr>
        <w:t>供应商</w:t>
      </w:r>
      <w:r>
        <w:rPr>
          <w:color w:val="auto"/>
          <w:spacing w:val="-3"/>
        </w:rPr>
        <w:t>是否已经收到该通知。中标人应按照相关规定交纳履约保证</w:t>
      </w:r>
      <w:r>
        <w:rPr>
          <w:color w:val="auto"/>
          <w:spacing w:val="-109"/>
        </w:rPr>
        <w:t xml:space="preserve"> </w:t>
      </w:r>
      <w:r>
        <w:rPr>
          <w:color w:val="auto"/>
          <w:spacing w:val="-3"/>
        </w:rPr>
        <w:t>金、代理服务费和公证费并经采购代理机构确认后，委派专人持介绍信或授权书</w:t>
      </w:r>
      <w:r>
        <w:rPr>
          <w:color w:val="auto"/>
          <w:spacing w:val="-109"/>
        </w:rPr>
        <w:t xml:space="preserve"> </w:t>
      </w:r>
      <w:r>
        <w:rPr>
          <w:color w:val="auto"/>
          <w:spacing w:val="-3"/>
        </w:rPr>
        <w:t>和身份证件前往采购代理机构领取中标通知书。中标通知书对采购人和中标人具</w:t>
      </w:r>
      <w:r>
        <w:rPr>
          <w:color w:val="auto"/>
          <w:spacing w:val="-109"/>
        </w:rPr>
        <w:t xml:space="preserve"> </w:t>
      </w:r>
      <w:r>
        <w:rPr>
          <w:color w:val="auto"/>
          <w:spacing w:val="-3"/>
        </w:rPr>
        <w:t>有同等法律效力。中标通知书发出以后，采购人改变中标结果或者中标人放弃中</w:t>
      </w:r>
      <w:r>
        <w:rPr>
          <w:color w:val="auto"/>
          <w:spacing w:val="-109"/>
        </w:rPr>
        <w:t xml:space="preserve"> </w:t>
      </w:r>
      <w:r>
        <w:rPr>
          <w:color w:val="auto"/>
        </w:rPr>
        <w:t>标，应当承担相应的法律责任。</w:t>
      </w:r>
    </w:p>
    <w:p>
      <w:pPr>
        <w:pStyle w:val="8"/>
        <w:kinsoku w:val="0"/>
        <w:overflowPunct w:val="0"/>
        <w:spacing w:line="357" w:lineRule="auto"/>
        <w:ind w:firstLine="480"/>
        <w:rPr>
          <w:rFonts w:hint="default"/>
          <w:color w:val="auto"/>
        </w:rPr>
      </w:pPr>
      <w:r>
        <w:rPr>
          <w:color w:val="auto"/>
        </w:rPr>
        <w:t>32.2</w:t>
      </w:r>
      <w:r>
        <w:rPr>
          <w:color w:val="auto"/>
          <w:spacing w:val="-51"/>
        </w:rPr>
        <w:t xml:space="preserve"> </w:t>
      </w:r>
      <w:r>
        <w:rPr>
          <w:color w:val="auto"/>
          <w:spacing w:val="2"/>
        </w:rPr>
        <w:t>采购代理机构对未中标的</w:t>
      </w:r>
      <w:r>
        <w:rPr>
          <w:rFonts w:hint="eastAsia"/>
          <w:color w:val="auto"/>
          <w:spacing w:val="2"/>
          <w:lang w:eastAsia="zh-CN"/>
        </w:rPr>
        <w:t>供应商</w:t>
      </w:r>
      <w:r>
        <w:rPr>
          <w:color w:val="auto"/>
          <w:spacing w:val="2"/>
        </w:rPr>
        <w:t>不作未中标原因的解释，但中标结果</w:t>
      </w:r>
      <w:r>
        <w:rPr>
          <w:color w:val="auto"/>
        </w:rPr>
        <w:t xml:space="preserve"> 的有效性不以未中标的</w:t>
      </w:r>
      <w:r>
        <w:rPr>
          <w:rFonts w:hint="eastAsia"/>
          <w:color w:val="auto"/>
          <w:lang w:eastAsia="zh-CN"/>
        </w:rPr>
        <w:t>供应商</w:t>
      </w:r>
      <w:r>
        <w:rPr>
          <w:color w:val="auto"/>
        </w:rPr>
        <w:t>是否收到相应的通知为前提。</w:t>
      </w:r>
    </w:p>
    <w:p>
      <w:pPr>
        <w:pStyle w:val="8"/>
        <w:kinsoku w:val="0"/>
        <w:overflowPunct w:val="0"/>
        <w:ind w:left="600"/>
        <w:rPr>
          <w:rFonts w:hint="default"/>
          <w:color w:val="auto"/>
        </w:rPr>
      </w:pPr>
      <w:r>
        <w:rPr>
          <w:color w:val="auto"/>
        </w:rPr>
        <w:t>32.3</w:t>
      </w:r>
      <w:r>
        <w:rPr>
          <w:color w:val="auto"/>
          <w:spacing w:val="-60"/>
        </w:rPr>
        <w:t xml:space="preserve"> </w:t>
      </w:r>
      <w:r>
        <w:rPr>
          <w:color w:val="auto"/>
        </w:rPr>
        <w:t>中标通知书是合同的组成部分。</w:t>
      </w:r>
    </w:p>
    <w:p>
      <w:pPr>
        <w:pStyle w:val="7"/>
        <w:kinsoku w:val="0"/>
        <w:overflowPunct w:val="0"/>
        <w:spacing w:before="154"/>
        <w:rPr>
          <w:rFonts w:hint="default"/>
          <w:b w:val="0"/>
          <w:color w:val="auto"/>
        </w:rPr>
      </w:pPr>
      <w:r>
        <w:rPr>
          <w:color w:val="auto"/>
        </w:rPr>
        <w:t>33.签订合同</w:t>
      </w:r>
    </w:p>
    <w:p>
      <w:pPr>
        <w:pStyle w:val="8"/>
        <w:kinsoku w:val="0"/>
        <w:overflowPunct w:val="0"/>
        <w:spacing w:before="154"/>
        <w:ind w:left="600"/>
        <w:rPr>
          <w:rFonts w:hint="default"/>
          <w:color w:val="auto"/>
        </w:rPr>
      </w:pPr>
      <w:r>
        <w:rPr>
          <w:color w:val="auto"/>
        </w:rPr>
        <w:t>33.1</w:t>
      </w:r>
      <w:r>
        <w:rPr>
          <w:color w:val="auto"/>
          <w:spacing w:val="-60"/>
        </w:rPr>
        <w:t xml:space="preserve"> </w:t>
      </w:r>
      <w:r>
        <w:rPr>
          <w:color w:val="auto"/>
        </w:rPr>
        <w:t>中标人须在中标通知书发出之日起</w:t>
      </w:r>
      <w:r>
        <w:rPr>
          <w:color w:val="auto"/>
          <w:spacing w:val="-60"/>
        </w:rPr>
        <w:t xml:space="preserve"> </w:t>
      </w:r>
      <w:r>
        <w:rPr>
          <w:color w:val="auto"/>
        </w:rPr>
        <w:t>15</w:t>
      </w:r>
      <w:r>
        <w:rPr>
          <w:color w:val="auto"/>
          <w:spacing w:val="-60"/>
        </w:rPr>
        <w:t xml:space="preserve"> </w:t>
      </w:r>
      <w:r>
        <w:rPr>
          <w:color w:val="auto"/>
        </w:rPr>
        <w:t>日内与采购人签订采购合同。</w:t>
      </w:r>
    </w:p>
    <w:p>
      <w:pPr>
        <w:pStyle w:val="8"/>
        <w:kinsoku w:val="0"/>
        <w:overflowPunct w:val="0"/>
        <w:spacing w:before="154" w:line="357" w:lineRule="auto"/>
        <w:ind w:firstLine="480"/>
        <w:rPr>
          <w:rFonts w:hint="default"/>
          <w:color w:val="auto"/>
          <w:spacing w:val="-3"/>
        </w:rPr>
      </w:pPr>
      <w:r>
        <w:rPr>
          <w:color w:val="auto"/>
        </w:rPr>
        <w:t>33.2</w:t>
      </w:r>
      <w:r>
        <w:rPr>
          <w:color w:val="auto"/>
          <w:spacing w:val="-51"/>
        </w:rPr>
        <w:t xml:space="preserve"> </w:t>
      </w:r>
      <w:r>
        <w:rPr>
          <w:color w:val="auto"/>
          <w:spacing w:val="2"/>
        </w:rPr>
        <w:t>中标人须按照招标文件、投标文件及评标过程中的有关澄清、说明或</w:t>
      </w:r>
      <w:r>
        <w:rPr>
          <w:color w:val="auto"/>
        </w:rPr>
        <w:t xml:space="preserve"> </w:t>
      </w:r>
      <w:r>
        <w:rPr>
          <w:color w:val="auto"/>
          <w:spacing w:val="-3"/>
        </w:rPr>
        <w:t>者补正文件的内容与采购人签订合同。中标人不得再与采购人签订背离合同实质</w:t>
      </w:r>
    </w:p>
    <w:p>
      <w:pPr>
        <w:pStyle w:val="8"/>
        <w:kinsoku w:val="0"/>
        <w:overflowPunct w:val="0"/>
        <w:spacing w:before="2"/>
        <w:ind w:right="237"/>
        <w:rPr>
          <w:rFonts w:hint="default"/>
          <w:color w:val="auto"/>
        </w:rPr>
      </w:pPr>
      <w:r>
        <w:rPr>
          <w:color w:val="auto"/>
        </w:rPr>
        <w:t>性内容的其他协议或声明。</w:t>
      </w:r>
    </w:p>
    <w:p>
      <w:pPr>
        <w:pStyle w:val="8"/>
        <w:kinsoku w:val="0"/>
        <w:overflowPunct w:val="0"/>
        <w:spacing w:before="154" w:line="357" w:lineRule="auto"/>
        <w:ind w:right="117" w:firstLine="480"/>
        <w:rPr>
          <w:rFonts w:hint="default"/>
          <w:color w:val="auto"/>
        </w:rPr>
      </w:pPr>
      <w:r>
        <w:rPr>
          <w:color w:val="auto"/>
        </w:rPr>
        <w:t>33.3</w:t>
      </w:r>
      <w:r>
        <w:rPr>
          <w:color w:val="auto"/>
          <w:spacing w:val="-56"/>
        </w:rPr>
        <w:t xml:space="preserve"> </w:t>
      </w:r>
      <w:r>
        <w:rPr>
          <w:color w:val="auto"/>
          <w:spacing w:val="2"/>
        </w:rPr>
        <w:t>采购人如需追加与合同标的相同的符合，在不改变合同其他条款的前</w:t>
      </w:r>
      <w:r>
        <w:rPr>
          <w:color w:val="auto"/>
        </w:rPr>
        <w:t xml:space="preserve"> </w:t>
      </w:r>
      <w:r>
        <w:rPr>
          <w:color w:val="auto"/>
          <w:spacing w:val="-6"/>
        </w:rPr>
        <w:t>提下，提交追加合同的申请报经同级财政部门审核后，可与中标人签订补充合同，</w:t>
      </w:r>
      <w:r>
        <w:rPr>
          <w:color w:val="auto"/>
        </w:rPr>
        <w:t xml:space="preserve"> 但所有补充合同的采购金额不得超过原合同金额的百分之十。</w:t>
      </w:r>
    </w:p>
    <w:p>
      <w:pPr>
        <w:pStyle w:val="8"/>
        <w:kinsoku w:val="0"/>
        <w:overflowPunct w:val="0"/>
        <w:spacing w:line="357" w:lineRule="auto"/>
        <w:ind w:right="237" w:firstLine="480"/>
        <w:rPr>
          <w:rFonts w:hint="default"/>
          <w:color w:val="auto"/>
        </w:rPr>
      </w:pPr>
      <w:r>
        <w:rPr>
          <w:color w:val="auto"/>
        </w:rPr>
        <w:t>33.4</w:t>
      </w:r>
      <w:r>
        <w:rPr>
          <w:color w:val="auto"/>
          <w:spacing w:val="-51"/>
        </w:rPr>
        <w:t xml:space="preserve"> </w:t>
      </w:r>
      <w:r>
        <w:rPr>
          <w:color w:val="auto"/>
          <w:spacing w:val="2"/>
        </w:rPr>
        <w:t>中标人一旦中标及签订合同后，不得转包，亦不得将合同全部及任何</w:t>
      </w:r>
      <w:r>
        <w:rPr>
          <w:color w:val="auto"/>
        </w:rPr>
        <w:t xml:space="preserve"> 权利、义务向第三方转让。</w:t>
      </w:r>
    </w:p>
    <w:p>
      <w:pPr>
        <w:pStyle w:val="8"/>
        <w:kinsoku w:val="0"/>
        <w:overflowPunct w:val="0"/>
        <w:spacing w:line="357" w:lineRule="auto"/>
        <w:ind w:right="117" w:firstLine="480"/>
        <w:rPr>
          <w:rFonts w:hint="default"/>
          <w:color w:val="auto"/>
        </w:rPr>
      </w:pPr>
      <w:r>
        <w:rPr>
          <w:color w:val="auto"/>
        </w:rPr>
        <w:t>33.5</w:t>
      </w:r>
      <w:r>
        <w:rPr>
          <w:color w:val="auto"/>
          <w:spacing w:val="-91"/>
        </w:rPr>
        <w:t xml:space="preserve"> </w:t>
      </w:r>
      <w:r>
        <w:rPr>
          <w:color w:val="auto"/>
        </w:rPr>
        <w:t xml:space="preserve">中标人不履行合同的，采购人可在报经同级人民政府财政部门核准后， </w:t>
      </w:r>
      <w:r>
        <w:rPr>
          <w:color w:val="auto"/>
          <w:spacing w:val="-3"/>
        </w:rPr>
        <w:t>与排位在中标人之后的第一位中标候选供应商签订合同，以此类推；或在报经同</w:t>
      </w:r>
      <w:r>
        <w:rPr>
          <w:color w:val="auto"/>
          <w:spacing w:val="-110"/>
        </w:rPr>
        <w:t xml:space="preserve"> </w:t>
      </w:r>
      <w:r>
        <w:rPr>
          <w:color w:val="auto"/>
        </w:rPr>
        <w:t>级人民政府财政部门核准后重新组织采购。</w:t>
      </w:r>
    </w:p>
    <w:p>
      <w:pPr>
        <w:pStyle w:val="8"/>
        <w:kinsoku w:val="0"/>
        <w:overflowPunct w:val="0"/>
        <w:ind w:left="600" w:right="117"/>
        <w:rPr>
          <w:rFonts w:hint="default"/>
          <w:color w:val="auto"/>
        </w:rPr>
      </w:pPr>
      <w:r>
        <w:rPr>
          <w:color w:val="auto"/>
        </w:rPr>
        <w:t>33.6</w:t>
      </w:r>
      <w:r>
        <w:rPr>
          <w:color w:val="auto"/>
          <w:spacing w:val="-60"/>
        </w:rPr>
        <w:t xml:space="preserve"> </w:t>
      </w:r>
      <w:r>
        <w:rPr>
          <w:color w:val="auto"/>
        </w:rPr>
        <w:t>违反</w:t>
      </w:r>
      <w:r>
        <w:rPr>
          <w:color w:val="auto"/>
          <w:spacing w:val="-60"/>
        </w:rPr>
        <w:t xml:space="preserve"> </w:t>
      </w:r>
      <w:r>
        <w:rPr>
          <w:color w:val="auto"/>
        </w:rPr>
        <w:t>32.1</w:t>
      </w:r>
      <w:r>
        <w:rPr>
          <w:color w:val="auto"/>
          <w:spacing w:val="-60"/>
        </w:rPr>
        <w:t xml:space="preserve"> </w:t>
      </w:r>
      <w:r>
        <w:rPr>
          <w:color w:val="auto"/>
        </w:rPr>
        <w:t>条、32.2</w:t>
      </w:r>
      <w:r>
        <w:rPr>
          <w:color w:val="auto"/>
          <w:spacing w:val="-60"/>
        </w:rPr>
        <w:t xml:space="preserve"> </w:t>
      </w:r>
      <w:r>
        <w:rPr>
          <w:color w:val="auto"/>
        </w:rPr>
        <w:t>条的规定，给对方造成损失的，应承担赔偿责任。</w:t>
      </w:r>
    </w:p>
    <w:p>
      <w:pPr>
        <w:pStyle w:val="7"/>
        <w:kinsoku w:val="0"/>
        <w:overflowPunct w:val="0"/>
        <w:spacing w:before="154"/>
        <w:ind w:right="237"/>
        <w:rPr>
          <w:rFonts w:hint="default"/>
          <w:b w:val="0"/>
          <w:color w:val="auto"/>
        </w:rPr>
      </w:pPr>
      <w:r>
        <w:rPr>
          <w:color w:val="auto"/>
        </w:rPr>
        <w:t>34.审核合同</w:t>
      </w:r>
    </w:p>
    <w:p>
      <w:pPr>
        <w:pStyle w:val="8"/>
        <w:kinsoku w:val="0"/>
        <w:overflowPunct w:val="0"/>
        <w:spacing w:before="154" w:line="357" w:lineRule="auto"/>
        <w:ind w:right="237" w:firstLine="480"/>
        <w:rPr>
          <w:rFonts w:hint="default"/>
          <w:color w:val="auto"/>
        </w:rPr>
      </w:pPr>
      <w:r>
        <w:rPr>
          <w:color w:val="auto"/>
        </w:rPr>
        <w:t>34.1</w:t>
      </w:r>
      <w:r>
        <w:rPr>
          <w:color w:val="auto"/>
          <w:spacing w:val="-57"/>
        </w:rPr>
        <w:t xml:space="preserve"> </w:t>
      </w:r>
      <w:r>
        <w:rPr>
          <w:color w:val="auto"/>
          <w:spacing w:val="2"/>
        </w:rPr>
        <w:t>中标人持政府采购合同于签订合同之日起</w:t>
      </w:r>
      <w:r>
        <w:rPr>
          <w:color w:val="auto"/>
          <w:spacing w:val="-57"/>
        </w:rPr>
        <w:t xml:space="preserve"> </w:t>
      </w:r>
      <w:r>
        <w:rPr>
          <w:color w:val="auto"/>
        </w:rPr>
        <w:t>3</w:t>
      </w:r>
      <w:r>
        <w:rPr>
          <w:color w:val="auto"/>
          <w:spacing w:val="-55"/>
        </w:rPr>
        <w:t xml:space="preserve"> </w:t>
      </w:r>
      <w:r>
        <w:rPr>
          <w:color w:val="auto"/>
          <w:spacing w:val="2"/>
        </w:rPr>
        <w:t>个工作日内到本项目招标</w:t>
      </w:r>
      <w:r>
        <w:rPr>
          <w:color w:val="auto"/>
        </w:rPr>
        <w:t xml:space="preserve"> 公司进行备案留存。</w:t>
      </w:r>
    </w:p>
    <w:p>
      <w:pPr>
        <w:pStyle w:val="7"/>
        <w:kinsoku w:val="0"/>
        <w:overflowPunct w:val="0"/>
        <w:spacing w:before="0" w:line="650" w:lineRule="atLeast"/>
        <w:ind w:right="5292"/>
        <w:rPr>
          <w:rFonts w:hint="default"/>
          <w:color w:val="auto"/>
          <w:w w:val="99"/>
        </w:rPr>
      </w:pPr>
      <w:bookmarkStart w:id="36" w:name="十一、处罚、询问和质疑"/>
      <w:bookmarkEnd w:id="36"/>
      <w:r>
        <w:rPr>
          <w:color w:val="auto"/>
        </w:rPr>
        <w:t>十一、处罚、询问和质疑</w:t>
      </w:r>
      <w:r>
        <w:rPr>
          <w:color w:val="auto"/>
          <w:w w:val="99"/>
        </w:rPr>
        <w:t xml:space="preserve"> </w:t>
      </w:r>
    </w:p>
    <w:p>
      <w:pPr>
        <w:pStyle w:val="7"/>
        <w:kinsoku w:val="0"/>
        <w:overflowPunct w:val="0"/>
        <w:spacing w:before="0" w:line="650" w:lineRule="atLeast"/>
        <w:ind w:right="5292"/>
        <w:rPr>
          <w:rFonts w:hint="default"/>
          <w:b w:val="0"/>
          <w:color w:val="auto"/>
        </w:rPr>
      </w:pPr>
      <w:r>
        <w:rPr>
          <w:color w:val="auto"/>
        </w:rPr>
        <w:t>35.处罚</w:t>
      </w:r>
    </w:p>
    <w:p>
      <w:pPr>
        <w:pStyle w:val="8"/>
        <w:kinsoku w:val="0"/>
        <w:overflowPunct w:val="0"/>
        <w:spacing w:before="154" w:line="357" w:lineRule="auto"/>
        <w:ind w:right="237" w:firstLine="480"/>
        <w:rPr>
          <w:rFonts w:hint="default"/>
          <w:color w:val="auto"/>
        </w:rPr>
      </w:pPr>
      <w:r>
        <w:rPr>
          <w:color w:val="auto"/>
        </w:rPr>
        <w:t>35.1</w:t>
      </w:r>
      <w:r>
        <w:rPr>
          <w:color w:val="auto"/>
          <w:spacing w:val="-51"/>
        </w:rPr>
        <w:t xml:space="preserve"> </w:t>
      </w:r>
      <w:r>
        <w:rPr>
          <w:color w:val="auto"/>
          <w:spacing w:val="2"/>
        </w:rPr>
        <w:t>发生下列情况之一，</w:t>
      </w:r>
      <w:r>
        <w:rPr>
          <w:rFonts w:hint="eastAsia"/>
          <w:color w:val="auto"/>
          <w:spacing w:val="2"/>
          <w:lang w:eastAsia="zh-CN"/>
        </w:rPr>
        <w:t>供应商</w:t>
      </w:r>
      <w:r>
        <w:rPr>
          <w:color w:val="auto"/>
          <w:spacing w:val="2"/>
        </w:rPr>
        <w:t>的保证金不予退还；情节严重的将其列入</w:t>
      </w:r>
      <w:r>
        <w:rPr>
          <w:color w:val="auto"/>
        </w:rPr>
        <w:t xml:space="preserve"> 不良记录名单。</w:t>
      </w:r>
    </w:p>
    <w:p>
      <w:pPr>
        <w:pStyle w:val="8"/>
        <w:kinsoku w:val="0"/>
        <w:overflowPunct w:val="0"/>
        <w:ind w:left="600" w:right="237"/>
        <w:rPr>
          <w:rFonts w:hint="default"/>
          <w:color w:val="auto"/>
        </w:rPr>
      </w:pPr>
      <w:r>
        <w:rPr>
          <w:color w:val="auto"/>
        </w:rPr>
        <w:t>1）开标后在投标有效期内，</w:t>
      </w:r>
      <w:r>
        <w:rPr>
          <w:rFonts w:hint="eastAsia"/>
          <w:color w:val="auto"/>
          <w:lang w:eastAsia="zh-CN"/>
        </w:rPr>
        <w:t>供应商</w:t>
      </w:r>
      <w:r>
        <w:rPr>
          <w:color w:val="auto"/>
        </w:rPr>
        <w:t>撤回其投标；</w:t>
      </w:r>
    </w:p>
    <w:p>
      <w:pPr>
        <w:pStyle w:val="8"/>
        <w:kinsoku w:val="0"/>
        <w:overflowPunct w:val="0"/>
        <w:spacing w:before="154"/>
        <w:ind w:left="600" w:right="237"/>
        <w:rPr>
          <w:rFonts w:hint="default"/>
          <w:color w:val="auto"/>
        </w:rPr>
      </w:pPr>
      <w:r>
        <w:rPr>
          <w:color w:val="auto"/>
        </w:rPr>
        <w:t>2）中标后无正当理由不与采购人签订合同的；</w:t>
      </w:r>
    </w:p>
    <w:p>
      <w:pPr>
        <w:pStyle w:val="8"/>
        <w:kinsoku w:val="0"/>
        <w:overflowPunct w:val="0"/>
        <w:spacing w:before="154"/>
        <w:ind w:left="600" w:right="237"/>
        <w:rPr>
          <w:rFonts w:hint="default"/>
          <w:color w:val="auto"/>
        </w:rPr>
      </w:pPr>
      <w:r>
        <w:rPr>
          <w:color w:val="auto"/>
        </w:rPr>
        <w:t>3）中标人与采购人订立背离合同实质性内容的其他协议；</w:t>
      </w:r>
    </w:p>
    <w:p>
      <w:pPr>
        <w:pStyle w:val="8"/>
        <w:kinsoku w:val="0"/>
        <w:overflowPunct w:val="0"/>
        <w:spacing w:before="154" w:line="357" w:lineRule="auto"/>
        <w:ind w:right="237" w:firstLine="480"/>
        <w:rPr>
          <w:rFonts w:hint="default"/>
          <w:color w:val="auto"/>
        </w:rPr>
      </w:pPr>
      <w:r>
        <w:rPr>
          <w:color w:val="auto"/>
        </w:rPr>
        <w:t>4）将中标项目转让给他人，或者在投标文件中未说明，且未经采购代理机 构同意，将中标项目分包给他人的；</w:t>
      </w:r>
    </w:p>
    <w:p>
      <w:pPr>
        <w:pStyle w:val="8"/>
        <w:kinsoku w:val="0"/>
        <w:overflowPunct w:val="0"/>
        <w:ind w:left="600" w:right="237"/>
        <w:rPr>
          <w:rFonts w:hint="default"/>
          <w:color w:val="auto"/>
        </w:rPr>
      </w:pPr>
      <w:r>
        <w:rPr>
          <w:color w:val="auto"/>
        </w:rPr>
        <w:t>5）存在串通投标行为的；</w:t>
      </w:r>
    </w:p>
    <w:p>
      <w:pPr>
        <w:pStyle w:val="8"/>
        <w:kinsoku w:val="0"/>
        <w:overflowPunct w:val="0"/>
        <w:spacing w:before="154"/>
        <w:ind w:left="600" w:right="237"/>
        <w:rPr>
          <w:rFonts w:hint="default"/>
          <w:color w:val="auto"/>
        </w:rPr>
      </w:pPr>
      <w:r>
        <w:rPr>
          <w:color w:val="auto"/>
        </w:rPr>
        <w:t>6）存在弄虚作假或提供虚假材料谋取中标的；</w:t>
      </w:r>
    </w:p>
    <w:p>
      <w:pPr>
        <w:pStyle w:val="8"/>
        <w:kinsoku w:val="0"/>
        <w:overflowPunct w:val="0"/>
        <w:spacing w:before="154"/>
        <w:ind w:left="600" w:right="237"/>
        <w:rPr>
          <w:rFonts w:hint="default"/>
          <w:color w:val="auto"/>
        </w:rPr>
      </w:pPr>
      <w:r>
        <w:rPr>
          <w:color w:val="auto"/>
        </w:rPr>
        <w:t>7）</w:t>
      </w:r>
      <w:r>
        <w:rPr>
          <w:rFonts w:hint="eastAsia"/>
          <w:color w:val="auto"/>
          <w:lang w:eastAsia="zh-CN"/>
        </w:rPr>
        <w:t>供应商</w:t>
      </w:r>
      <w:r>
        <w:rPr>
          <w:color w:val="auto"/>
        </w:rPr>
        <w:t>其他未按招标文件规定和合同约定履行义务的行为。</w:t>
      </w:r>
    </w:p>
    <w:p>
      <w:pPr>
        <w:pStyle w:val="7"/>
        <w:kinsoku w:val="0"/>
        <w:overflowPunct w:val="0"/>
        <w:spacing w:before="154"/>
        <w:ind w:right="237"/>
        <w:rPr>
          <w:rFonts w:hint="default"/>
          <w:b w:val="0"/>
          <w:color w:val="auto"/>
        </w:rPr>
      </w:pPr>
      <w:r>
        <w:rPr>
          <w:color w:val="auto"/>
        </w:rPr>
        <w:t>36．询问</w:t>
      </w:r>
    </w:p>
    <w:p>
      <w:pPr>
        <w:pStyle w:val="8"/>
        <w:kinsoku w:val="0"/>
        <w:overflowPunct w:val="0"/>
        <w:spacing w:before="154"/>
        <w:ind w:left="600"/>
        <w:rPr>
          <w:rFonts w:hint="default"/>
          <w:color w:val="auto"/>
        </w:rPr>
      </w:pPr>
      <w:r>
        <w:rPr>
          <w:color w:val="auto"/>
        </w:rPr>
        <w:t>36.1</w:t>
      </w:r>
      <w:r>
        <w:rPr>
          <w:color w:val="auto"/>
          <w:spacing w:val="-95"/>
        </w:rPr>
        <w:t xml:space="preserve"> </w:t>
      </w:r>
      <w:r>
        <w:rPr>
          <w:rFonts w:hint="eastAsia"/>
          <w:color w:val="auto"/>
          <w:lang w:eastAsia="zh-CN"/>
        </w:rPr>
        <w:t>供应商</w:t>
      </w:r>
      <w:r>
        <w:rPr>
          <w:color w:val="auto"/>
        </w:rPr>
        <w:t>对采购事项有疑问的，可以向采购人或采购代理机构提出询问。</w:t>
      </w:r>
    </w:p>
    <w:p>
      <w:pPr>
        <w:pStyle w:val="8"/>
        <w:kinsoku w:val="0"/>
        <w:overflowPunct w:val="0"/>
        <w:spacing w:before="154"/>
        <w:ind w:left="600"/>
        <w:rPr>
          <w:rFonts w:hint="default"/>
          <w:color w:val="auto"/>
        </w:rPr>
        <w:sectPr>
          <w:footerReference r:id="rId10" w:type="default"/>
          <w:pgSz w:w="11910" w:h="16840"/>
          <w:pgMar w:top="1460" w:right="1560" w:bottom="1600" w:left="1680" w:header="0" w:footer="1415" w:gutter="0"/>
          <w:cols w:space="720" w:num="1"/>
        </w:sectPr>
      </w:pPr>
    </w:p>
    <w:p>
      <w:pPr>
        <w:pStyle w:val="7"/>
        <w:kinsoku w:val="0"/>
        <w:overflowPunct w:val="0"/>
        <w:spacing w:before="2"/>
        <w:ind w:right="117"/>
        <w:rPr>
          <w:rFonts w:hint="default"/>
          <w:b w:val="0"/>
          <w:color w:val="auto"/>
        </w:rPr>
      </w:pPr>
      <w:r>
        <w:rPr>
          <w:color w:val="auto"/>
        </w:rPr>
        <w:t>37.</w:t>
      </w:r>
      <w:r>
        <w:rPr>
          <w:rFonts w:hint="eastAsia"/>
          <w:color w:val="auto"/>
          <w:lang w:eastAsia="zh-CN"/>
        </w:rPr>
        <w:t>供应商</w:t>
      </w:r>
      <w:r>
        <w:rPr>
          <w:color w:val="auto"/>
        </w:rPr>
        <w:t>有权就招标事宜提出质疑</w:t>
      </w:r>
    </w:p>
    <w:p>
      <w:pPr>
        <w:pStyle w:val="8"/>
        <w:kinsoku w:val="0"/>
        <w:overflowPunct w:val="0"/>
        <w:spacing w:line="357" w:lineRule="auto"/>
        <w:ind w:right="117" w:firstLine="480"/>
        <w:rPr>
          <w:rFonts w:hint="default"/>
          <w:color w:val="auto"/>
        </w:rPr>
      </w:pPr>
      <w:r>
        <w:rPr>
          <w:color w:val="auto"/>
        </w:rPr>
        <w:t xml:space="preserve">37.1 </w:t>
      </w:r>
      <w:r>
        <w:rPr>
          <w:rFonts w:hint="eastAsia"/>
          <w:color w:val="auto"/>
          <w:lang w:eastAsia="zh-CN"/>
        </w:rPr>
        <w:t>供应商</w:t>
      </w:r>
      <w:r>
        <w:rPr>
          <w:color w:val="auto"/>
        </w:rPr>
        <w:t xml:space="preserve">或者其他利害关系人认为招标投标活动不符合法律、行政法规规定的，可以自知道或者应当知道之日起 10 日内向有关行政监督部门投诉。 </w:t>
      </w:r>
      <w:r>
        <w:rPr>
          <w:rFonts w:hint="eastAsia"/>
          <w:color w:val="auto"/>
          <w:lang w:eastAsia="zh-CN"/>
        </w:rPr>
        <w:t>供应商</w:t>
      </w:r>
      <w:r>
        <w:rPr>
          <w:color w:val="auto"/>
        </w:rPr>
        <w:t>或者其他利害关系人在法定质疑期内一次性提出针对同一采购程序环节的质疑。</w:t>
      </w:r>
    </w:p>
    <w:p>
      <w:pPr>
        <w:pStyle w:val="8"/>
        <w:kinsoku w:val="0"/>
        <w:overflowPunct w:val="0"/>
        <w:spacing w:line="357" w:lineRule="auto"/>
        <w:ind w:right="357" w:firstLine="480"/>
        <w:jc w:val="both"/>
        <w:rPr>
          <w:rFonts w:hint="default"/>
          <w:color w:val="auto"/>
        </w:rPr>
      </w:pPr>
      <w:r>
        <w:rPr>
          <w:color w:val="auto"/>
        </w:rPr>
        <w:t>37.2</w:t>
      </w:r>
      <w:r>
        <w:rPr>
          <w:color w:val="auto"/>
          <w:spacing w:val="-51"/>
        </w:rPr>
        <w:t xml:space="preserve"> </w:t>
      </w:r>
      <w:r>
        <w:rPr>
          <w:color w:val="auto"/>
          <w:spacing w:val="2"/>
        </w:rPr>
        <w:t>质疑应当按照《中华人民共和国政府采购法》、《中华人民共和国政</w:t>
      </w:r>
      <w:r>
        <w:rPr>
          <w:color w:val="auto"/>
        </w:rPr>
        <w:t xml:space="preserve"> </w:t>
      </w:r>
      <w:r>
        <w:rPr>
          <w:color w:val="auto"/>
          <w:spacing w:val="-3"/>
        </w:rPr>
        <w:t>府采购法实施条例》、《政府采购质疑和投诉办法》等法律法规的相关规定，以</w:t>
      </w:r>
      <w:r>
        <w:rPr>
          <w:color w:val="auto"/>
          <w:spacing w:val="-111"/>
        </w:rPr>
        <w:t xml:space="preserve"> </w:t>
      </w:r>
      <w:r>
        <w:rPr>
          <w:color w:val="auto"/>
        </w:rPr>
        <w:t>书面形式向采购代理机构提出。</w:t>
      </w:r>
    </w:p>
    <w:p>
      <w:pPr>
        <w:pStyle w:val="8"/>
        <w:kinsoku w:val="0"/>
        <w:overflowPunct w:val="0"/>
        <w:spacing w:line="357" w:lineRule="auto"/>
        <w:ind w:right="117" w:firstLine="480"/>
        <w:rPr>
          <w:rFonts w:hint="default"/>
          <w:color w:val="auto"/>
        </w:rPr>
      </w:pPr>
      <w:r>
        <w:rPr>
          <w:color w:val="auto"/>
        </w:rPr>
        <w:t>37.3</w:t>
      </w:r>
      <w:r>
        <w:rPr>
          <w:color w:val="auto"/>
          <w:spacing w:val="-56"/>
        </w:rPr>
        <w:t xml:space="preserve"> </w:t>
      </w:r>
      <w:r>
        <w:rPr>
          <w:color w:val="auto"/>
          <w:spacing w:val="2"/>
        </w:rPr>
        <w:t>质疑书应当附上相关证明材料，否则质疑将视为无有效证据支持，将</w:t>
      </w:r>
      <w:r>
        <w:rPr>
          <w:color w:val="auto"/>
        </w:rPr>
        <w:t xml:space="preserve"> </w:t>
      </w:r>
      <w:r>
        <w:rPr>
          <w:color w:val="auto"/>
          <w:spacing w:val="-6"/>
        </w:rPr>
        <w:t>被予以驳回，并不得以上述理由要求延长质疑有效期。未递交投标文件的供应商，</w:t>
      </w:r>
      <w:r>
        <w:rPr>
          <w:color w:val="auto"/>
        </w:rPr>
        <w:t xml:space="preserve"> </w:t>
      </w:r>
      <w:r>
        <w:rPr>
          <w:color w:val="auto"/>
          <w:spacing w:val="-3"/>
        </w:rPr>
        <w:t>其未参加后续采购活动，不得对递交投标文件截止后的采购过程、采购结果提出</w:t>
      </w:r>
      <w:r>
        <w:rPr>
          <w:color w:val="auto"/>
          <w:spacing w:val="-109"/>
        </w:rPr>
        <w:t xml:space="preserve"> </w:t>
      </w:r>
      <w:r>
        <w:rPr>
          <w:color w:val="auto"/>
        </w:rPr>
        <w:t>质疑。</w:t>
      </w:r>
    </w:p>
    <w:p>
      <w:pPr>
        <w:pStyle w:val="8"/>
        <w:kinsoku w:val="0"/>
        <w:overflowPunct w:val="0"/>
        <w:spacing w:line="357" w:lineRule="auto"/>
        <w:ind w:right="357" w:firstLine="480"/>
        <w:jc w:val="both"/>
        <w:rPr>
          <w:rFonts w:hint="default"/>
          <w:color w:val="auto"/>
        </w:rPr>
      </w:pPr>
      <w:r>
        <w:rPr>
          <w:color w:val="auto"/>
        </w:rPr>
        <w:t>37.4</w:t>
      </w:r>
      <w:r>
        <w:rPr>
          <w:color w:val="auto"/>
          <w:spacing w:val="-51"/>
        </w:rPr>
        <w:t xml:space="preserve"> </w:t>
      </w:r>
      <w:r>
        <w:rPr>
          <w:color w:val="auto"/>
          <w:spacing w:val="2"/>
        </w:rPr>
        <w:t>质疑人可以采取直接送达或者邮寄方式提交质疑书。采购代理机构收</w:t>
      </w:r>
      <w:r>
        <w:rPr>
          <w:color w:val="auto"/>
        </w:rPr>
        <w:t xml:space="preserve"> </w:t>
      </w:r>
      <w:r>
        <w:rPr>
          <w:color w:val="auto"/>
          <w:spacing w:val="-3"/>
        </w:rPr>
        <w:t>到质疑书后，对质疑书进行审查，对符合质疑条件的将办理签收手续，自签收质</w:t>
      </w:r>
      <w:r>
        <w:rPr>
          <w:color w:val="auto"/>
          <w:spacing w:val="-111"/>
        </w:rPr>
        <w:t xml:space="preserve"> </w:t>
      </w:r>
      <w:r>
        <w:rPr>
          <w:color w:val="auto"/>
        </w:rPr>
        <w:t>疑书之日起即为受理。</w:t>
      </w:r>
    </w:p>
    <w:p>
      <w:pPr>
        <w:pStyle w:val="8"/>
        <w:kinsoku w:val="0"/>
        <w:overflowPunct w:val="0"/>
        <w:spacing w:line="357" w:lineRule="auto"/>
        <w:ind w:right="357" w:firstLine="480"/>
        <w:jc w:val="both"/>
        <w:rPr>
          <w:rFonts w:hint="default"/>
          <w:color w:val="auto"/>
        </w:rPr>
      </w:pPr>
      <w:r>
        <w:rPr>
          <w:color w:val="auto"/>
        </w:rPr>
        <w:t>37.5</w:t>
      </w:r>
      <w:r>
        <w:rPr>
          <w:color w:val="auto"/>
          <w:spacing w:val="-56"/>
        </w:rPr>
        <w:t xml:space="preserve"> </w:t>
      </w:r>
      <w:r>
        <w:rPr>
          <w:color w:val="auto"/>
          <w:spacing w:val="2"/>
        </w:rPr>
        <w:t>采购代理机构将在受理书面质疑后</w:t>
      </w:r>
      <w:r>
        <w:rPr>
          <w:color w:val="auto"/>
          <w:spacing w:val="-56"/>
        </w:rPr>
        <w:t xml:space="preserve"> </w:t>
      </w:r>
      <w:r>
        <w:rPr>
          <w:color w:val="auto"/>
        </w:rPr>
        <w:t>7</w:t>
      </w:r>
      <w:r>
        <w:rPr>
          <w:color w:val="auto"/>
          <w:spacing w:val="-56"/>
        </w:rPr>
        <w:t xml:space="preserve"> </w:t>
      </w:r>
      <w:r>
        <w:rPr>
          <w:color w:val="auto"/>
          <w:spacing w:val="2"/>
        </w:rPr>
        <w:t>个工作日内审查质疑事项，作出</w:t>
      </w:r>
      <w:r>
        <w:rPr>
          <w:color w:val="auto"/>
        </w:rPr>
        <w:t xml:space="preserve"> </w:t>
      </w:r>
      <w:r>
        <w:rPr>
          <w:color w:val="auto"/>
          <w:spacing w:val="-3"/>
        </w:rPr>
        <w:t>答复或相关处理决定，并以书面形式通知质疑人和其他相关供应商，但答复的内</w:t>
      </w:r>
      <w:r>
        <w:rPr>
          <w:color w:val="auto"/>
          <w:spacing w:val="-109"/>
        </w:rPr>
        <w:t xml:space="preserve"> </w:t>
      </w:r>
      <w:r>
        <w:rPr>
          <w:color w:val="auto"/>
        </w:rPr>
        <w:t>容不涉及商业秘密。</w:t>
      </w:r>
    </w:p>
    <w:p>
      <w:pPr>
        <w:pStyle w:val="8"/>
        <w:kinsoku w:val="0"/>
        <w:overflowPunct w:val="0"/>
        <w:spacing w:line="357" w:lineRule="auto"/>
        <w:ind w:right="357" w:firstLine="480"/>
        <w:jc w:val="both"/>
        <w:rPr>
          <w:rFonts w:hint="default"/>
          <w:color w:val="auto"/>
        </w:rPr>
      </w:pPr>
      <w:r>
        <w:rPr>
          <w:color w:val="auto"/>
        </w:rPr>
        <w:t>37.6</w:t>
      </w:r>
      <w:r>
        <w:rPr>
          <w:color w:val="auto"/>
          <w:spacing w:val="-51"/>
        </w:rPr>
        <w:t xml:space="preserve"> </w:t>
      </w:r>
      <w:r>
        <w:rPr>
          <w:rFonts w:hint="eastAsia"/>
          <w:color w:val="auto"/>
          <w:spacing w:val="2"/>
          <w:lang w:eastAsia="zh-CN"/>
        </w:rPr>
        <w:t>供应商</w:t>
      </w:r>
      <w:r>
        <w:rPr>
          <w:color w:val="auto"/>
          <w:spacing w:val="2"/>
        </w:rPr>
        <w:t>进行虚假和恶意质疑的，采购代理机构将提请有关部门将其列</w:t>
      </w:r>
      <w:r>
        <w:rPr>
          <w:color w:val="auto"/>
        </w:rPr>
        <w:t xml:space="preserve"> </w:t>
      </w:r>
      <w:r>
        <w:rPr>
          <w:color w:val="auto"/>
          <w:spacing w:val="-3"/>
        </w:rPr>
        <w:t>入不良记录名单，在一至三年内禁止参加政府采购活动，并将处理决定在相关政</w:t>
      </w:r>
      <w:r>
        <w:rPr>
          <w:color w:val="auto"/>
          <w:spacing w:val="-109"/>
        </w:rPr>
        <w:t xml:space="preserve"> </w:t>
      </w:r>
      <w:r>
        <w:rPr>
          <w:color w:val="auto"/>
        </w:rPr>
        <w:t>府采购媒体上公布。</w:t>
      </w:r>
    </w:p>
    <w:p>
      <w:pPr>
        <w:pStyle w:val="8"/>
        <w:kinsoku w:val="0"/>
        <w:overflowPunct w:val="0"/>
        <w:ind w:left="600" w:right="117"/>
        <w:rPr>
          <w:rFonts w:hint="default"/>
          <w:color w:val="auto"/>
        </w:rPr>
      </w:pPr>
      <w:r>
        <w:rPr>
          <w:color w:val="auto"/>
        </w:rPr>
        <w:t>37.7</w:t>
      </w:r>
      <w:r>
        <w:rPr>
          <w:color w:val="auto"/>
          <w:spacing w:val="-60"/>
        </w:rPr>
        <w:t xml:space="preserve"> </w:t>
      </w:r>
      <w:r>
        <w:rPr>
          <w:color w:val="auto"/>
        </w:rPr>
        <w:t>质疑人对答复不满意以及采购代理机构未在规定的时间内作出答复的，</w:t>
      </w:r>
    </w:p>
    <w:p>
      <w:pPr>
        <w:pStyle w:val="8"/>
        <w:kinsoku w:val="0"/>
        <w:overflowPunct w:val="0"/>
        <w:spacing w:before="154"/>
        <w:ind w:right="117"/>
        <w:rPr>
          <w:rFonts w:hint="default"/>
          <w:color w:val="auto"/>
        </w:rPr>
      </w:pPr>
      <w:r>
        <w:rPr>
          <w:color w:val="auto"/>
        </w:rPr>
        <w:t>可以在答复期满后</w:t>
      </w:r>
      <w:r>
        <w:rPr>
          <w:color w:val="auto"/>
          <w:spacing w:val="-60"/>
        </w:rPr>
        <w:t xml:space="preserve"> </w:t>
      </w:r>
      <w:r>
        <w:rPr>
          <w:color w:val="auto"/>
        </w:rPr>
        <w:t>15</w:t>
      </w:r>
      <w:r>
        <w:rPr>
          <w:color w:val="auto"/>
          <w:spacing w:val="-60"/>
        </w:rPr>
        <w:t xml:space="preserve"> </w:t>
      </w:r>
      <w:r>
        <w:rPr>
          <w:color w:val="auto"/>
        </w:rPr>
        <w:t>个工作日内向财政部门投拆。</w:t>
      </w:r>
    </w:p>
    <w:p>
      <w:pPr>
        <w:pStyle w:val="7"/>
        <w:kinsoku w:val="0"/>
        <w:overflowPunct w:val="0"/>
        <w:spacing w:before="0" w:line="650" w:lineRule="atLeast"/>
        <w:ind w:right="5190"/>
        <w:rPr>
          <w:rFonts w:hint="default"/>
          <w:color w:val="auto"/>
          <w:w w:val="99"/>
        </w:rPr>
      </w:pPr>
      <w:bookmarkStart w:id="37" w:name="十二、保密和披露"/>
      <w:bookmarkEnd w:id="37"/>
      <w:r>
        <w:rPr>
          <w:color w:val="auto"/>
        </w:rPr>
        <w:t>十二、保密和披露</w:t>
      </w:r>
      <w:r>
        <w:rPr>
          <w:color w:val="auto"/>
          <w:w w:val="99"/>
        </w:rPr>
        <w:t xml:space="preserve"> </w:t>
      </w:r>
    </w:p>
    <w:p>
      <w:pPr>
        <w:pStyle w:val="7"/>
        <w:kinsoku w:val="0"/>
        <w:overflowPunct w:val="0"/>
        <w:spacing w:before="0" w:line="650" w:lineRule="atLeast"/>
        <w:ind w:right="5190"/>
        <w:rPr>
          <w:rFonts w:hint="default"/>
          <w:b w:val="0"/>
          <w:color w:val="auto"/>
        </w:rPr>
      </w:pPr>
      <w:r>
        <w:rPr>
          <w:color w:val="auto"/>
        </w:rPr>
        <w:t>38.保密和披露</w:t>
      </w:r>
    </w:p>
    <w:p>
      <w:pPr>
        <w:pStyle w:val="8"/>
        <w:kinsoku w:val="0"/>
        <w:overflowPunct w:val="0"/>
        <w:spacing w:before="154" w:line="357" w:lineRule="auto"/>
        <w:ind w:right="117" w:firstLine="480"/>
        <w:rPr>
          <w:rFonts w:hint="default"/>
          <w:color w:val="auto"/>
          <w:spacing w:val="-6"/>
        </w:rPr>
      </w:pPr>
      <w:r>
        <w:rPr>
          <w:color w:val="auto"/>
        </w:rPr>
        <w:t>38.1</w:t>
      </w:r>
      <w:r>
        <w:rPr>
          <w:color w:val="auto"/>
          <w:spacing w:val="-56"/>
        </w:rPr>
        <w:t xml:space="preserve"> </w:t>
      </w:r>
      <w:r>
        <w:rPr>
          <w:rFonts w:hint="eastAsia"/>
          <w:color w:val="auto"/>
          <w:spacing w:val="2"/>
          <w:lang w:eastAsia="zh-CN"/>
        </w:rPr>
        <w:t>供应商</w:t>
      </w:r>
      <w:r>
        <w:rPr>
          <w:color w:val="auto"/>
          <w:spacing w:val="2"/>
        </w:rPr>
        <w:t>自领取招标文件之日起，须承担本招标项目保密义务，不得将</w:t>
      </w:r>
      <w:r>
        <w:rPr>
          <w:color w:val="auto"/>
        </w:rPr>
        <w:t xml:space="preserve"> </w:t>
      </w:r>
      <w:r>
        <w:rPr>
          <w:color w:val="auto"/>
          <w:spacing w:val="-6"/>
        </w:rPr>
        <w:t>因本次招标获得的信息向第三人外传。由采购人向</w:t>
      </w:r>
      <w:r>
        <w:rPr>
          <w:rFonts w:hint="eastAsia"/>
          <w:color w:val="auto"/>
          <w:spacing w:val="-6"/>
          <w:lang w:eastAsia="zh-CN"/>
        </w:rPr>
        <w:t>供应商</w:t>
      </w:r>
      <w:r>
        <w:rPr>
          <w:color w:val="auto"/>
          <w:spacing w:val="-6"/>
        </w:rPr>
        <w:t>提供的图纸、详细资料、</w:t>
      </w:r>
      <w:r>
        <w:rPr>
          <w:color w:val="auto"/>
        </w:rPr>
        <w:t xml:space="preserve"> </w:t>
      </w:r>
      <w:r>
        <w:rPr>
          <w:color w:val="auto"/>
          <w:spacing w:val="-6"/>
        </w:rPr>
        <w:t>样品、模型、模件和所有其它资料，被视为保密资料，仅被用于它所规定的用途。</w:t>
      </w:r>
    </w:p>
    <w:p>
      <w:pPr>
        <w:pStyle w:val="8"/>
        <w:kinsoku w:val="0"/>
        <w:overflowPunct w:val="0"/>
        <w:spacing w:before="154" w:line="357" w:lineRule="auto"/>
        <w:ind w:right="117" w:firstLine="480"/>
        <w:rPr>
          <w:rFonts w:hint="default"/>
          <w:color w:val="auto"/>
          <w:spacing w:val="-6"/>
        </w:rPr>
        <w:sectPr>
          <w:pgSz w:w="11910" w:h="16840"/>
          <w:pgMar w:top="1460" w:right="1440" w:bottom="1600" w:left="1680" w:header="0" w:footer="1415" w:gutter="0"/>
          <w:cols w:space="720" w:num="1"/>
        </w:sectPr>
      </w:pPr>
    </w:p>
    <w:p>
      <w:pPr>
        <w:pStyle w:val="8"/>
        <w:kinsoku w:val="0"/>
        <w:overflowPunct w:val="0"/>
        <w:spacing w:before="2" w:line="357" w:lineRule="auto"/>
        <w:rPr>
          <w:rFonts w:hint="default"/>
          <w:color w:val="auto"/>
        </w:rPr>
      </w:pPr>
      <w:bookmarkStart w:id="38" w:name="第三部分_采购需求"/>
      <w:bookmarkEnd w:id="38"/>
      <w:r>
        <w:rPr>
          <w:color w:val="auto"/>
        </w:rPr>
        <w:t xml:space="preserve">除非得到采购人的同意，不能向任何第三方透露。开标结束后，应采购人要求， </w:t>
      </w:r>
      <w:r>
        <w:rPr>
          <w:rFonts w:hint="eastAsia"/>
          <w:color w:val="auto"/>
          <w:lang w:eastAsia="zh-CN"/>
        </w:rPr>
        <w:t>供应商</w:t>
      </w:r>
      <w:r>
        <w:rPr>
          <w:color w:val="auto"/>
        </w:rPr>
        <w:t>应归还所有从采购人处获得的保密资料。</w:t>
      </w:r>
    </w:p>
    <w:p>
      <w:pPr>
        <w:pStyle w:val="8"/>
        <w:kinsoku w:val="0"/>
        <w:overflowPunct w:val="0"/>
        <w:spacing w:line="357" w:lineRule="auto"/>
        <w:ind w:right="197" w:firstLine="480"/>
        <w:jc w:val="both"/>
        <w:rPr>
          <w:rFonts w:hint="default"/>
          <w:color w:val="auto"/>
        </w:rPr>
      </w:pPr>
      <w:r>
        <w:rPr>
          <w:color w:val="auto"/>
        </w:rPr>
        <w:t>38.2</w:t>
      </w:r>
      <w:r>
        <w:rPr>
          <w:color w:val="auto"/>
          <w:spacing w:val="-51"/>
        </w:rPr>
        <w:t xml:space="preserve"> </w:t>
      </w:r>
      <w:r>
        <w:rPr>
          <w:color w:val="auto"/>
          <w:spacing w:val="2"/>
        </w:rPr>
        <w:t>采购代理机构有权将</w:t>
      </w:r>
      <w:r>
        <w:rPr>
          <w:rFonts w:hint="eastAsia"/>
          <w:color w:val="auto"/>
          <w:spacing w:val="2"/>
          <w:lang w:eastAsia="zh-CN"/>
        </w:rPr>
        <w:t>供应商</w:t>
      </w:r>
      <w:r>
        <w:rPr>
          <w:color w:val="auto"/>
          <w:spacing w:val="2"/>
        </w:rPr>
        <w:t>提供的所有资料向有关政府部门或评审标</w:t>
      </w:r>
      <w:r>
        <w:rPr>
          <w:color w:val="auto"/>
        </w:rPr>
        <w:t xml:space="preserve"> 书的有关人员披露。</w:t>
      </w:r>
    </w:p>
    <w:p>
      <w:pPr>
        <w:spacing w:line="360" w:lineRule="auto"/>
        <w:ind w:firstLine="480" w:firstLineChars="200"/>
        <w:rPr>
          <w:rFonts w:hint="default" w:ascii="Times New Roman" w:eastAsia="Times New Roman"/>
          <w:color w:val="auto"/>
        </w:rPr>
        <w:sectPr>
          <w:footerReference r:id="rId11" w:type="default"/>
          <w:pgSz w:w="11910" w:h="16840"/>
          <w:pgMar w:top="1460" w:right="1560" w:bottom="1600" w:left="1680" w:header="0" w:footer="1415" w:gutter="0"/>
          <w:cols w:space="720" w:num="1"/>
        </w:sectPr>
      </w:pPr>
      <w:r>
        <w:rPr>
          <w:rFonts w:hint="eastAsia" w:ascii="宋体" w:hAnsi="Times New Roman" w:eastAsia="宋体" w:cs="宋体"/>
          <w:color w:val="auto"/>
          <w:sz w:val="24"/>
          <w:szCs w:val="24"/>
          <w:lang w:val="en-US" w:eastAsia="zh-CN" w:bidi="ar-SA"/>
        </w:rPr>
        <w:t>38.3 在采购代理机构认为适当时、国家机关调查、审查、审计时以及其他 符合法律规定的情形下，采购代理机构无须事先征求供应商同意而可以披露关于 采购过程、合同文本、签署情况的资料、供应商的名称及地址、投标文件的有关 信息以及补充条款等，但应当在合理的必要范围内。对任何已经公布过的内容或 与之内容相同的资料，以及供应商已经泄露或公开的，无须再承担保密责任。</w:t>
      </w:r>
    </w:p>
    <w:p>
      <w:pPr>
        <w:kinsoku w:val="0"/>
        <w:overflowPunct w:val="0"/>
        <w:spacing w:before="7"/>
        <w:ind w:right="45"/>
        <w:jc w:val="center"/>
        <w:rPr>
          <w:rFonts w:hint="default"/>
          <w:color w:val="auto"/>
          <w:sz w:val="30"/>
          <w:szCs w:val="30"/>
        </w:rPr>
      </w:pPr>
      <w:r>
        <w:rPr>
          <w:color w:val="auto"/>
          <w:sz w:val="30"/>
          <w:szCs w:val="30"/>
        </w:rPr>
        <w:t>第三部分采购需求</w:t>
      </w:r>
    </w:p>
    <w:p>
      <w:pPr>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整套设备原装进口</w:t>
      </w:r>
      <w:r>
        <w:rPr>
          <w:rFonts w:hint="eastAsia" w:ascii="仿宋" w:hAnsi="仿宋" w:eastAsia="仿宋"/>
          <w:color w:val="auto"/>
          <w:sz w:val="28"/>
          <w:szCs w:val="28"/>
        </w:rPr>
        <w:t xml:space="preserve">                                                                                        一、</w:t>
      </w:r>
      <w:r>
        <w:rPr>
          <w:rFonts w:hint="eastAsia" w:ascii="仿宋" w:hAnsi="仿宋" w:eastAsia="仿宋"/>
          <w:color w:val="auto"/>
          <w:sz w:val="28"/>
          <w:szCs w:val="28"/>
          <w:lang w:val="en-US" w:eastAsia="zh-CN"/>
        </w:rPr>
        <w:t>关节内窥镜</w:t>
      </w:r>
      <w:r>
        <w:rPr>
          <w:rFonts w:hint="eastAsia" w:ascii="仿宋" w:hAnsi="仿宋" w:eastAsia="仿宋"/>
          <w:color w:val="auto"/>
          <w:sz w:val="28"/>
          <w:szCs w:val="28"/>
        </w:rPr>
        <w:t xml:space="preserve">                                                                                                                  1</w:t>
      </w:r>
      <w:r>
        <w:rPr>
          <w:rFonts w:hint="eastAsia" w:ascii="仿宋" w:hAnsi="仿宋" w:eastAsia="仿宋"/>
          <w:color w:val="auto"/>
          <w:sz w:val="28"/>
          <w:szCs w:val="28"/>
          <w:lang w:val="en-US" w:eastAsia="zh-CN"/>
        </w:rPr>
        <w:t>.4</w:t>
      </w:r>
      <w:r>
        <w:rPr>
          <w:rFonts w:hint="eastAsia" w:ascii="仿宋" w:hAnsi="仿宋" w:eastAsia="仿宋"/>
          <w:color w:val="auto"/>
          <w:sz w:val="28"/>
          <w:szCs w:val="28"/>
        </w:rPr>
        <w:t>mm,30</w:t>
      </w:r>
      <w:r>
        <w:rPr>
          <w:rFonts w:hint="eastAsia" w:ascii="仿宋" w:hAnsi="仿宋" w:eastAsia="仿宋"/>
          <w:color w:val="auto"/>
          <w:sz w:val="28"/>
          <w:szCs w:val="28"/>
          <w:lang w:val="en-US" w:eastAsia="zh-CN"/>
        </w:rPr>
        <w:t>°≥140mm关节内窥镜</w:t>
      </w:r>
      <w:r>
        <w:rPr>
          <w:rFonts w:hint="eastAsia" w:ascii="仿宋" w:hAnsi="仿宋" w:eastAsia="仿宋"/>
          <w:color w:val="auto"/>
          <w:sz w:val="28"/>
          <w:szCs w:val="28"/>
        </w:rPr>
        <w:t>1根。                                                                                                                        2</w:t>
      </w:r>
      <w:r>
        <w:rPr>
          <w:rFonts w:hint="eastAsia" w:ascii="仿宋" w:hAnsi="仿宋" w:eastAsia="仿宋"/>
          <w:color w:val="auto"/>
          <w:sz w:val="28"/>
          <w:szCs w:val="28"/>
          <w:lang w:val="en-US" w:eastAsia="zh-CN"/>
        </w:rPr>
        <w:t>.</w:t>
      </w:r>
      <w:r>
        <w:rPr>
          <w:rFonts w:hint="eastAsia" w:ascii="仿宋" w:hAnsi="仿宋" w:eastAsia="仿宋"/>
          <w:color w:val="auto"/>
          <w:sz w:val="28"/>
          <w:szCs w:val="28"/>
        </w:rPr>
        <w:t>前端采用蓝宝石镜面</w:t>
      </w:r>
    </w:p>
    <w:p>
      <w:pPr>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3.配套关节内窥镜套管1套，外径≥5.8mm.</w:t>
      </w:r>
    </w:p>
    <w:p>
      <w:pPr>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w:t>
      </w:r>
      <w:r>
        <w:rPr>
          <w:rFonts w:hint="eastAsia" w:ascii="仿宋" w:hAnsi="仿宋" w:eastAsia="仿宋"/>
          <w:color w:val="auto"/>
          <w:sz w:val="28"/>
          <w:szCs w:val="28"/>
        </w:rPr>
        <w:t>可高温高压，低温等离子，熏蒸等多种消毒方式。</w:t>
      </w:r>
    </w:p>
    <w:p>
      <w:pPr>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二、摄像系统</w:t>
      </w:r>
    </w:p>
    <w:p>
      <w:pPr>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（一）.</w:t>
      </w:r>
      <w:r>
        <w:rPr>
          <w:rFonts w:hint="eastAsia" w:ascii="仿宋" w:hAnsi="仿宋" w:eastAsia="仿宋"/>
          <w:color w:val="auto"/>
          <w:sz w:val="28"/>
          <w:szCs w:val="28"/>
        </w:rPr>
        <w:t>摄像</w:t>
      </w:r>
      <w:r>
        <w:rPr>
          <w:rFonts w:hint="eastAsia" w:ascii="仿宋" w:hAnsi="仿宋" w:eastAsia="仿宋"/>
          <w:color w:val="auto"/>
          <w:sz w:val="28"/>
          <w:szCs w:val="28"/>
          <w:lang w:val="en-US" w:eastAsia="zh-CN"/>
        </w:rPr>
        <w:t>主机</w:t>
      </w:r>
      <w:r>
        <w:rPr>
          <w:rFonts w:hint="eastAsia" w:ascii="仿宋" w:hAnsi="仿宋" w:eastAsia="仿宋"/>
          <w:color w:val="auto"/>
          <w:sz w:val="28"/>
          <w:szCs w:val="28"/>
        </w:rPr>
        <w:t xml:space="preserve">：                                                                                                               1.具有分辨率：3840X2160，逐行扫描。                                                                                            2.具有多种专业手术模式，满足常规手术需要。包括：腹腔镜模式，胸腔镜模式，宫腔镜模式，鼻窦镜模式，膀胱镜模式，关节镜模式，激光模式，显微镜模式等。                                                                                                 3.主机液晶触摸屏菜单设计，具有多种语言操作模式，参数可调。                                                                         </w:t>
      </w:r>
      <w:r>
        <w:rPr>
          <w:rFonts w:hint="eastAsia" w:ascii="仿宋" w:hAnsi="仿宋" w:eastAsia="仿宋"/>
          <w:color w:val="auto"/>
          <w:sz w:val="28"/>
          <w:szCs w:val="28"/>
          <w:lang w:val="en-US" w:eastAsia="zh-CN"/>
        </w:rPr>
        <w:t>*</w:t>
      </w:r>
      <w:r>
        <w:rPr>
          <w:rFonts w:hint="eastAsia" w:ascii="仿宋" w:hAnsi="仿宋" w:eastAsia="仿宋"/>
          <w:color w:val="auto"/>
          <w:sz w:val="28"/>
          <w:szCs w:val="28"/>
        </w:rPr>
        <w:t>4.</w:t>
      </w:r>
      <w:r>
        <w:rPr>
          <w:rFonts w:hint="eastAsia" w:ascii="仿宋" w:hAnsi="仿宋" w:eastAsia="仿宋"/>
          <w:color w:val="auto"/>
          <w:kern w:val="0"/>
          <w:sz w:val="28"/>
          <w:szCs w:val="28"/>
        </w:rPr>
        <w:t>具有近红外光成像功能</w:t>
      </w:r>
      <w:r>
        <w:rPr>
          <w:rFonts w:hint="eastAsia" w:ascii="仿宋" w:hAnsi="仿宋" w:eastAsia="仿宋"/>
          <w:color w:val="auto"/>
          <w:kern w:val="0"/>
          <w:sz w:val="28"/>
          <w:szCs w:val="28"/>
          <w:lang w:eastAsia="zh-CN"/>
        </w:rPr>
        <w:t>，</w:t>
      </w:r>
      <w:r>
        <w:rPr>
          <w:rFonts w:hint="eastAsia" w:ascii="仿宋" w:hAnsi="仿宋" w:eastAsia="仿宋"/>
          <w:color w:val="auto"/>
          <w:sz w:val="28"/>
          <w:szCs w:val="28"/>
          <w:lang w:val="en-US" w:eastAsia="zh-CN"/>
        </w:rPr>
        <w:t>需要在产品注册证上体现。</w:t>
      </w:r>
      <w:r>
        <w:rPr>
          <w:rFonts w:hint="eastAsia" w:ascii="仿宋" w:hAnsi="仿宋" w:eastAsia="仿宋"/>
          <w:color w:val="auto"/>
          <w:sz w:val="28"/>
          <w:szCs w:val="28"/>
        </w:rPr>
        <w:t xml:space="preserve">                                                                                    5.</w:t>
      </w:r>
      <w:r>
        <w:rPr>
          <w:rFonts w:hint="eastAsia" w:ascii="仿宋" w:hAnsi="仿宋" w:eastAsia="仿宋"/>
          <w:color w:val="auto"/>
          <w:sz w:val="28"/>
          <w:szCs w:val="28"/>
          <w:lang w:val="en-US" w:eastAsia="zh-CN"/>
        </w:rPr>
        <w:t>具有≥3种语言操作菜单界面，支持中文。配备4k</w:t>
      </w:r>
      <w:r>
        <w:rPr>
          <w:rFonts w:hint="eastAsia" w:ascii="仿宋" w:hAnsi="仿宋" w:eastAsia="仿宋"/>
          <w:color w:val="auto"/>
          <w:sz w:val="28"/>
          <w:szCs w:val="28"/>
        </w:rPr>
        <w:t>摄像头</w:t>
      </w:r>
      <w:r>
        <w:rPr>
          <w:rFonts w:hint="eastAsia" w:ascii="仿宋" w:hAnsi="仿宋" w:eastAsia="仿宋"/>
          <w:color w:val="auto"/>
          <w:sz w:val="28"/>
          <w:szCs w:val="28"/>
          <w:lang w:val="en-US" w:eastAsia="zh-CN"/>
        </w:rPr>
        <w:t>,分辨率：</w:t>
      </w:r>
      <w:r>
        <w:rPr>
          <w:rFonts w:hint="eastAsia" w:ascii="仿宋" w:hAnsi="仿宋" w:eastAsia="仿宋"/>
          <w:color w:val="auto"/>
          <w:sz w:val="28"/>
          <w:szCs w:val="28"/>
        </w:rPr>
        <w:t>3840X2160</w:t>
      </w:r>
      <w:r>
        <w:rPr>
          <w:rFonts w:hint="eastAsia" w:ascii="仿宋" w:hAnsi="仿宋" w:eastAsia="仿宋"/>
          <w:color w:val="auto"/>
          <w:sz w:val="28"/>
          <w:szCs w:val="28"/>
          <w:lang w:eastAsia="zh-CN"/>
        </w:rPr>
        <w:t>，</w:t>
      </w:r>
      <w:r>
        <w:rPr>
          <w:rFonts w:hint="eastAsia" w:ascii="仿宋" w:hAnsi="仿宋" w:eastAsia="仿宋"/>
          <w:color w:val="auto"/>
          <w:sz w:val="28"/>
          <w:szCs w:val="28"/>
        </w:rPr>
        <w:t>按键≥4个。可自由设置不少于8种功能键</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支持低温等离子消毒。</w:t>
      </w:r>
    </w:p>
    <w:p>
      <w:pPr>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6.</w:t>
      </w:r>
      <w:r>
        <w:rPr>
          <w:rFonts w:hint="eastAsia" w:ascii="仿宋" w:hAnsi="仿宋" w:eastAsia="仿宋"/>
          <w:color w:val="auto"/>
          <w:sz w:val="28"/>
          <w:szCs w:val="28"/>
        </w:rPr>
        <w:t>摄像主机具备</w:t>
      </w:r>
      <w:r>
        <w:rPr>
          <w:rFonts w:hint="eastAsia" w:ascii="仿宋" w:hAnsi="仿宋" w:eastAsia="仿宋"/>
          <w:color w:val="auto"/>
          <w:sz w:val="28"/>
          <w:szCs w:val="28"/>
          <w:lang w:val="en-US" w:eastAsia="zh-CN"/>
        </w:rPr>
        <w:t>12G-SDI,HDMI，DVI</w:t>
      </w:r>
      <w:r>
        <w:rPr>
          <w:rFonts w:hint="eastAsia" w:ascii="仿宋" w:hAnsi="仿宋" w:eastAsia="仿宋"/>
          <w:color w:val="auto"/>
          <w:sz w:val="28"/>
          <w:szCs w:val="28"/>
        </w:rPr>
        <w:t>等输出方式，具有和光源主机同步控制接口；</w:t>
      </w:r>
    </w:p>
    <w:p>
      <w:pPr>
        <w:numPr>
          <w:ilvl w:val="0"/>
          <w:numId w:val="0"/>
        </w:numPr>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7.配备4k</w:t>
      </w:r>
      <w:r>
        <w:rPr>
          <w:rFonts w:hint="eastAsia" w:ascii="仿宋" w:hAnsi="仿宋" w:eastAsia="仿宋"/>
          <w:color w:val="auto"/>
          <w:sz w:val="28"/>
          <w:szCs w:val="28"/>
        </w:rPr>
        <w:t>摄像头</w:t>
      </w:r>
      <w:r>
        <w:rPr>
          <w:rFonts w:hint="eastAsia" w:ascii="仿宋" w:hAnsi="仿宋" w:eastAsia="仿宋"/>
          <w:color w:val="auto"/>
          <w:sz w:val="28"/>
          <w:szCs w:val="28"/>
          <w:lang w:val="en-US" w:eastAsia="zh-CN"/>
        </w:rPr>
        <w:t>,分辨率：</w:t>
      </w:r>
      <w:r>
        <w:rPr>
          <w:rFonts w:hint="eastAsia" w:ascii="仿宋" w:hAnsi="仿宋" w:eastAsia="仿宋"/>
          <w:color w:val="auto"/>
          <w:sz w:val="28"/>
          <w:szCs w:val="28"/>
        </w:rPr>
        <w:t>3840X2160</w:t>
      </w:r>
      <w:r>
        <w:rPr>
          <w:rFonts w:hint="eastAsia" w:ascii="仿宋" w:hAnsi="仿宋" w:eastAsia="仿宋"/>
          <w:color w:val="auto"/>
          <w:sz w:val="28"/>
          <w:szCs w:val="28"/>
          <w:lang w:eastAsia="zh-CN"/>
        </w:rPr>
        <w:t>，</w:t>
      </w:r>
      <w:r>
        <w:rPr>
          <w:rFonts w:hint="eastAsia" w:ascii="仿宋" w:hAnsi="仿宋" w:eastAsia="仿宋"/>
          <w:color w:val="auto"/>
          <w:sz w:val="28"/>
          <w:szCs w:val="28"/>
        </w:rPr>
        <w:t>按键≥4个。可自由设置不少于8种功能键</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支持低温等离子消毒。</w:t>
      </w:r>
    </w:p>
    <w:p>
      <w:pPr>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8.摄像头防水等级≥IPX7级</w:t>
      </w:r>
      <w:r>
        <w:rPr>
          <w:rFonts w:hint="eastAsia" w:ascii="仿宋" w:hAnsi="仿宋" w:eastAsia="仿宋"/>
          <w:color w:val="auto"/>
          <w:sz w:val="28"/>
          <w:szCs w:val="28"/>
        </w:rPr>
        <w:t xml:space="preserve">  </w:t>
      </w:r>
    </w:p>
    <w:p>
      <w:pPr>
        <w:jc w:val="lef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9.配套刻录装置一套，带1T 内存，可刻录4K信号。</w:t>
      </w:r>
      <w:r>
        <w:rPr>
          <w:rFonts w:hint="eastAsia" w:ascii="仿宋" w:hAnsi="仿宋" w:eastAsia="仿宋"/>
          <w:color w:val="auto"/>
          <w:sz w:val="28"/>
          <w:szCs w:val="28"/>
        </w:rPr>
        <w:t xml:space="preserve"> </w:t>
      </w:r>
      <w:r>
        <w:rPr>
          <w:rFonts w:hint="eastAsia" w:ascii="仿宋" w:hAnsi="仿宋" w:eastAsia="仿宋"/>
          <w:color w:val="auto"/>
          <w:sz w:val="28"/>
          <w:szCs w:val="28"/>
          <w:lang w:val="en-US" w:eastAsia="zh-CN"/>
        </w:rPr>
        <w:t>触摸屏设计，可回放和手术实时同步显示。</w:t>
      </w:r>
      <w:r>
        <w:rPr>
          <w:rFonts w:hint="eastAsia" w:ascii="仿宋" w:hAnsi="仿宋" w:eastAsia="仿宋"/>
          <w:color w:val="auto"/>
          <w:sz w:val="28"/>
          <w:szCs w:val="28"/>
        </w:rPr>
        <w:t xml:space="preserve">                                                                                           </w:t>
      </w:r>
      <w:r>
        <w:rPr>
          <w:rFonts w:hint="eastAsia" w:ascii="仿宋" w:hAnsi="仿宋" w:eastAsia="仿宋"/>
          <w:color w:val="auto"/>
          <w:sz w:val="28"/>
          <w:szCs w:val="28"/>
          <w:lang w:val="en-US" w:eastAsia="zh-CN"/>
        </w:rPr>
        <w:t>(</w:t>
      </w:r>
      <w:r>
        <w:rPr>
          <w:rFonts w:hint="eastAsia" w:ascii="仿宋" w:hAnsi="仿宋" w:eastAsia="仿宋"/>
          <w:color w:val="auto"/>
          <w:sz w:val="28"/>
          <w:szCs w:val="28"/>
        </w:rPr>
        <w:t>二</w:t>
      </w:r>
      <w:r>
        <w:rPr>
          <w:rFonts w:hint="eastAsia" w:ascii="仿宋" w:hAnsi="仿宋" w:eastAsia="仿宋"/>
          <w:color w:val="auto"/>
          <w:sz w:val="28"/>
          <w:szCs w:val="28"/>
          <w:lang w:val="en-US" w:eastAsia="zh-CN"/>
        </w:rPr>
        <w:t>).</w:t>
      </w:r>
      <w:r>
        <w:rPr>
          <w:rFonts w:hint="eastAsia" w:ascii="仿宋" w:hAnsi="仿宋" w:eastAsia="仿宋"/>
          <w:color w:val="auto"/>
          <w:sz w:val="28"/>
          <w:szCs w:val="28"/>
        </w:rPr>
        <w:t xml:space="preserve">冷光源                                                                                                                </w:t>
      </w:r>
      <w:r>
        <w:rPr>
          <w:rFonts w:hint="eastAsia" w:ascii="仿宋" w:hAnsi="仿宋" w:eastAsia="仿宋"/>
          <w:color w:val="auto"/>
          <w:sz w:val="28"/>
          <w:szCs w:val="28"/>
          <w:lang w:val="en-US" w:eastAsia="zh-CN"/>
        </w:rPr>
        <w:t>*</w:t>
      </w:r>
      <w:r>
        <w:rPr>
          <w:rFonts w:hint="eastAsia" w:ascii="仿宋" w:hAnsi="仿宋" w:eastAsia="仿宋"/>
          <w:color w:val="auto"/>
          <w:sz w:val="28"/>
          <w:szCs w:val="28"/>
        </w:rPr>
        <w:t>1.独立LED冷光源</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不接受和摄像主机一体化设计。</w:t>
      </w:r>
      <w:r>
        <w:rPr>
          <w:rFonts w:hint="eastAsia" w:ascii="仿宋" w:hAnsi="仿宋" w:eastAsia="仿宋"/>
          <w:color w:val="auto"/>
          <w:sz w:val="28"/>
          <w:szCs w:val="28"/>
        </w:rPr>
        <w:t>无灯泡耗材，使用寿命≥40000H.                                                                 2.液晶触摸屏设计，菜单多种语言设计，参数可视。                                                                                         3.具有自动安全反馈功能，不插光纤，不点亮光源                                                                                                     4.</w:t>
      </w:r>
      <w:r>
        <w:rPr>
          <w:rFonts w:hint="eastAsia" w:ascii="仿宋" w:hAnsi="仿宋" w:eastAsia="仿宋"/>
          <w:color w:val="auto"/>
          <w:sz w:val="28"/>
          <w:szCs w:val="28"/>
          <w:lang w:val="en-US" w:eastAsia="zh-CN"/>
        </w:rPr>
        <w:t>万能</w:t>
      </w:r>
      <w:r>
        <w:rPr>
          <w:rFonts w:hint="eastAsia" w:ascii="仿宋" w:hAnsi="仿宋" w:eastAsia="仿宋"/>
          <w:color w:val="auto"/>
          <w:sz w:val="28"/>
          <w:szCs w:val="28"/>
        </w:rPr>
        <w:t>光纤卡口设计，满足各种品牌，直径不等的各种光纤。</w:t>
      </w:r>
      <w:r>
        <w:rPr>
          <w:rFonts w:hint="eastAsia" w:ascii="仿宋" w:hAnsi="仿宋" w:eastAsia="仿宋"/>
          <w:color w:val="auto"/>
          <w:sz w:val="28"/>
          <w:szCs w:val="28"/>
          <w:lang w:val="en-US" w:eastAsia="zh-CN"/>
        </w:rPr>
        <w:t xml:space="preserve">      5.功率≥125W</w:t>
      </w:r>
      <w:r>
        <w:rPr>
          <w:rFonts w:hint="eastAsia" w:ascii="仿宋" w:hAnsi="仿宋" w:eastAsia="仿宋"/>
          <w:color w:val="auto"/>
          <w:sz w:val="28"/>
          <w:szCs w:val="28"/>
        </w:rPr>
        <w:t xml:space="preserve">                                                                                                                                                              </w:t>
      </w:r>
      <w:r>
        <w:rPr>
          <w:rFonts w:hint="eastAsia" w:ascii="仿宋" w:hAnsi="仿宋" w:eastAsia="仿宋"/>
          <w:color w:val="auto"/>
          <w:sz w:val="28"/>
          <w:szCs w:val="28"/>
          <w:lang w:val="en-US" w:eastAsia="zh-CN"/>
        </w:rPr>
        <w:t>(</w:t>
      </w:r>
      <w:r>
        <w:rPr>
          <w:rFonts w:hint="eastAsia" w:ascii="仿宋" w:hAnsi="仿宋" w:eastAsia="仿宋"/>
          <w:color w:val="auto"/>
          <w:sz w:val="28"/>
          <w:szCs w:val="28"/>
        </w:rPr>
        <w:t>三</w:t>
      </w:r>
      <w:r>
        <w:rPr>
          <w:rFonts w:hint="eastAsia" w:ascii="仿宋" w:hAnsi="仿宋" w:eastAsia="仿宋"/>
          <w:color w:val="auto"/>
          <w:sz w:val="28"/>
          <w:szCs w:val="28"/>
          <w:lang w:val="en-US" w:eastAsia="zh-CN"/>
        </w:rPr>
        <w:t>).</w:t>
      </w:r>
      <w:r>
        <w:rPr>
          <w:rFonts w:hint="eastAsia" w:ascii="仿宋" w:hAnsi="仿宋" w:eastAsia="仿宋"/>
          <w:color w:val="auto"/>
          <w:sz w:val="28"/>
          <w:szCs w:val="28"/>
        </w:rPr>
        <w:t>4K监视器                                                                                                                           1、医用专业</w:t>
      </w:r>
      <w:r>
        <w:rPr>
          <w:rFonts w:hint="eastAsia" w:ascii="仿宋" w:hAnsi="仿宋" w:eastAsia="仿宋"/>
          <w:color w:val="auto"/>
          <w:sz w:val="28"/>
          <w:szCs w:val="28"/>
          <w:lang w:val="en-US" w:eastAsia="zh-CN"/>
        </w:rPr>
        <w:t>原装进口</w:t>
      </w:r>
      <w:r>
        <w:rPr>
          <w:rFonts w:hint="eastAsia" w:ascii="仿宋" w:hAnsi="仿宋" w:eastAsia="仿宋"/>
          <w:color w:val="auto"/>
          <w:sz w:val="28"/>
          <w:szCs w:val="28"/>
        </w:rPr>
        <w:t xml:space="preserve">监视器                                                            2、液晶屏:32英寸,兼容4K信号和高清信号                                                                                                  3、图像输入输出具有HDMI.DVI等多种数字接口                                                                                                                                                                                                                                                                                                          </w:t>
      </w:r>
      <w:r>
        <w:rPr>
          <w:rFonts w:hint="eastAsia" w:ascii="仿宋" w:hAnsi="仿宋" w:eastAsia="仿宋"/>
          <w:color w:val="auto"/>
          <w:sz w:val="28"/>
          <w:szCs w:val="28"/>
          <w:lang w:val="en-US" w:eastAsia="zh-CN"/>
        </w:rPr>
        <w:t>三、</w:t>
      </w:r>
      <w:r>
        <w:rPr>
          <w:rFonts w:hint="eastAsia" w:ascii="仿宋" w:hAnsi="仿宋" w:eastAsia="仿宋"/>
          <w:b/>
          <w:bCs/>
          <w:color w:val="auto"/>
          <w:kern w:val="0"/>
          <w:sz w:val="28"/>
          <w:szCs w:val="28"/>
          <w:lang w:val="en-US" w:eastAsia="zh-CN" w:bidi="ar"/>
        </w:rPr>
        <w:t>刨削消融系统</w:t>
      </w:r>
    </w:p>
    <w:p>
      <w:pPr>
        <w:keepNext w:val="0"/>
        <w:keepLines w:val="0"/>
        <w:widowControl/>
        <w:suppressLineNumbers w:val="0"/>
        <w:jc w:val="left"/>
        <w:rPr>
          <w:rFonts w:hint="eastAsia" w:ascii="仿宋" w:hAnsi="仿宋" w:eastAsia="仿宋"/>
          <w:color w:val="auto"/>
          <w:kern w:val="0"/>
          <w:sz w:val="28"/>
          <w:szCs w:val="28"/>
          <w:lang w:val="en-US" w:eastAsia="zh-CN" w:bidi="ar"/>
        </w:rPr>
      </w:pPr>
      <w:r>
        <w:rPr>
          <w:rFonts w:hint="eastAsia" w:ascii="仿宋" w:hAnsi="仿宋" w:eastAsia="仿宋"/>
          <w:color w:val="auto"/>
          <w:kern w:val="0"/>
          <w:sz w:val="28"/>
          <w:szCs w:val="28"/>
          <w:lang w:val="en-US" w:eastAsia="zh-CN" w:bidi="ar"/>
        </w:rPr>
        <w:t xml:space="preserve">1.主机控制台具有功能≥2 种 </w:t>
      </w:r>
    </w:p>
    <w:p>
      <w:pPr>
        <w:keepNext w:val="0"/>
        <w:keepLines w:val="0"/>
        <w:widowControl/>
        <w:suppressLineNumbers w:val="0"/>
        <w:jc w:val="left"/>
        <w:rPr>
          <w:rFonts w:hint="eastAsia" w:ascii="仿宋" w:hAnsi="仿宋" w:eastAsia="仿宋"/>
          <w:color w:val="auto"/>
          <w:kern w:val="0"/>
          <w:sz w:val="28"/>
          <w:szCs w:val="28"/>
          <w:lang w:val="en-US" w:eastAsia="zh-CN" w:bidi="ar"/>
        </w:rPr>
      </w:pPr>
      <w:r>
        <w:rPr>
          <w:rFonts w:hint="eastAsia" w:ascii="仿宋" w:hAnsi="仿宋" w:eastAsia="仿宋"/>
          <w:color w:val="auto"/>
          <w:kern w:val="0"/>
          <w:sz w:val="28"/>
          <w:szCs w:val="28"/>
          <w:lang w:val="en-US" w:eastAsia="zh-CN" w:bidi="ar"/>
        </w:rPr>
        <w:t xml:space="preserve">2.具有用户偏好设置功能，可通过专用界面进行自定义设置。可设置功能 ≥ 9 种。包括：射频切割功率，凝 </w:t>
      </w:r>
    </w:p>
    <w:p>
      <w:pPr>
        <w:keepNext w:val="0"/>
        <w:keepLines w:val="0"/>
        <w:widowControl/>
        <w:suppressLineNumbers w:val="0"/>
        <w:jc w:val="left"/>
        <w:rPr>
          <w:rFonts w:hint="eastAsia" w:ascii="仿宋" w:hAnsi="仿宋" w:eastAsia="仿宋"/>
          <w:color w:val="auto"/>
          <w:kern w:val="0"/>
          <w:sz w:val="28"/>
          <w:szCs w:val="28"/>
          <w:lang w:val="en-US" w:eastAsia="zh-CN" w:bidi="ar"/>
        </w:rPr>
      </w:pPr>
      <w:r>
        <w:rPr>
          <w:rFonts w:hint="eastAsia" w:ascii="仿宋" w:hAnsi="仿宋" w:eastAsia="仿宋"/>
          <w:color w:val="auto"/>
          <w:kern w:val="0"/>
          <w:sz w:val="28"/>
          <w:szCs w:val="28"/>
          <w:lang w:val="en-US" w:eastAsia="zh-CN" w:bidi="ar"/>
        </w:rPr>
        <w:t xml:space="preserve">血功率、刨削最大最小转速，往复转转速率、射频电极手柄/刨削手机/脚踏开关的按钮功能分配，刨削启动触发功能模式选择 </w:t>
      </w:r>
    </w:p>
    <w:p>
      <w:pPr>
        <w:keepNext w:val="0"/>
        <w:keepLines w:val="0"/>
        <w:widowControl/>
        <w:suppressLineNumbers w:val="0"/>
        <w:jc w:val="left"/>
        <w:rPr>
          <w:rFonts w:hint="eastAsia" w:ascii="仿宋" w:hAnsi="仿宋" w:eastAsia="仿宋"/>
          <w:color w:val="auto"/>
          <w:kern w:val="0"/>
          <w:sz w:val="28"/>
          <w:szCs w:val="28"/>
          <w:lang w:val="en-US" w:eastAsia="zh-CN" w:bidi="ar"/>
        </w:rPr>
      </w:pPr>
      <w:r>
        <w:rPr>
          <w:rFonts w:hint="eastAsia" w:ascii="仿宋" w:hAnsi="仿宋" w:eastAsia="仿宋"/>
          <w:color w:val="auto"/>
          <w:kern w:val="0"/>
          <w:sz w:val="28"/>
          <w:szCs w:val="28"/>
          <w:lang w:val="en-US" w:eastAsia="zh-CN" w:bidi="ar"/>
        </w:rPr>
        <w:t xml:space="preserve">3.液晶屏幕显示显示参数信息 ≥11 种，包括：射频刨削功能提示，刀头种类，脚踏连接提示，射频切割凝血 </w:t>
      </w:r>
    </w:p>
    <w:p>
      <w:pPr>
        <w:keepNext w:val="0"/>
        <w:keepLines w:val="0"/>
        <w:widowControl/>
        <w:suppressLineNumbers w:val="0"/>
        <w:jc w:val="left"/>
        <w:rPr>
          <w:rFonts w:hint="eastAsia" w:ascii="仿宋" w:hAnsi="仿宋" w:eastAsia="仿宋"/>
          <w:color w:val="auto"/>
          <w:kern w:val="0"/>
          <w:sz w:val="28"/>
          <w:szCs w:val="28"/>
          <w:lang w:val="en-US" w:eastAsia="zh-CN" w:bidi="ar"/>
        </w:rPr>
      </w:pPr>
      <w:r>
        <w:rPr>
          <w:rFonts w:hint="eastAsia" w:ascii="仿宋" w:hAnsi="仿宋" w:eastAsia="仿宋"/>
          <w:color w:val="auto"/>
          <w:kern w:val="0"/>
          <w:sz w:val="28"/>
          <w:szCs w:val="28"/>
          <w:lang w:val="en-US" w:eastAsia="zh-CN" w:bidi="ar"/>
        </w:rPr>
        <w:t xml:space="preserve">功能提示，射频切割功率档位，凝血功率档位，连接射频电极名称，连接刨削刀头名称，刨削正转反转往复转功能 </w:t>
      </w:r>
    </w:p>
    <w:p>
      <w:pPr>
        <w:keepNext w:val="0"/>
        <w:keepLines w:val="0"/>
        <w:widowControl/>
        <w:suppressLineNumbers w:val="0"/>
        <w:jc w:val="left"/>
        <w:rPr>
          <w:rFonts w:hint="eastAsia" w:ascii="仿宋" w:hAnsi="仿宋" w:eastAsia="仿宋"/>
          <w:color w:val="auto"/>
          <w:kern w:val="0"/>
          <w:sz w:val="28"/>
          <w:szCs w:val="28"/>
          <w:lang w:val="en-US" w:eastAsia="zh-CN" w:bidi="ar"/>
        </w:rPr>
      </w:pPr>
      <w:r>
        <w:rPr>
          <w:rFonts w:hint="eastAsia" w:ascii="仿宋" w:hAnsi="仿宋" w:eastAsia="仿宋"/>
          <w:color w:val="auto"/>
          <w:kern w:val="0"/>
          <w:sz w:val="28"/>
          <w:szCs w:val="28"/>
          <w:lang w:val="en-US" w:eastAsia="zh-CN" w:bidi="ar"/>
        </w:rPr>
        <w:t xml:space="preserve">提示，刨削转速显示，刨削手机按键触发启动模式 </w:t>
      </w:r>
    </w:p>
    <w:p>
      <w:pPr>
        <w:keepNext w:val="0"/>
        <w:keepLines w:val="0"/>
        <w:widowControl/>
        <w:suppressLineNumbers w:val="0"/>
        <w:jc w:val="left"/>
        <w:rPr>
          <w:rFonts w:hint="eastAsia" w:ascii="仿宋" w:hAnsi="仿宋" w:eastAsia="仿宋"/>
          <w:color w:val="auto"/>
          <w:kern w:val="0"/>
          <w:sz w:val="28"/>
          <w:szCs w:val="28"/>
          <w:lang w:val="en-US" w:eastAsia="zh-CN" w:bidi="ar"/>
        </w:rPr>
      </w:pPr>
      <w:r>
        <w:rPr>
          <w:rFonts w:hint="eastAsia" w:ascii="仿宋" w:hAnsi="仿宋" w:eastAsia="仿宋"/>
          <w:color w:val="auto"/>
          <w:kern w:val="0"/>
          <w:sz w:val="28"/>
          <w:szCs w:val="28"/>
          <w:lang w:val="en-US" w:eastAsia="zh-CN" w:bidi="ar"/>
        </w:rPr>
        <w:t xml:space="preserve">4.可以兼容刨削手机种类≥4 种 </w:t>
      </w:r>
    </w:p>
    <w:p>
      <w:pPr>
        <w:keepNext w:val="0"/>
        <w:keepLines w:val="0"/>
        <w:widowControl/>
        <w:suppressLineNumbers w:val="0"/>
        <w:jc w:val="left"/>
        <w:rPr>
          <w:rFonts w:hint="eastAsia" w:ascii="仿宋" w:hAnsi="仿宋" w:eastAsia="仿宋"/>
          <w:color w:val="auto"/>
          <w:kern w:val="0"/>
          <w:sz w:val="28"/>
          <w:szCs w:val="28"/>
          <w:lang w:val="en-US" w:eastAsia="zh-CN" w:bidi="ar"/>
        </w:rPr>
      </w:pPr>
      <w:r>
        <w:rPr>
          <w:rFonts w:hint="eastAsia" w:ascii="仿宋" w:hAnsi="仿宋" w:eastAsia="仿宋"/>
          <w:color w:val="auto"/>
          <w:kern w:val="0"/>
          <w:sz w:val="28"/>
          <w:szCs w:val="28"/>
          <w:lang w:val="en-US" w:eastAsia="zh-CN" w:bidi="ar"/>
        </w:rPr>
        <w:t xml:space="preserve">5.带脚踏和手控设备 </w:t>
      </w:r>
    </w:p>
    <w:p>
      <w:pPr>
        <w:keepNext w:val="0"/>
        <w:keepLines w:val="0"/>
        <w:widowControl/>
        <w:suppressLineNumbers w:val="0"/>
        <w:jc w:val="left"/>
        <w:rPr>
          <w:rFonts w:hint="eastAsia" w:ascii="仿宋" w:hAnsi="仿宋" w:eastAsia="仿宋"/>
          <w:color w:val="auto"/>
          <w:kern w:val="0"/>
          <w:sz w:val="28"/>
          <w:szCs w:val="28"/>
          <w:lang w:val="en-US" w:eastAsia="zh-CN" w:bidi="ar"/>
        </w:rPr>
      </w:pPr>
      <w:r>
        <w:rPr>
          <w:rFonts w:hint="eastAsia" w:ascii="仿宋" w:hAnsi="仿宋" w:eastAsia="仿宋"/>
          <w:color w:val="auto"/>
          <w:kern w:val="0"/>
          <w:sz w:val="28"/>
          <w:szCs w:val="28"/>
          <w:lang w:val="en-US" w:eastAsia="zh-CN" w:bidi="ar"/>
        </w:rPr>
        <w:t xml:space="preserve">6.刨削单向转最高速≥10000 rpm，多档可调；往复转，最高转速≥3000 cpm，多档可调 </w:t>
      </w:r>
    </w:p>
    <w:p>
      <w:pPr>
        <w:keepNext w:val="0"/>
        <w:keepLines w:val="0"/>
        <w:widowControl/>
        <w:suppressLineNumbers w:val="0"/>
        <w:jc w:val="left"/>
        <w:rPr>
          <w:rFonts w:hint="eastAsia" w:ascii="仿宋" w:hAnsi="仿宋" w:eastAsia="仿宋"/>
          <w:color w:val="auto"/>
          <w:kern w:val="0"/>
          <w:sz w:val="28"/>
          <w:szCs w:val="28"/>
          <w:lang w:val="en-US" w:eastAsia="zh-CN" w:bidi="ar"/>
        </w:rPr>
      </w:pPr>
      <w:r>
        <w:rPr>
          <w:rFonts w:hint="eastAsia" w:ascii="仿宋" w:hAnsi="仿宋" w:eastAsia="仿宋"/>
          <w:color w:val="auto"/>
          <w:kern w:val="0"/>
          <w:sz w:val="28"/>
          <w:szCs w:val="28"/>
          <w:lang w:val="en-US" w:eastAsia="zh-CN" w:bidi="ar"/>
        </w:rPr>
        <w:t xml:space="preserve">7.具有 4多种刨削手机可选，包括带手控手机，无手控手机手控反向手机，小关节刨削手机等 </w:t>
      </w:r>
    </w:p>
    <w:p>
      <w:pPr>
        <w:keepNext w:val="0"/>
        <w:keepLines w:val="0"/>
        <w:widowControl/>
        <w:suppressLineNumbers w:val="0"/>
        <w:jc w:val="left"/>
        <w:rPr>
          <w:rFonts w:hint="eastAsia" w:ascii="仿宋" w:hAnsi="仿宋" w:eastAsia="仿宋"/>
          <w:color w:val="auto"/>
          <w:kern w:val="0"/>
          <w:sz w:val="28"/>
          <w:szCs w:val="28"/>
          <w:lang w:val="en-US" w:eastAsia="zh-CN" w:bidi="ar"/>
        </w:rPr>
      </w:pPr>
      <w:r>
        <w:rPr>
          <w:rFonts w:hint="eastAsia" w:ascii="仿宋" w:hAnsi="仿宋" w:eastAsia="仿宋"/>
          <w:color w:val="auto"/>
          <w:kern w:val="0"/>
          <w:sz w:val="28"/>
          <w:szCs w:val="28"/>
          <w:lang w:val="en-US" w:eastAsia="zh-CN" w:bidi="ar"/>
        </w:rPr>
        <w:t xml:space="preserve">8.刨削手机按键依用户需要进行可编程，编程功能≥8 种：包括启动停止，冲水，正转，反转，往复转，高速 </w:t>
      </w:r>
    </w:p>
    <w:p>
      <w:pPr>
        <w:keepNext w:val="0"/>
        <w:keepLines w:val="0"/>
        <w:widowControl/>
        <w:suppressLineNumbers w:val="0"/>
        <w:jc w:val="left"/>
        <w:rPr>
          <w:rFonts w:hint="eastAsia" w:ascii="仿宋" w:hAnsi="仿宋" w:eastAsia="仿宋"/>
          <w:color w:val="auto"/>
          <w:kern w:val="0"/>
          <w:sz w:val="28"/>
          <w:szCs w:val="28"/>
          <w:lang w:val="en-US" w:eastAsia="zh-CN" w:bidi="ar"/>
        </w:rPr>
      </w:pPr>
      <w:r>
        <w:rPr>
          <w:rFonts w:hint="eastAsia" w:ascii="仿宋" w:hAnsi="仿宋" w:eastAsia="仿宋"/>
          <w:color w:val="auto"/>
          <w:kern w:val="0"/>
          <w:sz w:val="28"/>
          <w:szCs w:val="28"/>
          <w:lang w:val="en-US" w:eastAsia="zh-CN" w:bidi="ar"/>
        </w:rPr>
        <w:t xml:space="preserve">低速切换，转速增加，转速减少，摇窗功能等 </w:t>
      </w:r>
    </w:p>
    <w:p>
      <w:pPr>
        <w:keepNext w:val="0"/>
        <w:keepLines w:val="0"/>
        <w:widowControl/>
        <w:suppressLineNumbers w:val="0"/>
        <w:jc w:val="left"/>
        <w:rPr>
          <w:rFonts w:hint="eastAsia" w:ascii="仿宋" w:hAnsi="仿宋" w:eastAsia="仿宋"/>
          <w:color w:val="auto"/>
          <w:kern w:val="0"/>
          <w:sz w:val="28"/>
          <w:szCs w:val="28"/>
          <w:lang w:val="en-US" w:eastAsia="zh-CN" w:bidi="ar"/>
        </w:rPr>
      </w:pPr>
      <w:r>
        <w:rPr>
          <w:rFonts w:hint="eastAsia" w:ascii="仿宋" w:hAnsi="仿宋" w:eastAsia="仿宋"/>
          <w:color w:val="auto"/>
          <w:kern w:val="0"/>
          <w:sz w:val="28"/>
          <w:szCs w:val="28"/>
          <w:lang w:val="en-US" w:eastAsia="zh-CN" w:bidi="ar"/>
        </w:rPr>
        <w:t xml:space="preserve">9.具备自动扭力反馈系统 </w:t>
      </w:r>
    </w:p>
    <w:p>
      <w:pPr>
        <w:keepNext w:val="0"/>
        <w:keepLines w:val="0"/>
        <w:widowControl/>
        <w:suppressLineNumbers w:val="0"/>
        <w:jc w:val="left"/>
        <w:rPr>
          <w:rFonts w:hint="eastAsia" w:ascii="仿宋" w:hAnsi="仿宋" w:eastAsia="仿宋"/>
          <w:color w:val="auto"/>
          <w:kern w:val="0"/>
          <w:sz w:val="28"/>
          <w:szCs w:val="28"/>
          <w:lang w:val="en-US" w:eastAsia="zh-CN" w:bidi="ar"/>
        </w:rPr>
      </w:pPr>
      <w:r>
        <w:rPr>
          <w:rFonts w:hint="eastAsia" w:ascii="仿宋" w:hAnsi="仿宋" w:eastAsia="仿宋"/>
          <w:color w:val="auto"/>
          <w:kern w:val="0"/>
          <w:sz w:val="28"/>
          <w:szCs w:val="28"/>
          <w:lang w:val="en-US" w:eastAsia="zh-CN" w:bidi="ar"/>
        </w:rPr>
        <w:t>10.3 种转速控制模式：无级变速功能、不无级变速功能、单触控</w:t>
      </w:r>
    </w:p>
    <w:p>
      <w:pPr>
        <w:keepNext w:val="0"/>
        <w:keepLines w:val="0"/>
        <w:widowControl/>
        <w:suppressLineNumbers w:val="0"/>
        <w:jc w:val="left"/>
        <w:rPr>
          <w:rFonts w:hint="eastAsia" w:ascii="仿宋" w:hAnsi="仿宋" w:eastAsia="仿宋"/>
          <w:color w:val="auto"/>
          <w:kern w:val="0"/>
          <w:sz w:val="28"/>
          <w:szCs w:val="28"/>
          <w:lang w:val="en-US" w:eastAsia="zh-CN" w:bidi="ar"/>
        </w:rPr>
      </w:pPr>
      <w:r>
        <w:rPr>
          <w:rFonts w:hint="eastAsia" w:ascii="仿宋" w:hAnsi="仿宋" w:eastAsia="仿宋"/>
          <w:color w:val="auto"/>
          <w:kern w:val="0"/>
          <w:sz w:val="28"/>
          <w:szCs w:val="28"/>
          <w:lang w:val="en-US" w:eastAsia="zh-CN" w:bidi="ar"/>
        </w:rPr>
        <w:t xml:space="preserve">11.可高温高压消毒 </w:t>
      </w:r>
    </w:p>
    <w:p>
      <w:pPr>
        <w:keepNext w:val="0"/>
        <w:keepLines w:val="0"/>
        <w:widowControl/>
        <w:suppressLineNumbers w:val="0"/>
        <w:jc w:val="left"/>
        <w:rPr>
          <w:rFonts w:hint="eastAsia" w:ascii="仿宋" w:hAnsi="仿宋" w:eastAsia="仿宋"/>
          <w:color w:val="auto"/>
          <w:kern w:val="0"/>
          <w:sz w:val="28"/>
          <w:szCs w:val="28"/>
          <w:lang w:val="en-US" w:eastAsia="zh-CN" w:bidi="ar"/>
        </w:rPr>
      </w:pPr>
      <w:r>
        <w:rPr>
          <w:rFonts w:hint="eastAsia" w:ascii="仿宋" w:hAnsi="仿宋" w:eastAsia="仿宋"/>
          <w:color w:val="auto"/>
          <w:kern w:val="0"/>
          <w:sz w:val="28"/>
          <w:szCs w:val="28"/>
          <w:lang w:val="en-US" w:eastAsia="zh-CN" w:bidi="ar"/>
        </w:rPr>
        <w:t xml:space="preserve">12.刨削手柄自动识别插入的刀头 </w:t>
      </w:r>
    </w:p>
    <w:p>
      <w:pPr>
        <w:keepNext w:val="0"/>
        <w:keepLines w:val="0"/>
        <w:widowControl/>
        <w:suppressLineNumbers w:val="0"/>
        <w:jc w:val="left"/>
        <w:rPr>
          <w:rFonts w:hint="eastAsia" w:ascii="仿宋" w:hAnsi="仿宋" w:eastAsia="仿宋"/>
          <w:color w:val="auto"/>
          <w:kern w:val="0"/>
          <w:sz w:val="28"/>
          <w:szCs w:val="28"/>
          <w:lang w:val="en-US" w:eastAsia="zh-CN" w:bidi="ar"/>
        </w:rPr>
      </w:pPr>
      <w:r>
        <w:rPr>
          <w:rFonts w:hint="eastAsia" w:ascii="仿宋" w:hAnsi="仿宋" w:eastAsia="仿宋"/>
          <w:color w:val="auto"/>
          <w:kern w:val="0"/>
          <w:sz w:val="28"/>
          <w:szCs w:val="28"/>
          <w:lang w:val="en-US" w:eastAsia="zh-CN" w:bidi="ar"/>
        </w:rPr>
        <w:t>13.配备刨削刀头10只，打磨头5只</w:t>
      </w:r>
    </w:p>
    <w:p>
      <w:pPr>
        <w:pStyle w:val="41"/>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四、手术器械一批</w:t>
      </w:r>
    </w:p>
    <w:p>
      <w:pPr>
        <w:pStyle w:val="42"/>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(一).关节镜基础手术器械</w:t>
      </w:r>
    </w:p>
    <w:p>
      <w:pPr>
        <w:pStyle w:val="42"/>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w:t>
      </w:r>
      <w:r>
        <w:rPr>
          <w:rFonts w:hint="eastAsia" w:ascii="仿宋" w:hAnsi="仿宋" w:eastAsia="仿宋"/>
          <w:color w:val="auto"/>
          <w:sz w:val="28"/>
          <w:szCs w:val="28"/>
        </w:rPr>
        <w:t>篮钳，3.4mm直型，1把</w:t>
      </w:r>
    </w:p>
    <w:p>
      <w:pPr>
        <w:pStyle w:val="42"/>
        <w:rPr>
          <w:rFonts w:hint="eastAsia" w:ascii="仿宋" w:hAnsi="仿宋" w:eastAsia="仿宋"/>
          <w:color w:val="auto"/>
          <w:sz w:val="28"/>
          <w:szCs w:val="28"/>
        </w:rPr>
      </w:pPr>
      <w:r>
        <w:rPr>
          <w:rFonts w:hint="eastAsia" w:ascii="仿宋" w:hAnsi="仿宋" w:eastAsia="仿宋"/>
          <w:color w:val="auto"/>
          <w:sz w:val="28"/>
          <w:szCs w:val="28"/>
        </w:rPr>
        <w:t>2</w:t>
      </w:r>
      <w:r>
        <w:rPr>
          <w:rFonts w:hint="eastAsia" w:ascii="仿宋" w:hAnsi="仿宋" w:eastAsia="仿宋"/>
          <w:color w:val="auto"/>
          <w:sz w:val="28"/>
          <w:szCs w:val="28"/>
          <w:lang w:eastAsia="zh-CN"/>
        </w:rPr>
        <w:t>.</w:t>
      </w:r>
      <w:r>
        <w:rPr>
          <w:rFonts w:hint="eastAsia" w:ascii="仿宋" w:hAnsi="仿宋" w:eastAsia="仿宋"/>
          <w:color w:val="auto"/>
          <w:sz w:val="28"/>
          <w:szCs w:val="28"/>
        </w:rPr>
        <w:t>篮钳上</w:t>
      </w:r>
      <w:r>
        <w:rPr>
          <w:rFonts w:hint="eastAsia" w:ascii="仿宋" w:hAnsi="仿宋" w:eastAsia="仿宋"/>
          <w:color w:val="auto"/>
          <w:sz w:val="28"/>
          <w:szCs w:val="28"/>
          <w:lang w:val="en-US" w:eastAsia="zh-CN"/>
        </w:rPr>
        <w:t>弯</w:t>
      </w:r>
      <w:r>
        <w:rPr>
          <w:rFonts w:hint="eastAsia" w:ascii="仿宋" w:hAnsi="仿宋" w:eastAsia="仿宋"/>
          <w:color w:val="auto"/>
          <w:sz w:val="28"/>
          <w:szCs w:val="28"/>
        </w:rPr>
        <w:t>15°1把</w:t>
      </w:r>
    </w:p>
    <w:p>
      <w:pPr>
        <w:pStyle w:val="42"/>
        <w:rPr>
          <w:rFonts w:hint="eastAsia" w:ascii="仿宋" w:hAnsi="仿宋" w:eastAsia="仿宋"/>
          <w:color w:val="auto"/>
          <w:sz w:val="28"/>
          <w:szCs w:val="28"/>
        </w:rPr>
      </w:pPr>
      <w:r>
        <w:rPr>
          <w:rFonts w:hint="eastAsia" w:ascii="仿宋" w:hAnsi="仿宋" w:eastAsia="仿宋"/>
          <w:color w:val="auto"/>
          <w:sz w:val="28"/>
          <w:szCs w:val="28"/>
        </w:rPr>
        <w:t>3</w:t>
      </w:r>
      <w:r>
        <w:rPr>
          <w:rFonts w:hint="eastAsia" w:ascii="仿宋" w:hAnsi="仿宋" w:eastAsia="仿宋"/>
          <w:color w:val="auto"/>
          <w:sz w:val="28"/>
          <w:szCs w:val="28"/>
          <w:lang w:eastAsia="zh-CN"/>
        </w:rPr>
        <w:t>.</w:t>
      </w:r>
      <w:r>
        <w:rPr>
          <w:rFonts w:hint="eastAsia" w:ascii="仿宋" w:hAnsi="仿宋" w:eastAsia="仿宋"/>
          <w:color w:val="auto"/>
          <w:sz w:val="28"/>
          <w:szCs w:val="28"/>
        </w:rPr>
        <w:t>篮钳左</w:t>
      </w:r>
      <w:r>
        <w:rPr>
          <w:rFonts w:hint="eastAsia" w:ascii="仿宋" w:hAnsi="仿宋" w:eastAsia="仿宋"/>
          <w:color w:val="auto"/>
          <w:sz w:val="28"/>
          <w:szCs w:val="28"/>
          <w:lang w:val="en-US" w:eastAsia="zh-CN"/>
        </w:rPr>
        <w:t>弯</w:t>
      </w:r>
      <w:r>
        <w:rPr>
          <w:rFonts w:hint="eastAsia" w:ascii="仿宋" w:hAnsi="仿宋" w:eastAsia="仿宋"/>
          <w:color w:val="auto"/>
          <w:sz w:val="28"/>
          <w:szCs w:val="28"/>
        </w:rPr>
        <w:t>30°1把</w:t>
      </w:r>
    </w:p>
    <w:p>
      <w:pPr>
        <w:pStyle w:val="42"/>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w:t>
      </w:r>
      <w:r>
        <w:rPr>
          <w:rFonts w:hint="eastAsia" w:ascii="仿宋" w:hAnsi="仿宋" w:eastAsia="仿宋"/>
          <w:color w:val="auto"/>
          <w:sz w:val="28"/>
          <w:szCs w:val="28"/>
        </w:rPr>
        <w:t>篮钳右</w:t>
      </w:r>
      <w:r>
        <w:rPr>
          <w:rFonts w:hint="eastAsia" w:ascii="仿宋" w:hAnsi="仿宋" w:eastAsia="仿宋"/>
          <w:color w:val="auto"/>
          <w:sz w:val="28"/>
          <w:szCs w:val="28"/>
          <w:lang w:val="en-US" w:eastAsia="zh-CN"/>
        </w:rPr>
        <w:t>弯</w:t>
      </w:r>
      <w:r>
        <w:rPr>
          <w:rFonts w:hint="eastAsia" w:ascii="仿宋" w:hAnsi="仿宋" w:eastAsia="仿宋"/>
          <w:color w:val="auto"/>
          <w:sz w:val="28"/>
          <w:szCs w:val="28"/>
        </w:rPr>
        <w:t>30°1把</w:t>
      </w:r>
    </w:p>
    <w:p>
      <w:pPr>
        <w:pStyle w:val="42"/>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5.</w:t>
      </w:r>
      <w:r>
        <w:rPr>
          <w:rFonts w:hint="eastAsia" w:ascii="仿宋" w:hAnsi="仿宋" w:eastAsia="仿宋"/>
          <w:color w:val="auto"/>
          <w:sz w:val="28"/>
          <w:szCs w:val="28"/>
        </w:rPr>
        <w:t>反咬蓝钳1把</w:t>
      </w:r>
    </w:p>
    <w:p>
      <w:pPr>
        <w:pStyle w:val="42"/>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6.</w:t>
      </w:r>
      <w:r>
        <w:rPr>
          <w:rFonts w:hint="eastAsia" w:ascii="仿宋" w:hAnsi="仿宋" w:eastAsia="仿宋"/>
          <w:color w:val="auto"/>
          <w:sz w:val="28"/>
          <w:szCs w:val="28"/>
        </w:rPr>
        <w:t>软组织抓钳1把</w:t>
      </w:r>
    </w:p>
    <w:p>
      <w:pPr>
        <w:pStyle w:val="42"/>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7.</w:t>
      </w:r>
      <w:r>
        <w:rPr>
          <w:rFonts w:hint="eastAsia" w:ascii="仿宋" w:hAnsi="仿宋" w:eastAsia="仿宋"/>
          <w:color w:val="auto"/>
          <w:sz w:val="28"/>
          <w:szCs w:val="28"/>
        </w:rPr>
        <w:t>抓线钳1把</w:t>
      </w:r>
    </w:p>
    <w:p>
      <w:pPr>
        <w:pStyle w:val="42"/>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8.</w:t>
      </w:r>
      <w:r>
        <w:rPr>
          <w:rFonts w:hint="eastAsia" w:ascii="仿宋" w:hAnsi="仿宋" w:eastAsia="仿宋"/>
          <w:color w:val="auto"/>
          <w:sz w:val="28"/>
          <w:szCs w:val="28"/>
        </w:rPr>
        <w:t>探针1把</w:t>
      </w:r>
    </w:p>
    <w:p>
      <w:pPr>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 xml:space="preserve">   9.交换棒1根</w:t>
      </w:r>
    </w:p>
    <w:p>
      <w:pPr>
        <w:pStyle w:val="43"/>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 xml:space="preserve">   10.配肩关节牵引架 1套、牵引袖套1只</w:t>
      </w:r>
    </w:p>
    <w:p>
      <w:pPr>
        <w:pStyle w:val="43"/>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 xml:space="preserve">   11.肩袖缝合枪1把</w:t>
      </w:r>
    </w:p>
    <w:p>
      <w:pPr>
        <w:spacing w:line="420" w:lineRule="exact"/>
        <w:rPr>
          <w:rFonts w:hint="default" w:ascii="仿宋" w:eastAsia="仿宋" w:cs="仿宋"/>
          <w:b/>
          <w:color w:val="auto"/>
          <w:spacing w:val="-5"/>
          <w:sz w:val="28"/>
          <w:szCs w:val="28"/>
        </w:rPr>
      </w:pPr>
      <w:r>
        <w:rPr>
          <w:rFonts w:ascii="Segoe UI Symbol" w:hAnsi="Segoe UI Symbol" w:eastAsia="仿宋" w:cs="Segoe UI Symbol"/>
          <w:b/>
          <w:color w:val="auto"/>
          <w:spacing w:val="-5"/>
          <w:sz w:val="28"/>
          <w:szCs w:val="28"/>
        </w:rPr>
        <w:t>★</w:t>
      </w:r>
      <w:r>
        <w:rPr>
          <w:rFonts w:ascii="仿宋" w:eastAsia="仿宋" w:cs="仿宋"/>
          <w:b/>
          <w:color w:val="auto"/>
          <w:spacing w:val="-5"/>
          <w:sz w:val="28"/>
          <w:szCs w:val="28"/>
        </w:rPr>
        <w:t>特别注意</w:t>
      </w:r>
    </w:p>
    <w:p>
      <w:pPr>
        <w:numPr>
          <w:ilvl w:val="0"/>
          <w:numId w:val="1"/>
        </w:numPr>
        <w:spacing w:line="440" w:lineRule="exact"/>
        <w:ind w:firstLine="542" w:firstLineChars="200"/>
        <w:rPr>
          <w:rFonts w:ascii="仿宋" w:eastAsia="仿宋" w:cs="仿宋"/>
          <w:b/>
          <w:color w:val="auto"/>
          <w:spacing w:val="-5"/>
          <w:sz w:val="28"/>
          <w:szCs w:val="28"/>
        </w:rPr>
      </w:pPr>
      <w:r>
        <w:rPr>
          <w:rFonts w:ascii="仿宋" w:eastAsia="仿宋" w:cs="仿宋"/>
          <w:b/>
          <w:color w:val="auto"/>
          <w:spacing w:val="-5"/>
          <w:sz w:val="28"/>
          <w:szCs w:val="28"/>
        </w:rPr>
        <w:t>供应商所投产品需满足产品参数需要，是全新的、未使用过的成熟稳定的产品，且在使用寿命期内各项指标均达到质量要求。其技术配置、技术参数完全招标文件的要求，其质量标准不低于招标文件的标准。</w:t>
      </w:r>
    </w:p>
    <w:p>
      <w:pPr>
        <w:pStyle w:val="8"/>
        <w:ind w:firstLine="271" w:firstLineChars="100"/>
        <w:rPr>
          <w:rFonts w:hint="default" w:ascii="仿宋" w:hAnsi="Times New Roman" w:eastAsia="仿宋" w:cs="仿宋"/>
          <w:b/>
          <w:color w:val="auto"/>
          <w:spacing w:val="-5"/>
          <w:sz w:val="28"/>
          <w:szCs w:val="28"/>
          <w:lang w:val="en-US" w:eastAsia="zh-CN" w:bidi="ar-SA"/>
        </w:rPr>
      </w:pPr>
      <w:r>
        <w:rPr>
          <w:rFonts w:hint="eastAsia" w:ascii="仿宋" w:hAnsi="Times New Roman" w:eastAsia="仿宋" w:cs="仿宋"/>
          <w:b/>
          <w:color w:val="auto"/>
          <w:spacing w:val="-5"/>
          <w:sz w:val="28"/>
          <w:szCs w:val="28"/>
          <w:lang w:val="en-US" w:eastAsia="zh-CN" w:bidi="ar-SA"/>
        </w:rPr>
        <w:t>2、★除非另有特殊说明，若本文件中引用了某一品牌、型号或生产供应商名称，均是指参照该品牌、型号或生产供应商的产品或服务，所引用的品牌、型号或生产供应商不构成对</w:t>
      </w:r>
      <w:r>
        <w:rPr>
          <w:rFonts w:hint="eastAsia" w:ascii="仿宋" w:eastAsia="仿宋" w:cs="仿宋"/>
          <w:b/>
          <w:color w:val="auto"/>
          <w:spacing w:val="-5"/>
          <w:sz w:val="28"/>
          <w:szCs w:val="28"/>
          <w:lang w:val="en-US" w:eastAsia="zh-CN" w:bidi="ar-SA"/>
        </w:rPr>
        <w:t>投标</w:t>
      </w:r>
      <w:r>
        <w:rPr>
          <w:rFonts w:hint="eastAsia" w:ascii="仿宋" w:hAnsi="Times New Roman" w:eastAsia="仿宋" w:cs="仿宋"/>
          <w:b/>
          <w:color w:val="auto"/>
          <w:spacing w:val="-5"/>
          <w:sz w:val="28"/>
          <w:szCs w:val="28"/>
          <w:lang w:val="en-US" w:eastAsia="zh-CN" w:bidi="ar-SA"/>
        </w:rPr>
        <w:t>的限制。若采用的外文术语与某一供应商或某一产品使用的术语相同，并非表示指定了该供应商或该产品。无论何种原因，在投标响应文件中的证书材料须提供与原件内容完全一致的扫描件，且内容完整、清晰可辨；提供不全、无法辨认或提供虚假证书材料的，</w:t>
      </w:r>
      <w:r>
        <w:rPr>
          <w:rFonts w:hint="eastAsia" w:ascii="仿宋" w:eastAsia="仿宋" w:cs="仿宋"/>
          <w:b/>
          <w:color w:val="auto"/>
          <w:spacing w:val="-5"/>
          <w:sz w:val="28"/>
          <w:szCs w:val="28"/>
          <w:lang w:val="en-US" w:eastAsia="zh-CN" w:bidi="ar-SA"/>
        </w:rPr>
        <w:t>评标委员会</w:t>
      </w:r>
      <w:r>
        <w:rPr>
          <w:rFonts w:hint="eastAsia" w:ascii="仿宋" w:hAnsi="Times New Roman" w:eastAsia="仿宋" w:cs="仿宋"/>
          <w:b/>
          <w:color w:val="auto"/>
          <w:spacing w:val="-5"/>
          <w:sz w:val="28"/>
          <w:szCs w:val="28"/>
          <w:lang w:val="en-US" w:eastAsia="zh-CN" w:bidi="ar-SA"/>
        </w:rPr>
        <w:t>可以视同其未提供，并按照有关规定处理</w:t>
      </w:r>
      <w:r>
        <w:rPr>
          <w:rFonts w:hint="eastAsia" w:ascii="仿宋" w:eastAsia="仿宋" w:cs="仿宋"/>
          <w:b/>
          <w:color w:val="auto"/>
          <w:spacing w:val="-5"/>
          <w:sz w:val="28"/>
          <w:szCs w:val="28"/>
          <w:lang w:val="en-US" w:eastAsia="zh-CN" w:bidi="ar-SA"/>
        </w:rPr>
        <w:t>。</w:t>
      </w:r>
    </w:p>
    <w:p>
      <w:pPr>
        <w:kinsoku w:val="0"/>
        <w:overflowPunct w:val="0"/>
        <w:spacing w:before="7"/>
        <w:ind w:right="45"/>
        <w:jc w:val="center"/>
        <w:rPr>
          <w:rFonts w:hint="default" w:ascii="仿宋" w:eastAsia="仿宋" w:cs="仿宋"/>
          <w:b/>
          <w:color w:val="auto"/>
          <w:spacing w:val="-5"/>
          <w:sz w:val="28"/>
          <w:szCs w:val="28"/>
        </w:rPr>
      </w:pPr>
      <w:r>
        <w:rPr>
          <w:rFonts w:hint="default" w:ascii="仿宋" w:eastAsia="仿宋" w:cs="仿宋"/>
          <w:b/>
          <w:color w:val="auto"/>
          <w:spacing w:val="-5"/>
          <w:sz w:val="28"/>
          <w:szCs w:val="28"/>
        </w:rPr>
        <w:t xml:space="preserve"> </w:t>
      </w:r>
    </w:p>
    <w:p>
      <w:pPr>
        <w:pStyle w:val="2"/>
        <w:kinsoku w:val="0"/>
        <w:overflowPunct w:val="0"/>
        <w:spacing w:line="433" w:lineRule="exact"/>
        <w:ind w:left="1751"/>
        <w:rPr>
          <w:color w:val="auto"/>
        </w:rPr>
      </w:pPr>
    </w:p>
    <w:p>
      <w:pPr>
        <w:rPr>
          <w:color w:val="auto"/>
        </w:rPr>
      </w:pPr>
    </w:p>
    <w:p>
      <w:pPr>
        <w:pStyle w:val="5"/>
        <w:rPr>
          <w:color w:val="auto"/>
        </w:rPr>
      </w:pPr>
    </w:p>
    <w:p>
      <w:pPr>
        <w:rPr>
          <w:color w:val="auto"/>
        </w:rPr>
      </w:pPr>
    </w:p>
    <w:p>
      <w:pPr>
        <w:pStyle w:val="5"/>
        <w:rPr>
          <w:color w:val="auto"/>
        </w:rPr>
      </w:pPr>
    </w:p>
    <w:p>
      <w:pPr>
        <w:rPr>
          <w:color w:val="auto"/>
        </w:rPr>
      </w:pPr>
    </w:p>
    <w:p>
      <w:pPr>
        <w:pStyle w:val="5"/>
        <w:rPr>
          <w:color w:val="auto"/>
        </w:rPr>
      </w:pPr>
    </w:p>
    <w:p>
      <w:pPr>
        <w:rPr>
          <w:color w:val="auto"/>
        </w:rPr>
      </w:pPr>
    </w:p>
    <w:p>
      <w:pPr>
        <w:pStyle w:val="5"/>
        <w:rPr>
          <w:color w:val="auto"/>
        </w:rPr>
      </w:pPr>
    </w:p>
    <w:p>
      <w:pPr>
        <w:rPr>
          <w:color w:val="auto"/>
        </w:rPr>
      </w:pPr>
    </w:p>
    <w:p>
      <w:pPr>
        <w:pStyle w:val="5"/>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8"/>
        <w:rPr>
          <w:color w:val="auto"/>
        </w:rPr>
      </w:pPr>
    </w:p>
    <w:p>
      <w:pPr>
        <w:pStyle w:val="2"/>
        <w:kinsoku w:val="0"/>
        <w:overflowPunct w:val="0"/>
        <w:spacing w:line="433" w:lineRule="exact"/>
        <w:ind w:left="1751"/>
        <w:rPr>
          <w:rFonts w:hint="default"/>
          <w:b w:val="0"/>
          <w:color w:val="auto"/>
        </w:rPr>
      </w:pPr>
      <w:r>
        <w:rPr>
          <w:color w:val="auto"/>
        </w:rPr>
        <w:t>第四部分</w:t>
      </w:r>
      <w:r>
        <w:rPr>
          <w:color w:val="auto"/>
          <w:spacing w:val="-5"/>
        </w:rPr>
        <w:t xml:space="preserve"> </w:t>
      </w:r>
      <w:r>
        <w:rPr>
          <w:color w:val="auto"/>
        </w:rPr>
        <w:t>评审方法（综合评分法）</w:t>
      </w:r>
    </w:p>
    <w:p>
      <w:pPr>
        <w:pStyle w:val="8"/>
        <w:kinsoku w:val="0"/>
        <w:overflowPunct w:val="0"/>
        <w:spacing w:before="173" w:line="357" w:lineRule="auto"/>
        <w:ind w:left="400" w:firstLine="480"/>
        <w:rPr>
          <w:rFonts w:hint="default"/>
          <w:color w:val="auto"/>
        </w:rPr>
      </w:pPr>
      <w:r>
        <w:rPr>
          <w:color w:val="auto"/>
        </w:rPr>
        <w:t>本项目评审方法见招标文件第二部分“</w:t>
      </w:r>
      <w:r>
        <w:rPr>
          <w:rFonts w:hint="eastAsia"/>
          <w:color w:val="auto"/>
          <w:lang w:eastAsia="zh-CN"/>
        </w:rPr>
        <w:t>供应商</w:t>
      </w:r>
      <w:r>
        <w:rPr>
          <w:color w:val="auto"/>
        </w:rPr>
        <w:t>须知前附表”中第</w:t>
      </w:r>
      <w:r>
        <w:rPr>
          <w:color w:val="auto"/>
          <w:spacing w:val="-49"/>
        </w:rPr>
        <w:t xml:space="preserve"> </w:t>
      </w:r>
      <w:r>
        <w:rPr>
          <w:color w:val="auto"/>
        </w:rPr>
        <w:t>21</w:t>
      </w:r>
      <w:r>
        <w:rPr>
          <w:color w:val="auto"/>
          <w:spacing w:val="-51"/>
        </w:rPr>
        <w:t xml:space="preserve"> </w:t>
      </w:r>
      <w:r>
        <w:rPr>
          <w:color w:val="auto"/>
        </w:rPr>
        <w:t>项的规 定。如果采用综合评分法，细则如下：</w:t>
      </w:r>
    </w:p>
    <w:tbl>
      <w:tblPr>
        <w:tblStyle w:val="17"/>
        <w:tblW w:w="9007" w:type="dxa"/>
        <w:tblInd w:w="218" w:type="dxa"/>
        <w:tblLayout w:type="fixed"/>
        <w:tblCellMar>
          <w:top w:w="0" w:type="dxa"/>
          <w:left w:w="108" w:type="dxa"/>
          <w:bottom w:w="0" w:type="dxa"/>
          <w:right w:w="108" w:type="dxa"/>
        </w:tblCellMar>
      </w:tblPr>
      <w:tblGrid>
        <w:gridCol w:w="456"/>
        <w:gridCol w:w="852"/>
        <w:gridCol w:w="1276"/>
        <w:gridCol w:w="5389"/>
        <w:gridCol w:w="516"/>
        <w:gridCol w:w="518"/>
      </w:tblGrid>
      <w:tr>
        <w:tblPrEx>
          <w:tblCellMar>
            <w:top w:w="0" w:type="dxa"/>
            <w:left w:w="108" w:type="dxa"/>
            <w:bottom w:w="0" w:type="dxa"/>
            <w:right w:w="108" w:type="dxa"/>
          </w:tblCellMar>
        </w:tblPrEx>
        <w:trPr>
          <w:trHeight w:val="789" w:hRule="exact"/>
        </w:trPr>
        <w:tc>
          <w:tcPr>
            <w:tcW w:w="1308" w:type="dxa"/>
            <w:gridSpan w:val="2"/>
            <w:vMerge w:val="restart"/>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cs="宋体"/>
                <w:color w:val="auto"/>
                <w:sz w:val="21"/>
                <w:szCs w:val="21"/>
              </w:rPr>
            </w:pPr>
          </w:p>
          <w:p>
            <w:pPr>
              <w:pStyle w:val="21"/>
              <w:kinsoku w:val="0"/>
              <w:overflowPunct w:val="0"/>
              <w:spacing w:before="6"/>
              <w:rPr>
                <w:rFonts w:hint="default" w:cs="宋体"/>
                <w:color w:val="auto"/>
                <w:sz w:val="21"/>
                <w:szCs w:val="21"/>
              </w:rPr>
            </w:pPr>
          </w:p>
          <w:p>
            <w:pPr>
              <w:pStyle w:val="21"/>
              <w:kinsoku w:val="0"/>
              <w:overflowPunct w:val="0"/>
              <w:ind w:left="216"/>
              <w:rPr>
                <w:rFonts w:hint="default" w:ascii="Times New Roman" w:eastAsia="Times New Roman"/>
                <w:color w:val="auto"/>
                <w:sz w:val="21"/>
                <w:szCs w:val="21"/>
              </w:rPr>
            </w:pPr>
            <w:r>
              <w:rPr>
                <w:rFonts w:cs="宋体"/>
                <w:b/>
                <w:color w:val="auto"/>
                <w:sz w:val="21"/>
                <w:szCs w:val="21"/>
              </w:rPr>
              <w:t>评审因素</w:t>
            </w:r>
          </w:p>
        </w:tc>
        <w:tc>
          <w:tcPr>
            <w:tcW w:w="1276"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cs="宋体"/>
                <w:color w:val="auto"/>
                <w:sz w:val="21"/>
                <w:szCs w:val="21"/>
              </w:rPr>
            </w:pPr>
          </w:p>
          <w:p>
            <w:pPr>
              <w:pStyle w:val="21"/>
              <w:kinsoku w:val="0"/>
              <w:overflowPunct w:val="0"/>
              <w:spacing w:before="6"/>
              <w:rPr>
                <w:rFonts w:hint="default" w:cs="宋体"/>
                <w:color w:val="auto"/>
                <w:sz w:val="21"/>
                <w:szCs w:val="21"/>
              </w:rPr>
            </w:pPr>
          </w:p>
          <w:p>
            <w:pPr>
              <w:pStyle w:val="21"/>
              <w:kinsoku w:val="0"/>
              <w:overflowPunct w:val="0"/>
              <w:ind w:left="158"/>
              <w:rPr>
                <w:rFonts w:hint="default" w:ascii="Times New Roman" w:eastAsia="Times New Roman"/>
                <w:color w:val="auto"/>
                <w:sz w:val="21"/>
                <w:szCs w:val="21"/>
              </w:rPr>
            </w:pPr>
            <w:r>
              <w:rPr>
                <w:rFonts w:cs="宋体"/>
                <w:b/>
                <w:color w:val="auto"/>
                <w:sz w:val="21"/>
                <w:szCs w:val="21"/>
              </w:rPr>
              <w:t>评审点</w:t>
            </w:r>
          </w:p>
        </w:tc>
        <w:tc>
          <w:tcPr>
            <w:tcW w:w="5389"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cs="宋体"/>
                <w:color w:val="auto"/>
                <w:sz w:val="21"/>
                <w:szCs w:val="21"/>
              </w:rPr>
            </w:pPr>
          </w:p>
          <w:p>
            <w:pPr>
              <w:pStyle w:val="21"/>
              <w:kinsoku w:val="0"/>
              <w:overflowPunct w:val="0"/>
              <w:spacing w:before="6"/>
              <w:rPr>
                <w:rFonts w:hint="default" w:cs="宋体"/>
                <w:color w:val="auto"/>
                <w:sz w:val="21"/>
                <w:szCs w:val="21"/>
              </w:rPr>
            </w:pPr>
          </w:p>
          <w:p>
            <w:pPr>
              <w:pStyle w:val="21"/>
              <w:kinsoku w:val="0"/>
              <w:overflowPunct w:val="0"/>
              <w:jc w:val="center"/>
              <w:rPr>
                <w:rFonts w:hint="default" w:ascii="Times New Roman" w:eastAsia="Times New Roman"/>
                <w:color w:val="auto"/>
                <w:sz w:val="21"/>
                <w:szCs w:val="21"/>
              </w:rPr>
            </w:pPr>
            <w:r>
              <w:rPr>
                <w:rFonts w:cs="宋体"/>
                <w:b/>
                <w:color w:val="auto"/>
                <w:sz w:val="21"/>
                <w:szCs w:val="21"/>
              </w:rPr>
              <w:t>评审标准</w:t>
            </w:r>
          </w:p>
        </w:tc>
        <w:tc>
          <w:tcPr>
            <w:tcW w:w="1034" w:type="dxa"/>
            <w:gridSpan w:val="2"/>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57" w:line="273" w:lineRule="auto"/>
              <w:ind w:left="149" w:right="151"/>
              <w:rPr>
                <w:rFonts w:hint="default" w:ascii="Times New Roman" w:eastAsia="Times New Roman"/>
                <w:color w:val="auto"/>
                <w:sz w:val="21"/>
                <w:szCs w:val="21"/>
              </w:rPr>
            </w:pPr>
            <w:r>
              <w:rPr>
                <w:rFonts w:cs="宋体"/>
                <w:b/>
                <w:color w:val="auto"/>
                <w:sz w:val="21"/>
                <w:szCs w:val="21"/>
              </w:rPr>
              <w:t>评审</w:t>
            </w:r>
            <w:r>
              <w:rPr>
                <w:rFonts w:cs="宋体"/>
                <w:b/>
                <w:color w:val="auto"/>
                <w:w w:val="99"/>
                <w:sz w:val="21"/>
                <w:szCs w:val="21"/>
              </w:rPr>
              <w:t xml:space="preserve"> </w:t>
            </w:r>
            <w:r>
              <w:rPr>
                <w:rFonts w:cs="宋体"/>
                <w:b/>
                <w:color w:val="auto"/>
                <w:sz w:val="21"/>
                <w:szCs w:val="21"/>
              </w:rPr>
              <w:t>意见</w:t>
            </w:r>
          </w:p>
        </w:tc>
      </w:tr>
      <w:tr>
        <w:tblPrEx>
          <w:tblCellMar>
            <w:top w:w="0" w:type="dxa"/>
            <w:left w:w="108" w:type="dxa"/>
            <w:bottom w:w="0" w:type="dxa"/>
            <w:right w:w="108" w:type="dxa"/>
          </w:tblCellMar>
        </w:tblPrEx>
        <w:trPr>
          <w:trHeight w:val="477" w:hRule="exact"/>
        </w:trPr>
        <w:tc>
          <w:tcPr>
            <w:tcW w:w="1308" w:type="dxa"/>
            <w:gridSpan w:val="2"/>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57" w:line="273" w:lineRule="auto"/>
              <w:ind w:left="149" w:right="151"/>
              <w:rPr>
                <w:rFonts w:hint="default" w:ascii="Times New Roman" w:eastAsia="Times New Roman"/>
                <w:color w:val="auto"/>
                <w:sz w:val="21"/>
                <w:szCs w:val="21"/>
              </w:rPr>
            </w:pPr>
          </w:p>
        </w:tc>
        <w:tc>
          <w:tcPr>
            <w:tcW w:w="1276"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57" w:line="273" w:lineRule="auto"/>
              <w:ind w:left="149" w:right="151"/>
              <w:rPr>
                <w:rFonts w:hint="default" w:ascii="Times New Roman" w:eastAsia="Times New Roman"/>
                <w:color w:val="auto"/>
                <w:sz w:val="21"/>
                <w:szCs w:val="21"/>
              </w:rPr>
            </w:pPr>
          </w:p>
        </w:tc>
        <w:tc>
          <w:tcPr>
            <w:tcW w:w="5389"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57" w:line="273" w:lineRule="auto"/>
              <w:ind w:left="149" w:right="151"/>
              <w:rPr>
                <w:rFonts w:hint="default" w:ascii="Times New Roman" w:eastAsia="Times New Roman"/>
                <w:color w:val="auto"/>
                <w:sz w:val="21"/>
                <w:szCs w:val="21"/>
              </w:rPr>
            </w:pPr>
          </w:p>
        </w:tc>
        <w:tc>
          <w:tcPr>
            <w:tcW w:w="516"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57"/>
              <w:ind w:left="70"/>
              <w:rPr>
                <w:rFonts w:hint="default" w:ascii="Times New Roman" w:eastAsia="Times New Roman"/>
                <w:color w:val="auto"/>
                <w:sz w:val="21"/>
                <w:szCs w:val="21"/>
              </w:rPr>
            </w:pPr>
            <w:r>
              <w:rPr>
                <w:rFonts w:cs="宋体"/>
                <w:b/>
                <w:color w:val="auto"/>
                <w:w w:val="99"/>
                <w:sz w:val="21"/>
                <w:szCs w:val="21"/>
              </w:rPr>
              <w:t>是</w:t>
            </w:r>
          </w:p>
        </w:tc>
        <w:tc>
          <w:tcPr>
            <w:tcW w:w="518"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57"/>
              <w:ind w:left="71"/>
              <w:rPr>
                <w:rFonts w:hint="default" w:ascii="Times New Roman" w:eastAsia="Times New Roman"/>
                <w:color w:val="auto"/>
                <w:sz w:val="21"/>
                <w:szCs w:val="21"/>
              </w:rPr>
            </w:pPr>
            <w:r>
              <w:rPr>
                <w:rFonts w:cs="宋体"/>
                <w:b/>
                <w:color w:val="auto"/>
                <w:w w:val="99"/>
                <w:sz w:val="21"/>
                <w:szCs w:val="21"/>
              </w:rPr>
              <w:t>否</w:t>
            </w:r>
          </w:p>
        </w:tc>
      </w:tr>
      <w:tr>
        <w:tblPrEx>
          <w:tblCellMar>
            <w:top w:w="0" w:type="dxa"/>
            <w:left w:w="108" w:type="dxa"/>
            <w:bottom w:w="0" w:type="dxa"/>
            <w:right w:w="108" w:type="dxa"/>
          </w:tblCellMar>
        </w:tblPrEx>
        <w:trPr>
          <w:trHeight w:val="1604" w:hRule="exact"/>
        </w:trPr>
        <w:tc>
          <w:tcPr>
            <w:tcW w:w="456"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cs="宋体"/>
                <w:color w:val="auto"/>
                <w:sz w:val="21"/>
                <w:szCs w:val="21"/>
              </w:rPr>
            </w:pPr>
          </w:p>
          <w:p>
            <w:pPr>
              <w:pStyle w:val="21"/>
              <w:kinsoku w:val="0"/>
              <w:overflowPunct w:val="0"/>
              <w:rPr>
                <w:rFonts w:hint="default" w:cs="宋体"/>
                <w:color w:val="auto"/>
                <w:sz w:val="21"/>
                <w:szCs w:val="21"/>
              </w:rPr>
            </w:pPr>
          </w:p>
          <w:p>
            <w:pPr>
              <w:pStyle w:val="21"/>
              <w:kinsoku w:val="0"/>
              <w:overflowPunct w:val="0"/>
              <w:rPr>
                <w:rFonts w:hint="default" w:cs="宋体"/>
                <w:color w:val="auto"/>
                <w:sz w:val="21"/>
                <w:szCs w:val="21"/>
              </w:rPr>
            </w:pPr>
          </w:p>
          <w:p>
            <w:pPr>
              <w:pStyle w:val="21"/>
              <w:kinsoku w:val="0"/>
              <w:overflowPunct w:val="0"/>
              <w:rPr>
                <w:rFonts w:hint="default" w:cs="宋体"/>
                <w:color w:val="auto"/>
                <w:sz w:val="21"/>
                <w:szCs w:val="21"/>
              </w:rPr>
            </w:pPr>
          </w:p>
          <w:p>
            <w:pPr>
              <w:pStyle w:val="21"/>
              <w:kinsoku w:val="0"/>
              <w:overflowPunct w:val="0"/>
              <w:rPr>
                <w:rFonts w:hint="default" w:cs="宋体"/>
                <w:color w:val="auto"/>
                <w:sz w:val="21"/>
                <w:szCs w:val="21"/>
              </w:rPr>
            </w:pPr>
          </w:p>
          <w:p>
            <w:pPr>
              <w:pStyle w:val="21"/>
              <w:kinsoku w:val="0"/>
              <w:overflowPunct w:val="0"/>
              <w:rPr>
                <w:rFonts w:hint="default" w:cs="宋体"/>
                <w:color w:val="auto"/>
                <w:sz w:val="21"/>
                <w:szCs w:val="21"/>
              </w:rPr>
            </w:pPr>
          </w:p>
          <w:p>
            <w:pPr>
              <w:pStyle w:val="21"/>
              <w:kinsoku w:val="0"/>
              <w:overflowPunct w:val="0"/>
              <w:rPr>
                <w:rFonts w:hint="default" w:cs="宋体"/>
                <w:color w:val="auto"/>
                <w:sz w:val="21"/>
                <w:szCs w:val="21"/>
              </w:rPr>
            </w:pPr>
          </w:p>
          <w:p>
            <w:pPr>
              <w:pStyle w:val="21"/>
              <w:kinsoku w:val="0"/>
              <w:overflowPunct w:val="0"/>
              <w:rPr>
                <w:rFonts w:hint="default" w:cs="宋体"/>
                <w:color w:val="auto"/>
                <w:sz w:val="21"/>
                <w:szCs w:val="21"/>
              </w:rPr>
            </w:pPr>
          </w:p>
          <w:p>
            <w:pPr>
              <w:pStyle w:val="21"/>
              <w:kinsoku w:val="0"/>
              <w:overflowPunct w:val="0"/>
              <w:rPr>
                <w:rFonts w:hint="default" w:cs="宋体"/>
                <w:color w:val="auto"/>
                <w:sz w:val="21"/>
                <w:szCs w:val="21"/>
              </w:rPr>
            </w:pPr>
          </w:p>
          <w:p>
            <w:pPr>
              <w:pStyle w:val="21"/>
              <w:kinsoku w:val="0"/>
              <w:overflowPunct w:val="0"/>
              <w:rPr>
                <w:rFonts w:hint="default" w:cs="宋体"/>
                <w:color w:val="auto"/>
                <w:sz w:val="21"/>
                <w:szCs w:val="21"/>
              </w:rPr>
            </w:pPr>
          </w:p>
          <w:p>
            <w:pPr>
              <w:pStyle w:val="21"/>
              <w:kinsoku w:val="0"/>
              <w:overflowPunct w:val="0"/>
              <w:rPr>
                <w:rFonts w:hint="default" w:cs="宋体"/>
                <w:color w:val="auto"/>
                <w:sz w:val="21"/>
                <w:szCs w:val="21"/>
              </w:rPr>
            </w:pPr>
          </w:p>
          <w:p>
            <w:pPr>
              <w:pStyle w:val="21"/>
              <w:kinsoku w:val="0"/>
              <w:overflowPunct w:val="0"/>
              <w:rPr>
                <w:rFonts w:hint="default" w:cs="宋体"/>
                <w:color w:val="auto"/>
                <w:sz w:val="21"/>
                <w:szCs w:val="21"/>
              </w:rPr>
            </w:pPr>
          </w:p>
          <w:p>
            <w:pPr>
              <w:pStyle w:val="21"/>
              <w:kinsoku w:val="0"/>
              <w:overflowPunct w:val="0"/>
              <w:rPr>
                <w:rFonts w:hint="default" w:cs="宋体"/>
                <w:color w:val="auto"/>
                <w:sz w:val="21"/>
                <w:szCs w:val="21"/>
              </w:rPr>
            </w:pPr>
          </w:p>
          <w:p>
            <w:pPr>
              <w:pStyle w:val="21"/>
              <w:kinsoku w:val="0"/>
              <w:overflowPunct w:val="0"/>
              <w:rPr>
                <w:rFonts w:hint="default" w:cs="宋体"/>
                <w:color w:val="auto"/>
                <w:sz w:val="21"/>
                <w:szCs w:val="21"/>
              </w:rPr>
            </w:pPr>
          </w:p>
          <w:p>
            <w:pPr>
              <w:pStyle w:val="21"/>
              <w:kinsoku w:val="0"/>
              <w:overflowPunct w:val="0"/>
              <w:rPr>
                <w:rFonts w:hint="default" w:cs="宋体"/>
                <w:color w:val="auto"/>
                <w:sz w:val="21"/>
                <w:szCs w:val="21"/>
              </w:rPr>
            </w:pPr>
          </w:p>
          <w:p>
            <w:pPr>
              <w:pStyle w:val="21"/>
              <w:kinsoku w:val="0"/>
              <w:overflowPunct w:val="0"/>
              <w:rPr>
                <w:rFonts w:hint="default" w:cs="宋体"/>
                <w:color w:val="auto"/>
                <w:sz w:val="21"/>
                <w:szCs w:val="21"/>
              </w:rPr>
            </w:pPr>
          </w:p>
          <w:p>
            <w:pPr>
              <w:pStyle w:val="21"/>
              <w:kinsoku w:val="0"/>
              <w:overflowPunct w:val="0"/>
              <w:rPr>
                <w:rFonts w:hint="default" w:cs="宋体"/>
                <w:color w:val="auto"/>
                <w:sz w:val="21"/>
                <w:szCs w:val="21"/>
              </w:rPr>
            </w:pPr>
          </w:p>
          <w:p>
            <w:pPr>
              <w:pStyle w:val="21"/>
              <w:kinsoku w:val="0"/>
              <w:overflowPunct w:val="0"/>
              <w:spacing w:before="5"/>
              <w:rPr>
                <w:rFonts w:hint="default" w:cs="宋体"/>
                <w:color w:val="auto"/>
                <w:sz w:val="21"/>
                <w:szCs w:val="21"/>
              </w:rPr>
            </w:pPr>
          </w:p>
          <w:p>
            <w:pPr>
              <w:pStyle w:val="21"/>
              <w:kinsoku w:val="0"/>
              <w:overflowPunct w:val="0"/>
              <w:spacing w:line="273" w:lineRule="auto"/>
              <w:ind w:left="67" w:right="162"/>
              <w:jc w:val="both"/>
              <w:rPr>
                <w:rFonts w:hint="default" w:ascii="Times New Roman" w:eastAsia="Times New Roman"/>
                <w:color w:val="auto"/>
                <w:sz w:val="21"/>
                <w:szCs w:val="21"/>
              </w:rPr>
            </w:pPr>
            <w:r>
              <w:rPr>
                <w:rFonts w:cs="宋体"/>
                <w:color w:val="auto"/>
                <w:sz w:val="21"/>
                <w:szCs w:val="21"/>
              </w:rPr>
              <w:t>初</w:t>
            </w:r>
            <w:r>
              <w:rPr>
                <w:rFonts w:cs="宋体"/>
                <w:color w:val="auto"/>
                <w:w w:val="99"/>
                <w:sz w:val="21"/>
                <w:szCs w:val="21"/>
              </w:rPr>
              <w:t xml:space="preserve"> </w:t>
            </w:r>
            <w:r>
              <w:rPr>
                <w:rFonts w:cs="宋体"/>
                <w:color w:val="auto"/>
                <w:sz w:val="21"/>
                <w:szCs w:val="21"/>
              </w:rPr>
              <w:t>步</w:t>
            </w:r>
            <w:r>
              <w:rPr>
                <w:rFonts w:cs="宋体"/>
                <w:color w:val="auto"/>
                <w:w w:val="99"/>
                <w:sz w:val="21"/>
                <w:szCs w:val="21"/>
              </w:rPr>
              <w:t xml:space="preserve"> </w:t>
            </w:r>
            <w:r>
              <w:rPr>
                <w:rFonts w:cs="宋体"/>
                <w:color w:val="auto"/>
                <w:sz w:val="21"/>
                <w:szCs w:val="21"/>
              </w:rPr>
              <w:t>评</w:t>
            </w:r>
            <w:r>
              <w:rPr>
                <w:rFonts w:cs="宋体"/>
                <w:color w:val="auto"/>
                <w:w w:val="99"/>
                <w:sz w:val="21"/>
                <w:szCs w:val="21"/>
              </w:rPr>
              <w:t xml:space="preserve"> </w:t>
            </w:r>
            <w:r>
              <w:rPr>
                <w:rFonts w:cs="宋体"/>
                <w:color w:val="auto"/>
                <w:sz w:val="21"/>
                <w:szCs w:val="21"/>
              </w:rPr>
              <w:t>审</w:t>
            </w:r>
          </w:p>
        </w:tc>
        <w:tc>
          <w:tcPr>
            <w:tcW w:w="852"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cs="宋体"/>
                <w:color w:val="auto"/>
                <w:sz w:val="21"/>
                <w:szCs w:val="21"/>
              </w:rPr>
            </w:pPr>
          </w:p>
          <w:p>
            <w:pPr>
              <w:pStyle w:val="21"/>
              <w:kinsoku w:val="0"/>
              <w:overflowPunct w:val="0"/>
              <w:rPr>
                <w:rFonts w:hint="default" w:cs="宋体"/>
                <w:color w:val="auto"/>
                <w:sz w:val="21"/>
                <w:szCs w:val="21"/>
              </w:rPr>
            </w:pPr>
          </w:p>
          <w:p>
            <w:pPr>
              <w:pStyle w:val="21"/>
              <w:kinsoku w:val="0"/>
              <w:overflowPunct w:val="0"/>
              <w:rPr>
                <w:rFonts w:hint="default" w:cs="宋体"/>
                <w:color w:val="auto"/>
                <w:sz w:val="21"/>
                <w:szCs w:val="21"/>
              </w:rPr>
            </w:pPr>
          </w:p>
          <w:p>
            <w:pPr>
              <w:pStyle w:val="21"/>
              <w:kinsoku w:val="0"/>
              <w:overflowPunct w:val="0"/>
              <w:rPr>
                <w:rFonts w:hint="default" w:cs="宋体"/>
                <w:color w:val="auto"/>
                <w:sz w:val="21"/>
                <w:szCs w:val="21"/>
              </w:rPr>
            </w:pPr>
          </w:p>
          <w:p>
            <w:pPr>
              <w:pStyle w:val="21"/>
              <w:kinsoku w:val="0"/>
              <w:overflowPunct w:val="0"/>
              <w:rPr>
                <w:rFonts w:hint="default" w:cs="宋体"/>
                <w:color w:val="auto"/>
                <w:sz w:val="21"/>
                <w:szCs w:val="21"/>
              </w:rPr>
            </w:pPr>
          </w:p>
          <w:p>
            <w:pPr>
              <w:pStyle w:val="21"/>
              <w:kinsoku w:val="0"/>
              <w:overflowPunct w:val="0"/>
              <w:rPr>
                <w:rFonts w:hint="default" w:cs="宋体"/>
                <w:color w:val="auto"/>
                <w:sz w:val="21"/>
                <w:szCs w:val="21"/>
              </w:rPr>
            </w:pPr>
          </w:p>
          <w:p>
            <w:pPr>
              <w:pStyle w:val="21"/>
              <w:kinsoku w:val="0"/>
              <w:overflowPunct w:val="0"/>
              <w:rPr>
                <w:rFonts w:hint="default" w:cs="宋体"/>
                <w:color w:val="auto"/>
                <w:sz w:val="21"/>
                <w:szCs w:val="21"/>
              </w:rPr>
            </w:pPr>
          </w:p>
          <w:p>
            <w:pPr>
              <w:pStyle w:val="21"/>
              <w:kinsoku w:val="0"/>
              <w:overflowPunct w:val="0"/>
              <w:rPr>
                <w:rFonts w:hint="default" w:cs="宋体"/>
                <w:color w:val="auto"/>
                <w:sz w:val="21"/>
                <w:szCs w:val="21"/>
              </w:rPr>
            </w:pPr>
          </w:p>
          <w:p>
            <w:pPr>
              <w:pStyle w:val="21"/>
              <w:kinsoku w:val="0"/>
              <w:overflowPunct w:val="0"/>
              <w:rPr>
                <w:rFonts w:hint="default" w:cs="宋体"/>
                <w:color w:val="auto"/>
                <w:sz w:val="21"/>
                <w:szCs w:val="21"/>
              </w:rPr>
            </w:pPr>
          </w:p>
          <w:p>
            <w:pPr>
              <w:pStyle w:val="21"/>
              <w:kinsoku w:val="0"/>
              <w:overflowPunct w:val="0"/>
              <w:rPr>
                <w:rFonts w:hint="default" w:cs="宋体"/>
                <w:color w:val="auto"/>
                <w:sz w:val="21"/>
                <w:szCs w:val="21"/>
              </w:rPr>
            </w:pPr>
          </w:p>
          <w:p>
            <w:pPr>
              <w:pStyle w:val="21"/>
              <w:kinsoku w:val="0"/>
              <w:overflowPunct w:val="0"/>
              <w:rPr>
                <w:rFonts w:hint="default" w:cs="宋体"/>
                <w:color w:val="auto"/>
                <w:sz w:val="21"/>
                <w:szCs w:val="21"/>
              </w:rPr>
            </w:pPr>
          </w:p>
          <w:p>
            <w:pPr>
              <w:pStyle w:val="21"/>
              <w:kinsoku w:val="0"/>
              <w:overflowPunct w:val="0"/>
              <w:rPr>
                <w:rFonts w:hint="default" w:cs="宋体"/>
                <w:color w:val="auto"/>
                <w:sz w:val="21"/>
                <w:szCs w:val="21"/>
              </w:rPr>
            </w:pPr>
          </w:p>
          <w:p>
            <w:pPr>
              <w:pStyle w:val="21"/>
              <w:kinsoku w:val="0"/>
              <w:overflowPunct w:val="0"/>
              <w:rPr>
                <w:rFonts w:hint="default" w:cs="宋体"/>
                <w:color w:val="auto"/>
                <w:sz w:val="21"/>
                <w:szCs w:val="21"/>
              </w:rPr>
            </w:pPr>
          </w:p>
          <w:p>
            <w:pPr>
              <w:pStyle w:val="21"/>
              <w:kinsoku w:val="0"/>
              <w:overflowPunct w:val="0"/>
              <w:rPr>
                <w:rFonts w:hint="default" w:cs="宋体"/>
                <w:color w:val="auto"/>
                <w:sz w:val="21"/>
                <w:szCs w:val="21"/>
              </w:rPr>
            </w:pPr>
          </w:p>
          <w:p>
            <w:pPr>
              <w:pStyle w:val="21"/>
              <w:kinsoku w:val="0"/>
              <w:overflowPunct w:val="0"/>
              <w:rPr>
                <w:rFonts w:hint="default" w:cs="宋体"/>
                <w:color w:val="auto"/>
                <w:sz w:val="21"/>
                <w:szCs w:val="21"/>
              </w:rPr>
            </w:pPr>
          </w:p>
          <w:p>
            <w:pPr>
              <w:pStyle w:val="21"/>
              <w:kinsoku w:val="0"/>
              <w:overflowPunct w:val="0"/>
              <w:rPr>
                <w:rFonts w:hint="default" w:cs="宋体"/>
                <w:color w:val="auto"/>
                <w:sz w:val="21"/>
                <w:szCs w:val="21"/>
              </w:rPr>
            </w:pPr>
          </w:p>
          <w:p>
            <w:pPr>
              <w:pStyle w:val="21"/>
              <w:kinsoku w:val="0"/>
              <w:overflowPunct w:val="0"/>
              <w:rPr>
                <w:rFonts w:hint="default" w:cs="宋体"/>
                <w:color w:val="auto"/>
                <w:sz w:val="21"/>
                <w:szCs w:val="21"/>
              </w:rPr>
            </w:pPr>
          </w:p>
          <w:p>
            <w:pPr>
              <w:pStyle w:val="21"/>
              <w:kinsoku w:val="0"/>
              <w:overflowPunct w:val="0"/>
              <w:rPr>
                <w:rFonts w:hint="default" w:cs="宋体"/>
                <w:color w:val="auto"/>
                <w:sz w:val="21"/>
                <w:szCs w:val="21"/>
              </w:rPr>
            </w:pPr>
          </w:p>
          <w:p>
            <w:pPr>
              <w:pStyle w:val="21"/>
              <w:kinsoku w:val="0"/>
              <w:overflowPunct w:val="0"/>
              <w:spacing w:before="3"/>
              <w:rPr>
                <w:rFonts w:hint="default" w:cs="宋体"/>
                <w:color w:val="auto"/>
                <w:sz w:val="21"/>
                <w:szCs w:val="21"/>
              </w:rPr>
            </w:pPr>
          </w:p>
          <w:p>
            <w:pPr>
              <w:pStyle w:val="21"/>
              <w:kinsoku w:val="0"/>
              <w:overflowPunct w:val="0"/>
              <w:spacing w:line="273" w:lineRule="auto"/>
              <w:ind w:left="67" w:right="67"/>
              <w:rPr>
                <w:rFonts w:hint="default" w:ascii="Times New Roman" w:eastAsia="Times New Roman"/>
                <w:color w:val="auto"/>
                <w:sz w:val="21"/>
                <w:szCs w:val="21"/>
              </w:rPr>
            </w:pPr>
            <w:r>
              <w:rPr>
                <w:rFonts w:cs="宋体"/>
                <w:color w:val="auto"/>
                <w:sz w:val="21"/>
                <w:szCs w:val="21"/>
              </w:rPr>
              <w:t>资</w:t>
            </w:r>
            <w:r>
              <w:rPr>
                <w:rFonts w:cs="宋体"/>
                <w:color w:val="auto"/>
                <w:spacing w:val="-79"/>
                <w:sz w:val="21"/>
                <w:szCs w:val="21"/>
              </w:rPr>
              <w:t xml:space="preserve"> </w:t>
            </w:r>
            <w:r>
              <w:rPr>
                <w:rFonts w:cs="宋体"/>
                <w:color w:val="auto"/>
                <w:sz w:val="21"/>
                <w:szCs w:val="21"/>
              </w:rPr>
              <w:t>格</w:t>
            </w:r>
            <w:r>
              <w:rPr>
                <w:rFonts w:cs="宋体"/>
                <w:color w:val="auto"/>
                <w:spacing w:val="-79"/>
                <w:sz w:val="21"/>
                <w:szCs w:val="21"/>
              </w:rPr>
              <w:t xml:space="preserve"> </w:t>
            </w:r>
            <w:r>
              <w:rPr>
                <w:rFonts w:cs="宋体"/>
                <w:color w:val="auto"/>
                <w:sz w:val="21"/>
                <w:szCs w:val="21"/>
              </w:rPr>
              <w:t>检查</w:t>
            </w:r>
          </w:p>
        </w:tc>
        <w:tc>
          <w:tcPr>
            <w:tcW w:w="1276"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58" w:line="273" w:lineRule="auto"/>
              <w:ind w:left="67" w:right="66"/>
              <w:jc w:val="both"/>
              <w:rPr>
                <w:rFonts w:hint="default" w:ascii="Times New Roman" w:eastAsia="Times New Roman"/>
                <w:color w:val="auto"/>
                <w:sz w:val="21"/>
                <w:szCs w:val="21"/>
              </w:rPr>
            </w:pPr>
            <w:r>
              <w:rPr>
                <w:rFonts w:cs="宋体"/>
                <w:color w:val="auto"/>
                <w:sz w:val="21"/>
                <w:szCs w:val="21"/>
              </w:rPr>
              <w:t>具 有</w:t>
            </w:r>
            <w:r>
              <w:rPr>
                <w:rFonts w:cs="宋体"/>
                <w:color w:val="auto"/>
                <w:spacing w:val="-27"/>
                <w:sz w:val="21"/>
                <w:szCs w:val="21"/>
              </w:rPr>
              <w:t xml:space="preserve"> </w:t>
            </w:r>
            <w:r>
              <w:rPr>
                <w:rFonts w:cs="宋体"/>
                <w:color w:val="auto"/>
                <w:sz w:val="21"/>
                <w:szCs w:val="21"/>
              </w:rPr>
              <w:t>独</w:t>
            </w:r>
            <w:r>
              <w:rPr>
                <w:rFonts w:cs="宋体"/>
                <w:color w:val="auto"/>
                <w:w w:val="99"/>
                <w:sz w:val="21"/>
                <w:szCs w:val="21"/>
              </w:rPr>
              <w:t xml:space="preserve"> </w:t>
            </w:r>
            <w:r>
              <w:rPr>
                <w:rFonts w:cs="宋体"/>
                <w:color w:val="auto"/>
                <w:sz w:val="21"/>
                <w:szCs w:val="21"/>
              </w:rPr>
              <w:t>立 承</w:t>
            </w:r>
            <w:r>
              <w:rPr>
                <w:rFonts w:cs="宋体"/>
                <w:color w:val="auto"/>
                <w:spacing w:val="-27"/>
                <w:sz w:val="21"/>
                <w:szCs w:val="21"/>
              </w:rPr>
              <w:t xml:space="preserve"> </w:t>
            </w:r>
            <w:r>
              <w:rPr>
                <w:rFonts w:cs="宋体"/>
                <w:color w:val="auto"/>
                <w:sz w:val="21"/>
                <w:szCs w:val="21"/>
              </w:rPr>
              <w:t>担</w:t>
            </w:r>
            <w:r>
              <w:rPr>
                <w:rFonts w:cs="宋体"/>
                <w:color w:val="auto"/>
                <w:w w:val="99"/>
                <w:sz w:val="21"/>
                <w:szCs w:val="21"/>
              </w:rPr>
              <w:t xml:space="preserve"> </w:t>
            </w:r>
            <w:r>
              <w:rPr>
                <w:rFonts w:cs="宋体"/>
                <w:color w:val="auto"/>
                <w:sz w:val="21"/>
                <w:szCs w:val="21"/>
              </w:rPr>
              <w:t>民 事</w:t>
            </w:r>
            <w:r>
              <w:rPr>
                <w:rFonts w:cs="宋体"/>
                <w:color w:val="auto"/>
                <w:spacing w:val="-27"/>
                <w:sz w:val="21"/>
                <w:szCs w:val="21"/>
              </w:rPr>
              <w:t xml:space="preserve"> </w:t>
            </w:r>
            <w:r>
              <w:rPr>
                <w:rFonts w:cs="宋体"/>
                <w:color w:val="auto"/>
                <w:sz w:val="21"/>
                <w:szCs w:val="21"/>
              </w:rPr>
              <w:t>责</w:t>
            </w:r>
            <w:r>
              <w:rPr>
                <w:rFonts w:cs="宋体"/>
                <w:color w:val="auto"/>
                <w:w w:val="99"/>
                <w:sz w:val="21"/>
                <w:szCs w:val="21"/>
              </w:rPr>
              <w:t xml:space="preserve"> </w:t>
            </w:r>
            <w:r>
              <w:rPr>
                <w:rFonts w:cs="宋体"/>
                <w:color w:val="auto"/>
                <w:sz w:val="21"/>
                <w:szCs w:val="21"/>
              </w:rPr>
              <w:t>任 的</w:t>
            </w:r>
            <w:r>
              <w:rPr>
                <w:rFonts w:cs="宋体"/>
                <w:color w:val="auto"/>
                <w:spacing w:val="-27"/>
                <w:sz w:val="21"/>
                <w:szCs w:val="21"/>
              </w:rPr>
              <w:t xml:space="preserve"> </w:t>
            </w:r>
            <w:r>
              <w:rPr>
                <w:rFonts w:cs="宋体"/>
                <w:color w:val="auto"/>
                <w:sz w:val="21"/>
                <w:szCs w:val="21"/>
              </w:rPr>
              <w:t>能</w:t>
            </w:r>
            <w:r>
              <w:rPr>
                <w:rFonts w:cs="宋体"/>
                <w:color w:val="auto"/>
                <w:w w:val="99"/>
                <w:sz w:val="21"/>
                <w:szCs w:val="21"/>
              </w:rPr>
              <w:t xml:space="preserve"> </w:t>
            </w:r>
            <w:r>
              <w:rPr>
                <w:rFonts w:cs="宋体"/>
                <w:color w:val="auto"/>
                <w:sz w:val="21"/>
                <w:szCs w:val="21"/>
              </w:rPr>
              <w:t>力</w:t>
            </w:r>
          </w:p>
        </w:tc>
        <w:tc>
          <w:tcPr>
            <w:tcW w:w="5389"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autoSpaceDE/>
              <w:autoSpaceDN/>
              <w:adjustRightInd/>
              <w:spacing w:before="75" w:after="75" w:line="358" w:lineRule="auto"/>
              <w:rPr>
                <w:rFonts w:hint="eastAsia" w:eastAsia="宋体"/>
                <w:color w:val="auto"/>
                <w:sz w:val="21"/>
                <w:szCs w:val="21"/>
                <w:lang w:val="en-US" w:eastAsia="zh-CN"/>
              </w:rPr>
            </w:pPr>
            <w:r>
              <w:rPr>
                <w:rFonts w:cs="宋体"/>
                <w:color w:val="auto"/>
                <w:spacing w:val="-4"/>
                <w:sz w:val="21"/>
                <w:szCs w:val="21"/>
              </w:rPr>
              <w:t>法人或者其他组织的营业执照等证明文件；自然人需提供身份证明</w:t>
            </w:r>
            <w:r>
              <w:rPr>
                <w:rFonts w:hint="eastAsia" w:cs="宋体"/>
                <w:color w:val="auto"/>
                <w:spacing w:val="-4"/>
                <w:sz w:val="21"/>
                <w:szCs w:val="21"/>
                <w:lang w:eastAsia="zh-CN"/>
              </w:rPr>
              <w:t>，</w:t>
            </w:r>
          </w:p>
        </w:tc>
        <w:tc>
          <w:tcPr>
            <w:tcW w:w="516"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sz w:val="21"/>
                <w:szCs w:val="21"/>
              </w:rPr>
            </w:pPr>
          </w:p>
        </w:tc>
        <w:tc>
          <w:tcPr>
            <w:tcW w:w="518"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sz w:val="21"/>
                <w:szCs w:val="21"/>
              </w:rPr>
            </w:pPr>
          </w:p>
        </w:tc>
      </w:tr>
      <w:tr>
        <w:tblPrEx>
          <w:tblCellMar>
            <w:top w:w="0" w:type="dxa"/>
            <w:left w:w="108" w:type="dxa"/>
            <w:bottom w:w="0" w:type="dxa"/>
            <w:right w:w="108" w:type="dxa"/>
          </w:tblCellMar>
        </w:tblPrEx>
        <w:trPr>
          <w:trHeight w:val="4107" w:hRule="exact"/>
        </w:trPr>
        <w:tc>
          <w:tcPr>
            <w:tcW w:w="456" w:type="dxa"/>
            <w:vMerge w:val="continue"/>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sz w:val="21"/>
                <w:szCs w:val="21"/>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sz w:val="21"/>
                <w:szCs w:val="21"/>
              </w:rPr>
            </w:pPr>
          </w:p>
        </w:tc>
        <w:tc>
          <w:tcPr>
            <w:tcW w:w="1276"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58" w:line="273" w:lineRule="auto"/>
              <w:ind w:left="67" w:right="66"/>
              <w:jc w:val="both"/>
              <w:rPr>
                <w:rFonts w:hint="default" w:ascii="Times New Roman" w:eastAsia="Times New Roman"/>
                <w:color w:val="auto"/>
                <w:sz w:val="21"/>
                <w:szCs w:val="21"/>
              </w:rPr>
            </w:pPr>
            <w:r>
              <w:rPr>
                <w:rFonts w:cs="宋体"/>
                <w:color w:val="auto"/>
                <w:sz w:val="21"/>
                <w:szCs w:val="21"/>
              </w:rPr>
              <w:t>信 用 中 国”网站 和“中国 政 府 采 购网”“国家企业信用信息</w:t>
            </w:r>
          </w:p>
        </w:tc>
        <w:tc>
          <w:tcPr>
            <w:tcW w:w="5389"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line="273" w:lineRule="auto"/>
              <w:ind w:left="67" w:right="69"/>
              <w:jc w:val="both"/>
              <w:rPr>
                <w:rFonts w:hint="default" w:ascii="宋体" w:eastAsia="宋体"/>
                <w:color w:val="auto"/>
                <w:sz w:val="21"/>
                <w:szCs w:val="21"/>
              </w:rPr>
            </w:pPr>
            <w:r>
              <w:rPr>
                <w:rFonts w:hint="eastAsia" w:ascii="宋体" w:eastAsia="宋体"/>
                <w:color w:val="auto"/>
                <w:sz w:val="21"/>
                <w:szCs w:val="21"/>
                <w:lang w:eastAsia="zh-CN"/>
              </w:rPr>
              <w:t>供应商</w:t>
            </w:r>
            <w:r>
              <w:rPr>
                <w:rFonts w:hint="default" w:ascii="宋体" w:eastAsia="宋体"/>
                <w:color w:val="auto"/>
                <w:sz w:val="21"/>
                <w:szCs w:val="21"/>
              </w:rPr>
              <w:t>不得为“信用中国”网站（网址http://www.creditchina.gov.cn ）</w:t>
            </w:r>
          </w:p>
          <w:p>
            <w:pPr>
              <w:pStyle w:val="21"/>
              <w:kinsoku w:val="0"/>
              <w:overflowPunct w:val="0"/>
              <w:spacing w:line="273" w:lineRule="auto"/>
              <w:ind w:left="67" w:right="69"/>
              <w:jc w:val="both"/>
              <w:rPr>
                <w:rFonts w:hint="default" w:ascii="宋体" w:eastAsia="宋体"/>
                <w:color w:val="auto"/>
                <w:sz w:val="21"/>
                <w:szCs w:val="21"/>
              </w:rPr>
            </w:pPr>
            <w:r>
              <w:rPr>
                <w:rFonts w:hint="default" w:ascii="宋体" w:eastAsia="宋体"/>
                <w:color w:val="auto"/>
                <w:sz w:val="21"/>
                <w:szCs w:val="21"/>
              </w:rPr>
              <w:t>中列入失信被执行人和重大税收违法案件当事人名单的</w:t>
            </w:r>
            <w:r>
              <w:rPr>
                <w:rFonts w:hint="eastAsia" w:ascii="宋体" w:eastAsia="宋体"/>
                <w:color w:val="auto"/>
                <w:sz w:val="21"/>
                <w:szCs w:val="21"/>
                <w:lang w:eastAsia="zh-CN"/>
              </w:rPr>
              <w:t>供应商</w:t>
            </w:r>
            <w:r>
              <w:rPr>
                <w:rFonts w:hint="default" w:ascii="宋体" w:eastAsia="宋体"/>
                <w:color w:val="auto"/>
                <w:sz w:val="21"/>
                <w:szCs w:val="21"/>
              </w:rPr>
              <w:t>；不得为“国家企业信用信息公示系统”网站（网址http://www.gsxt.gov.cn/corp-query-homepage.html）列入严重违法失信企业名单（黑名单）的</w:t>
            </w:r>
            <w:r>
              <w:rPr>
                <w:rFonts w:hint="eastAsia" w:ascii="宋体" w:eastAsia="宋体"/>
                <w:color w:val="auto"/>
                <w:sz w:val="21"/>
                <w:szCs w:val="21"/>
                <w:lang w:eastAsia="zh-CN"/>
              </w:rPr>
              <w:t>供应商</w:t>
            </w:r>
            <w:r>
              <w:rPr>
                <w:rFonts w:hint="default" w:ascii="宋体" w:eastAsia="宋体"/>
                <w:color w:val="auto"/>
                <w:sz w:val="21"/>
                <w:szCs w:val="21"/>
              </w:rPr>
              <w:t>；不得为中国政府采购网（网址http://www.ccgp.gov.cn ）政府采购严重违法失信行为记录名单中被财政部门禁止参加政府采购活动的</w:t>
            </w:r>
            <w:r>
              <w:rPr>
                <w:rFonts w:hint="eastAsia" w:ascii="宋体" w:eastAsia="宋体"/>
                <w:color w:val="auto"/>
                <w:sz w:val="21"/>
                <w:szCs w:val="21"/>
                <w:lang w:eastAsia="zh-CN"/>
              </w:rPr>
              <w:t>供应商</w:t>
            </w:r>
            <w:r>
              <w:rPr>
                <w:rFonts w:hint="default" w:ascii="宋体" w:eastAsia="宋体"/>
                <w:color w:val="auto"/>
                <w:sz w:val="21"/>
                <w:szCs w:val="21"/>
              </w:rPr>
              <w:t>（处罚决定规定的时间和地域范围内）；</w:t>
            </w:r>
            <w:r>
              <w:rPr>
                <w:rFonts w:hint="eastAsia" w:ascii="宋体" w:eastAsia="宋体"/>
                <w:color w:val="auto"/>
                <w:sz w:val="21"/>
                <w:szCs w:val="21"/>
                <w:lang w:eastAsia="zh-CN"/>
              </w:rPr>
              <w:t>（提供查询结果网页截图（电脑全屏含时间显示）并加盖</w:t>
            </w:r>
            <w:r>
              <w:rPr>
                <w:rFonts w:hint="eastAsia" w:ascii="宋体" w:eastAsia="宋体"/>
                <w:color w:val="auto"/>
                <w:sz w:val="21"/>
                <w:szCs w:val="21"/>
                <w:lang w:val="en-US" w:eastAsia="zh-CN"/>
              </w:rPr>
              <w:t>供应商</w:t>
            </w:r>
            <w:r>
              <w:rPr>
                <w:rFonts w:hint="eastAsia" w:ascii="宋体" w:eastAsia="宋体"/>
                <w:color w:val="auto"/>
                <w:sz w:val="21"/>
                <w:szCs w:val="21"/>
                <w:lang w:eastAsia="zh-CN"/>
              </w:rPr>
              <w:t>公章，网页打印件须自公告发布起至递交投标文件截止日前从上述网站中打印）</w:t>
            </w:r>
          </w:p>
        </w:tc>
        <w:tc>
          <w:tcPr>
            <w:tcW w:w="516"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sz w:val="21"/>
                <w:szCs w:val="21"/>
              </w:rPr>
            </w:pPr>
          </w:p>
        </w:tc>
        <w:tc>
          <w:tcPr>
            <w:tcW w:w="518"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sz w:val="21"/>
                <w:szCs w:val="21"/>
              </w:rPr>
            </w:pPr>
          </w:p>
        </w:tc>
      </w:tr>
      <w:tr>
        <w:tblPrEx>
          <w:tblCellMar>
            <w:top w:w="0" w:type="dxa"/>
            <w:left w:w="108" w:type="dxa"/>
            <w:bottom w:w="0" w:type="dxa"/>
            <w:right w:w="108" w:type="dxa"/>
          </w:tblCellMar>
        </w:tblPrEx>
        <w:trPr>
          <w:trHeight w:val="1292" w:hRule="exact"/>
        </w:trPr>
        <w:tc>
          <w:tcPr>
            <w:tcW w:w="456" w:type="dxa"/>
            <w:vMerge w:val="continue"/>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sz w:val="21"/>
                <w:szCs w:val="21"/>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sz w:val="21"/>
                <w:szCs w:val="21"/>
              </w:rPr>
            </w:pPr>
          </w:p>
        </w:tc>
        <w:tc>
          <w:tcPr>
            <w:tcW w:w="1276"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58" w:line="273" w:lineRule="auto"/>
              <w:ind w:left="67" w:right="66"/>
              <w:jc w:val="both"/>
              <w:rPr>
                <w:rFonts w:hint="default" w:cs="宋体"/>
                <w:color w:val="auto"/>
                <w:sz w:val="21"/>
                <w:szCs w:val="21"/>
              </w:rPr>
            </w:pPr>
            <w:r>
              <w:rPr>
                <w:rFonts w:cs="宋体"/>
                <w:color w:val="auto"/>
                <w:sz w:val="21"/>
                <w:szCs w:val="21"/>
              </w:rPr>
              <w:t>健 全 的 财 务 会 计制度</w:t>
            </w:r>
          </w:p>
        </w:tc>
        <w:tc>
          <w:tcPr>
            <w:tcW w:w="5389"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58" w:line="273" w:lineRule="auto"/>
              <w:ind w:left="67" w:right="66"/>
              <w:jc w:val="both"/>
              <w:rPr>
                <w:rFonts w:hint="default" w:cs="宋体"/>
                <w:color w:val="auto"/>
                <w:sz w:val="21"/>
                <w:szCs w:val="21"/>
              </w:rPr>
            </w:pPr>
            <w:r>
              <w:rPr>
                <w:rFonts w:cs="宋体"/>
                <w:color w:val="auto"/>
                <w:sz w:val="21"/>
                <w:szCs w:val="21"/>
              </w:rPr>
              <w:t>供应商是法人的应提供经审计的上一年度的财务报告。（财务审计报告必须为第三方提供并加盖第三方公章的完整版，企业自身报告无效）或截止开标前1个月的基本开户银行出具的资信证明或上一年度财务报表</w:t>
            </w:r>
          </w:p>
        </w:tc>
        <w:tc>
          <w:tcPr>
            <w:tcW w:w="516"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sz w:val="21"/>
                <w:szCs w:val="21"/>
              </w:rPr>
            </w:pPr>
          </w:p>
        </w:tc>
        <w:tc>
          <w:tcPr>
            <w:tcW w:w="518"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sz w:val="21"/>
                <w:szCs w:val="21"/>
              </w:rPr>
            </w:pPr>
          </w:p>
        </w:tc>
      </w:tr>
      <w:tr>
        <w:tblPrEx>
          <w:tblCellMar>
            <w:top w:w="0" w:type="dxa"/>
            <w:left w:w="108" w:type="dxa"/>
            <w:bottom w:w="0" w:type="dxa"/>
            <w:right w:w="108" w:type="dxa"/>
          </w:tblCellMar>
        </w:tblPrEx>
        <w:trPr>
          <w:trHeight w:val="1819" w:hRule="exact"/>
        </w:trPr>
        <w:tc>
          <w:tcPr>
            <w:tcW w:w="456" w:type="dxa"/>
            <w:vMerge w:val="continue"/>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sz w:val="21"/>
                <w:szCs w:val="21"/>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sz w:val="21"/>
                <w:szCs w:val="21"/>
              </w:rPr>
            </w:pPr>
          </w:p>
        </w:tc>
        <w:tc>
          <w:tcPr>
            <w:tcW w:w="1276"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cs="宋体"/>
                <w:color w:val="auto"/>
                <w:sz w:val="21"/>
                <w:szCs w:val="21"/>
              </w:rPr>
            </w:pPr>
          </w:p>
          <w:p>
            <w:pPr>
              <w:pStyle w:val="21"/>
              <w:kinsoku w:val="0"/>
              <w:overflowPunct w:val="0"/>
              <w:rPr>
                <w:rFonts w:hint="default" w:cs="宋体"/>
                <w:color w:val="auto"/>
                <w:sz w:val="21"/>
                <w:szCs w:val="21"/>
              </w:rPr>
            </w:pPr>
          </w:p>
          <w:p>
            <w:pPr>
              <w:pStyle w:val="21"/>
              <w:kinsoku w:val="0"/>
              <w:overflowPunct w:val="0"/>
              <w:rPr>
                <w:rFonts w:hint="default" w:cs="宋体"/>
                <w:color w:val="auto"/>
                <w:sz w:val="21"/>
                <w:szCs w:val="21"/>
              </w:rPr>
            </w:pPr>
          </w:p>
          <w:p>
            <w:pPr>
              <w:pStyle w:val="21"/>
              <w:kinsoku w:val="0"/>
              <w:overflowPunct w:val="0"/>
              <w:spacing w:line="273" w:lineRule="auto"/>
              <w:ind w:left="67" w:right="66"/>
              <w:rPr>
                <w:rFonts w:hint="default" w:ascii="Times New Roman" w:eastAsia="Times New Roman"/>
                <w:color w:val="auto"/>
                <w:sz w:val="21"/>
                <w:szCs w:val="21"/>
              </w:rPr>
            </w:pPr>
            <w:r>
              <w:rPr>
                <w:rFonts w:cs="宋体"/>
                <w:color w:val="auto"/>
                <w:sz w:val="21"/>
                <w:szCs w:val="21"/>
              </w:rPr>
              <w:t>缴 纳</w:t>
            </w:r>
            <w:r>
              <w:rPr>
                <w:rFonts w:cs="宋体"/>
                <w:color w:val="auto"/>
                <w:spacing w:val="-27"/>
                <w:sz w:val="21"/>
                <w:szCs w:val="21"/>
              </w:rPr>
              <w:t xml:space="preserve"> </w:t>
            </w:r>
            <w:r>
              <w:rPr>
                <w:rFonts w:cs="宋体"/>
                <w:color w:val="auto"/>
                <w:sz w:val="21"/>
                <w:szCs w:val="21"/>
              </w:rPr>
              <w:t>税</w:t>
            </w:r>
            <w:r>
              <w:rPr>
                <w:rFonts w:cs="宋体"/>
                <w:color w:val="auto"/>
                <w:w w:val="99"/>
                <w:sz w:val="21"/>
                <w:szCs w:val="21"/>
              </w:rPr>
              <w:t xml:space="preserve"> </w:t>
            </w:r>
            <w:r>
              <w:rPr>
                <w:rFonts w:cs="宋体"/>
                <w:color w:val="auto"/>
                <w:sz w:val="21"/>
                <w:szCs w:val="21"/>
              </w:rPr>
              <w:t>收</w:t>
            </w:r>
          </w:p>
        </w:tc>
        <w:tc>
          <w:tcPr>
            <w:tcW w:w="5389"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113" w:line="357" w:lineRule="auto"/>
              <w:ind w:left="67" w:right="64"/>
              <w:rPr>
                <w:rFonts w:hint="default" w:cs="宋体"/>
                <w:color w:val="auto"/>
                <w:sz w:val="21"/>
                <w:szCs w:val="21"/>
              </w:rPr>
            </w:pPr>
            <w:r>
              <w:rPr>
                <w:rFonts w:cs="宋体"/>
                <w:color w:val="auto"/>
                <w:sz w:val="21"/>
                <w:szCs w:val="21"/>
              </w:rPr>
              <w:t>提供截止开标前近半年内任三个月税收缴纳完成的证</w:t>
            </w:r>
            <w:r>
              <w:rPr>
                <w:rFonts w:cs="宋体"/>
                <w:color w:val="auto"/>
                <w:spacing w:val="-81"/>
                <w:sz w:val="21"/>
                <w:szCs w:val="21"/>
              </w:rPr>
              <w:t xml:space="preserve"> </w:t>
            </w:r>
            <w:r>
              <w:rPr>
                <w:rFonts w:cs="宋体"/>
                <w:color w:val="auto"/>
                <w:sz w:val="21"/>
                <w:szCs w:val="21"/>
              </w:rPr>
              <w:t>明资料。</w:t>
            </w:r>
          </w:p>
          <w:p>
            <w:pPr>
              <w:pStyle w:val="21"/>
              <w:kinsoku w:val="0"/>
              <w:overflowPunct w:val="0"/>
              <w:spacing w:line="270" w:lineRule="exact"/>
              <w:ind w:left="67"/>
              <w:rPr>
                <w:rFonts w:hint="default" w:cs="宋体"/>
                <w:color w:val="auto"/>
                <w:sz w:val="21"/>
                <w:szCs w:val="21"/>
              </w:rPr>
            </w:pPr>
            <w:r>
              <w:rPr>
                <w:rFonts w:cs="宋体"/>
                <w:color w:val="auto"/>
                <w:sz w:val="21"/>
                <w:szCs w:val="21"/>
              </w:rPr>
              <w:t>（提供截止开标前近半年内任三个月税收部门出具的</w:t>
            </w:r>
          </w:p>
          <w:p>
            <w:pPr>
              <w:pStyle w:val="21"/>
              <w:kinsoku w:val="0"/>
              <w:overflowPunct w:val="0"/>
              <w:spacing w:before="29" w:line="312" w:lineRule="exact"/>
              <w:ind w:left="67" w:right="64"/>
              <w:rPr>
                <w:rFonts w:hint="default" w:ascii="Times New Roman" w:eastAsia="Times New Roman"/>
                <w:color w:val="auto"/>
                <w:sz w:val="21"/>
                <w:szCs w:val="21"/>
              </w:rPr>
            </w:pPr>
            <w:r>
              <w:rPr>
                <w:rFonts w:cs="宋体"/>
                <w:color w:val="auto"/>
                <w:sz w:val="21"/>
                <w:szCs w:val="21"/>
              </w:rPr>
              <w:t>完成税收缴纳证明。其它无需纳税或免税的必须提供</w:t>
            </w:r>
            <w:r>
              <w:rPr>
                <w:rFonts w:cs="宋体"/>
                <w:color w:val="auto"/>
                <w:spacing w:val="-81"/>
                <w:sz w:val="21"/>
                <w:szCs w:val="21"/>
              </w:rPr>
              <w:t xml:space="preserve"> </w:t>
            </w:r>
            <w:r>
              <w:rPr>
                <w:rFonts w:cs="宋体"/>
                <w:color w:val="auto"/>
                <w:sz w:val="21"/>
                <w:szCs w:val="21"/>
              </w:rPr>
              <w:t>相关证明。）</w:t>
            </w:r>
          </w:p>
        </w:tc>
        <w:tc>
          <w:tcPr>
            <w:tcW w:w="516"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sz w:val="21"/>
                <w:szCs w:val="21"/>
              </w:rPr>
            </w:pPr>
          </w:p>
        </w:tc>
        <w:tc>
          <w:tcPr>
            <w:tcW w:w="518"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sz w:val="21"/>
                <w:szCs w:val="21"/>
              </w:rPr>
            </w:pPr>
          </w:p>
        </w:tc>
      </w:tr>
      <w:tr>
        <w:tblPrEx>
          <w:tblCellMar>
            <w:top w:w="0" w:type="dxa"/>
            <w:left w:w="108" w:type="dxa"/>
            <w:bottom w:w="0" w:type="dxa"/>
            <w:right w:w="108" w:type="dxa"/>
          </w:tblCellMar>
        </w:tblPrEx>
        <w:trPr>
          <w:trHeight w:val="1430" w:hRule="exact"/>
        </w:trPr>
        <w:tc>
          <w:tcPr>
            <w:tcW w:w="456" w:type="dxa"/>
            <w:vMerge w:val="continue"/>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sz w:val="21"/>
                <w:szCs w:val="21"/>
              </w:rPr>
            </w:pPr>
          </w:p>
        </w:tc>
        <w:tc>
          <w:tcPr>
            <w:tcW w:w="852" w:type="dxa"/>
            <w:vMerge w:val="continue"/>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sz w:val="21"/>
                <w:szCs w:val="21"/>
              </w:rPr>
            </w:pPr>
          </w:p>
        </w:tc>
        <w:tc>
          <w:tcPr>
            <w:tcW w:w="1276"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line="273" w:lineRule="auto"/>
              <w:ind w:left="67" w:right="66"/>
              <w:jc w:val="both"/>
              <w:rPr>
                <w:rFonts w:hint="default" w:cs="宋体"/>
                <w:color w:val="auto"/>
                <w:sz w:val="21"/>
                <w:szCs w:val="21"/>
              </w:rPr>
            </w:pPr>
          </w:p>
          <w:p>
            <w:pPr>
              <w:pStyle w:val="21"/>
              <w:kinsoku w:val="0"/>
              <w:overflowPunct w:val="0"/>
              <w:spacing w:line="273" w:lineRule="auto"/>
              <w:ind w:left="67" w:right="66"/>
              <w:jc w:val="both"/>
              <w:rPr>
                <w:rFonts w:hint="default" w:ascii="Times New Roman" w:eastAsia="Times New Roman"/>
                <w:color w:val="auto"/>
                <w:sz w:val="21"/>
                <w:szCs w:val="21"/>
              </w:rPr>
            </w:pPr>
            <w:r>
              <w:rPr>
                <w:rFonts w:cs="宋体"/>
                <w:color w:val="auto"/>
                <w:sz w:val="21"/>
                <w:szCs w:val="21"/>
              </w:rPr>
              <w:t>缴 纳</w:t>
            </w:r>
            <w:r>
              <w:rPr>
                <w:rFonts w:cs="宋体"/>
                <w:color w:val="auto"/>
                <w:spacing w:val="-27"/>
                <w:sz w:val="21"/>
                <w:szCs w:val="21"/>
              </w:rPr>
              <w:t xml:space="preserve"> </w:t>
            </w:r>
            <w:r>
              <w:rPr>
                <w:rFonts w:cs="宋体"/>
                <w:color w:val="auto"/>
                <w:sz w:val="21"/>
                <w:szCs w:val="21"/>
              </w:rPr>
              <w:t>社</w:t>
            </w:r>
            <w:r>
              <w:rPr>
                <w:rFonts w:cs="宋体"/>
                <w:color w:val="auto"/>
                <w:w w:val="99"/>
                <w:sz w:val="21"/>
                <w:szCs w:val="21"/>
              </w:rPr>
              <w:t xml:space="preserve"> </w:t>
            </w:r>
            <w:r>
              <w:rPr>
                <w:rFonts w:cs="宋体"/>
                <w:color w:val="auto"/>
                <w:sz w:val="21"/>
                <w:szCs w:val="21"/>
              </w:rPr>
              <w:t>会 保</w:t>
            </w:r>
            <w:r>
              <w:rPr>
                <w:rFonts w:cs="宋体"/>
                <w:color w:val="auto"/>
                <w:spacing w:val="-27"/>
                <w:sz w:val="21"/>
                <w:szCs w:val="21"/>
              </w:rPr>
              <w:t xml:space="preserve"> </w:t>
            </w:r>
            <w:r>
              <w:rPr>
                <w:rFonts w:cs="宋体"/>
                <w:color w:val="auto"/>
                <w:sz w:val="21"/>
                <w:szCs w:val="21"/>
              </w:rPr>
              <w:t>障</w:t>
            </w:r>
            <w:r>
              <w:rPr>
                <w:rFonts w:cs="宋体"/>
                <w:color w:val="auto"/>
                <w:w w:val="99"/>
                <w:sz w:val="21"/>
                <w:szCs w:val="21"/>
              </w:rPr>
              <w:t xml:space="preserve"> </w:t>
            </w:r>
            <w:r>
              <w:rPr>
                <w:rFonts w:cs="宋体"/>
                <w:color w:val="auto"/>
                <w:sz w:val="21"/>
                <w:szCs w:val="21"/>
              </w:rPr>
              <w:t>资金</w:t>
            </w:r>
          </w:p>
        </w:tc>
        <w:tc>
          <w:tcPr>
            <w:tcW w:w="5389"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112" w:line="357" w:lineRule="auto"/>
              <w:ind w:left="67" w:right="64"/>
              <w:jc w:val="both"/>
              <w:rPr>
                <w:rFonts w:hint="default" w:ascii="Times New Roman" w:eastAsia="Times New Roman"/>
                <w:color w:val="auto"/>
                <w:sz w:val="21"/>
                <w:szCs w:val="21"/>
              </w:rPr>
            </w:pPr>
            <w:bookmarkStart w:id="39" w:name="提提供截止开标前近半年内任三个月税收部门或社保机构出具的完成社保缴纳证明（提供截"/>
            <w:bookmarkEnd w:id="39"/>
            <w:r>
              <w:rPr>
                <w:rFonts w:cs="宋体"/>
                <w:color w:val="auto"/>
                <w:spacing w:val="3"/>
                <w:sz w:val="21"/>
                <w:szCs w:val="21"/>
              </w:rPr>
              <w:t>提供截止开标前近半年内为为授权代理人或法人缴纳任意一个月的社保资金证明或有电子专用章的缴费清单；</w:t>
            </w:r>
          </w:p>
        </w:tc>
        <w:tc>
          <w:tcPr>
            <w:tcW w:w="516"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sz w:val="21"/>
                <w:szCs w:val="21"/>
              </w:rPr>
            </w:pPr>
          </w:p>
        </w:tc>
        <w:tc>
          <w:tcPr>
            <w:tcW w:w="518"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sz w:val="21"/>
                <w:szCs w:val="21"/>
              </w:rPr>
            </w:pPr>
          </w:p>
        </w:tc>
      </w:tr>
    </w:tbl>
    <w:p>
      <w:pPr>
        <w:rPr>
          <w:rFonts w:hint="default" w:ascii="Times New Roman" w:eastAsia="Times New Roman"/>
          <w:color w:val="auto"/>
        </w:rPr>
        <w:sectPr>
          <w:footerReference r:id="rId12" w:type="default"/>
          <w:pgSz w:w="11910" w:h="16840"/>
          <w:pgMar w:top="1480" w:right="1560" w:bottom="1580" w:left="1400" w:header="0" w:footer="1395" w:gutter="0"/>
          <w:cols w:space="720" w:num="1"/>
        </w:sectPr>
      </w:pPr>
    </w:p>
    <w:p>
      <w:pPr>
        <w:pStyle w:val="8"/>
        <w:kinsoku w:val="0"/>
        <w:overflowPunct w:val="0"/>
        <w:spacing w:before="2"/>
        <w:ind w:left="0"/>
        <w:rPr>
          <w:rFonts w:hint="default" w:ascii="Times New Roman" w:eastAsia="Times New Roman" w:cs="Times New Roman"/>
          <w:color w:val="auto"/>
          <w:sz w:val="7"/>
          <w:szCs w:val="7"/>
        </w:rPr>
      </w:pPr>
    </w:p>
    <w:tbl>
      <w:tblPr>
        <w:tblStyle w:val="17"/>
        <w:tblW w:w="0" w:type="auto"/>
        <w:tblInd w:w="218" w:type="dxa"/>
        <w:tblLayout w:type="fixed"/>
        <w:tblCellMar>
          <w:top w:w="0" w:type="dxa"/>
          <w:left w:w="108" w:type="dxa"/>
          <w:bottom w:w="0" w:type="dxa"/>
          <w:right w:w="108" w:type="dxa"/>
        </w:tblCellMar>
      </w:tblPr>
      <w:tblGrid>
        <w:gridCol w:w="456"/>
        <w:gridCol w:w="836"/>
        <w:gridCol w:w="1196"/>
        <w:gridCol w:w="5485"/>
        <w:gridCol w:w="368"/>
        <w:gridCol w:w="369"/>
      </w:tblGrid>
      <w:tr>
        <w:tblPrEx>
          <w:tblCellMar>
            <w:top w:w="0" w:type="dxa"/>
            <w:left w:w="108" w:type="dxa"/>
            <w:bottom w:w="0" w:type="dxa"/>
            <w:right w:w="108" w:type="dxa"/>
          </w:tblCellMar>
        </w:tblPrEx>
        <w:trPr>
          <w:trHeight w:val="1203" w:hRule="exact"/>
        </w:trPr>
        <w:tc>
          <w:tcPr>
            <w:tcW w:w="456" w:type="dxa"/>
            <w:vMerge w:val="restart"/>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836" w:type="dxa"/>
            <w:vMerge w:val="restart"/>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1196"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line="273" w:lineRule="auto"/>
              <w:ind w:left="67" w:right="66"/>
              <w:jc w:val="both"/>
              <w:rPr>
                <w:rFonts w:hint="default" w:cs="宋体"/>
                <w:color w:val="auto"/>
                <w:sz w:val="21"/>
                <w:szCs w:val="21"/>
              </w:rPr>
            </w:pPr>
            <w:r>
              <w:rPr>
                <w:rFonts w:cs="宋体"/>
                <w:color w:val="auto"/>
                <w:sz w:val="21"/>
                <w:szCs w:val="21"/>
              </w:rPr>
              <w:t>提 供 无重 大 违</w:t>
            </w:r>
          </w:p>
          <w:p>
            <w:pPr>
              <w:pStyle w:val="21"/>
              <w:kinsoku w:val="0"/>
              <w:overflowPunct w:val="0"/>
              <w:spacing w:line="273" w:lineRule="auto"/>
              <w:ind w:left="67" w:right="66"/>
              <w:jc w:val="both"/>
              <w:rPr>
                <w:rFonts w:hint="default" w:ascii="Times New Roman" w:eastAsia="Times New Roman"/>
                <w:color w:val="auto"/>
              </w:rPr>
            </w:pPr>
            <w:r>
              <w:rPr>
                <w:rFonts w:cs="宋体"/>
                <w:color w:val="auto"/>
                <w:sz w:val="21"/>
                <w:szCs w:val="21"/>
              </w:rPr>
              <w:t>法 记 录</w:t>
            </w:r>
          </w:p>
          <w:p>
            <w:pPr>
              <w:pStyle w:val="21"/>
              <w:kinsoku w:val="0"/>
              <w:overflowPunct w:val="0"/>
              <w:spacing w:line="261" w:lineRule="exact"/>
              <w:ind w:left="67"/>
              <w:rPr>
                <w:rFonts w:hint="default" w:ascii="Times New Roman" w:eastAsia="Times New Roman"/>
                <w:color w:val="auto"/>
              </w:rPr>
            </w:pPr>
            <w:r>
              <w:rPr>
                <w:rFonts w:cs="宋体"/>
                <w:color w:val="auto"/>
                <w:sz w:val="21"/>
                <w:szCs w:val="21"/>
              </w:rPr>
              <w:t>声明书</w:t>
            </w:r>
          </w:p>
        </w:tc>
        <w:tc>
          <w:tcPr>
            <w:tcW w:w="548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ascii="Times New Roman" w:eastAsia="Times New Roman"/>
                <w:color w:val="auto"/>
                <w:sz w:val="20"/>
                <w:szCs w:val="20"/>
              </w:rPr>
            </w:pPr>
          </w:p>
          <w:p>
            <w:pPr>
              <w:pStyle w:val="21"/>
              <w:kinsoku w:val="0"/>
              <w:overflowPunct w:val="0"/>
              <w:spacing w:before="11"/>
              <w:rPr>
                <w:rFonts w:hint="default" w:ascii="Times New Roman" w:eastAsia="Times New Roman"/>
                <w:color w:val="auto"/>
                <w:sz w:val="25"/>
                <w:szCs w:val="25"/>
              </w:rPr>
            </w:pPr>
          </w:p>
          <w:p>
            <w:pPr>
              <w:pStyle w:val="21"/>
              <w:kinsoku w:val="0"/>
              <w:overflowPunct w:val="0"/>
              <w:ind w:left="67"/>
              <w:rPr>
                <w:rFonts w:hint="default" w:ascii="Times New Roman" w:eastAsia="Times New Roman"/>
                <w:color w:val="auto"/>
              </w:rPr>
            </w:pPr>
            <w:r>
              <w:rPr>
                <w:rFonts w:cs="宋体"/>
                <w:color w:val="auto"/>
                <w:sz w:val="21"/>
                <w:szCs w:val="21"/>
              </w:rPr>
              <w:t>提供参加政府采购活动近三年无重大违法记录声明书</w:t>
            </w:r>
          </w:p>
        </w:tc>
        <w:tc>
          <w:tcPr>
            <w:tcW w:w="368"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3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r>
      <w:tr>
        <w:tblPrEx>
          <w:tblCellMar>
            <w:top w:w="0" w:type="dxa"/>
            <w:left w:w="108" w:type="dxa"/>
            <w:bottom w:w="0" w:type="dxa"/>
            <w:right w:w="108" w:type="dxa"/>
          </w:tblCellMar>
        </w:tblPrEx>
        <w:trPr>
          <w:trHeight w:val="1480" w:hRule="exact"/>
        </w:trPr>
        <w:tc>
          <w:tcPr>
            <w:tcW w:w="456"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line="261" w:lineRule="exact"/>
              <w:ind w:left="67"/>
              <w:rPr>
                <w:rFonts w:hint="default" w:ascii="Times New Roman" w:eastAsia="Times New Roman"/>
                <w:color w:val="auto"/>
              </w:rPr>
            </w:pPr>
          </w:p>
        </w:tc>
        <w:tc>
          <w:tcPr>
            <w:tcW w:w="836"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line="261" w:lineRule="exact"/>
              <w:ind w:left="67"/>
              <w:rPr>
                <w:rFonts w:hint="default" w:ascii="Times New Roman" w:eastAsia="Times New Roman"/>
                <w:color w:val="auto"/>
              </w:rPr>
            </w:pPr>
          </w:p>
        </w:tc>
        <w:tc>
          <w:tcPr>
            <w:tcW w:w="1196"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line="273" w:lineRule="auto"/>
              <w:ind w:left="67" w:right="66"/>
              <w:jc w:val="both"/>
              <w:rPr>
                <w:rFonts w:hint="default" w:cs="宋体"/>
                <w:color w:val="auto"/>
                <w:sz w:val="21"/>
                <w:szCs w:val="21"/>
              </w:rPr>
            </w:pPr>
            <w:r>
              <w:rPr>
                <w:rFonts w:cs="宋体"/>
                <w:color w:val="auto"/>
                <w:sz w:val="21"/>
                <w:szCs w:val="21"/>
              </w:rPr>
              <w:t>履 行 合同 所 必</w:t>
            </w:r>
          </w:p>
          <w:p>
            <w:pPr>
              <w:pStyle w:val="21"/>
              <w:kinsoku w:val="0"/>
              <w:overflowPunct w:val="0"/>
              <w:spacing w:line="273" w:lineRule="auto"/>
              <w:ind w:left="67" w:right="66"/>
              <w:jc w:val="both"/>
              <w:rPr>
                <w:rFonts w:hint="default" w:cs="宋体"/>
                <w:color w:val="auto"/>
                <w:sz w:val="21"/>
                <w:szCs w:val="21"/>
              </w:rPr>
            </w:pPr>
            <w:r>
              <w:rPr>
                <w:rFonts w:cs="宋体"/>
                <w:color w:val="auto"/>
                <w:sz w:val="21"/>
                <w:szCs w:val="21"/>
              </w:rPr>
              <w:t>需 的 设 备 和 能</w:t>
            </w:r>
          </w:p>
          <w:p>
            <w:pPr>
              <w:pStyle w:val="21"/>
              <w:kinsoku w:val="0"/>
              <w:overflowPunct w:val="0"/>
              <w:spacing w:line="273" w:lineRule="auto"/>
              <w:ind w:left="67" w:right="66"/>
              <w:jc w:val="both"/>
              <w:rPr>
                <w:rFonts w:hint="default" w:cs="宋体"/>
                <w:color w:val="auto"/>
                <w:sz w:val="21"/>
                <w:szCs w:val="21"/>
              </w:rPr>
            </w:pPr>
            <w:r>
              <w:rPr>
                <w:rFonts w:cs="宋体"/>
                <w:color w:val="auto"/>
                <w:sz w:val="21"/>
                <w:szCs w:val="21"/>
              </w:rPr>
              <w:t>力</w:t>
            </w:r>
          </w:p>
        </w:tc>
        <w:tc>
          <w:tcPr>
            <w:tcW w:w="548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ascii="Times New Roman" w:eastAsia="Times New Roman"/>
                <w:color w:val="auto"/>
                <w:sz w:val="20"/>
                <w:szCs w:val="20"/>
              </w:rPr>
            </w:pPr>
          </w:p>
          <w:p>
            <w:pPr>
              <w:pStyle w:val="21"/>
              <w:kinsoku w:val="0"/>
              <w:overflowPunct w:val="0"/>
              <w:rPr>
                <w:rFonts w:hint="default" w:ascii="Times New Roman" w:eastAsia="Times New Roman"/>
                <w:color w:val="auto"/>
                <w:sz w:val="26"/>
                <w:szCs w:val="26"/>
              </w:rPr>
            </w:pPr>
          </w:p>
          <w:p>
            <w:pPr>
              <w:pStyle w:val="21"/>
              <w:kinsoku w:val="0"/>
              <w:overflowPunct w:val="0"/>
              <w:spacing w:line="273" w:lineRule="auto"/>
              <w:ind w:left="67" w:right="66"/>
              <w:rPr>
                <w:rFonts w:hint="default" w:ascii="Times New Roman" w:eastAsia="Times New Roman"/>
                <w:color w:val="auto"/>
              </w:rPr>
            </w:pPr>
            <w:r>
              <w:rPr>
                <w:rFonts w:cs="宋体"/>
                <w:color w:val="auto"/>
                <w:spacing w:val="4"/>
                <w:sz w:val="21"/>
                <w:szCs w:val="21"/>
              </w:rPr>
              <w:t>提供具有履行合同所必需的设备和专业技术能力相关证明材</w:t>
            </w:r>
            <w:r>
              <w:rPr>
                <w:rFonts w:cs="宋体"/>
                <w:color w:val="auto"/>
                <w:w w:val="99"/>
                <w:sz w:val="21"/>
                <w:szCs w:val="21"/>
              </w:rPr>
              <w:t xml:space="preserve"> </w:t>
            </w:r>
            <w:r>
              <w:rPr>
                <w:rFonts w:cs="宋体"/>
                <w:color w:val="auto"/>
                <w:sz w:val="21"/>
                <w:szCs w:val="21"/>
              </w:rPr>
              <w:t>料或声明</w:t>
            </w:r>
          </w:p>
        </w:tc>
        <w:tc>
          <w:tcPr>
            <w:tcW w:w="368"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3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r>
      <w:tr>
        <w:tblPrEx>
          <w:tblCellMar>
            <w:top w:w="0" w:type="dxa"/>
            <w:left w:w="108" w:type="dxa"/>
            <w:bottom w:w="0" w:type="dxa"/>
            <w:right w:w="108" w:type="dxa"/>
          </w:tblCellMar>
        </w:tblPrEx>
        <w:trPr>
          <w:trHeight w:val="1311" w:hRule="exact"/>
        </w:trPr>
        <w:tc>
          <w:tcPr>
            <w:tcW w:w="456"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line="261" w:lineRule="exact"/>
              <w:ind w:left="67"/>
              <w:rPr>
                <w:rFonts w:hint="default" w:ascii="Times New Roman" w:eastAsia="Times New Roman"/>
                <w:color w:val="auto"/>
              </w:rPr>
            </w:pPr>
          </w:p>
        </w:tc>
        <w:tc>
          <w:tcPr>
            <w:tcW w:w="836"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line="261" w:lineRule="exact"/>
              <w:ind w:left="67"/>
              <w:rPr>
                <w:rFonts w:hint="default" w:ascii="Times New Roman" w:eastAsia="Times New Roman"/>
                <w:color w:val="auto"/>
              </w:rPr>
            </w:pPr>
          </w:p>
        </w:tc>
        <w:tc>
          <w:tcPr>
            <w:tcW w:w="1196"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3"/>
              <w:rPr>
                <w:rFonts w:hint="default" w:ascii="Times New Roman" w:eastAsia="Times New Roman"/>
                <w:color w:val="auto"/>
                <w:sz w:val="16"/>
                <w:szCs w:val="16"/>
              </w:rPr>
            </w:pPr>
          </w:p>
          <w:p>
            <w:pPr>
              <w:pStyle w:val="21"/>
              <w:kinsoku w:val="0"/>
              <w:overflowPunct w:val="0"/>
              <w:ind w:left="67"/>
              <w:rPr>
                <w:rFonts w:hint="default" w:cs="宋体"/>
                <w:color w:val="auto"/>
                <w:sz w:val="21"/>
                <w:szCs w:val="21"/>
              </w:rPr>
            </w:pPr>
            <w:r>
              <w:rPr>
                <w:rFonts w:cs="宋体"/>
                <w:color w:val="auto"/>
                <w:sz w:val="21"/>
                <w:szCs w:val="21"/>
              </w:rPr>
              <w:t>不 参</w:t>
            </w:r>
            <w:r>
              <w:rPr>
                <w:rFonts w:cs="宋体"/>
                <w:color w:val="auto"/>
                <w:spacing w:val="-27"/>
                <w:sz w:val="21"/>
                <w:szCs w:val="21"/>
              </w:rPr>
              <w:t xml:space="preserve"> </w:t>
            </w:r>
            <w:r>
              <w:rPr>
                <w:rFonts w:cs="宋体"/>
                <w:color w:val="auto"/>
                <w:sz w:val="21"/>
                <w:szCs w:val="21"/>
              </w:rPr>
              <w:t>与</w:t>
            </w:r>
          </w:p>
          <w:p>
            <w:pPr>
              <w:pStyle w:val="21"/>
              <w:kinsoku w:val="0"/>
              <w:overflowPunct w:val="0"/>
              <w:spacing w:line="261" w:lineRule="exact"/>
              <w:ind w:left="67"/>
              <w:rPr>
                <w:rFonts w:hint="default" w:ascii="Times New Roman" w:eastAsia="Times New Roman"/>
                <w:color w:val="auto"/>
              </w:rPr>
            </w:pPr>
            <w:r>
              <w:rPr>
                <w:rFonts w:cs="宋体"/>
                <w:color w:val="auto"/>
                <w:sz w:val="21"/>
                <w:szCs w:val="21"/>
              </w:rPr>
              <w:t>围 标</w:t>
            </w:r>
            <w:r>
              <w:rPr>
                <w:rFonts w:cs="宋体"/>
                <w:color w:val="auto"/>
                <w:spacing w:val="-27"/>
                <w:sz w:val="21"/>
                <w:szCs w:val="21"/>
              </w:rPr>
              <w:t xml:space="preserve"> </w:t>
            </w:r>
            <w:r>
              <w:rPr>
                <w:rFonts w:cs="宋体"/>
                <w:color w:val="auto"/>
                <w:sz w:val="21"/>
                <w:szCs w:val="21"/>
              </w:rPr>
              <w:t>串</w:t>
            </w:r>
          </w:p>
          <w:p>
            <w:pPr>
              <w:pStyle w:val="21"/>
              <w:kinsoku w:val="0"/>
              <w:overflowPunct w:val="0"/>
              <w:spacing w:line="261" w:lineRule="exact"/>
              <w:ind w:left="67"/>
              <w:rPr>
                <w:rFonts w:hint="default" w:ascii="Times New Roman" w:eastAsia="Times New Roman"/>
                <w:color w:val="auto"/>
              </w:rPr>
            </w:pPr>
            <w:r>
              <w:rPr>
                <w:rFonts w:cs="宋体"/>
                <w:color w:val="auto"/>
                <w:sz w:val="21"/>
                <w:szCs w:val="21"/>
              </w:rPr>
              <w:t>标 承</w:t>
            </w:r>
            <w:r>
              <w:rPr>
                <w:rFonts w:cs="宋体"/>
                <w:color w:val="auto"/>
                <w:spacing w:val="-27"/>
                <w:sz w:val="21"/>
                <w:szCs w:val="21"/>
              </w:rPr>
              <w:t xml:space="preserve"> </w:t>
            </w:r>
            <w:r>
              <w:rPr>
                <w:rFonts w:cs="宋体"/>
                <w:color w:val="auto"/>
                <w:sz w:val="21"/>
                <w:szCs w:val="21"/>
              </w:rPr>
              <w:t>诺</w:t>
            </w:r>
          </w:p>
          <w:p>
            <w:pPr>
              <w:pStyle w:val="21"/>
              <w:kinsoku w:val="0"/>
              <w:overflowPunct w:val="0"/>
              <w:spacing w:line="261" w:lineRule="exact"/>
              <w:ind w:left="67"/>
              <w:rPr>
                <w:rFonts w:hint="default" w:ascii="Times New Roman" w:eastAsia="Times New Roman"/>
                <w:color w:val="auto"/>
              </w:rPr>
            </w:pPr>
            <w:r>
              <w:rPr>
                <w:rFonts w:cs="宋体"/>
                <w:color w:val="auto"/>
                <w:w w:val="99"/>
                <w:sz w:val="21"/>
                <w:szCs w:val="21"/>
              </w:rPr>
              <w:t>书</w:t>
            </w:r>
          </w:p>
        </w:tc>
        <w:tc>
          <w:tcPr>
            <w:tcW w:w="548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ascii="Times New Roman" w:eastAsia="Times New Roman"/>
                <w:color w:val="auto"/>
                <w:sz w:val="20"/>
                <w:szCs w:val="20"/>
              </w:rPr>
            </w:pPr>
          </w:p>
          <w:p>
            <w:pPr>
              <w:pStyle w:val="21"/>
              <w:kinsoku w:val="0"/>
              <w:overflowPunct w:val="0"/>
              <w:rPr>
                <w:rFonts w:hint="default" w:ascii="Times New Roman" w:eastAsia="Times New Roman"/>
                <w:color w:val="auto"/>
                <w:sz w:val="20"/>
                <w:szCs w:val="20"/>
              </w:rPr>
            </w:pPr>
          </w:p>
          <w:p>
            <w:pPr>
              <w:pStyle w:val="21"/>
              <w:kinsoku w:val="0"/>
              <w:overflowPunct w:val="0"/>
              <w:ind w:left="67"/>
              <w:rPr>
                <w:rFonts w:hint="default" w:ascii="Times New Roman" w:eastAsia="Times New Roman"/>
                <w:color w:val="auto"/>
              </w:rPr>
            </w:pPr>
            <w:r>
              <w:rPr>
                <w:rFonts w:cs="宋体"/>
                <w:color w:val="auto"/>
                <w:sz w:val="21"/>
                <w:szCs w:val="21"/>
              </w:rPr>
              <w:t>提供不参与围标串标承诺书</w:t>
            </w:r>
          </w:p>
        </w:tc>
        <w:tc>
          <w:tcPr>
            <w:tcW w:w="368"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3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r>
      <w:tr>
        <w:tblPrEx>
          <w:tblCellMar>
            <w:top w:w="0" w:type="dxa"/>
            <w:left w:w="108" w:type="dxa"/>
            <w:bottom w:w="0" w:type="dxa"/>
            <w:right w:w="108" w:type="dxa"/>
          </w:tblCellMar>
        </w:tblPrEx>
        <w:trPr>
          <w:trHeight w:val="726" w:hRule="exact"/>
        </w:trPr>
        <w:tc>
          <w:tcPr>
            <w:tcW w:w="456"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line="261" w:lineRule="exact"/>
              <w:ind w:left="67"/>
              <w:rPr>
                <w:rFonts w:hint="default" w:ascii="Times New Roman" w:eastAsia="Times New Roman"/>
                <w:color w:val="auto"/>
              </w:rPr>
            </w:pPr>
          </w:p>
        </w:tc>
        <w:tc>
          <w:tcPr>
            <w:tcW w:w="836"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line="261" w:lineRule="exact"/>
              <w:ind w:left="67"/>
              <w:rPr>
                <w:rFonts w:hint="default" w:ascii="Times New Roman" w:eastAsia="Times New Roman"/>
                <w:color w:val="auto"/>
              </w:rPr>
            </w:pPr>
          </w:p>
        </w:tc>
        <w:tc>
          <w:tcPr>
            <w:tcW w:w="1196"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line="261" w:lineRule="exact"/>
              <w:ind w:left="67"/>
              <w:rPr>
                <w:rFonts w:hint="default" w:eastAsia="宋体" w:cs="宋体"/>
                <w:color w:val="auto"/>
                <w:w w:val="99"/>
                <w:sz w:val="21"/>
                <w:szCs w:val="21"/>
                <w:lang w:val="en-US" w:eastAsia="zh-CN"/>
              </w:rPr>
            </w:pPr>
            <w:r>
              <w:rPr>
                <w:rFonts w:hint="eastAsia" w:cs="宋体"/>
                <w:color w:val="auto"/>
                <w:w w:val="99"/>
                <w:sz w:val="21"/>
                <w:szCs w:val="21"/>
                <w:lang w:val="en-US" w:eastAsia="zh-CN"/>
              </w:rPr>
              <w:t>供应商资格要求</w:t>
            </w:r>
          </w:p>
        </w:tc>
        <w:tc>
          <w:tcPr>
            <w:tcW w:w="548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ind w:left="67"/>
              <w:rPr>
                <w:rFonts w:cs="宋体"/>
                <w:color w:val="auto"/>
                <w:sz w:val="21"/>
                <w:szCs w:val="21"/>
              </w:rPr>
            </w:pPr>
            <w:r>
              <w:rPr>
                <w:rFonts w:hint="eastAsia" w:cs="宋体"/>
                <w:color w:val="auto"/>
                <w:sz w:val="21"/>
                <w:szCs w:val="21"/>
              </w:rPr>
              <w:t>具有《医疗器械生产许可证》或《医疗器械经营许可证》</w:t>
            </w:r>
          </w:p>
        </w:tc>
        <w:tc>
          <w:tcPr>
            <w:tcW w:w="368"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3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r>
      <w:tr>
        <w:tblPrEx>
          <w:tblCellMar>
            <w:top w:w="0" w:type="dxa"/>
            <w:left w:w="108" w:type="dxa"/>
            <w:bottom w:w="0" w:type="dxa"/>
            <w:right w:w="108" w:type="dxa"/>
          </w:tblCellMar>
        </w:tblPrEx>
        <w:trPr>
          <w:trHeight w:val="1086" w:hRule="exact"/>
        </w:trPr>
        <w:tc>
          <w:tcPr>
            <w:tcW w:w="456"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line="261" w:lineRule="exact"/>
              <w:ind w:left="67"/>
              <w:rPr>
                <w:rFonts w:hint="default" w:ascii="Times New Roman" w:eastAsia="Times New Roman"/>
                <w:color w:val="auto"/>
              </w:rPr>
            </w:pPr>
          </w:p>
        </w:tc>
        <w:tc>
          <w:tcPr>
            <w:tcW w:w="836"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line="261" w:lineRule="exact"/>
              <w:ind w:left="67"/>
              <w:rPr>
                <w:rFonts w:hint="default" w:ascii="Times New Roman" w:eastAsia="Times New Roman"/>
                <w:color w:val="auto"/>
              </w:rPr>
            </w:pPr>
          </w:p>
        </w:tc>
        <w:tc>
          <w:tcPr>
            <w:tcW w:w="1196"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line="261" w:lineRule="exact"/>
              <w:ind w:left="67"/>
              <w:rPr>
                <w:rFonts w:hint="default" w:cs="宋体"/>
                <w:color w:val="auto"/>
                <w:w w:val="99"/>
                <w:sz w:val="21"/>
                <w:szCs w:val="21"/>
                <w:lang w:val="en-US" w:eastAsia="zh-CN"/>
              </w:rPr>
            </w:pPr>
            <w:r>
              <w:rPr>
                <w:rFonts w:hint="eastAsia" w:cs="宋体"/>
                <w:color w:val="auto"/>
                <w:w w:val="99"/>
                <w:sz w:val="21"/>
                <w:szCs w:val="21"/>
                <w:lang w:val="en-US" w:eastAsia="zh-CN"/>
              </w:rPr>
              <w:t>售后服务要求</w:t>
            </w:r>
          </w:p>
        </w:tc>
        <w:tc>
          <w:tcPr>
            <w:tcW w:w="548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ind w:left="67"/>
              <w:rPr>
                <w:rFonts w:hint="eastAsia" w:cs="宋体"/>
                <w:color w:val="auto"/>
                <w:sz w:val="21"/>
                <w:szCs w:val="21"/>
              </w:rPr>
            </w:pPr>
            <w:r>
              <w:rPr>
                <w:rFonts w:hint="eastAsia" w:ascii="宋体" w:hAnsi="Times New Roman" w:eastAsia="宋体" w:cs="宋体"/>
                <w:color w:val="auto"/>
                <w:sz w:val="21"/>
                <w:szCs w:val="21"/>
              </w:rPr>
              <w:t>须具有生产厂家（总代理）就本项目的产品授权书和售后服务承诺书（产品授权书中须写明所投进口产品的型号、产地和生产厂家名称，并必须有生产企业（总代理）法定代表人签章）</w:t>
            </w:r>
          </w:p>
        </w:tc>
        <w:tc>
          <w:tcPr>
            <w:tcW w:w="368"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3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r>
      <w:tr>
        <w:tblPrEx>
          <w:tblCellMar>
            <w:top w:w="0" w:type="dxa"/>
            <w:left w:w="108" w:type="dxa"/>
            <w:bottom w:w="0" w:type="dxa"/>
            <w:right w:w="108" w:type="dxa"/>
          </w:tblCellMar>
        </w:tblPrEx>
        <w:trPr>
          <w:trHeight w:val="759" w:hRule="exact"/>
        </w:trPr>
        <w:tc>
          <w:tcPr>
            <w:tcW w:w="456"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line="261" w:lineRule="exact"/>
              <w:ind w:left="67"/>
              <w:rPr>
                <w:rFonts w:hint="default" w:ascii="Times New Roman" w:eastAsia="Times New Roman"/>
                <w:color w:val="auto"/>
              </w:rPr>
            </w:pPr>
          </w:p>
        </w:tc>
        <w:tc>
          <w:tcPr>
            <w:tcW w:w="836"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line="261" w:lineRule="exact"/>
              <w:ind w:left="67"/>
              <w:rPr>
                <w:rFonts w:hint="default" w:ascii="Times New Roman" w:eastAsia="Times New Roman"/>
                <w:color w:val="auto"/>
              </w:rPr>
            </w:pPr>
          </w:p>
        </w:tc>
        <w:tc>
          <w:tcPr>
            <w:tcW w:w="1196"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ind w:left="67"/>
              <w:rPr>
                <w:rFonts w:hint="default" w:ascii="Times New Roman" w:eastAsia="Times New Roman"/>
                <w:color w:val="auto"/>
              </w:rPr>
            </w:pPr>
            <w:r>
              <w:rPr>
                <w:rFonts w:hint="eastAsia" w:cs="宋体"/>
                <w:color w:val="auto"/>
                <w:sz w:val="21"/>
                <w:szCs w:val="21"/>
                <w:lang w:val="en-US" w:eastAsia="zh-CN"/>
              </w:rPr>
              <w:t>投标</w:t>
            </w:r>
            <w:r>
              <w:rPr>
                <w:rFonts w:cs="宋体"/>
                <w:color w:val="auto"/>
                <w:sz w:val="21"/>
                <w:szCs w:val="21"/>
              </w:rPr>
              <w:t>保证金</w:t>
            </w:r>
          </w:p>
        </w:tc>
        <w:tc>
          <w:tcPr>
            <w:tcW w:w="548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7"/>
              <w:rPr>
                <w:rFonts w:hint="default" w:ascii="Times New Roman" w:eastAsia="Times New Roman"/>
                <w:color w:val="auto"/>
                <w:sz w:val="17"/>
                <w:szCs w:val="17"/>
              </w:rPr>
            </w:pPr>
          </w:p>
          <w:p>
            <w:pPr>
              <w:pStyle w:val="21"/>
              <w:kinsoku w:val="0"/>
              <w:overflowPunct w:val="0"/>
              <w:ind w:left="67"/>
              <w:rPr>
                <w:rFonts w:hint="default" w:ascii="Times New Roman" w:eastAsia="Times New Roman"/>
                <w:color w:val="auto"/>
              </w:rPr>
            </w:pPr>
            <w:r>
              <w:rPr>
                <w:rFonts w:cs="宋体"/>
                <w:color w:val="auto"/>
                <w:sz w:val="21"/>
                <w:szCs w:val="21"/>
              </w:rPr>
              <w:t>提供保证金缴纳证明文件</w:t>
            </w:r>
          </w:p>
        </w:tc>
        <w:tc>
          <w:tcPr>
            <w:tcW w:w="368"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3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r>
      <w:tr>
        <w:tblPrEx>
          <w:tblCellMar>
            <w:top w:w="0" w:type="dxa"/>
            <w:left w:w="108" w:type="dxa"/>
            <w:bottom w:w="0" w:type="dxa"/>
            <w:right w:w="108" w:type="dxa"/>
          </w:tblCellMar>
        </w:tblPrEx>
        <w:trPr>
          <w:trHeight w:val="769" w:hRule="exact"/>
        </w:trPr>
        <w:tc>
          <w:tcPr>
            <w:tcW w:w="456"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line="261" w:lineRule="exact"/>
              <w:ind w:left="67"/>
              <w:rPr>
                <w:rFonts w:hint="default" w:ascii="Times New Roman" w:eastAsia="Times New Roman"/>
                <w:color w:val="auto"/>
              </w:rPr>
            </w:pPr>
          </w:p>
        </w:tc>
        <w:tc>
          <w:tcPr>
            <w:tcW w:w="836" w:type="dxa"/>
            <w:vMerge w:val="restart"/>
            <w:tcBorders>
              <w:top w:val="single" w:color="000000" w:sz="4" w:space="0"/>
              <w:left w:val="single" w:color="000000" w:sz="4" w:space="0"/>
              <w:right w:val="single" w:color="000000" w:sz="4" w:space="0"/>
              <w:tl2br w:val="nil"/>
              <w:tr2bl w:val="nil"/>
            </w:tcBorders>
          </w:tcPr>
          <w:p>
            <w:pPr>
              <w:pStyle w:val="21"/>
              <w:kinsoku w:val="0"/>
              <w:overflowPunct w:val="0"/>
              <w:rPr>
                <w:rFonts w:hint="default" w:ascii="Times New Roman" w:eastAsia="Times New Roman"/>
                <w:color w:val="auto"/>
                <w:sz w:val="20"/>
                <w:szCs w:val="20"/>
              </w:rPr>
            </w:pPr>
          </w:p>
          <w:p>
            <w:pPr>
              <w:pStyle w:val="21"/>
              <w:kinsoku w:val="0"/>
              <w:overflowPunct w:val="0"/>
              <w:rPr>
                <w:rFonts w:hint="default" w:ascii="Times New Roman" w:eastAsia="Times New Roman"/>
                <w:color w:val="auto"/>
                <w:sz w:val="20"/>
                <w:szCs w:val="20"/>
              </w:rPr>
            </w:pPr>
          </w:p>
          <w:p>
            <w:pPr>
              <w:pStyle w:val="21"/>
              <w:kinsoku w:val="0"/>
              <w:overflowPunct w:val="0"/>
              <w:rPr>
                <w:rFonts w:hint="default" w:ascii="Times New Roman" w:eastAsia="Times New Roman"/>
                <w:color w:val="auto"/>
                <w:sz w:val="20"/>
                <w:szCs w:val="20"/>
              </w:rPr>
            </w:pPr>
          </w:p>
          <w:p>
            <w:pPr>
              <w:pStyle w:val="21"/>
              <w:kinsoku w:val="0"/>
              <w:overflowPunct w:val="0"/>
              <w:rPr>
                <w:rFonts w:hint="default" w:ascii="Times New Roman" w:eastAsia="Times New Roman"/>
                <w:color w:val="auto"/>
                <w:sz w:val="20"/>
                <w:szCs w:val="20"/>
              </w:rPr>
            </w:pPr>
          </w:p>
          <w:p>
            <w:pPr>
              <w:pStyle w:val="21"/>
              <w:kinsoku w:val="0"/>
              <w:overflowPunct w:val="0"/>
              <w:rPr>
                <w:rFonts w:hint="default" w:ascii="Times New Roman" w:eastAsia="Times New Roman"/>
                <w:color w:val="auto"/>
                <w:sz w:val="20"/>
                <w:szCs w:val="20"/>
              </w:rPr>
            </w:pPr>
          </w:p>
          <w:p>
            <w:pPr>
              <w:pStyle w:val="21"/>
              <w:kinsoku w:val="0"/>
              <w:overflowPunct w:val="0"/>
              <w:rPr>
                <w:rFonts w:hint="default" w:ascii="Times New Roman" w:eastAsia="Times New Roman"/>
                <w:color w:val="auto"/>
                <w:sz w:val="20"/>
                <w:szCs w:val="20"/>
              </w:rPr>
            </w:pPr>
          </w:p>
          <w:p>
            <w:pPr>
              <w:pStyle w:val="21"/>
              <w:kinsoku w:val="0"/>
              <w:overflowPunct w:val="0"/>
              <w:rPr>
                <w:rFonts w:hint="default" w:ascii="Times New Roman" w:eastAsia="Times New Roman"/>
                <w:color w:val="auto"/>
                <w:sz w:val="20"/>
                <w:szCs w:val="20"/>
              </w:rPr>
            </w:pPr>
          </w:p>
          <w:p>
            <w:pPr>
              <w:pStyle w:val="21"/>
              <w:kinsoku w:val="0"/>
              <w:overflowPunct w:val="0"/>
              <w:rPr>
                <w:rFonts w:hint="default" w:ascii="Times New Roman" w:eastAsia="Times New Roman"/>
                <w:color w:val="auto"/>
                <w:sz w:val="20"/>
                <w:szCs w:val="20"/>
              </w:rPr>
            </w:pPr>
          </w:p>
          <w:p>
            <w:pPr>
              <w:pStyle w:val="21"/>
              <w:kinsoku w:val="0"/>
              <w:overflowPunct w:val="0"/>
              <w:rPr>
                <w:rFonts w:hint="default" w:ascii="Times New Roman" w:eastAsia="Times New Roman"/>
                <w:color w:val="auto"/>
                <w:sz w:val="20"/>
                <w:szCs w:val="20"/>
              </w:rPr>
            </w:pPr>
          </w:p>
          <w:p>
            <w:pPr>
              <w:pStyle w:val="21"/>
              <w:kinsoku w:val="0"/>
              <w:overflowPunct w:val="0"/>
              <w:rPr>
                <w:rFonts w:hint="default" w:ascii="Times New Roman" w:eastAsia="Times New Roman"/>
                <w:color w:val="auto"/>
                <w:sz w:val="20"/>
                <w:szCs w:val="20"/>
              </w:rPr>
            </w:pPr>
          </w:p>
          <w:p>
            <w:pPr>
              <w:pStyle w:val="21"/>
              <w:kinsoku w:val="0"/>
              <w:overflowPunct w:val="0"/>
              <w:rPr>
                <w:rFonts w:hint="default" w:ascii="Times New Roman" w:eastAsia="Times New Roman"/>
                <w:color w:val="auto"/>
                <w:sz w:val="20"/>
                <w:szCs w:val="20"/>
              </w:rPr>
            </w:pPr>
          </w:p>
          <w:p>
            <w:pPr>
              <w:pStyle w:val="21"/>
              <w:kinsoku w:val="0"/>
              <w:overflowPunct w:val="0"/>
              <w:rPr>
                <w:rFonts w:hint="default" w:ascii="Times New Roman" w:eastAsia="Times New Roman"/>
                <w:color w:val="auto"/>
                <w:sz w:val="20"/>
                <w:szCs w:val="20"/>
              </w:rPr>
            </w:pPr>
          </w:p>
          <w:p>
            <w:pPr>
              <w:pStyle w:val="21"/>
              <w:kinsoku w:val="0"/>
              <w:overflowPunct w:val="0"/>
              <w:rPr>
                <w:rFonts w:hint="default" w:ascii="Times New Roman" w:eastAsia="Times New Roman"/>
                <w:color w:val="auto"/>
                <w:sz w:val="20"/>
                <w:szCs w:val="20"/>
              </w:rPr>
            </w:pPr>
          </w:p>
          <w:p>
            <w:pPr>
              <w:pStyle w:val="21"/>
              <w:kinsoku w:val="0"/>
              <w:overflowPunct w:val="0"/>
              <w:spacing w:before="1"/>
              <w:rPr>
                <w:rFonts w:hint="default" w:ascii="Times New Roman" w:eastAsia="Times New Roman"/>
                <w:color w:val="auto"/>
                <w:sz w:val="16"/>
                <w:szCs w:val="16"/>
              </w:rPr>
            </w:pPr>
          </w:p>
          <w:p>
            <w:pPr>
              <w:pStyle w:val="21"/>
              <w:kinsoku w:val="0"/>
              <w:overflowPunct w:val="0"/>
              <w:ind w:left="67"/>
              <w:rPr>
                <w:rFonts w:hint="default" w:ascii="Times New Roman" w:eastAsia="Times New Roman"/>
                <w:color w:val="auto"/>
              </w:rPr>
            </w:pPr>
            <w:r>
              <w:rPr>
                <w:rFonts w:cs="宋体"/>
                <w:color w:val="auto"/>
                <w:sz w:val="21"/>
                <w:szCs w:val="21"/>
              </w:rPr>
              <w:t>符</w:t>
            </w:r>
            <w:r>
              <w:rPr>
                <w:rFonts w:cs="宋体"/>
                <w:color w:val="auto"/>
                <w:spacing w:val="-79"/>
                <w:sz w:val="21"/>
                <w:szCs w:val="21"/>
              </w:rPr>
              <w:t xml:space="preserve"> </w:t>
            </w:r>
            <w:r>
              <w:rPr>
                <w:rFonts w:cs="宋体"/>
                <w:color w:val="auto"/>
                <w:sz w:val="21"/>
                <w:szCs w:val="21"/>
              </w:rPr>
              <w:t>合</w:t>
            </w:r>
            <w:r>
              <w:rPr>
                <w:rFonts w:cs="宋体"/>
                <w:color w:val="auto"/>
                <w:spacing w:val="-79"/>
                <w:sz w:val="21"/>
                <w:szCs w:val="21"/>
              </w:rPr>
              <w:t xml:space="preserve"> </w:t>
            </w:r>
            <w:r>
              <w:rPr>
                <w:rFonts w:cs="宋体"/>
                <w:color w:val="auto"/>
                <w:sz w:val="21"/>
                <w:szCs w:val="21"/>
              </w:rPr>
              <w:t>性检查</w:t>
            </w:r>
          </w:p>
        </w:tc>
        <w:tc>
          <w:tcPr>
            <w:tcW w:w="1196"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62"/>
              <w:ind w:left="67"/>
              <w:rPr>
                <w:rFonts w:hint="default" w:cs="宋体"/>
                <w:color w:val="auto"/>
                <w:sz w:val="21"/>
                <w:szCs w:val="21"/>
              </w:rPr>
            </w:pPr>
            <w:r>
              <w:rPr>
                <w:rFonts w:cs="宋体"/>
                <w:color w:val="auto"/>
                <w:sz w:val="21"/>
                <w:szCs w:val="21"/>
              </w:rPr>
              <w:t>投 标</w:t>
            </w:r>
            <w:r>
              <w:rPr>
                <w:rFonts w:cs="宋体"/>
                <w:color w:val="auto"/>
                <w:spacing w:val="-27"/>
                <w:sz w:val="21"/>
                <w:szCs w:val="21"/>
              </w:rPr>
              <w:t xml:space="preserve"> </w:t>
            </w:r>
            <w:r>
              <w:rPr>
                <w:rFonts w:cs="宋体"/>
                <w:color w:val="auto"/>
                <w:sz w:val="21"/>
                <w:szCs w:val="21"/>
              </w:rPr>
              <w:t>文</w:t>
            </w:r>
          </w:p>
          <w:p>
            <w:pPr>
              <w:pStyle w:val="21"/>
              <w:kinsoku w:val="0"/>
              <w:overflowPunct w:val="0"/>
              <w:spacing w:line="261" w:lineRule="exact"/>
              <w:ind w:left="67"/>
              <w:rPr>
                <w:rFonts w:hint="default" w:ascii="Times New Roman" w:eastAsia="Times New Roman"/>
                <w:color w:val="auto"/>
              </w:rPr>
            </w:pPr>
            <w:r>
              <w:rPr>
                <w:rFonts w:cs="宋体"/>
                <w:color w:val="auto"/>
                <w:sz w:val="21"/>
                <w:szCs w:val="21"/>
              </w:rPr>
              <w:t>件格式</w:t>
            </w:r>
          </w:p>
        </w:tc>
        <w:tc>
          <w:tcPr>
            <w:tcW w:w="548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11"/>
              <w:rPr>
                <w:rFonts w:hint="default" w:ascii="Times New Roman" w:eastAsia="Times New Roman"/>
                <w:color w:val="auto"/>
                <w:sz w:val="18"/>
                <w:szCs w:val="18"/>
              </w:rPr>
            </w:pPr>
          </w:p>
          <w:p>
            <w:pPr>
              <w:pStyle w:val="21"/>
              <w:kinsoku w:val="0"/>
              <w:overflowPunct w:val="0"/>
              <w:ind w:left="67"/>
              <w:rPr>
                <w:rFonts w:hint="default" w:ascii="Times New Roman" w:eastAsia="Times New Roman"/>
                <w:color w:val="auto"/>
              </w:rPr>
            </w:pPr>
            <w:r>
              <w:rPr>
                <w:rFonts w:cs="宋体"/>
                <w:color w:val="auto"/>
                <w:spacing w:val="-4"/>
                <w:sz w:val="21"/>
                <w:szCs w:val="21"/>
              </w:rPr>
              <w:t>投标文件按照招标文件规定的内容、格式填写，字迹清晰可辨</w:t>
            </w:r>
          </w:p>
        </w:tc>
        <w:tc>
          <w:tcPr>
            <w:tcW w:w="368" w:type="dxa"/>
            <w:vMerge w:val="restart"/>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369" w:type="dxa"/>
            <w:vMerge w:val="restart"/>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r>
      <w:tr>
        <w:tblPrEx>
          <w:tblCellMar>
            <w:top w:w="0" w:type="dxa"/>
            <w:left w:w="108" w:type="dxa"/>
            <w:bottom w:w="0" w:type="dxa"/>
            <w:right w:w="108" w:type="dxa"/>
          </w:tblCellMar>
        </w:tblPrEx>
        <w:trPr>
          <w:trHeight w:val="769" w:hRule="exact"/>
        </w:trPr>
        <w:tc>
          <w:tcPr>
            <w:tcW w:w="456"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line="261" w:lineRule="exact"/>
              <w:ind w:left="67"/>
              <w:rPr>
                <w:rFonts w:hint="default" w:ascii="Times New Roman" w:eastAsia="Times New Roman"/>
                <w:color w:val="auto"/>
              </w:rPr>
            </w:pPr>
          </w:p>
        </w:tc>
        <w:tc>
          <w:tcPr>
            <w:tcW w:w="836" w:type="dxa"/>
            <w:vMerge w:val="continue"/>
            <w:tcBorders>
              <w:left w:val="single" w:color="000000" w:sz="4" w:space="0"/>
              <w:right w:val="single" w:color="000000" w:sz="4" w:space="0"/>
              <w:tl2br w:val="nil"/>
              <w:tr2bl w:val="nil"/>
            </w:tcBorders>
          </w:tcPr>
          <w:p>
            <w:pPr>
              <w:pStyle w:val="21"/>
              <w:kinsoku w:val="0"/>
              <w:overflowPunct w:val="0"/>
              <w:spacing w:line="261" w:lineRule="exact"/>
              <w:ind w:left="67"/>
              <w:rPr>
                <w:rFonts w:hint="default" w:ascii="Times New Roman" w:eastAsia="Times New Roman"/>
                <w:color w:val="auto"/>
              </w:rPr>
            </w:pPr>
          </w:p>
        </w:tc>
        <w:tc>
          <w:tcPr>
            <w:tcW w:w="1196" w:type="dxa"/>
            <w:vMerge w:val="restart"/>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60"/>
              <w:ind w:left="67"/>
              <w:rPr>
                <w:rFonts w:hint="default" w:cs="宋体"/>
                <w:color w:val="auto"/>
                <w:sz w:val="21"/>
                <w:szCs w:val="21"/>
              </w:rPr>
            </w:pPr>
            <w:r>
              <w:rPr>
                <w:rFonts w:cs="宋体"/>
                <w:color w:val="auto"/>
                <w:sz w:val="21"/>
                <w:szCs w:val="21"/>
              </w:rPr>
              <w:t>授 权</w:t>
            </w:r>
            <w:r>
              <w:rPr>
                <w:rFonts w:cs="宋体"/>
                <w:color w:val="auto"/>
                <w:spacing w:val="-27"/>
                <w:sz w:val="21"/>
                <w:szCs w:val="21"/>
              </w:rPr>
              <w:t xml:space="preserve"> </w:t>
            </w:r>
            <w:r>
              <w:rPr>
                <w:rFonts w:cs="宋体"/>
                <w:color w:val="auto"/>
                <w:sz w:val="21"/>
                <w:szCs w:val="21"/>
              </w:rPr>
              <w:t>委</w:t>
            </w:r>
          </w:p>
          <w:p>
            <w:pPr>
              <w:pStyle w:val="21"/>
              <w:kinsoku w:val="0"/>
              <w:overflowPunct w:val="0"/>
              <w:spacing w:line="261" w:lineRule="exact"/>
              <w:ind w:left="67"/>
              <w:rPr>
                <w:rFonts w:hint="default" w:ascii="Times New Roman" w:eastAsia="Times New Roman"/>
                <w:color w:val="auto"/>
              </w:rPr>
            </w:pPr>
            <w:r>
              <w:rPr>
                <w:rFonts w:cs="宋体"/>
                <w:color w:val="auto"/>
                <w:sz w:val="21"/>
                <w:szCs w:val="21"/>
              </w:rPr>
              <w:t>托书</w:t>
            </w:r>
          </w:p>
        </w:tc>
        <w:tc>
          <w:tcPr>
            <w:tcW w:w="5485" w:type="dxa"/>
            <w:tcBorders>
              <w:top w:val="single" w:color="000000" w:sz="4" w:space="0"/>
              <w:left w:val="single" w:color="000000" w:sz="4" w:space="0"/>
              <w:bottom w:val="nil"/>
              <w:right w:val="single" w:color="000000" w:sz="4" w:space="0"/>
              <w:tl2br w:val="nil"/>
              <w:tr2bl w:val="nil"/>
            </w:tcBorders>
          </w:tcPr>
          <w:p>
            <w:pPr>
              <w:pStyle w:val="21"/>
              <w:kinsoku w:val="0"/>
              <w:overflowPunct w:val="0"/>
              <w:spacing w:before="60"/>
              <w:ind w:left="67"/>
              <w:rPr>
                <w:rFonts w:hint="default" w:ascii="Times New Roman" w:eastAsia="Times New Roman"/>
                <w:color w:val="auto"/>
              </w:rPr>
            </w:pPr>
            <w:r>
              <w:rPr>
                <w:rFonts w:cs="宋体"/>
                <w:color w:val="auto"/>
                <w:spacing w:val="4"/>
                <w:sz w:val="21"/>
                <w:szCs w:val="21"/>
              </w:rPr>
              <w:t>投标文件提供法定代表人授权委托书或提供法定代表人身份</w:t>
            </w:r>
            <w:r>
              <w:rPr>
                <w:rFonts w:cs="宋体"/>
                <w:color w:val="auto"/>
                <w:sz w:val="21"/>
                <w:szCs w:val="21"/>
              </w:rPr>
              <w:t>证明</w:t>
            </w:r>
          </w:p>
        </w:tc>
        <w:tc>
          <w:tcPr>
            <w:tcW w:w="368" w:type="dxa"/>
            <w:vMerge w:val="restart"/>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369" w:type="dxa"/>
            <w:vMerge w:val="restart"/>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r>
      <w:tr>
        <w:tblPrEx>
          <w:tblCellMar>
            <w:top w:w="0" w:type="dxa"/>
            <w:left w:w="108" w:type="dxa"/>
            <w:bottom w:w="0" w:type="dxa"/>
            <w:right w:w="108" w:type="dxa"/>
          </w:tblCellMar>
        </w:tblPrEx>
        <w:trPr>
          <w:trHeight w:val="914" w:hRule="exact"/>
        </w:trPr>
        <w:tc>
          <w:tcPr>
            <w:tcW w:w="456"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line="261" w:lineRule="exact"/>
              <w:ind w:left="67"/>
              <w:rPr>
                <w:rFonts w:hint="default" w:ascii="Times New Roman" w:eastAsia="Times New Roman"/>
                <w:color w:val="auto"/>
              </w:rPr>
            </w:pPr>
          </w:p>
        </w:tc>
        <w:tc>
          <w:tcPr>
            <w:tcW w:w="836" w:type="dxa"/>
            <w:vMerge w:val="continue"/>
            <w:tcBorders>
              <w:left w:val="single" w:color="000000" w:sz="4" w:space="0"/>
              <w:right w:val="single" w:color="000000" w:sz="4" w:space="0"/>
              <w:tl2br w:val="nil"/>
              <w:tr2bl w:val="nil"/>
            </w:tcBorders>
          </w:tcPr>
          <w:p>
            <w:pPr>
              <w:pStyle w:val="21"/>
              <w:kinsoku w:val="0"/>
              <w:overflowPunct w:val="0"/>
              <w:spacing w:line="261" w:lineRule="exact"/>
              <w:ind w:left="67"/>
              <w:rPr>
                <w:rFonts w:hint="default" w:ascii="Times New Roman" w:eastAsia="Times New Roman"/>
                <w:color w:val="auto"/>
              </w:rPr>
            </w:pPr>
          </w:p>
        </w:tc>
        <w:tc>
          <w:tcPr>
            <w:tcW w:w="1196" w:type="dxa"/>
            <w:tcBorders>
              <w:top w:val="single" w:color="000000" w:sz="4" w:space="0"/>
              <w:left w:val="single" w:color="000000" w:sz="4" w:space="0"/>
              <w:bottom w:val="nil"/>
              <w:right w:val="single" w:color="000000" w:sz="4" w:space="0"/>
              <w:tl2br w:val="nil"/>
              <w:tr2bl w:val="nil"/>
            </w:tcBorders>
            <w:vAlign w:val="center"/>
          </w:tcPr>
          <w:p>
            <w:pPr>
              <w:pStyle w:val="21"/>
              <w:kinsoku w:val="0"/>
              <w:overflowPunct w:val="0"/>
              <w:spacing w:before="150"/>
              <w:ind w:left="67"/>
              <w:jc w:val="both"/>
              <w:rPr>
                <w:rFonts w:hint="default" w:cs="宋体"/>
                <w:color w:val="auto"/>
                <w:spacing w:val="-4"/>
                <w:sz w:val="21"/>
                <w:szCs w:val="21"/>
              </w:rPr>
            </w:pPr>
            <w:r>
              <w:rPr>
                <w:rFonts w:cs="宋体"/>
                <w:color w:val="auto"/>
                <w:spacing w:val="-4"/>
                <w:sz w:val="21"/>
                <w:szCs w:val="21"/>
              </w:rPr>
              <w:t>签 字 或</w:t>
            </w:r>
          </w:p>
          <w:p>
            <w:pPr>
              <w:pStyle w:val="21"/>
              <w:kinsoku w:val="0"/>
              <w:overflowPunct w:val="0"/>
              <w:spacing w:before="150"/>
              <w:ind w:left="67"/>
              <w:jc w:val="both"/>
              <w:rPr>
                <w:rFonts w:hint="default" w:cs="宋体"/>
                <w:color w:val="auto"/>
                <w:spacing w:val="-4"/>
                <w:sz w:val="21"/>
                <w:szCs w:val="21"/>
              </w:rPr>
            </w:pPr>
            <w:r>
              <w:rPr>
                <w:rFonts w:cs="宋体"/>
                <w:color w:val="auto"/>
                <w:spacing w:val="-4"/>
                <w:sz w:val="21"/>
                <w:szCs w:val="21"/>
              </w:rPr>
              <w:t>盖章</w:t>
            </w:r>
          </w:p>
        </w:tc>
        <w:tc>
          <w:tcPr>
            <w:tcW w:w="548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1"/>
              <w:kinsoku w:val="0"/>
              <w:overflowPunct w:val="0"/>
              <w:spacing w:before="150"/>
              <w:ind w:left="67"/>
              <w:jc w:val="both"/>
              <w:rPr>
                <w:rFonts w:hint="default" w:cs="宋体"/>
                <w:color w:val="auto"/>
                <w:spacing w:val="-4"/>
                <w:sz w:val="21"/>
                <w:szCs w:val="21"/>
              </w:rPr>
            </w:pPr>
            <w:r>
              <w:rPr>
                <w:rFonts w:cs="宋体"/>
                <w:color w:val="auto"/>
                <w:spacing w:val="-4"/>
                <w:sz w:val="21"/>
                <w:szCs w:val="21"/>
              </w:rPr>
              <w:t>投标文件上法定代表人或其授权代理人的签字、</w:t>
            </w:r>
            <w:r>
              <w:rPr>
                <w:rFonts w:hint="eastAsia" w:cs="宋体"/>
                <w:color w:val="auto"/>
                <w:spacing w:val="-4"/>
                <w:sz w:val="21"/>
                <w:szCs w:val="21"/>
                <w:lang w:eastAsia="zh-CN"/>
              </w:rPr>
              <w:t>供应商</w:t>
            </w:r>
            <w:r>
              <w:rPr>
                <w:rFonts w:cs="宋体"/>
                <w:color w:val="auto"/>
                <w:spacing w:val="-4"/>
                <w:sz w:val="21"/>
                <w:szCs w:val="21"/>
              </w:rPr>
              <w:t>的单位章齐全符合招标文件规定</w:t>
            </w:r>
          </w:p>
        </w:tc>
        <w:tc>
          <w:tcPr>
            <w:tcW w:w="368"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3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r>
      <w:tr>
        <w:tblPrEx>
          <w:tblCellMar>
            <w:top w:w="0" w:type="dxa"/>
            <w:left w:w="108" w:type="dxa"/>
            <w:bottom w:w="0" w:type="dxa"/>
            <w:right w:w="108" w:type="dxa"/>
          </w:tblCellMar>
        </w:tblPrEx>
        <w:trPr>
          <w:trHeight w:val="1252" w:hRule="exact"/>
        </w:trPr>
        <w:tc>
          <w:tcPr>
            <w:tcW w:w="456"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line="261" w:lineRule="exact"/>
              <w:ind w:left="67"/>
              <w:rPr>
                <w:rFonts w:hint="default" w:ascii="Times New Roman" w:eastAsia="Times New Roman"/>
                <w:color w:val="auto"/>
              </w:rPr>
            </w:pPr>
          </w:p>
        </w:tc>
        <w:tc>
          <w:tcPr>
            <w:tcW w:w="836" w:type="dxa"/>
            <w:vMerge w:val="continue"/>
            <w:tcBorders>
              <w:left w:val="single" w:color="000000" w:sz="4" w:space="0"/>
              <w:right w:val="single" w:color="000000" w:sz="4" w:space="0"/>
              <w:tl2br w:val="nil"/>
              <w:tr2bl w:val="nil"/>
            </w:tcBorders>
          </w:tcPr>
          <w:p>
            <w:pPr>
              <w:pStyle w:val="21"/>
              <w:kinsoku w:val="0"/>
              <w:overflowPunct w:val="0"/>
              <w:spacing w:line="261" w:lineRule="exact"/>
              <w:ind w:left="67"/>
              <w:rPr>
                <w:rFonts w:hint="default" w:ascii="Times New Roman" w:eastAsia="Times New Roman"/>
                <w:color w:val="auto"/>
              </w:rPr>
            </w:pPr>
          </w:p>
        </w:tc>
        <w:tc>
          <w:tcPr>
            <w:tcW w:w="119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1"/>
              <w:kinsoku w:val="0"/>
              <w:overflowPunct w:val="0"/>
              <w:spacing w:before="150"/>
              <w:ind w:left="67"/>
              <w:jc w:val="both"/>
              <w:rPr>
                <w:rFonts w:hint="default" w:cs="宋体"/>
                <w:color w:val="auto"/>
                <w:spacing w:val="-4"/>
                <w:sz w:val="21"/>
                <w:szCs w:val="21"/>
              </w:rPr>
            </w:pPr>
            <w:r>
              <w:rPr>
                <w:rFonts w:cs="宋体"/>
                <w:color w:val="auto"/>
                <w:spacing w:val="-4"/>
                <w:sz w:val="21"/>
                <w:szCs w:val="21"/>
              </w:rPr>
              <w:t>报价唯 一性</w:t>
            </w:r>
          </w:p>
        </w:tc>
        <w:tc>
          <w:tcPr>
            <w:tcW w:w="548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1"/>
              <w:kinsoku w:val="0"/>
              <w:overflowPunct w:val="0"/>
              <w:spacing w:before="150"/>
              <w:ind w:left="67"/>
              <w:jc w:val="both"/>
              <w:rPr>
                <w:rFonts w:hint="eastAsia" w:eastAsia="宋体" w:cs="宋体"/>
                <w:color w:val="auto"/>
                <w:spacing w:val="-4"/>
                <w:sz w:val="21"/>
                <w:szCs w:val="21"/>
                <w:lang w:eastAsia="zh-CN"/>
              </w:rPr>
            </w:pPr>
            <w:r>
              <w:rPr>
                <w:rFonts w:cs="宋体"/>
                <w:color w:val="auto"/>
                <w:spacing w:val="-4"/>
                <w:sz w:val="21"/>
                <w:szCs w:val="21"/>
              </w:rPr>
              <w:t>投标报价具有唯一性，未超过采购项目预算</w:t>
            </w:r>
            <w:r>
              <w:rPr>
                <w:rFonts w:hint="eastAsia" w:cs="宋体"/>
                <w:color w:val="auto"/>
                <w:spacing w:val="-4"/>
                <w:sz w:val="21"/>
                <w:szCs w:val="21"/>
                <w:lang w:eastAsia="zh-CN"/>
              </w:rPr>
              <w:t>；对于出现的政采云平台开标唱标环节经投标供应商确认的投标报价与投标文件中开标一览表的报价不一致的现象，视作选择性报价，将被作为无效投标处理。</w:t>
            </w:r>
          </w:p>
        </w:tc>
        <w:tc>
          <w:tcPr>
            <w:tcW w:w="368"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3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r>
      <w:tr>
        <w:tblPrEx>
          <w:tblCellMar>
            <w:top w:w="0" w:type="dxa"/>
            <w:left w:w="108" w:type="dxa"/>
            <w:bottom w:w="0" w:type="dxa"/>
            <w:right w:w="108" w:type="dxa"/>
          </w:tblCellMar>
        </w:tblPrEx>
        <w:trPr>
          <w:trHeight w:val="735" w:hRule="exact"/>
        </w:trPr>
        <w:tc>
          <w:tcPr>
            <w:tcW w:w="456" w:type="dxa"/>
            <w:vMerge w:val="continue"/>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836" w:type="dxa"/>
            <w:vMerge w:val="continue"/>
            <w:tcBorders>
              <w:left w:val="single" w:color="000000" w:sz="4" w:space="0"/>
              <w:right w:val="single" w:color="000000" w:sz="4" w:space="0"/>
              <w:tl2br w:val="nil"/>
              <w:tr2bl w:val="nil"/>
            </w:tcBorders>
          </w:tcPr>
          <w:p>
            <w:pPr>
              <w:rPr>
                <w:rFonts w:hint="default" w:ascii="Times New Roman" w:eastAsia="Times New Roman"/>
                <w:color w:val="auto"/>
              </w:rPr>
            </w:pPr>
          </w:p>
        </w:tc>
        <w:tc>
          <w:tcPr>
            <w:tcW w:w="1196" w:type="dxa"/>
            <w:tcBorders>
              <w:top w:val="single" w:color="000000" w:sz="4" w:space="0"/>
              <w:left w:val="single" w:color="000000" w:sz="4" w:space="0"/>
              <w:bottom w:val="nil"/>
              <w:right w:val="single" w:color="000000" w:sz="4" w:space="0"/>
              <w:tl2br w:val="nil"/>
              <w:tr2bl w:val="nil"/>
            </w:tcBorders>
            <w:vAlign w:val="center"/>
          </w:tcPr>
          <w:p>
            <w:pPr>
              <w:pStyle w:val="21"/>
              <w:kinsoku w:val="0"/>
              <w:overflowPunct w:val="0"/>
              <w:spacing w:before="150"/>
              <w:ind w:left="67"/>
              <w:jc w:val="both"/>
              <w:rPr>
                <w:rFonts w:hint="default" w:cs="宋体"/>
                <w:color w:val="auto"/>
                <w:spacing w:val="-4"/>
                <w:sz w:val="21"/>
                <w:szCs w:val="21"/>
              </w:rPr>
            </w:pPr>
            <w:r>
              <w:rPr>
                <w:rFonts w:cs="宋体"/>
                <w:color w:val="auto"/>
                <w:spacing w:val="-4"/>
                <w:sz w:val="21"/>
                <w:szCs w:val="21"/>
              </w:rPr>
              <w:t>商务响应</w:t>
            </w:r>
          </w:p>
        </w:tc>
        <w:tc>
          <w:tcPr>
            <w:tcW w:w="5485" w:type="dxa"/>
            <w:tcBorders>
              <w:top w:val="single" w:color="000000" w:sz="4" w:space="0"/>
              <w:left w:val="single" w:color="000000" w:sz="4" w:space="0"/>
              <w:bottom w:val="nil"/>
              <w:right w:val="single" w:color="000000" w:sz="4" w:space="0"/>
              <w:tl2br w:val="nil"/>
              <w:tr2bl w:val="nil"/>
            </w:tcBorders>
            <w:vAlign w:val="center"/>
          </w:tcPr>
          <w:p>
            <w:pPr>
              <w:pStyle w:val="21"/>
              <w:kinsoku w:val="0"/>
              <w:overflowPunct w:val="0"/>
              <w:spacing w:before="150"/>
              <w:ind w:left="67"/>
              <w:jc w:val="both"/>
              <w:rPr>
                <w:rFonts w:hint="default" w:cs="宋体"/>
                <w:color w:val="auto"/>
                <w:spacing w:val="-4"/>
                <w:sz w:val="21"/>
                <w:szCs w:val="21"/>
              </w:rPr>
            </w:pPr>
            <w:r>
              <w:rPr>
                <w:rFonts w:cs="宋体"/>
                <w:color w:val="auto"/>
                <w:spacing w:val="-4"/>
                <w:sz w:val="21"/>
                <w:szCs w:val="21"/>
              </w:rPr>
              <w:t>服务标准、服务期限、售后服务、付款方式、服务地点满足采购文件第三部分“采购需求”内的商务需求</w:t>
            </w:r>
          </w:p>
        </w:tc>
        <w:tc>
          <w:tcPr>
            <w:tcW w:w="368"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3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r>
      <w:tr>
        <w:tblPrEx>
          <w:tblCellMar>
            <w:top w:w="0" w:type="dxa"/>
            <w:left w:w="108" w:type="dxa"/>
            <w:bottom w:w="0" w:type="dxa"/>
            <w:right w:w="108" w:type="dxa"/>
          </w:tblCellMar>
        </w:tblPrEx>
        <w:trPr>
          <w:trHeight w:val="1077" w:hRule="exact"/>
        </w:trPr>
        <w:tc>
          <w:tcPr>
            <w:tcW w:w="456" w:type="dxa"/>
            <w:vMerge w:val="continue"/>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30"/>
              <w:ind w:left="67"/>
              <w:rPr>
                <w:rFonts w:hint="default" w:ascii="Times New Roman" w:eastAsia="Times New Roman"/>
                <w:color w:val="auto"/>
              </w:rPr>
            </w:pPr>
          </w:p>
        </w:tc>
        <w:tc>
          <w:tcPr>
            <w:tcW w:w="836" w:type="dxa"/>
            <w:vMerge w:val="continue"/>
            <w:tcBorders>
              <w:left w:val="single" w:color="000000" w:sz="4" w:space="0"/>
              <w:bottom w:val="single" w:color="000000" w:sz="4" w:space="0"/>
              <w:right w:val="single" w:color="000000" w:sz="4" w:space="0"/>
              <w:tl2br w:val="nil"/>
              <w:tr2bl w:val="nil"/>
            </w:tcBorders>
          </w:tcPr>
          <w:p>
            <w:pPr>
              <w:pStyle w:val="21"/>
              <w:kinsoku w:val="0"/>
              <w:overflowPunct w:val="0"/>
              <w:spacing w:before="30"/>
              <w:ind w:left="67"/>
              <w:rPr>
                <w:rFonts w:hint="default" w:ascii="Times New Roman" w:eastAsia="Times New Roman"/>
                <w:color w:val="auto"/>
              </w:rPr>
            </w:pPr>
          </w:p>
        </w:tc>
        <w:tc>
          <w:tcPr>
            <w:tcW w:w="1196" w:type="dxa"/>
            <w:tcBorders>
              <w:top w:val="single" w:color="000000" w:sz="4" w:space="0"/>
              <w:left w:val="single" w:color="000000" w:sz="4" w:space="0"/>
              <w:bottom w:val="nil"/>
              <w:right w:val="single" w:color="000000" w:sz="4" w:space="0"/>
              <w:tl2br w:val="nil"/>
              <w:tr2bl w:val="nil"/>
            </w:tcBorders>
            <w:vAlign w:val="center"/>
          </w:tcPr>
          <w:p>
            <w:pPr>
              <w:pStyle w:val="21"/>
              <w:kinsoku w:val="0"/>
              <w:overflowPunct w:val="0"/>
              <w:spacing w:before="150"/>
              <w:ind w:left="67"/>
              <w:jc w:val="both"/>
              <w:rPr>
                <w:rFonts w:hint="default" w:cs="宋体"/>
                <w:color w:val="auto"/>
                <w:spacing w:val="-4"/>
                <w:sz w:val="21"/>
                <w:szCs w:val="21"/>
              </w:rPr>
            </w:pPr>
            <w:r>
              <w:rPr>
                <w:rFonts w:cs="宋体"/>
                <w:color w:val="auto"/>
                <w:spacing w:val="-4"/>
                <w:sz w:val="21"/>
                <w:szCs w:val="21"/>
              </w:rPr>
              <w:t>其他要求</w:t>
            </w:r>
          </w:p>
        </w:tc>
        <w:tc>
          <w:tcPr>
            <w:tcW w:w="548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21"/>
              <w:kinsoku w:val="0"/>
              <w:overflowPunct w:val="0"/>
              <w:spacing w:before="150"/>
              <w:ind w:left="67"/>
              <w:jc w:val="both"/>
              <w:rPr>
                <w:rFonts w:hint="default" w:ascii="Times New Roman" w:eastAsia="Times New Roman"/>
                <w:color w:val="auto"/>
              </w:rPr>
            </w:pPr>
            <w:r>
              <w:rPr>
                <w:rFonts w:cs="宋体"/>
                <w:color w:val="auto"/>
                <w:spacing w:val="-4"/>
                <w:sz w:val="21"/>
                <w:szCs w:val="21"/>
              </w:rPr>
              <w:t>投标文件未附有采购人不能接受的条件或不符合招标文件的</w:t>
            </w:r>
            <w:r>
              <w:rPr>
                <w:rFonts w:cs="宋体"/>
                <w:color w:val="auto"/>
                <w:sz w:val="21"/>
                <w:szCs w:val="21"/>
              </w:rPr>
              <w:t>其他要求</w:t>
            </w:r>
          </w:p>
        </w:tc>
        <w:tc>
          <w:tcPr>
            <w:tcW w:w="368"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36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r>
    </w:tbl>
    <w:p>
      <w:pPr>
        <w:rPr>
          <w:rFonts w:hint="default" w:ascii="Times New Roman" w:eastAsia="Times New Roman"/>
          <w:color w:val="auto"/>
        </w:rPr>
        <w:sectPr>
          <w:pgSz w:w="11910" w:h="16840"/>
          <w:pgMar w:top="1340" w:right="1560" w:bottom="1580" w:left="1400" w:header="0" w:footer="1395" w:gutter="0"/>
          <w:cols w:space="720" w:num="1"/>
        </w:sectPr>
      </w:pPr>
    </w:p>
    <w:p>
      <w:pPr>
        <w:tabs>
          <w:tab w:val="left" w:pos="0"/>
        </w:tabs>
        <w:snapToGrid w:val="0"/>
        <w:spacing w:before="120" w:beforeLines="50" w:line="360" w:lineRule="auto"/>
        <w:rPr>
          <w:rFonts w:hint="default" w:hAnsi="宋体"/>
          <w:b/>
          <w:color w:val="auto"/>
          <w:szCs w:val="21"/>
        </w:rPr>
      </w:pPr>
      <w:r>
        <w:rPr>
          <w:rFonts w:hAnsi="宋体"/>
          <w:b/>
          <w:color w:val="auto"/>
          <w:szCs w:val="21"/>
        </w:rPr>
        <w:t>具体评分细则如下：</w:t>
      </w:r>
    </w:p>
    <w:tbl>
      <w:tblPr>
        <w:tblStyle w:val="17"/>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6701"/>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blHeader/>
        </w:trPr>
        <w:tc>
          <w:tcPr>
            <w:tcW w:w="1364" w:type="dxa"/>
            <w:vAlign w:val="center"/>
          </w:tcPr>
          <w:p>
            <w:pPr>
              <w:pStyle w:val="11"/>
              <w:snapToGrid w:val="0"/>
              <w:spacing w:line="240" w:lineRule="exact"/>
              <w:jc w:val="center"/>
              <w:rPr>
                <w:rFonts w:hAnsi="宋体" w:cs="Courier New"/>
                <w:b/>
                <w:color w:val="auto"/>
                <w:szCs w:val="21"/>
              </w:rPr>
            </w:pPr>
            <w:r>
              <w:rPr>
                <w:rFonts w:hint="eastAsia" w:hAnsi="宋体" w:cs="Courier New"/>
                <w:b/>
                <w:color w:val="auto"/>
                <w:szCs w:val="21"/>
              </w:rPr>
              <w:t>项目</w:t>
            </w:r>
          </w:p>
        </w:tc>
        <w:tc>
          <w:tcPr>
            <w:tcW w:w="6701" w:type="dxa"/>
            <w:vAlign w:val="center"/>
          </w:tcPr>
          <w:p>
            <w:pPr>
              <w:pStyle w:val="11"/>
              <w:snapToGrid w:val="0"/>
              <w:spacing w:line="240" w:lineRule="exact"/>
              <w:jc w:val="center"/>
              <w:rPr>
                <w:rFonts w:hAnsi="宋体" w:cs="Courier New"/>
                <w:b/>
                <w:color w:val="auto"/>
                <w:szCs w:val="21"/>
              </w:rPr>
            </w:pPr>
            <w:r>
              <w:rPr>
                <w:rFonts w:hint="eastAsia" w:hAnsi="宋体" w:cs="Courier New"/>
                <w:b/>
                <w:color w:val="auto"/>
                <w:szCs w:val="21"/>
              </w:rPr>
              <w:t>评审内容</w:t>
            </w:r>
          </w:p>
        </w:tc>
        <w:tc>
          <w:tcPr>
            <w:tcW w:w="1115" w:type="dxa"/>
            <w:vAlign w:val="center"/>
          </w:tcPr>
          <w:p>
            <w:pPr>
              <w:pStyle w:val="11"/>
              <w:snapToGrid w:val="0"/>
              <w:spacing w:line="240" w:lineRule="exact"/>
              <w:jc w:val="center"/>
              <w:rPr>
                <w:rFonts w:hAnsi="宋体" w:cs="Courier New"/>
                <w:b/>
                <w:color w:val="auto"/>
                <w:szCs w:val="21"/>
              </w:rPr>
            </w:pPr>
            <w:r>
              <w:rPr>
                <w:rFonts w:hint="eastAsia" w:hAnsi="宋体" w:cs="Courier New"/>
                <w:b/>
                <w:color w:val="auto"/>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180" w:type="dxa"/>
            <w:gridSpan w:val="3"/>
            <w:vAlign w:val="center"/>
          </w:tcPr>
          <w:p>
            <w:pPr>
              <w:pStyle w:val="11"/>
              <w:snapToGrid w:val="0"/>
              <w:spacing w:line="240" w:lineRule="exact"/>
              <w:rPr>
                <w:rFonts w:hAnsi="宋体" w:cs="Courier New"/>
                <w:b/>
                <w:color w:val="auto"/>
                <w:szCs w:val="21"/>
              </w:rPr>
            </w:pPr>
            <w:r>
              <w:rPr>
                <w:rFonts w:hint="eastAsia" w:hAnsi="宋体" w:cs="Courier New"/>
                <w:b/>
                <w:color w:val="auto"/>
                <w:szCs w:val="21"/>
              </w:rPr>
              <w:t>磋商价格评分30分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1" w:hRule="atLeast"/>
        </w:trPr>
        <w:tc>
          <w:tcPr>
            <w:tcW w:w="1364" w:type="dxa"/>
            <w:vAlign w:val="center"/>
          </w:tcPr>
          <w:p>
            <w:pPr>
              <w:pStyle w:val="11"/>
              <w:snapToGrid w:val="0"/>
              <w:spacing w:line="240" w:lineRule="exact"/>
              <w:jc w:val="center"/>
              <w:rPr>
                <w:rFonts w:hAnsi="宋体" w:cs="Courier New"/>
                <w:color w:val="auto"/>
                <w:szCs w:val="21"/>
              </w:rPr>
            </w:pPr>
            <w:r>
              <w:rPr>
                <w:rFonts w:hint="eastAsia" w:hAnsi="宋体" w:cs="Courier New"/>
                <w:color w:val="auto"/>
                <w:szCs w:val="21"/>
              </w:rPr>
              <w:t>价格</w:t>
            </w:r>
          </w:p>
        </w:tc>
        <w:tc>
          <w:tcPr>
            <w:tcW w:w="6701" w:type="dxa"/>
            <w:vAlign w:val="center"/>
          </w:tcPr>
          <w:p>
            <w:pPr>
              <w:pStyle w:val="11"/>
              <w:snapToGrid w:val="0"/>
              <w:spacing w:line="320" w:lineRule="exact"/>
              <w:rPr>
                <w:rFonts w:hAnsi="宋体" w:cs="Courier New"/>
                <w:b/>
                <w:color w:val="auto"/>
                <w:szCs w:val="21"/>
              </w:rPr>
            </w:pPr>
            <w:r>
              <w:rPr>
                <w:rFonts w:hint="eastAsia" w:hAnsi="宋体" w:cs="Courier New"/>
                <w:b/>
                <w:color w:val="auto"/>
                <w:szCs w:val="21"/>
              </w:rPr>
              <w:t>报价得分=基准价/最终报价×30。</w:t>
            </w:r>
          </w:p>
          <w:p>
            <w:pPr>
              <w:pStyle w:val="11"/>
              <w:snapToGrid w:val="0"/>
              <w:spacing w:line="320" w:lineRule="exact"/>
              <w:rPr>
                <w:rFonts w:hAnsi="宋体" w:cs="Courier New"/>
                <w:b/>
                <w:color w:val="auto"/>
                <w:szCs w:val="21"/>
              </w:rPr>
            </w:pPr>
            <w:r>
              <w:rPr>
                <w:rFonts w:hint="eastAsia" w:hAnsi="宋体" w:cs="Courier New"/>
                <w:b/>
                <w:color w:val="auto"/>
                <w:szCs w:val="21"/>
              </w:rPr>
              <w:t>备注：</w:t>
            </w:r>
          </w:p>
          <w:p>
            <w:pPr>
              <w:pStyle w:val="11"/>
              <w:snapToGrid w:val="0"/>
              <w:spacing w:line="320" w:lineRule="exact"/>
              <w:rPr>
                <w:rFonts w:hAnsi="宋体" w:cs="Courier New"/>
                <w:b/>
                <w:color w:val="auto"/>
                <w:szCs w:val="21"/>
              </w:rPr>
            </w:pPr>
            <w:r>
              <w:rPr>
                <w:rFonts w:hint="eastAsia" w:hAnsi="宋体" w:cs="Courier New"/>
                <w:b/>
                <w:color w:val="auto"/>
                <w:szCs w:val="21"/>
              </w:rPr>
              <w:t>1.价格评分采用低价优先法计算；</w:t>
            </w:r>
          </w:p>
          <w:p>
            <w:pPr>
              <w:pStyle w:val="11"/>
              <w:snapToGrid w:val="0"/>
              <w:spacing w:line="320" w:lineRule="exact"/>
              <w:rPr>
                <w:rFonts w:hAnsi="宋体" w:cs="Courier New"/>
                <w:b/>
                <w:color w:val="auto"/>
                <w:szCs w:val="21"/>
              </w:rPr>
            </w:pPr>
            <w:r>
              <w:rPr>
                <w:rFonts w:hint="eastAsia" w:hAnsi="宋体" w:cs="Courier New"/>
                <w:b/>
                <w:color w:val="auto"/>
                <w:szCs w:val="21"/>
              </w:rPr>
              <w:t>2.基准价：满足文件要求且经算术修正，依据政府采购政策进行价格扣除后的有效最低报价为基准价；</w:t>
            </w:r>
          </w:p>
          <w:p>
            <w:pPr>
              <w:pStyle w:val="11"/>
              <w:snapToGrid w:val="0"/>
              <w:spacing w:line="320" w:lineRule="exact"/>
              <w:rPr>
                <w:rFonts w:hAnsi="宋体" w:cs="Courier New"/>
                <w:b/>
                <w:color w:val="auto"/>
                <w:szCs w:val="21"/>
              </w:rPr>
            </w:pPr>
            <w:r>
              <w:rPr>
                <w:rFonts w:hint="eastAsia" w:hAnsi="宋体" w:cs="Courier New"/>
                <w:b/>
                <w:color w:val="auto"/>
                <w:szCs w:val="21"/>
              </w:rPr>
              <w:t>3.修正后报价：评标委员会以开标一览表中报价为基础，对其进行算术修正，依据政府采购政策进行价格扣除后，作为报价计算的依据。</w:t>
            </w:r>
          </w:p>
          <w:p>
            <w:pPr>
              <w:pStyle w:val="11"/>
              <w:snapToGrid w:val="0"/>
              <w:spacing w:line="320" w:lineRule="exact"/>
              <w:rPr>
                <w:rFonts w:hAnsi="宋体" w:cs="Courier New"/>
                <w:b/>
                <w:color w:val="auto"/>
                <w:szCs w:val="21"/>
              </w:rPr>
            </w:pPr>
            <w:r>
              <w:rPr>
                <w:rFonts w:hint="eastAsia" w:hAnsi="宋体" w:cs="Courier New"/>
                <w:b/>
                <w:color w:val="auto"/>
                <w:szCs w:val="21"/>
              </w:rPr>
              <w:t>4.报价30分。</w:t>
            </w:r>
          </w:p>
        </w:tc>
        <w:tc>
          <w:tcPr>
            <w:tcW w:w="1115" w:type="dxa"/>
            <w:vAlign w:val="center"/>
          </w:tcPr>
          <w:p>
            <w:pPr>
              <w:pStyle w:val="11"/>
              <w:snapToGrid w:val="0"/>
              <w:spacing w:line="240" w:lineRule="exact"/>
              <w:jc w:val="center"/>
              <w:rPr>
                <w:rFonts w:hAnsi="宋体" w:cs="Courier New"/>
                <w:color w:val="auto"/>
                <w:szCs w:val="21"/>
              </w:rPr>
            </w:pPr>
            <w:r>
              <w:rPr>
                <w:rFonts w:hint="eastAsia" w:hAnsi="宋体" w:cs="Courier New"/>
                <w:color w:val="auto"/>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9180" w:type="dxa"/>
            <w:gridSpan w:val="3"/>
            <w:vAlign w:val="center"/>
          </w:tcPr>
          <w:p>
            <w:pPr>
              <w:widowControl/>
              <w:spacing w:line="240" w:lineRule="exact"/>
              <w:rPr>
                <w:rFonts w:hint="default" w:hAnsi="宋体" w:eastAsia="宋体" w:cs="宋体"/>
                <w:b/>
                <w:color w:val="auto"/>
                <w:szCs w:val="21"/>
                <w:lang w:val="en-US" w:eastAsia="zh-CN"/>
              </w:rPr>
            </w:pPr>
            <w:r>
              <w:rPr>
                <w:rFonts w:hAnsi="宋体"/>
                <w:b/>
                <w:color w:val="auto"/>
                <w:szCs w:val="21"/>
              </w:rPr>
              <w:t>属于中小企业评审优惠内容及价格扣除幅度</w:t>
            </w:r>
            <w:r>
              <w:rPr>
                <w:rFonts w:hint="eastAsia" w:hAnsi="宋体"/>
                <w:b/>
                <w:color w:val="auto"/>
                <w:szCs w:val="21"/>
                <w:lang w:eastAsia="zh-CN"/>
              </w:rPr>
              <w:t>（</w:t>
            </w:r>
            <w:r>
              <w:rPr>
                <w:rFonts w:hint="eastAsia" w:hAnsi="宋体"/>
                <w:b/>
                <w:color w:val="auto"/>
                <w:szCs w:val="21"/>
                <w:lang w:val="en-US" w:eastAsia="zh-CN"/>
              </w:rPr>
              <w:t>本项目采购进口产品、不适宜中小企业政策）</w:t>
            </w:r>
          </w:p>
        </w:tc>
      </w:tr>
    </w:tbl>
    <w:p>
      <w:pPr>
        <w:spacing w:before="192"/>
        <w:ind w:left="408"/>
        <w:rPr>
          <w:rFonts w:hint="default"/>
          <w:b/>
          <w:color w:val="auto"/>
        </w:rPr>
      </w:pPr>
      <w:r>
        <w:rPr>
          <w:b/>
          <w:color w:val="auto"/>
        </w:rPr>
        <w:t>技术部分（</w:t>
      </w:r>
      <w:r>
        <w:rPr>
          <w:rFonts w:hint="eastAsia"/>
          <w:b/>
          <w:color w:val="auto"/>
          <w:lang w:val="en-US" w:eastAsia="zh-CN"/>
        </w:rPr>
        <w:t>55</w:t>
      </w:r>
      <w:r>
        <w:rPr>
          <w:b/>
          <w:color w:val="auto"/>
        </w:rPr>
        <w:t>分）</w:t>
      </w:r>
    </w:p>
    <w:tbl>
      <w:tblPr>
        <w:tblStyle w:val="17"/>
        <w:tblpPr w:leftFromText="180" w:rightFromText="180" w:vertAnchor="text" w:horzAnchor="page" w:tblpXSpec="center" w:tblpY="115"/>
        <w:tblOverlap w:val="never"/>
        <w:tblW w:w="96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2061"/>
        <w:gridCol w:w="1139"/>
        <w:gridCol w:w="57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03" w:type="dxa"/>
            <w:tcBorders>
              <w:top w:val="single" w:color="000000" w:sz="8" w:space="0"/>
              <w:left w:val="single" w:color="000000" w:sz="8" w:space="0"/>
              <w:bottom w:val="single" w:color="000000" w:sz="8" w:space="0"/>
              <w:right w:val="single" w:color="000000" w:sz="8" w:space="0"/>
            </w:tcBorders>
            <w:shd w:val="clear" w:color="auto" w:fill="FFFFFF"/>
          </w:tcPr>
          <w:p>
            <w:pPr>
              <w:rPr>
                <w:rFonts w:hint="default"/>
                <w:color w:val="auto"/>
                <w:lang w:val="zh-CN" w:bidi="zh-CN"/>
              </w:rPr>
            </w:pPr>
          </w:p>
        </w:tc>
        <w:tc>
          <w:tcPr>
            <w:tcW w:w="2061" w:type="dxa"/>
            <w:tcBorders>
              <w:top w:val="single" w:color="000000" w:sz="8" w:space="0"/>
              <w:left w:val="single" w:color="000000" w:sz="8" w:space="0"/>
              <w:bottom w:val="single" w:color="000000" w:sz="8" w:space="0"/>
              <w:right w:val="single" w:color="000000" w:sz="8" w:space="0"/>
            </w:tcBorders>
            <w:shd w:val="clear" w:color="auto" w:fill="FFFFFF"/>
          </w:tcPr>
          <w:p>
            <w:pPr>
              <w:spacing w:before="32" w:line="287" w:lineRule="exact"/>
              <w:ind w:left="56" w:right="49"/>
              <w:jc w:val="center"/>
              <w:rPr>
                <w:rFonts w:hint="default"/>
                <w:color w:val="auto"/>
                <w:lang w:val="zh-CN" w:bidi="zh-CN"/>
              </w:rPr>
            </w:pPr>
            <w:r>
              <w:rPr>
                <w:color w:val="auto"/>
                <w:lang w:val="zh-CN" w:bidi="zh-CN"/>
              </w:rPr>
              <w:t>评审项目</w:t>
            </w:r>
          </w:p>
        </w:tc>
        <w:tc>
          <w:tcPr>
            <w:tcW w:w="1139" w:type="dxa"/>
            <w:tcBorders>
              <w:top w:val="single" w:color="000000" w:sz="8" w:space="0"/>
              <w:left w:val="single" w:color="000000" w:sz="8" w:space="0"/>
              <w:bottom w:val="single" w:color="000000" w:sz="8" w:space="0"/>
              <w:right w:val="single" w:color="000000" w:sz="8" w:space="0"/>
            </w:tcBorders>
            <w:shd w:val="clear" w:color="auto" w:fill="FFFFFF"/>
          </w:tcPr>
          <w:p>
            <w:pPr>
              <w:spacing w:before="32" w:line="287" w:lineRule="exact"/>
              <w:ind w:left="195" w:right="189"/>
              <w:jc w:val="center"/>
              <w:rPr>
                <w:rFonts w:hint="default"/>
                <w:color w:val="auto"/>
                <w:lang w:val="zh-CN" w:bidi="zh-CN"/>
              </w:rPr>
            </w:pPr>
            <w:r>
              <w:rPr>
                <w:color w:val="auto"/>
                <w:lang w:val="zh-CN" w:bidi="zh-CN"/>
              </w:rPr>
              <w:t>分值</w:t>
            </w:r>
          </w:p>
        </w:tc>
        <w:tc>
          <w:tcPr>
            <w:tcW w:w="5755" w:type="dxa"/>
            <w:tcBorders>
              <w:top w:val="single" w:color="000000" w:sz="8" w:space="0"/>
              <w:left w:val="single" w:color="000000" w:sz="8" w:space="0"/>
              <w:bottom w:val="single" w:color="000000" w:sz="8" w:space="0"/>
              <w:right w:val="single" w:color="000000" w:sz="8" w:space="0"/>
            </w:tcBorders>
            <w:shd w:val="clear" w:color="auto" w:fill="FFFFFF"/>
          </w:tcPr>
          <w:p>
            <w:pPr>
              <w:tabs>
                <w:tab w:val="left" w:pos="850"/>
              </w:tabs>
              <w:spacing w:before="32" w:line="287" w:lineRule="exact"/>
              <w:ind w:left="10"/>
              <w:jc w:val="center"/>
              <w:rPr>
                <w:rFonts w:hint="default"/>
                <w:color w:val="auto"/>
                <w:lang w:val="zh-CN" w:bidi="zh-CN"/>
              </w:rPr>
            </w:pPr>
            <w:r>
              <w:rPr>
                <w:color w:val="auto"/>
                <w:lang w:val="zh-CN" w:bidi="zh-CN"/>
              </w:rPr>
              <w:t>内</w:t>
            </w:r>
            <w:r>
              <w:rPr>
                <w:color w:val="auto"/>
                <w:lang w:val="zh-CN" w:bidi="zh-CN"/>
              </w:rPr>
              <w:tab/>
            </w:r>
            <w:r>
              <w:rPr>
                <w:color w:val="auto"/>
                <w:lang w:val="zh-CN" w:bidi="zh-CN"/>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703" w:type="dxa"/>
            <w:vMerge w:val="restart"/>
            <w:tcBorders>
              <w:top w:val="single" w:color="000000" w:sz="8" w:space="0"/>
              <w:left w:val="single" w:color="000000" w:sz="8" w:space="0"/>
              <w:right w:val="single" w:color="000000" w:sz="8" w:space="0"/>
            </w:tcBorders>
            <w:shd w:val="clear" w:color="auto" w:fill="FFFFFF"/>
          </w:tcPr>
          <w:p>
            <w:pPr>
              <w:rPr>
                <w:rFonts w:hint="default"/>
                <w:b/>
                <w:color w:val="auto"/>
                <w:lang w:val="zh-CN" w:bidi="zh-CN"/>
              </w:rPr>
            </w:pPr>
          </w:p>
          <w:p>
            <w:pPr>
              <w:rPr>
                <w:rFonts w:hint="default"/>
                <w:b/>
                <w:color w:val="auto"/>
                <w:lang w:val="zh-CN" w:bidi="zh-CN"/>
              </w:rPr>
            </w:pPr>
          </w:p>
          <w:p>
            <w:pPr>
              <w:rPr>
                <w:rFonts w:hint="default"/>
                <w:b/>
                <w:color w:val="auto"/>
                <w:lang w:val="zh-CN" w:bidi="zh-CN"/>
              </w:rPr>
            </w:pPr>
          </w:p>
          <w:p>
            <w:pPr>
              <w:rPr>
                <w:rFonts w:hint="default"/>
                <w:b/>
                <w:color w:val="auto"/>
                <w:lang w:val="zh-CN" w:bidi="zh-CN"/>
              </w:rPr>
            </w:pPr>
          </w:p>
          <w:p>
            <w:pPr>
              <w:rPr>
                <w:rFonts w:hint="default"/>
                <w:b/>
                <w:color w:val="auto"/>
                <w:lang w:val="zh-CN" w:bidi="zh-CN"/>
              </w:rPr>
            </w:pPr>
          </w:p>
          <w:p>
            <w:pPr>
              <w:rPr>
                <w:rFonts w:hint="default"/>
                <w:b/>
                <w:color w:val="auto"/>
                <w:lang w:val="zh-CN" w:bidi="zh-CN"/>
              </w:rPr>
            </w:pPr>
          </w:p>
          <w:p>
            <w:pPr>
              <w:spacing w:before="7"/>
              <w:rPr>
                <w:rFonts w:hint="default"/>
                <w:b/>
                <w:color w:val="auto"/>
                <w:sz w:val="20"/>
                <w:lang w:val="zh-CN" w:bidi="zh-CN"/>
              </w:rPr>
            </w:pPr>
          </w:p>
          <w:p>
            <w:pPr>
              <w:spacing w:before="1" w:line="266" w:lineRule="auto"/>
              <w:ind w:left="230" w:right="220"/>
              <w:rPr>
                <w:rFonts w:hint="default"/>
                <w:color w:val="auto"/>
                <w:lang w:val="zh-CN" w:bidi="zh-CN"/>
              </w:rPr>
            </w:pPr>
            <w:r>
              <w:rPr>
                <w:color w:val="auto"/>
                <w:lang w:val="zh-CN" w:bidi="zh-CN"/>
              </w:rPr>
              <w:t>技术部分</w:t>
            </w:r>
          </w:p>
        </w:tc>
        <w:tc>
          <w:tcPr>
            <w:tcW w:w="2061" w:type="dxa"/>
            <w:tcBorders>
              <w:top w:val="single" w:color="000000" w:sz="8" w:space="0"/>
              <w:left w:val="single" w:color="000000" w:sz="8" w:space="0"/>
              <w:right w:val="single" w:color="000000" w:sz="8" w:space="0"/>
            </w:tcBorders>
            <w:shd w:val="clear" w:color="auto" w:fill="FFFFFF"/>
          </w:tcPr>
          <w:p>
            <w:pPr>
              <w:spacing w:line="266" w:lineRule="auto"/>
              <w:ind w:right="67"/>
              <w:rPr>
                <w:color w:val="auto"/>
                <w:szCs w:val="21"/>
                <w:lang w:val="zh-CN"/>
              </w:rPr>
            </w:pPr>
          </w:p>
          <w:p>
            <w:pPr>
              <w:spacing w:line="266" w:lineRule="auto"/>
              <w:ind w:right="67"/>
              <w:rPr>
                <w:color w:val="auto"/>
                <w:szCs w:val="21"/>
                <w:lang w:val="zh-CN"/>
              </w:rPr>
            </w:pPr>
          </w:p>
          <w:p>
            <w:pPr>
              <w:spacing w:line="266" w:lineRule="auto"/>
              <w:ind w:right="67"/>
              <w:rPr>
                <w:color w:val="auto"/>
                <w:szCs w:val="21"/>
                <w:lang w:val="zh-CN"/>
              </w:rPr>
            </w:pPr>
          </w:p>
          <w:p>
            <w:pPr>
              <w:spacing w:line="266" w:lineRule="auto"/>
              <w:ind w:right="67"/>
              <w:rPr>
                <w:color w:val="auto"/>
                <w:szCs w:val="21"/>
                <w:lang w:val="zh-CN"/>
              </w:rPr>
            </w:pPr>
          </w:p>
          <w:p>
            <w:pPr>
              <w:spacing w:line="266" w:lineRule="auto"/>
              <w:ind w:right="67"/>
              <w:rPr>
                <w:color w:val="auto"/>
                <w:szCs w:val="21"/>
                <w:lang w:val="zh-CN"/>
              </w:rPr>
            </w:pPr>
          </w:p>
          <w:p>
            <w:pPr>
              <w:spacing w:line="266" w:lineRule="auto"/>
              <w:ind w:right="67"/>
              <w:rPr>
                <w:rFonts w:hint="default"/>
                <w:color w:val="auto"/>
                <w:szCs w:val="21"/>
                <w:lang w:val="zh-CN"/>
              </w:rPr>
            </w:pPr>
            <w:r>
              <w:rPr>
                <w:color w:val="auto"/>
                <w:szCs w:val="21"/>
                <w:lang w:val="zh-CN"/>
              </w:rPr>
              <w:t>投标产品的参数符合程度</w:t>
            </w:r>
          </w:p>
        </w:tc>
        <w:tc>
          <w:tcPr>
            <w:tcW w:w="113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center"/>
              <w:rPr>
                <w:rFonts w:hint="eastAsia" w:eastAsia="宋体"/>
                <w:color w:val="auto"/>
                <w:szCs w:val="21"/>
                <w:lang w:val="zh-CN" w:eastAsia="zh-CN"/>
              </w:rPr>
            </w:pPr>
            <w:r>
              <w:rPr>
                <w:rFonts w:hint="eastAsia" w:ascii="宋体" w:hAnsi="宋体" w:eastAsia="宋体" w:cs="宋体"/>
                <w:color w:val="auto"/>
                <w:kern w:val="0"/>
                <w:sz w:val="21"/>
                <w:szCs w:val="21"/>
              </w:rPr>
              <w:t>0-2</w:t>
            </w:r>
            <w:r>
              <w:rPr>
                <w:rFonts w:hint="eastAsia" w:hAnsi="宋体" w:cs="宋体"/>
                <w:color w:val="auto"/>
                <w:kern w:val="0"/>
                <w:sz w:val="21"/>
                <w:szCs w:val="21"/>
                <w:lang w:val="en-US" w:eastAsia="zh-CN"/>
              </w:rPr>
              <w:t>8</w:t>
            </w:r>
          </w:p>
        </w:tc>
        <w:tc>
          <w:tcPr>
            <w:tcW w:w="5755"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line="380" w:lineRule="exact"/>
              <w:jc w:val="left"/>
              <w:rPr>
                <w:rFonts w:hint="default"/>
                <w:color w:val="auto"/>
                <w:szCs w:val="21"/>
                <w:lang w:val="zh-CN"/>
              </w:rPr>
            </w:pPr>
            <w:r>
              <w:rPr>
                <w:rFonts w:hint="eastAsia"/>
                <w:color w:val="auto"/>
                <w:szCs w:val="21"/>
                <w:lang w:val="zh-CN"/>
              </w:rPr>
              <w:t>根据拟投产品技术性能参数响应情况进行逐项比对，所有条款满足技术要求得</w:t>
            </w:r>
            <w:r>
              <w:rPr>
                <w:rFonts w:hint="eastAsia"/>
                <w:color w:val="auto"/>
                <w:szCs w:val="21"/>
                <w:lang w:val="en-US" w:eastAsia="zh-CN"/>
              </w:rPr>
              <w:t>28</w:t>
            </w:r>
            <w:r>
              <w:rPr>
                <w:rFonts w:hint="eastAsia"/>
                <w:color w:val="auto"/>
                <w:szCs w:val="21"/>
                <w:lang w:val="zh-CN"/>
              </w:rPr>
              <w:t>分，有负偏离项的，每负偏离一项扣</w:t>
            </w:r>
            <w:r>
              <w:rPr>
                <w:rFonts w:hint="eastAsia"/>
                <w:color w:val="auto"/>
                <w:szCs w:val="21"/>
                <w:lang w:val="en-US" w:eastAsia="zh-CN"/>
              </w:rPr>
              <w:t>1</w:t>
            </w:r>
            <w:r>
              <w:rPr>
                <w:rFonts w:hint="eastAsia"/>
                <w:color w:val="auto"/>
                <w:szCs w:val="21"/>
                <w:lang w:val="zh-CN"/>
              </w:rPr>
              <w:t>分</w:t>
            </w:r>
            <w:r>
              <w:rPr>
                <w:rFonts w:hint="eastAsia"/>
                <w:color w:val="auto"/>
                <w:szCs w:val="21"/>
                <w:lang w:val="zh-CN" w:eastAsia="zh-CN"/>
              </w:rPr>
              <w:t>；</w:t>
            </w:r>
            <w:r>
              <w:rPr>
                <w:rFonts w:hint="eastAsia"/>
                <w:color w:val="auto"/>
                <w:szCs w:val="21"/>
                <w:lang w:val="zh-CN"/>
              </w:rPr>
              <w:t>标</w:t>
            </w:r>
            <w:r>
              <w:rPr>
                <w:rFonts w:hint="eastAsia"/>
                <w:color w:val="auto"/>
                <w:szCs w:val="21"/>
                <w:lang w:val="en-US" w:eastAsia="zh-CN"/>
              </w:rPr>
              <w:t>*</w:t>
            </w:r>
            <w:r>
              <w:rPr>
                <w:rFonts w:hint="eastAsia"/>
                <w:color w:val="auto"/>
                <w:szCs w:val="21"/>
                <w:lang w:val="zh-CN"/>
              </w:rPr>
              <w:t>有负偏离项的，每负偏离一项扣</w:t>
            </w:r>
            <w:r>
              <w:rPr>
                <w:rFonts w:hint="eastAsia"/>
                <w:color w:val="auto"/>
                <w:szCs w:val="21"/>
                <w:lang w:val="en-US" w:eastAsia="zh-CN"/>
              </w:rPr>
              <w:t>5</w:t>
            </w:r>
            <w:r>
              <w:rPr>
                <w:rFonts w:hint="eastAsia"/>
                <w:color w:val="auto"/>
                <w:szCs w:val="21"/>
                <w:lang w:val="zh-CN"/>
              </w:rPr>
              <w:t>分</w:t>
            </w:r>
            <w:r>
              <w:rPr>
                <w:rFonts w:hint="eastAsia"/>
                <w:color w:val="auto"/>
                <w:szCs w:val="21"/>
                <w:lang w:val="zh-CN" w:eastAsia="zh-CN"/>
              </w:rPr>
              <w:t>，</w:t>
            </w:r>
            <w:r>
              <w:rPr>
                <w:rFonts w:hint="eastAsia"/>
                <w:color w:val="auto"/>
                <w:szCs w:val="21"/>
                <w:lang w:val="zh-CN"/>
              </w:rPr>
              <w:t>分数扣完为止。【投标人应提供详细完整的加盖公章技术偏离表，对于标</w:t>
            </w:r>
            <w:r>
              <w:rPr>
                <w:rFonts w:hint="eastAsia"/>
                <w:color w:val="auto"/>
                <w:szCs w:val="21"/>
                <w:lang w:val="en-US" w:eastAsia="zh-CN"/>
              </w:rPr>
              <w:t>*</w:t>
            </w:r>
            <w:r>
              <w:rPr>
                <w:rFonts w:hint="eastAsia"/>
                <w:color w:val="auto"/>
                <w:szCs w:val="21"/>
                <w:lang w:val="zh-CN"/>
              </w:rPr>
              <w:t>项技术参数进行逐条应答如有正偏离请予以标注做出详细说明</w:t>
            </w:r>
            <w:r>
              <w:rPr>
                <w:rFonts w:hint="eastAsia"/>
                <w:color w:val="auto"/>
                <w:szCs w:val="21"/>
                <w:lang w:val="zh-CN" w:eastAsia="zh-CN"/>
              </w:rPr>
              <w:t>；</w:t>
            </w:r>
            <w:r>
              <w:rPr>
                <w:rFonts w:hint="eastAsia"/>
                <w:color w:val="auto"/>
                <w:szCs w:val="21"/>
                <w:lang w:val="zh-CN"/>
              </w:rPr>
              <w:t>要求提供佐证材料的（如彩页、检测报告等），未响应或响应不一致的，作负偏离处理；投标人不提供证明材料或者虚假提供的不得分，并按有关规定进行处罚；投标人须对本采购文件技术要求进行点对点应答，必须在引用本采购文件的基础上</w:t>
            </w:r>
            <w:r>
              <w:rPr>
                <w:color w:val="auto"/>
                <w:szCs w:val="21"/>
                <w:lang w:val="zh-CN"/>
              </w:rPr>
              <w:t>,</w:t>
            </w:r>
            <w:r>
              <w:rPr>
                <w:rFonts w:hint="eastAsia"/>
                <w:color w:val="auto"/>
                <w:szCs w:val="21"/>
                <w:lang w:val="zh-CN"/>
              </w:rPr>
              <w:t>进行逐条逐项答复、说明和解释</w:t>
            </w:r>
            <w:r>
              <w:rPr>
                <w:color w:val="auto"/>
                <w:szCs w:val="21"/>
                <w:lang w:val="zh-CN"/>
              </w:rPr>
              <w:t>,</w:t>
            </w:r>
            <w:r>
              <w:rPr>
                <w:rFonts w:hint="eastAsia"/>
                <w:color w:val="auto"/>
                <w:szCs w:val="21"/>
                <w:lang w:val="zh-CN"/>
              </w:rPr>
              <w:t>特别对有具体参数要求的指标，投标人必须提供所投设备的具体参数值。】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703" w:type="dxa"/>
            <w:vMerge w:val="continue"/>
            <w:tcBorders>
              <w:left w:val="single" w:color="000000" w:sz="8" w:space="0"/>
              <w:right w:val="single" w:color="000000" w:sz="8" w:space="0"/>
            </w:tcBorders>
            <w:shd w:val="clear" w:color="auto" w:fill="FFFFFF"/>
          </w:tcPr>
          <w:p>
            <w:pPr>
              <w:rPr>
                <w:rFonts w:hint="default"/>
                <w:color w:val="auto"/>
                <w:sz w:val="2"/>
                <w:szCs w:val="2"/>
              </w:rPr>
            </w:pPr>
          </w:p>
        </w:tc>
        <w:tc>
          <w:tcPr>
            <w:tcW w:w="2061" w:type="dxa"/>
            <w:tcBorders>
              <w:top w:val="single" w:color="000000" w:sz="8" w:space="0"/>
              <w:left w:val="single" w:color="000000" w:sz="8" w:space="0"/>
              <w:bottom w:val="single" w:color="000000" w:sz="8" w:space="0"/>
              <w:right w:val="single" w:color="000000" w:sz="8" w:space="0"/>
            </w:tcBorders>
            <w:shd w:val="clear" w:color="auto" w:fill="FFFFFF"/>
          </w:tcPr>
          <w:p>
            <w:pPr>
              <w:rPr>
                <w:rFonts w:hint="default"/>
                <w:color w:val="auto"/>
                <w:szCs w:val="21"/>
                <w:lang w:val="zh-CN"/>
              </w:rPr>
            </w:pPr>
          </w:p>
          <w:p>
            <w:pPr>
              <w:spacing w:before="8"/>
              <w:rPr>
                <w:rFonts w:hint="default"/>
                <w:color w:val="auto"/>
                <w:szCs w:val="21"/>
                <w:lang w:val="zh-CN"/>
              </w:rPr>
            </w:pPr>
          </w:p>
          <w:p>
            <w:pPr>
              <w:ind w:left="56" w:right="49"/>
              <w:jc w:val="center"/>
              <w:rPr>
                <w:rFonts w:hint="default"/>
                <w:color w:val="auto"/>
                <w:szCs w:val="21"/>
                <w:lang w:val="zh-CN"/>
              </w:rPr>
            </w:pPr>
            <w:r>
              <w:rPr>
                <w:color w:val="auto"/>
                <w:szCs w:val="21"/>
                <w:lang w:val="zh-CN"/>
              </w:rPr>
              <w:t>售后服务、保修、维护计划与措施</w:t>
            </w:r>
          </w:p>
        </w:tc>
        <w:tc>
          <w:tcPr>
            <w:tcW w:w="1139" w:type="dxa"/>
            <w:tcBorders>
              <w:top w:val="single" w:color="000000" w:sz="8" w:space="0"/>
              <w:left w:val="single" w:color="000000" w:sz="8" w:space="0"/>
              <w:bottom w:val="single" w:color="000000" w:sz="8" w:space="0"/>
              <w:right w:val="single" w:color="000000" w:sz="8" w:space="0"/>
            </w:tcBorders>
            <w:shd w:val="clear" w:color="auto" w:fill="FFFFFF"/>
          </w:tcPr>
          <w:p>
            <w:pPr>
              <w:jc w:val="center"/>
              <w:rPr>
                <w:rFonts w:hint="default"/>
                <w:color w:val="auto"/>
                <w:szCs w:val="21"/>
                <w:lang w:val="zh-CN"/>
              </w:rPr>
            </w:pPr>
          </w:p>
          <w:p>
            <w:pPr>
              <w:spacing w:before="8"/>
              <w:jc w:val="center"/>
              <w:rPr>
                <w:rFonts w:hint="default"/>
                <w:color w:val="auto"/>
                <w:szCs w:val="21"/>
                <w:lang w:val="zh-CN"/>
              </w:rPr>
            </w:pPr>
          </w:p>
          <w:p>
            <w:pPr>
              <w:ind w:right="189"/>
              <w:jc w:val="center"/>
              <w:rPr>
                <w:rFonts w:hint="default"/>
                <w:color w:val="auto"/>
                <w:szCs w:val="21"/>
                <w:lang w:val="zh-CN"/>
              </w:rPr>
            </w:pPr>
            <w:r>
              <w:rPr>
                <w:color w:val="auto"/>
                <w:szCs w:val="21"/>
                <w:lang w:val="zh-CN"/>
              </w:rPr>
              <w:t>0-</w:t>
            </w:r>
            <w:r>
              <w:rPr>
                <w:color w:val="auto"/>
                <w:szCs w:val="21"/>
              </w:rPr>
              <w:t>10</w:t>
            </w:r>
            <w:r>
              <w:rPr>
                <w:color w:val="auto"/>
                <w:szCs w:val="21"/>
                <w:lang w:val="zh-CN"/>
              </w:rPr>
              <w:t xml:space="preserve"> 分</w:t>
            </w:r>
          </w:p>
        </w:tc>
        <w:tc>
          <w:tcPr>
            <w:tcW w:w="5755" w:type="dxa"/>
            <w:tcBorders>
              <w:top w:val="single" w:color="000000" w:sz="8" w:space="0"/>
              <w:left w:val="single" w:color="000000" w:sz="8" w:space="0"/>
              <w:bottom w:val="single" w:color="000000" w:sz="8" w:space="0"/>
              <w:right w:val="single" w:color="000000" w:sz="8" w:space="0"/>
            </w:tcBorders>
            <w:shd w:val="clear" w:color="auto" w:fill="FFFFFF"/>
          </w:tcPr>
          <w:p>
            <w:pPr>
              <w:numPr>
                <w:ilvl w:val="0"/>
                <w:numId w:val="2"/>
              </w:numPr>
              <w:autoSpaceDE/>
              <w:autoSpaceDN/>
              <w:adjustRightInd/>
              <w:spacing w:before="31" w:line="266" w:lineRule="auto"/>
              <w:ind w:left="0" w:right="58"/>
              <w:jc w:val="both"/>
              <w:rPr>
                <w:rFonts w:hint="default"/>
                <w:color w:val="auto"/>
                <w:szCs w:val="21"/>
                <w:lang w:val="zh-CN"/>
              </w:rPr>
            </w:pPr>
            <w:r>
              <w:rPr>
                <w:color w:val="auto"/>
                <w:szCs w:val="21"/>
                <w:lang w:val="zh-CN"/>
              </w:rPr>
              <w:t>售后服务、保修、维护计划优秀，售后服务、保修、维护计划保证措施详细、科学、可行能够很好保证项目顺利实施的，得</w:t>
            </w:r>
            <w:r>
              <w:rPr>
                <w:color w:val="auto"/>
                <w:szCs w:val="21"/>
              </w:rPr>
              <w:t>8</w:t>
            </w:r>
            <w:r>
              <w:rPr>
                <w:color w:val="auto"/>
                <w:szCs w:val="21"/>
                <w:lang w:val="zh-CN"/>
              </w:rPr>
              <w:t>-</w:t>
            </w:r>
            <w:r>
              <w:rPr>
                <w:color w:val="auto"/>
                <w:szCs w:val="21"/>
              </w:rPr>
              <w:t>10</w:t>
            </w:r>
            <w:r>
              <w:rPr>
                <w:color w:val="auto"/>
                <w:szCs w:val="21"/>
                <w:lang w:val="zh-CN"/>
              </w:rPr>
              <w:t>分；</w:t>
            </w:r>
          </w:p>
          <w:p>
            <w:pPr>
              <w:spacing w:before="31" w:line="266" w:lineRule="auto"/>
              <w:ind w:right="58"/>
              <w:rPr>
                <w:rFonts w:hint="default"/>
                <w:color w:val="auto"/>
                <w:szCs w:val="21"/>
                <w:lang w:val="zh-CN"/>
              </w:rPr>
            </w:pPr>
            <w:r>
              <w:rPr>
                <w:color w:val="auto"/>
                <w:szCs w:val="21"/>
                <w:lang w:val="zh-CN"/>
              </w:rPr>
              <w:t>2.售后服务、保修、维护计划良好，售后服务、保修、维护计划保证措施较可行，能够较好的保证项目实施，得</w:t>
            </w:r>
            <w:r>
              <w:rPr>
                <w:color w:val="auto"/>
                <w:szCs w:val="21"/>
              </w:rPr>
              <w:t>6</w:t>
            </w:r>
            <w:r>
              <w:rPr>
                <w:color w:val="auto"/>
                <w:szCs w:val="21"/>
                <w:lang w:val="zh-CN"/>
              </w:rPr>
              <w:t>-</w:t>
            </w:r>
            <w:r>
              <w:rPr>
                <w:color w:val="auto"/>
                <w:szCs w:val="21"/>
              </w:rPr>
              <w:t>7</w:t>
            </w:r>
            <w:r>
              <w:rPr>
                <w:color w:val="auto"/>
                <w:szCs w:val="21"/>
                <w:lang w:val="zh-CN"/>
              </w:rPr>
              <w:t>分；</w:t>
            </w:r>
          </w:p>
          <w:p>
            <w:pPr>
              <w:spacing w:line="283" w:lineRule="exact"/>
              <w:ind w:left="4" w:right="-130"/>
              <w:rPr>
                <w:rFonts w:hint="default"/>
                <w:color w:val="auto"/>
                <w:szCs w:val="21"/>
                <w:lang w:val="zh-CN"/>
              </w:rPr>
            </w:pPr>
            <w:r>
              <w:rPr>
                <w:color w:val="auto"/>
                <w:szCs w:val="21"/>
                <w:lang w:val="zh-CN"/>
              </w:rPr>
              <w:t xml:space="preserve">3.售后服务、保修、维护计划计划一般，项目供货、售后服务计划保证措施一般的，得 </w:t>
            </w:r>
            <w:r>
              <w:rPr>
                <w:color w:val="auto"/>
                <w:szCs w:val="21"/>
              </w:rPr>
              <w:t>3</w:t>
            </w:r>
            <w:r>
              <w:rPr>
                <w:color w:val="auto"/>
                <w:szCs w:val="21"/>
                <w:lang w:val="zh-CN"/>
              </w:rPr>
              <w:t>-</w:t>
            </w:r>
            <w:r>
              <w:rPr>
                <w:color w:val="auto"/>
                <w:szCs w:val="21"/>
              </w:rPr>
              <w:t>5</w:t>
            </w:r>
            <w:r>
              <w:rPr>
                <w:color w:val="auto"/>
                <w:szCs w:val="21"/>
                <w:lang w:val="zh-CN"/>
              </w:rPr>
              <w:t xml:space="preserve"> 分，差得不得分。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2" w:hRule="atLeast"/>
        </w:trPr>
        <w:tc>
          <w:tcPr>
            <w:tcW w:w="703" w:type="dxa"/>
            <w:vMerge w:val="continue"/>
            <w:tcBorders>
              <w:left w:val="single" w:color="000000" w:sz="8" w:space="0"/>
              <w:right w:val="single" w:color="000000" w:sz="8" w:space="0"/>
            </w:tcBorders>
            <w:shd w:val="clear" w:color="auto" w:fill="FFFFFF"/>
          </w:tcPr>
          <w:p>
            <w:pPr>
              <w:rPr>
                <w:rFonts w:hint="default"/>
                <w:color w:val="auto"/>
                <w:sz w:val="2"/>
                <w:szCs w:val="2"/>
              </w:rPr>
            </w:pPr>
          </w:p>
        </w:tc>
        <w:tc>
          <w:tcPr>
            <w:tcW w:w="2061" w:type="dxa"/>
            <w:tcBorders>
              <w:top w:val="single" w:color="000000" w:sz="8" w:space="0"/>
              <w:left w:val="single" w:color="000000" w:sz="8" w:space="0"/>
              <w:bottom w:val="single" w:color="000000" w:sz="8" w:space="0"/>
              <w:right w:val="single" w:color="000000" w:sz="8" w:space="0"/>
            </w:tcBorders>
            <w:shd w:val="clear" w:color="auto" w:fill="FFFFFF"/>
          </w:tcPr>
          <w:p>
            <w:pPr>
              <w:spacing w:before="4"/>
              <w:rPr>
                <w:rFonts w:hint="default"/>
                <w:color w:val="auto"/>
                <w:szCs w:val="21"/>
                <w:lang w:val="zh-CN"/>
              </w:rPr>
            </w:pPr>
          </w:p>
          <w:p>
            <w:pPr>
              <w:spacing w:line="266" w:lineRule="auto"/>
              <w:ind w:left="316" w:right="-15" w:hanging="312"/>
              <w:rPr>
                <w:rFonts w:hint="default"/>
                <w:color w:val="auto"/>
                <w:szCs w:val="21"/>
                <w:lang w:val="zh-CN"/>
              </w:rPr>
            </w:pPr>
            <w:r>
              <w:rPr>
                <w:color w:val="auto"/>
                <w:szCs w:val="21"/>
                <w:lang w:val="zh-CN"/>
              </w:rPr>
              <w:t>投标产品的可靠性、稳定性及技术实力</w:t>
            </w:r>
          </w:p>
        </w:tc>
        <w:tc>
          <w:tcPr>
            <w:tcW w:w="1139" w:type="dxa"/>
            <w:tcBorders>
              <w:top w:val="single" w:color="000000" w:sz="8" w:space="0"/>
              <w:left w:val="single" w:color="000000" w:sz="8" w:space="0"/>
              <w:bottom w:val="single" w:color="000000" w:sz="8" w:space="0"/>
              <w:right w:val="single" w:color="000000" w:sz="8" w:space="0"/>
            </w:tcBorders>
            <w:shd w:val="clear" w:color="auto" w:fill="FFFFFF"/>
          </w:tcPr>
          <w:p>
            <w:pPr>
              <w:spacing w:before="1"/>
              <w:jc w:val="center"/>
              <w:rPr>
                <w:rFonts w:hint="default"/>
                <w:color w:val="auto"/>
                <w:szCs w:val="21"/>
                <w:lang w:val="zh-CN"/>
              </w:rPr>
            </w:pPr>
          </w:p>
          <w:p>
            <w:pPr>
              <w:ind w:right="186"/>
              <w:jc w:val="center"/>
              <w:rPr>
                <w:rFonts w:hint="default"/>
                <w:color w:val="auto"/>
                <w:szCs w:val="21"/>
                <w:lang w:val="zh-CN"/>
              </w:rPr>
            </w:pPr>
            <w:r>
              <w:rPr>
                <w:color w:val="auto"/>
                <w:szCs w:val="21"/>
                <w:lang w:val="zh-CN"/>
              </w:rPr>
              <w:t>0-</w:t>
            </w:r>
            <w:r>
              <w:rPr>
                <w:rFonts w:hint="eastAsia"/>
                <w:color w:val="auto"/>
                <w:szCs w:val="21"/>
                <w:lang w:val="en-US" w:eastAsia="zh-CN"/>
              </w:rPr>
              <w:t>7</w:t>
            </w:r>
            <w:r>
              <w:rPr>
                <w:color w:val="auto"/>
                <w:szCs w:val="21"/>
                <w:lang w:val="zh-CN"/>
              </w:rPr>
              <w:t xml:space="preserve"> 分</w:t>
            </w:r>
          </w:p>
        </w:tc>
        <w:tc>
          <w:tcPr>
            <w:tcW w:w="5755" w:type="dxa"/>
            <w:tcBorders>
              <w:top w:val="single" w:color="000000" w:sz="8" w:space="0"/>
              <w:left w:val="single" w:color="000000" w:sz="8" w:space="0"/>
              <w:bottom w:val="single" w:color="000000" w:sz="8" w:space="0"/>
              <w:right w:val="single" w:color="000000" w:sz="8" w:space="0"/>
            </w:tcBorders>
            <w:shd w:val="clear" w:color="auto" w:fill="FFFFFF"/>
          </w:tcPr>
          <w:p>
            <w:pPr>
              <w:spacing w:before="32" w:line="266" w:lineRule="auto"/>
              <w:ind w:left="4" w:right="-15"/>
              <w:rPr>
                <w:rFonts w:hint="default"/>
                <w:color w:val="auto"/>
                <w:szCs w:val="21"/>
                <w:lang w:val="zh-CN"/>
              </w:rPr>
            </w:pPr>
            <w:r>
              <w:rPr>
                <w:color w:val="auto"/>
                <w:szCs w:val="21"/>
                <w:lang w:val="zh-CN"/>
              </w:rPr>
              <w:t>产品整体配套性、可靠性、稳定性是否最佳化。由评委进行综合评比打分，优的得</w:t>
            </w:r>
            <w:r>
              <w:rPr>
                <w:rFonts w:hint="eastAsia"/>
                <w:color w:val="auto"/>
                <w:szCs w:val="21"/>
                <w:lang w:val="en-US" w:eastAsia="zh-CN"/>
              </w:rPr>
              <w:t>5</w:t>
            </w:r>
            <w:r>
              <w:rPr>
                <w:color w:val="auto"/>
                <w:szCs w:val="21"/>
              </w:rPr>
              <w:t>-</w:t>
            </w:r>
            <w:r>
              <w:rPr>
                <w:rFonts w:hint="eastAsia"/>
                <w:color w:val="auto"/>
                <w:szCs w:val="21"/>
                <w:lang w:val="en-US" w:eastAsia="zh-CN"/>
              </w:rPr>
              <w:t>7</w:t>
            </w:r>
            <w:r>
              <w:rPr>
                <w:color w:val="auto"/>
                <w:szCs w:val="21"/>
                <w:lang w:val="zh-CN"/>
              </w:rPr>
              <w:t>分；良的得</w:t>
            </w:r>
            <w:r>
              <w:rPr>
                <w:rFonts w:hint="eastAsia"/>
                <w:color w:val="auto"/>
                <w:szCs w:val="21"/>
                <w:lang w:val="en-US" w:eastAsia="zh-CN"/>
              </w:rPr>
              <w:t>3</w:t>
            </w:r>
            <w:r>
              <w:rPr>
                <w:color w:val="auto"/>
                <w:szCs w:val="21"/>
                <w:lang w:val="zh-CN"/>
              </w:rPr>
              <w:t>-</w:t>
            </w:r>
            <w:r>
              <w:rPr>
                <w:rFonts w:hint="eastAsia"/>
                <w:color w:val="auto"/>
                <w:szCs w:val="21"/>
                <w:lang w:val="en-US" w:eastAsia="zh-CN"/>
              </w:rPr>
              <w:t>5</w:t>
            </w:r>
            <w:r>
              <w:rPr>
                <w:color w:val="auto"/>
                <w:szCs w:val="21"/>
                <w:lang w:val="zh-CN"/>
              </w:rPr>
              <w:t xml:space="preserve"> 分；一般的得 </w:t>
            </w:r>
            <w:r>
              <w:rPr>
                <w:rFonts w:hint="eastAsia"/>
                <w:color w:val="auto"/>
                <w:szCs w:val="21"/>
                <w:lang w:val="en-US" w:eastAsia="zh-CN"/>
              </w:rPr>
              <w:t>1</w:t>
            </w:r>
            <w:r>
              <w:rPr>
                <w:color w:val="auto"/>
                <w:szCs w:val="21"/>
                <w:lang w:val="zh-CN"/>
              </w:rPr>
              <w:t>-</w:t>
            </w:r>
            <w:r>
              <w:rPr>
                <w:rFonts w:hint="eastAsia"/>
                <w:color w:val="auto"/>
                <w:szCs w:val="21"/>
                <w:lang w:val="en-US" w:eastAsia="zh-CN"/>
              </w:rPr>
              <w:t>2</w:t>
            </w:r>
            <w:r>
              <w:rPr>
                <w:color w:val="auto"/>
                <w:szCs w:val="21"/>
                <w:lang w:val="zh-CN"/>
              </w:rPr>
              <w:t xml:space="preserve"> 分，差得不得分。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trPr>
        <w:tc>
          <w:tcPr>
            <w:tcW w:w="703" w:type="dxa"/>
            <w:vMerge w:val="continue"/>
            <w:tcBorders>
              <w:left w:val="single" w:color="000000" w:sz="8" w:space="0"/>
              <w:right w:val="single" w:color="000000" w:sz="8" w:space="0"/>
            </w:tcBorders>
            <w:shd w:val="clear" w:color="auto" w:fill="FFFFFF"/>
          </w:tcPr>
          <w:p>
            <w:pPr>
              <w:rPr>
                <w:rFonts w:hint="default"/>
                <w:color w:val="auto"/>
                <w:sz w:val="2"/>
                <w:szCs w:val="2"/>
              </w:rPr>
            </w:pPr>
          </w:p>
        </w:tc>
        <w:tc>
          <w:tcPr>
            <w:tcW w:w="2061" w:type="dxa"/>
            <w:tcBorders>
              <w:top w:val="single" w:color="000000" w:sz="8" w:space="0"/>
              <w:left w:val="single" w:color="000000" w:sz="8" w:space="0"/>
              <w:bottom w:val="single" w:color="000000" w:sz="8" w:space="0"/>
              <w:right w:val="single" w:color="000000" w:sz="8" w:space="0"/>
            </w:tcBorders>
            <w:shd w:val="clear" w:color="auto" w:fill="FFFFFF"/>
          </w:tcPr>
          <w:p>
            <w:pPr>
              <w:spacing w:before="7"/>
              <w:rPr>
                <w:rFonts w:hint="default"/>
                <w:color w:val="auto"/>
                <w:szCs w:val="21"/>
                <w:lang w:val="zh-CN"/>
              </w:rPr>
            </w:pPr>
          </w:p>
          <w:p>
            <w:pPr>
              <w:spacing w:line="276" w:lineRule="auto"/>
              <w:jc w:val="center"/>
              <w:rPr>
                <w:rFonts w:hint="default" w:hAnsi="宋体" w:cs="宋体"/>
                <w:color w:val="auto"/>
                <w:lang w:bidi="ar"/>
              </w:rPr>
            </w:pPr>
          </w:p>
          <w:p>
            <w:pPr>
              <w:spacing w:line="276" w:lineRule="auto"/>
              <w:jc w:val="center"/>
              <w:rPr>
                <w:rFonts w:hint="default" w:hAnsi="宋体" w:cs="宋体"/>
                <w:color w:val="auto"/>
                <w:lang w:bidi="ar"/>
              </w:rPr>
            </w:pPr>
            <w:r>
              <w:rPr>
                <w:rFonts w:hAnsi="宋体" w:cs="宋体"/>
                <w:color w:val="auto"/>
                <w:lang w:bidi="ar"/>
              </w:rPr>
              <w:t>供货、安装、验收方案</w:t>
            </w:r>
          </w:p>
          <w:p>
            <w:pPr>
              <w:spacing w:line="340" w:lineRule="atLeast"/>
              <w:ind w:left="796" w:right="-15" w:hanging="792"/>
              <w:rPr>
                <w:rFonts w:hint="default"/>
                <w:color w:val="auto"/>
                <w:szCs w:val="21"/>
                <w:lang w:val="zh-CN"/>
              </w:rPr>
            </w:pPr>
          </w:p>
        </w:tc>
        <w:tc>
          <w:tcPr>
            <w:tcW w:w="1139" w:type="dxa"/>
            <w:tcBorders>
              <w:top w:val="single" w:color="000000" w:sz="8" w:space="0"/>
              <w:left w:val="single" w:color="000000" w:sz="8" w:space="0"/>
              <w:bottom w:val="single" w:color="000000" w:sz="8" w:space="0"/>
              <w:right w:val="single" w:color="000000" w:sz="8" w:space="0"/>
            </w:tcBorders>
            <w:shd w:val="clear" w:color="auto" w:fill="FFFFFF"/>
          </w:tcPr>
          <w:p>
            <w:pPr>
              <w:spacing w:before="1"/>
              <w:jc w:val="center"/>
              <w:rPr>
                <w:rFonts w:hint="default"/>
                <w:color w:val="auto"/>
                <w:szCs w:val="21"/>
                <w:lang w:val="zh-CN"/>
              </w:rPr>
            </w:pPr>
          </w:p>
          <w:p>
            <w:pPr>
              <w:ind w:left="195" w:right="186"/>
              <w:jc w:val="center"/>
              <w:rPr>
                <w:rFonts w:hint="default"/>
                <w:color w:val="auto"/>
                <w:szCs w:val="21"/>
                <w:lang w:val="zh-CN"/>
              </w:rPr>
            </w:pPr>
            <w:r>
              <w:rPr>
                <w:color w:val="auto"/>
                <w:szCs w:val="21"/>
                <w:lang w:val="zh-CN"/>
              </w:rPr>
              <w:t>0-5 分</w:t>
            </w:r>
          </w:p>
        </w:tc>
        <w:tc>
          <w:tcPr>
            <w:tcW w:w="5755" w:type="dxa"/>
            <w:tcBorders>
              <w:top w:val="single" w:color="000000" w:sz="8" w:space="0"/>
              <w:left w:val="single" w:color="000000" w:sz="8" w:space="0"/>
              <w:bottom w:val="single" w:color="000000" w:sz="8" w:space="0"/>
              <w:right w:val="single" w:color="000000" w:sz="8" w:space="0"/>
            </w:tcBorders>
            <w:shd w:val="clear" w:color="auto" w:fill="FFFFFF"/>
          </w:tcPr>
          <w:p>
            <w:pPr>
              <w:spacing w:before="1" w:line="340" w:lineRule="atLeast"/>
              <w:ind w:left="4" w:right="-15"/>
              <w:rPr>
                <w:rFonts w:hint="default"/>
                <w:color w:val="auto"/>
                <w:szCs w:val="21"/>
                <w:lang w:val="zh-CN"/>
              </w:rPr>
            </w:pPr>
            <w:r>
              <w:rPr>
                <w:rFonts w:hAnsi="宋体" w:cs="宋体"/>
                <w:color w:val="auto"/>
                <w:lang w:bidi="ar"/>
              </w:rPr>
              <w:t>根据货运工具、供货安装人员配备情况等供货、安装、验收措施方案进行综合评价。方案完善合理、科学可行，得</w:t>
            </w:r>
            <w:r>
              <w:rPr>
                <w:rFonts w:hint="default" w:hAnsi="宋体" w:cs="宋体"/>
                <w:color w:val="auto"/>
                <w:lang w:bidi="ar"/>
              </w:rPr>
              <w:t>5</w:t>
            </w:r>
            <w:r>
              <w:rPr>
                <w:rFonts w:hAnsi="宋体" w:cs="宋体"/>
                <w:color w:val="auto"/>
                <w:lang w:bidi="ar"/>
              </w:rPr>
              <w:t>-</w:t>
            </w:r>
            <w:r>
              <w:rPr>
                <w:rFonts w:hint="default" w:hAnsi="宋体" w:cs="宋体"/>
                <w:color w:val="auto"/>
                <w:lang w:bidi="ar"/>
              </w:rPr>
              <w:t>3</w:t>
            </w:r>
            <w:r>
              <w:rPr>
                <w:rFonts w:hAnsi="宋体" w:cs="宋体"/>
                <w:color w:val="auto"/>
                <w:lang w:bidi="ar"/>
              </w:rPr>
              <w:t>分，方案一般、合理、可行，得1-</w:t>
            </w:r>
            <w:r>
              <w:rPr>
                <w:rFonts w:hint="default" w:hAnsi="宋体" w:cs="宋体"/>
                <w:color w:val="auto"/>
                <w:lang w:bidi="ar"/>
              </w:rPr>
              <w:t>2</w:t>
            </w:r>
            <w:r>
              <w:rPr>
                <w:rFonts w:hAnsi="宋体" w:cs="宋体"/>
                <w:color w:val="auto"/>
                <w:lang w:bidi="ar"/>
              </w:rPr>
              <w:t>分，方案较差不能满足采购需求或未提供得0分。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trPr>
        <w:tc>
          <w:tcPr>
            <w:tcW w:w="703" w:type="dxa"/>
            <w:vMerge w:val="continue"/>
            <w:tcBorders>
              <w:left w:val="single" w:color="000000" w:sz="8" w:space="0"/>
              <w:bottom w:val="single" w:color="000000" w:sz="8" w:space="0"/>
              <w:right w:val="single" w:color="000000" w:sz="8" w:space="0"/>
            </w:tcBorders>
            <w:shd w:val="clear" w:color="auto" w:fill="FFFFFF"/>
          </w:tcPr>
          <w:p>
            <w:pPr>
              <w:rPr>
                <w:rFonts w:hint="default"/>
                <w:color w:val="auto"/>
                <w:sz w:val="2"/>
                <w:szCs w:val="2"/>
              </w:rPr>
            </w:pPr>
          </w:p>
        </w:tc>
        <w:tc>
          <w:tcPr>
            <w:tcW w:w="2061"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before="7"/>
              <w:rPr>
                <w:rFonts w:hint="default"/>
                <w:color w:val="auto"/>
                <w:szCs w:val="21"/>
                <w:lang w:val="zh-CN"/>
              </w:rPr>
            </w:pPr>
            <w:r>
              <w:rPr>
                <w:rFonts w:hAnsi="宋体" w:cs="宋体"/>
                <w:color w:val="auto"/>
                <w:szCs w:val="21"/>
              </w:rPr>
              <w:t>培训计划</w:t>
            </w:r>
          </w:p>
        </w:tc>
        <w:tc>
          <w:tcPr>
            <w:tcW w:w="1139" w:type="dxa"/>
            <w:tcBorders>
              <w:top w:val="single" w:color="000000" w:sz="8" w:space="0"/>
              <w:left w:val="single" w:color="000000" w:sz="8" w:space="0"/>
              <w:bottom w:val="single" w:color="000000" w:sz="8" w:space="0"/>
              <w:right w:val="single" w:color="000000" w:sz="8" w:space="0"/>
            </w:tcBorders>
            <w:shd w:val="clear" w:color="auto" w:fill="FFFFFF"/>
            <w:vAlign w:val="center"/>
          </w:tcPr>
          <w:p>
            <w:pPr>
              <w:spacing w:before="1"/>
              <w:ind w:firstLine="240" w:firstLineChars="100"/>
              <w:jc w:val="center"/>
              <w:rPr>
                <w:rFonts w:hint="default"/>
                <w:color w:val="auto"/>
                <w:szCs w:val="21"/>
                <w:lang w:val="zh-CN"/>
              </w:rPr>
            </w:pPr>
            <w:r>
              <w:rPr>
                <w:color w:val="auto"/>
                <w:szCs w:val="21"/>
                <w:lang w:val="zh-CN"/>
              </w:rPr>
              <w:t>0-5 分</w:t>
            </w:r>
          </w:p>
        </w:tc>
        <w:tc>
          <w:tcPr>
            <w:tcW w:w="5755" w:type="dxa"/>
            <w:tcBorders>
              <w:top w:val="single" w:color="000000" w:sz="8" w:space="0"/>
              <w:left w:val="single" w:color="000000" w:sz="8" w:space="0"/>
              <w:bottom w:val="single" w:color="000000" w:sz="8" w:space="0"/>
              <w:right w:val="single" w:color="000000" w:sz="8" w:space="0"/>
            </w:tcBorders>
            <w:shd w:val="clear" w:color="auto" w:fill="FFFFFF"/>
          </w:tcPr>
          <w:p>
            <w:pPr>
              <w:spacing w:before="1" w:line="340" w:lineRule="atLeast"/>
              <w:ind w:left="4" w:right="-15"/>
              <w:rPr>
                <w:rFonts w:hAnsi="宋体" w:cs="宋体"/>
                <w:color w:val="auto"/>
                <w:lang w:bidi="ar"/>
              </w:rPr>
            </w:pPr>
            <w:r>
              <w:rPr>
                <w:rFonts w:hAnsi="宋体" w:cs="宋体"/>
                <w:color w:val="auto"/>
              </w:rPr>
              <w:t>培训计划完善可行优得5分，良得3分，一般得1分，差得0分。</w:t>
            </w:r>
          </w:p>
        </w:tc>
      </w:tr>
    </w:tbl>
    <w:p>
      <w:pPr>
        <w:spacing w:before="49"/>
        <w:ind w:left="408"/>
        <w:rPr>
          <w:rFonts w:hint="default"/>
          <w:b/>
          <w:color w:val="auto"/>
        </w:rPr>
      </w:pPr>
      <w:bookmarkStart w:id="40" w:name="（三）商务部分（30分）"/>
      <w:bookmarkEnd w:id="40"/>
      <w:r>
        <w:rPr>
          <w:b/>
          <w:color w:val="auto"/>
        </w:rPr>
        <w:t>商务部分（</w:t>
      </w:r>
      <w:r>
        <w:rPr>
          <w:rFonts w:hint="eastAsia"/>
          <w:b/>
          <w:color w:val="auto"/>
          <w:lang w:val="en-US" w:eastAsia="zh-CN"/>
        </w:rPr>
        <w:t>15</w:t>
      </w:r>
      <w:r>
        <w:rPr>
          <w:b/>
          <w:color w:val="auto"/>
        </w:rPr>
        <w:t>分）</w:t>
      </w:r>
    </w:p>
    <w:tbl>
      <w:tblPr>
        <w:tblStyle w:val="17"/>
        <w:tblW w:w="97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1"/>
        <w:gridCol w:w="1939"/>
        <w:gridCol w:w="1260"/>
        <w:gridCol w:w="53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080" w:type="dxa"/>
            <w:gridSpan w:val="2"/>
          </w:tcPr>
          <w:p>
            <w:pPr>
              <w:spacing w:before="31" w:line="288" w:lineRule="exact"/>
              <w:ind w:left="1039" w:right="1030"/>
              <w:jc w:val="center"/>
              <w:rPr>
                <w:rFonts w:hint="default"/>
                <w:color w:val="auto"/>
                <w:lang w:val="zh-CN" w:bidi="zh-CN"/>
              </w:rPr>
            </w:pPr>
            <w:r>
              <w:rPr>
                <w:color w:val="auto"/>
                <w:lang w:val="zh-CN" w:bidi="zh-CN"/>
              </w:rPr>
              <w:t>评审项目</w:t>
            </w:r>
          </w:p>
        </w:tc>
        <w:tc>
          <w:tcPr>
            <w:tcW w:w="1260" w:type="dxa"/>
          </w:tcPr>
          <w:p>
            <w:pPr>
              <w:spacing w:before="31" w:line="288" w:lineRule="exact"/>
              <w:ind w:left="389"/>
              <w:rPr>
                <w:rFonts w:hint="default"/>
                <w:color w:val="auto"/>
                <w:lang w:val="zh-CN" w:bidi="zh-CN"/>
              </w:rPr>
            </w:pPr>
            <w:r>
              <w:rPr>
                <w:color w:val="auto"/>
                <w:lang w:val="zh-CN" w:bidi="zh-CN"/>
              </w:rPr>
              <w:t>分值</w:t>
            </w:r>
          </w:p>
        </w:tc>
        <w:tc>
          <w:tcPr>
            <w:tcW w:w="5360" w:type="dxa"/>
          </w:tcPr>
          <w:p>
            <w:pPr>
              <w:tabs>
                <w:tab w:val="left" w:pos="727"/>
              </w:tabs>
              <w:spacing w:before="31" w:line="288" w:lineRule="exact"/>
              <w:ind w:left="7"/>
              <w:jc w:val="center"/>
              <w:rPr>
                <w:rFonts w:hint="default"/>
                <w:color w:val="auto"/>
                <w:lang w:val="zh-CN" w:bidi="zh-CN"/>
              </w:rPr>
            </w:pPr>
            <w:r>
              <w:rPr>
                <w:color w:val="auto"/>
                <w:lang w:val="zh-CN" w:bidi="zh-CN"/>
              </w:rPr>
              <w:t>内</w:t>
            </w:r>
            <w:r>
              <w:rPr>
                <w:color w:val="auto"/>
                <w:lang w:val="zh-CN" w:bidi="zh-CN"/>
              </w:rPr>
              <w:tab/>
            </w:r>
            <w:r>
              <w:rPr>
                <w:color w:val="auto"/>
                <w:lang w:val="zh-CN" w:bidi="zh-CN"/>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1141" w:type="dxa"/>
            <w:vMerge w:val="restart"/>
          </w:tcPr>
          <w:p>
            <w:pPr>
              <w:rPr>
                <w:rFonts w:hint="default"/>
                <w:color w:val="auto"/>
                <w:lang w:val="zh-CN" w:bidi="zh-CN"/>
              </w:rPr>
            </w:pPr>
          </w:p>
          <w:p>
            <w:pPr>
              <w:rPr>
                <w:rFonts w:hint="default"/>
                <w:color w:val="auto"/>
                <w:lang w:val="zh-CN" w:bidi="zh-CN"/>
              </w:rPr>
            </w:pPr>
          </w:p>
          <w:p>
            <w:pPr>
              <w:rPr>
                <w:rFonts w:hint="default"/>
                <w:color w:val="auto"/>
                <w:lang w:val="zh-CN" w:bidi="zh-CN"/>
              </w:rPr>
            </w:pPr>
          </w:p>
          <w:p>
            <w:pPr>
              <w:rPr>
                <w:rFonts w:hint="default"/>
                <w:color w:val="auto"/>
                <w:lang w:val="zh-CN" w:bidi="zh-CN"/>
              </w:rPr>
            </w:pPr>
          </w:p>
          <w:p>
            <w:pPr>
              <w:rPr>
                <w:rFonts w:hint="default"/>
                <w:color w:val="auto"/>
                <w:lang w:val="zh-CN" w:bidi="zh-CN"/>
              </w:rPr>
            </w:pPr>
          </w:p>
          <w:p>
            <w:pPr>
              <w:rPr>
                <w:rFonts w:hint="default"/>
                <w:color w:val="auto"/>
                <w:lang w:val="zh-CN" w:bidi="zh-CN"/>
              </w:rPr>
            </w:pPr>
          </w:p>
          <w:p>
            <w:pPr>
              <w:rPr>
                <w:rFonts w:hint="default"/>
                <w:color w:val="auto"/>
                <w:lang w:val="zh-CN" w:bidi="zh-CN"/>
              </w:rPr>
            </w:pPr>
            <w:r>
              <w:rPr>
                <w:color w:val="auto"/>
                <w:lang w:val="zh-CN" w:bidi="zh-CN"/>
              </w:rPr>
              <w:t>商务评分</w:t>
            </w:r>
          </w:p>
        </w:tc>
        <w:tc>
          <w:tcPr>
            <w:tcW w:w="1939" w:type="dxa"/>
            <w:vMerge w:val="restart"/>
          </w:tcPr>
          <w:p>
            <w:pPr>
              <w:ind w:firstLine="480" w:firstLineChars="200"/>
              <w:jc w:val="center"/>
              <w:rPr>
                <w:color w:val="auto"/>
                <w:szCs w:val="21"/>
                <w:lang w:val="zh-CN" w:bidi="zh-CN"/>
              </w:rPr>
            </w:pPr>
          </w:p>
          <w:p>
            <w:pPr>
              <w:ind w:firstLine="480" w:firstLineChars="200"/>
              <w:rPr>
                <w:rFonts w:hint="default"/>
                <w:color w:val="auto"/>
                <w:szCs w:val="21"/>
                <w:lang w:val="zh-CN" w:bidi="zh-CN"/>
              </w:rPr>
            </w:pPr>
            <w:r>
              <w:rPr>
                <w:color w:val="auto"/>
                <w:szCs w:val="21"/>
                <w:lang w:val="zh-CN" w:bidi="zh-CN"/>
              </w:rPr>
              <w:t>售后服务体系</w:t>
            </w:r>
          </w:p>
        </w:tc>
        <w:tc>
          <w:tcPr>
            <w:tcW w:w="1260" w:type="dxa"/>
            <w:vAlign w:val="center"/>
          </w:tcPr>
          <w:p>
            <w:pPr>
              <w:spacing w:before="16"/>
              <w:ind w:right="318"/>
              <w:jc w:val="center"/>
              <w:rPr>
                <w:rFonts w:hint="default"/>
                <w:color w:val="auto"/>
                <w:szCs w:val="21"/>
                <w:lang w:val="zh-CN" w:bidi="zh-CN"/>
              </w:rPr>
            </w:pPr>
            <w:r>
              <w:rPr>
                <w:color w:val="auto"/>
                <w:szCs w:val="21"/>
                <w:lang w:val="zh-CN" w:bidi="zh-CN"/>
              </w:rPr>
              <w:t>0-</w:t>
            </w:r>
            <w:r>
              <w:rPr>
                <w:rFonts w:hint="eastAsia"/>
                <w:color w:val="auto"/>
                <w:szCs w:val="21"/>
                <w:lang w:val="en-US" w:bidi="zh-CN"/>
              </w:rPr>
              <w:t>5</w:t>
            </w:r>
            <w:r>
              <w:rPr>
                <w:color w:val="auto"/>
                <w:szCs w:val="21"/>
                <w:lang w:val="zh-CN" w:bidi="zh-CN"/>
              </w:rPr>
              <w:t>分</w:t>
            </w:r>
          </w:p>
        </w:tc>
        <w:tc>
          <w:tcPr>
            <w:tcW w:w="5360" w:type="dxa"/>
          </w:tcPr>
          <w:p>
            <w:pPr>
              <w:spacing w:before="31" w:line="297" w:lineRule="exact"/>
              <w:ind w:left="5"/>
              <w:rPr>
                <w:rFonts w:hint="default"/>
                <w:color w:val="auto"/>
                <w:szCs w:val="21"/>
                <w:lang w:val="zh-CN" w:bidi="zh-CN"/>
              </w:rPr>
            </w:pPr>
            <w:r>
              <w:rPr>
                <w:rFonts w:hint="eastAsia" w:ascii="宋体" w:hAnsi="Times New Roman" w:eastAsia="宋体" w:cs="Times New Roman"/>
                <w:color w:val="auto"/>
                <w:szCs w:val="21"/>
                <w:lang w:val="zh-CN" w:bidi="zh-CN"/>
              </w:rPr>
              <w:t>制定定期回访计划，明确回访年限，免费提供或有明确、优惠的耗材和检测、服务收费标准，提供相关证明文件，得0-5分。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1141" w:type="dxa"/>
            <w:vMerge w:val="continue"/>
          </w:tcPr>
          <w:p>
            <w:pPr>
              <w:rPr>
                <w:color w:val="auto"/>
                <w:lang w:val="zh-CN" w:bidi="zh-CN"/>
              </w:rPr>
            </w:pPr>
          </w:p>
        </w:tc>
        <w:tc>
          <w:tcPr>
            <w:tcW w:w="1939" w:type="dxa"/>
            <w:vMerge w:val="continue"/>
          </w:tcPr>
          <w:p>
            <w:pPr>
              <w:ind w:firstLine="480" w:firstLineChars="200"/>
              <w:rPr>
                <w:color w:val="auto"/>
                <w:szCs w:val="21"/>
                <w:lang w:val="zh-CN" w:bidi="zh-CN"/>
              </w:rPr>
            </w:pPr>
          </w:p>
        </w:tc>
        <w:tc>
          <w:tcPr>
            <w:tcW w:w="1260" w:type="dxa"/>
            <w:vAlign w:val="center"/>
          </w:tcPr>
          <w:p>
            <w:pPr>
              <w:spacing w:before="16"/>
              <w:ind w:right="318"/>
              <w:jc w:val="center"/>
              <w:rPr>
                <w:color w:val="auto"/>
                <w:szCs w:val="21"/>
                <w:lang w:val="zh-CN" w:bidi="zh-CN"/>
              </w:rPr>
            </w:pPr>
            <w:r>
              <w:rPr>
                <w:color w:val="auto"/>
                <w:szCs w:val="21"/>
                <w:lang w:val="zh-CN" w:bidi="zh-CN"/>
              </w:rPr>
              <w:t>0-</w:t>
            </w:r>
            <w:r>
              <w:rPr>
                <w:rFonts w:hint="eastAsia"/>
                <w:color w:val="auto"/>
                <w:szCs w:val="21"/>
                <w:lang w:val="en-US" w:bidi="zh-CN"/>
              </w:rPr>
              <w:t>2</w:t>
            </w:r>
            <w:r>
              <w:rPr>
                <w:color w:val="auto"/>
                <w:szCs w:val="21"/>
                <w:lang w:val="zh-CN" w:bidi="zh-CN"/>
              </w:rPr>
              <w:t>分</w:t>
            </w:r>
          </w:p>
        </w:tc>
        <w:tc>
          <w:tcPr>
            <w:tcW w:w="5360" w:type="dxa"/>
          </w:tcPr>
          <w:p>
            <w:pPr>
              <w:spacing w:before="31" w:line="297" w:lineRule="exact"/>
              <w:ind w:left="5"/>
              <w:rPr>
                <w:rFonts w:hint="eastAsia" w:ascii="宋体" w:hAnsi="Times New Roman" w:eastAsia="宋体" w:cs="Times New Roman"/>
                <w:color w:val="auto"/>
                <w:szCs w:val="21"/>
                <w:lang w:val="zh-CN" w:bidi="zh-CN"/>
              </w:rPr>
            </w:pPr>
            <w:r>
              <w:rPr>
                <w:rFonts w:hint="eastAsia" w:ascii="宋体" w:hAnsi="宋体" w:eastAsia="宋体" w:cs="宋体"/>
                <w:color w:val="auto"/>
                <w:kern w:val="0"/>
                <w:sz w:val="21"/>
                <w:szCs w:val="21"/>
                <w:lang w:bidi="ar"/>
              </w:rPr>
              <w:t>拥有备品备件，在售后服务过程中能及时应对突发情况，需提供证明材料，证明材料提供完整的得</w:t>
            </w:r>
            <w:r>
              <w:rPr>
                <w:rFonts w:hint="eastAsia" w:hAnsi="宋体" w:cs="宋体"/>
                <w:color w:val="auto"/>
                <w:kern w:val="0"/>
                <w:sz w:val="21"/>
                <w:szCs w:val="21"/>
                <w:lang w:val="en-US" w:eastAsia="zh-CN" w:bidi="ar"/>
              </w:rPr>
              <w:t>2</w:t>
            </w:r>
            <w:r>
              <w:rPr>
                <w:rFonts w:hint="eastAsia" w:ascii="宋体" w:hAnsi="宋体" w:eastAsia="宋体" w:cs="宋体"/>
                <w:color w:val="auto"/>
                <w:kern w:val="0"/>
                <w:sz w:val="21"/>
                <w:szCs w:val="21"/>
                <w:lang w:bidi="ar"/>
              </w:rPr>
              <w:t>分，提供证明材料不完整或未提供本项得0分。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jc w:val="center"/>
        </w:trPr>
        <w:tc>
          <w:tcPr>
            <w:tcW w:w="1141" w:type="dxa"/>
            <w:vMerge w:val="continue"/>
          </w:tcPr>
          <w:p>
            <w:pPr>
              <w:rPr>
                <w:rFonts w:hint="default"/>
                <w:color w:val="auto"/>
                <w:lang w:val="zh-CN" w:bidi="zh-CN"/>
              </w:rPr>
            </w:pPr>
          </w:p>
        </w:tc>
        <w:tc>
          <w:tcPr>
            <w:tcW w:w="1939" w:type="dxa"/>
          </w:tcPr>
          <w:p>
            <w:pPr>
              <w:spacing w:before="16"/>
              <w:ind w:left="6"/>
              <w:jc w:val="center"/>
              <w:rPr>
                <w:rFonts w:hint="default"/>
                <w:color w:val="auto"/>
                <w:szCs w:val="21"/>
                <w:lang w:val="zh-CN" w:bidi="zh-CN"/>
              </w:rPr>
            </w:pPr>
            <w:r>
              <w:rPr>
                <w:color w:val="auto"/>
                <w:szCs w:val="21"/>
                <w:lang w:val="zh-CN" w:bidi="zh-CN"/>
              </w:rPr>
              <w:t>销售、运行业绩</w:t>
            </w:r>
          </w:p>
        </w:tc>
        <w:tc>
          <w:tcPr>
            <w:tcW w:w="1260" w:type="dxa"/>
          </w:tcPr>
          <w:p>
            <w:pPr>
              <w:spacing w:before="16"/>
              <w:ind w:right="318"/>
              <w:jc w:val="center"/>
              <w:rPr>
                <w:rFonts w:hint="default"/>
                <w:color w:val="auto"/>
                <w:szCs w:val="21"/>
                <w:lang w:val="zh-CN" w:bidi="zh-CN"/>
              </w:rPr>
            </w:pPr>
            <w:r>
              <w:rPr>
                <w:color w:val="auto"/>
                <w:szCs w:val="21"/>
                <w:lang w:val="zh-CN" w:bidi="zh-CN"/>
              </w:rPr>
              <w:t>0-</w:t>
            </w:r>
            <w:r>
              <w:rPr>
                <w:color w:val="auto"/>
                <w:szCs w:val="21"/>
                <w:lang w:bidi="zh-CN"/>
              </w:rPr>
              <w:t>5</w:t>
            </w:r>
            <w:r>
              <w:rPr>
                <w:color w:val="auto"/>
                <w:szCs w:val="21"/>
                <w:lang w:val="zh-CN" w:bidi="zh-CN"/>
              </w:rPr>
              <w:t>分</w:t>
            </w:r>
          </w:p>
        </w:tc>
        <w:tc>
          <w:tcPr>
            <w:tcW w:w="5360" w:type="dxa"/>
          </w:tcPr>
          <w:p>
            <w:pPr>
              <w:spacing w:before="31" w:line="304" w:lineRule="exact"/>
              <w:ind w:left="5"/>
              <w:rPr>
                <w:rFonts w:hint="default"/>
                <w:color w:val="auto"/>
                <w:szCs w:val="21"/>
                <w:lang w:val="zh-CN" w:bidi="zh-CN"/>
              </w:rPr>
            </w:pPr>
            <w:r>
              <w:rPr>
                <w:color w:val="auto"/>
                <w:szCs w:val="21"/>
                <w:lang w:val="zh-CN" w:bidi="zh-CN"/>
              </w:rPr>
              <w:t>近三年类似本项目的销售、运行业绩：每个业绩得</w:t>
            </w:r>
            <w:r>
              <w:rPr>
                <w:color w:val="auto"/>
                <w:szCs w:val="21"/>
                <w:lang w:bidi="zh-CN"/>
              </w:rPr>
              <w:t>1</w:t>
            </w:r>
            <w:r>
              <w:rPr>
                <w:color w:val="auto"/>
                <w:szCs w:val="21"/>
                <w:lang w:val="zh-CN" w:bidi="zh-CN"/>
              </w:rPr>
              <w:t>分，最高得</w:t>
            </w:r>
            <w:r>
              <w:rPr>
                <w:color w:val="auto"/>
                <w:szCs w:val="21"/>
                <w:lang w:bidi="zh-CN"/>
              </w:rPr>
              <w:t>5</w:t>
            </w:r>
            <w:r>
              <w:rPr>
                <w:color w:val="auto"/>
                <w:szCs w:val="21"/>
                <w:lang w:val="zh-CN" w:bidi="zh-CN"/>
              </w:rPr>
              <w:t>分。（附合同或中标通知书复印件，未按要求提供相应证明资料的不得分）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6" w:hRule="atLeast"/>
          <w:jc w:val="center"/>
        </w:trPr>
        <w:tc>
          <w:tcPr>
            <w:tcW w:w="1141" w:type="dxa"/>
            <w:vMerge w:val="continue"/>
          </w:tcPr>
          <w:p>
            <w:pPr>
              <w:rPr>
                <w:rFonts w:hint="default"/>
                <w:color w:val="auto"/>
                <w:lang w:val="zh-CN" w:bidi="zh-CN"/>
              </w:rPr>
            </w:pPr>
          </w:p>
        </w:tc>
        <w:tc>
          <w:tcPr>
            <w:tcW w:w="1939" w:type="dxa"/>
          </w:tcPr>
          <w:p>
            <w:pPr>
              <w:spacing w:before="16"/>
              <w:ind w:left="6"/>
              <w:jc w:val="center"/>
              <w:rPr>
                <w:rFonts w:hint="default"/>
                <w:color w:val="auto"/>
                <w:szCs w:val="21"/>
                <w:lang w:val="zh-CN" w:bidi="zh-CN"/>
              </w:rPr>
            </w:pPr>
            <w:r>
              <w:rPr>
                <w:color w:val="auto"/>
                <w:szCs w:val="21"/>
                <w:lang w:val="zh-CN" w:bidi="zh-CN"/>
              </w:rPr>
              <w:t>投标文件及相关资</w:t>
            </w:r>
          </w:p>
          <w:p>
            <w:pPr>
              <w:spacing w:before="31" w:line="304" w:lineRule="exact"/>
              <w:ind w:left="6"/>
              <w:jc w:val="center"/>
              <w:rPr>
                <w:rFonts w:hint="default"/>
                <w:color w:val="auto"/>
                <w:szCs w:val="21"/>
                <w:lang w:val="zh-CN" w:bidi="zh-CN"/>
              </w:rPr>
            </w:pPr>
            <w:r>
              <w:rPr>
                <w:color w:val="auto"/>
                <w:szCs w:val="21"/>
                <w:lang w:val="zh-CN" w:bidi="zh-CN"/>
              </w:rPr>
              <w:t>料的完整性</w:t>
            </w:r>
          </w:p>
        </w:tc>
        <w:tc>
          <w:tcPr>
            <w:tcW w:w="1260" w:type="dxa"/>
          </w:tcPr>
          <w:p>
            <w:pPr>
              <w:spacing w:before="9"/>
              <w:jc w:val="center"/>
              <w:rPr>
                <w:rFonts w:hint="default"/>
                <w:b/>
                <w:color w:val="auto"/>
                <w:szCs w:val="21"/>
                <w:lang w:val="zh-CN" w:bidi="zh-CN"/>
              </w:rPr>
            </w:pPr>
          </w:p>
          <w:p>
            <w:pPr>
              <w:spacing w:line="304" w:lineRule="exact"/>
              <w:ind w:right="318"/>
              <w:jc w:val="center"/>
              <w:rPr>
                <w:rFonts w:hint="default"/>
                <w:color w:val="auto"/>
                <w:szCs w:val="21"/>
                <w:lang w:val="zh-CN" w:bidi="zh-CN"/>
              </w:rPr>
            </w:pPr>
            <w:r>
              <w:rPr>
                <w:color w:val="auto"/>
                <w:szCs w:val="21"/>
                <w:lang w:val="zh-CN" w:bidi="zh-CN"/>
              </w:rPr>
              <w:t>0-</w:t>
            </w:r>
            <w:r>
              <w:rPr>
                <w:rFonts w:hint="eastAsia"/>
                <w:color w:val="auto"/>
                <w:szCs w:val="21"/>
                <w:lang w:val="en-US" w:bidi="zh-CN"/>
              </w:rPr>
              <w:t>3</w:t>
            </w:r>
            <w:r>
              <w:rPr>
                <w:color w:val="auto"/>
                <w:szCs w:val="21"/>
                <w:lang w:val="zh-CN" w:bidi="zh-CN"/>
              </w:rPr>
              <w:t>分</w:t>
            </w:r>
          </w:p>
        </w:tc>
        <w:tc>
          <w:tcPr>
            <w:tcW w:w="5360" w:type="dxa"/>
          </w:tcPr>
          <w:p>
            <w:pPr>
              <w:spacing w:before="31" w:line="304" w:lineRule="exact"/>
              <w:ind w:left="5"/>
              <w:rPr>
                <w:rFonts w:hint="default"/>
                <w:color w:val="auto"/>
                <w:szCs w:val="21"/>
                <w:lang w:val="zh-CN" w:bidi="zh-CN"/>
              </w:rPr>
            </w:pPr>
            <w:r>
              <w:rPr>
                <w:color w:val="auto"/>
                <w:szCs w:val="21"/>
                <w:lang w:val="zh-CN" w:bidi="zh-CN"/>
              </w:rPr>
              <w:t>相关资料的提供情况，是否真实、完整、清晰、</w:t>
            </w:r>
            <w:r>
              <w:rPr>
                <w:color w:val="auto"/>
                <w:spacing w:val="-6"/>
                <w:szCs w:val="21"/>
                <w:lang w:val="zh-CN" w:bidi="zh-CN"/>
              </w:rPr>
              <w:t>有序、合理；投标文件是否编制完整、格式规范、</w:t>
            </w:r>
            <w:r>
              <w:rPr>
                <w:color w:val="auto"/>
                <w:szCs w:val="21"/>
                <w:lang w:val="zh-CN" w:bidi="zh-CN"/>
              </w:rPr>
              <w:t xml:space="preserve">内容齐全、表述准确、条理清晰，内容无前后矛盾，评委根据各投标文件的制作情况及资料提供情况进行综合评比打分，优的得 </w:t>
            </w:r>
            <w:r>
              <w:rPr>
                <w:rFonts w:hint="eastAsia"/>
                <w:color w:val="auto"/>
                <w:szCs w:val="21"/>
                <w:lang w:val="en-US" w:bidi="zh-CN"/>
              </w:rPr>
              <w:t>3</w:t>
            </w:r>
            <w:r>
              <w:rPr>
                <w:color w:val="auto"/>
                <w:szCs w:val="21"/>
                <w:lang w:val="zh-CN" w:bidi="zh-CN"/>
              </w:rPr>
              <w:t>分；良的得</w:t>
            </w:r>
            <w:r>
              <w:rPr>
                <w:rFonts w:hint="eastAsia"/>
                <w:color w:val="auto"/>
                <w:szCs w:val="21"/>
                <w:lang w:val="en-US" w:bidi="zh-CN"/>
              </w:rPr>
              <w:t>2</w:t>
            </w:r>
            <w:r>
              <w:rPr>
                <w:color w:val="auto"/>
                <w:szCs w:val="21"/>
                <w:lang w:val="zh-CN" w:bidi="zh-CN"/>
              </w:rPr>
              <w:t>分；一般的得 1 分，差得不得分。</w:t>
            </w:r>
          </w:p>
        </w:tc>
      </w:tr>
    </w:tbl>
    <w:p>
      <w:pPr>
        <w:pStyle w:val="8"/>
        <w:rPr>
          <w:rFonts w:hint="default"/>
          <w:color w:val="auto"/>
        </w:rPr>
      </w:pPr>
    </w:p>
    <w:p>
      <w:pPr>
        <w:pStyle w:val="8"/>
        <w:kinsoku w:val="0"/>
        <w:overflowPunct w:val="0"/>
        <w:spacing w:before="1" w:line="477" w:lineRule="auto"/>
        <w:ind w:right="237"/>
        <w:rPr>
          <w:rFonts w:hint="default"/>
          <w:color w:val="auto"/>
        </w:rPr>
      </w:pPr>
      <w:r>
        <w:rPr>
          <w:color w:val="auto"/>
          <w:spacing w:val="-3"/>
        </w:rPr>
        <w:t>1、评标委员会应当执行连续评标的原则完成全部评标工作。只有发生不可</w:t>
      </w:r>
      <w:r>
        <w:rPr>
          <w:color w:val="auto"/>
        </w:rPr>
        <w:t xml:space="preserve"> </w:t>
      </w:r>
      <w:r>
        <w:rPr>
          <w:color w:val="auto"/>
          <w:spacing w:val="-3"/>
        </w:rPr>
        <w:t>抗力导致评标工作无法继续时，评标活动方可暂停。发生评标暂停情况时，评标委员会应当封存全部投标文件和评标记录，待不可抗力的影响结束且具备继续评</w:t>
      </w:r>
      <w:r>
        <w:rPr>
          <w:color w:val="auto"/>
          <w:spacing w:val="-109"/>
        </w:rPr>
        <w:t xml:space="preserve"> </w:t>
      </w:r>
      <w:r>
        <w:rPr>
          <w:color w:val="auto"/>
        </w:rPr>
        <w:t>标的条件时，由原评标委员会继续评标。</w:t>
      </w:r>
    </w:p>
    <w:p>
      <w:pPr>
        <w:pStyle w:val="8"/>
        <w:kinsoku w:val="0"/>
        <w:overflowPunct w:val="0"/>
        <w:spacing w:before="72" w:line="477" w:lineRule="auto"/>
        <w:ind w:right="237"/>
        <w:jc w:val="both"/>
        <w:rPr>
          <w:rFonts w:hint="default"/>
          <w:color w:val="auto"/>
        </w:rPr>
      </w:pPr>
      <w:r>
        <w:rPr>
          <w:color w:val="auto"/>
          <w:spacing w:val="-3"/>
        </w:rPr>
        <w:t>2、除非发生下列情况之一，评标委员会成员不得在评标中途更换：(1)因不</w:t>
      </w:r>
      <w:r>
        <w:rPr>
          <w:color w:val="auto"/>
        </w:rPr>
        <w:t xml:space="preserve"> 可抗拒的客观原因，不能到场或需在评标中途退出评标活动；(2)根据法律法规</w:t>
      </w:r>
      <w:r>
        <w:rPr>
          <w:color w:val="auto"/>
          <w:spacing w:val="-99"/>
        </w:rPr>
        <w:t xml:space="preserve"> </w:t>
      </w:r>
      <w:r>
        <w:rPr>
          <w:color w:val="auto"/>
          <w:spacing w:val="-3"/>
        </w:rPr>
        <w:t>规定，某个或某几个评标委员会成员需要回避。退出评标的评标委员会成员，其</w:t>
      </w:r>
      <w:r>
        <w:rPr>
          <w:color w:val="auto"/>
          <w:spacing w:val="-111"/>
        </w:rPr>
        <w:t xml:space="preserve"> </w:t>
      </w:r>
      <w:r>
        <w:rPr>
          <w:color w:val="auto"/>
          <w:spacing w:val="-3"/>
        </w:rPr>
        <w:t>已完成的评标行为无效。根据本招标文件规定的评标委员会成员产生方式另行确</w:t>
      </w:r>
      <w:r>
        <w:rPr>
          <w:color w:val="auto"/>
          <w:spacing w:val="-109"/>
        </w:rPr>
        <w:t xml:space="preserve"> </w:t>
      </w:r>
      <w:r>
        <w:rPr>
          <w:color w:val="auto"/>
        </w:rPr>
        <w:t>定替代者进行评标。</w:t>
      </w:r>
    </w:p>
    <w:p>
      <w:pPr>
        <w:pStyle w:val="8"/>
        <w:kinsoku w:val="0"/>
        <w:overflowPunct w:val="0"/>
        <w:spacing w:before="72" w:line="477" w:lineRule="auto"/>
        <w:ind w:right="237"/>
        <w:rPr>
          <w:rFonts w:hint="default"/>
          <w:color w:val="auto"/>
        </w:rPr>
      </w:pPr>
      <w:r>
        <w:rPr>
          <w:color w:val="auto"/>
        </w:rPr>
        <w:t>3、在任何评标环节中，需评标委员会就某项评审结论做出表决的，由评标 委员会全体成员按照少数服从多数的原则，以记名投票方式表决。</w:t>
      </w:r>
    </w:p>
    <w:p>
      <w:pPr>
        <w:pStyle w:val="8"/>
        <w:kinsoku w:val="0"/>
        <w:overflowPunct w:val="0"/>
        <w:spacing w:before="72" w:line="477" w:lineRule="auto"/>
        <w:ind w:right="117"/>
        <w:rPr>
          <w:rFonts w:hint="default"/>
          <w:color w:val="auto"/>
        </w:rPr>
      </w:pPr>
      <w:r>
        <w:rPr>
          <w:color w:val="auto"/>
          <w:spacing w:val="-3"/>
        </w:rPr>
        <w:t>4、推荐投标文件满足招标文件全部实质性要求，投标报价进行政策性扣减，</w:t>
      </w:r>
      <w:r>
        <w:rPr>
          <w:color w:val="auto"/>
        </w:rPr>
        <w:t xml:space="preserve"> </w:t>
      </w:r>
      <w:r>
        <w:rPr>
          <w:color w:val="auto"/>
          <w:spacing w:val="-3"/>
        </w:rPr>
        <w:t>最终依据扣减后的价格得分及商务技术得分总和，按综合得分由低到高顺序排列；综合评分相同，且评标价相同的，按技术评分由高到低顺序排列。综合评分相同，且评标价和技术评分均相同的，名次由评标委员会抽签决定。按照得分由高到低的顺序，</w:t>
      </w:r>
      <w:r>
        <w:rPr>
          <w:color w:val="auto"/>
        </w:rPr>
        <w:t>排名第一的</w:t>
      </w:r>
      <w:r>
        <w:rPr>
          <w:rFonts w:hint="eastAsia"/>
          <w:color w:val="auto"/>
          <w:lang w:eastAsia="zh-CN"/>
        </w:rPr>
        <w:t>供应商</w:t>
      </w:r>
      <w:r>
        <w:rPr>
          <w:color w:val="auto"/>
        </w:rPr>
        <w:t>为第一中标候选人。</w:t>
      </w:r>
    </w:p>
    <w:p>
      <w:pPr>
        <w:pStyle w:val="8"/>
        <w:kinsoku w:val="0"/>
        <w:overflowPunct w:val="0"/>
        <w:spacing w:before="72" w:line="477" w:lineRule="auto"/>
        <w:ind w:right="117"/>
        <w:rPr>
          <w:rFonts w:hint="default"/>
          <w:color w:val="auto"/>
        </w:rPr>
      </w:pPr>
    </w:p>
    <w:p>
      <w:pPr>
        <w:pStyle w:val="2"/>
        <w:kinsoku w:val="0"/>
        <w:overflowPunct w:val="0"/>
        <w:spacing w:line="433" w:lineRule="exact"/>
        <w:ind w:left="3216" w:hanging="840"/>
        <w:rPr>
          <w:rFonts w:hint="default"/>
          <w:color w:val="auto"/>
        </w:rPr>
      </w:pPr>
      <w:bookmarkStart w:id="41" w:name="第五部分_政府采购合同"/>
      <w:bookmarkEnd w:id="41"/>
    </w:p>
    <w:p>
      <w:pPr>
        <w:rPr>
          <w:rFonts w:hint="default"/>
          <w:color w:val="auto"/>
        </w:rPr>
      </w:pPr>
    </w:p>
    <w:p>
      <w:pPr>
        <w:pStyle w:val="8"/>
        <w:rPr>
          <w:rFonts w:hint="default"/>
          <w:color w:val="auto"/>
        </w:rPr>
      </w:pPr>
    </w:p>
    <w:p>
      <w:pPr>
        <w:pStyle w:val="8"/>
        <w:rPr>
          <w:rFonts w:hint="default"/>
          <w:color w:val="auto"/>
        </w:rPr>
      </w:pPr>
    </w:p>
    <w:p>
      <w:pPr>
        <w:pStyle w:val="8"/>
        <w:rPr>
          <w:rFonts w:hint="default"/>
          <w:color w:val="auto"/>
        </w:rPr>
      </w:pPr>
    </w:p>
    <w:p>
      <w:pPr>
        <w:pStyle w:val="8"/>
        <w:rPr>
          <w:rFonts w:hint="default"/>
          <w:color w:val="auto"/>
        </w:rPr>
      </w:pPr>
    </w:p>
    <w:p>
      <w:pPr>
        <w:pStyle w:val="2"/>
        <w:kinsoku w:val="0"/>
        <w:overflowPunct w:val="0"/>
        <w:spacing w:line="433" w:lineRule="exact"/>
        <w:ind w:left="3216" w:hanging="840"/>
        <w:rPr>
          <w:rFonts w:hint="default"/>
          <w:color w:val="auto"/>
        </w:rPr>
      </w:pPr>
    </w:p>
    <w:p>
      <w:pPr>
        <w:pStyle w:val="2"/>
        <w:kinsoku w:val="0"/>
        <w:overflowPunct w:val="0"/>
        <w:spacing w:line="433" w:lineRule="exact"/>
        <w:ind w:left="3216" w:hanging="840"/>
        <w:rPr>
          <w:rFonts w:hint="default"/>
          <w:color w:val="auto"/>
        </w:rPr>
      </w:pPr>
    </w:p>
    <w:p>
      <w:pPr>
        <w:pStyle w:val="2"/>
        <w:kinsoku w:val="0"/>
        <w:overflowPunct w:val="0"/>
        <w:spacing w:line="433" w:lineRule="exact"/>
        <w:ind w:left="3216" w:hanging="840"/>
        <w:rPr>
          <w:color w:val="auto"/>
        </w:rPr>
      </w:pPr>
    </w:p>
    <w:p>
      <w:pPr>
        <w:pStyle w:val="2"/>
        <w:kinsoku w:val="0"/>
        <w:overflowPunct w:val="0"/>
        <w:spacing w:line="433" w:lineRule="exact"/>
        <w:ind w:left="3216" w:hanging="840"/>
        <w:rPr>
          <w:color w:val="auto"/>
        </w:rPr>
      </w:pPr>
    </w:p>
    <w:p>
      <w:pPr>
        <w:pStyle w:val="2"/>
        <w:kinsoku w:val="0"/>
        <w:overflowPunct w:val="0"/>
        <w:spacing w:line="433" w:lineRule="exact"/>
        <w:ind w:left="3216" w:hanging="840"/>
        <w:rPr>
          <w:color w:val="auto"/>
        </w:rPr>
      </w:pPr>
    </w:p>
    <w:p>
      <w:pPr>
        <w:pStyle w:val="2"/>
        <w:kinsoku w:val="0"/>
        <w:overflowPunct w:val="0"/>
        <w:spacing w:line="433" w:lineRule="exact"/>
        <w:ind w:left="3216" w:hanging="840"/>
        <w:rPr>
          <w:color w:val="auto"/>
        </w:rPr>
      </w:pPr>
    </w:p>
    <w:p>
      <w:pPr>
        <w:pStyle w:val="2"/>
        <w:kinsoku w:val="0"/>
        <w:overflowPunct w:val="0"/>
        <w:spacing w:line="433" w:lineRule="exact"/>
        <w:ind w:left="3216" w:hanging="840"/>
        <w:rPr>
          <w:color w:val="auto"/>
        </w:rPr>
      </w:pPr>
    </w:p>
    <w:p>
      <w:pPr>
        <w:pStyle w:val="2"/>
        <w:kinsoku w:val="0"/>
        <w:overflowPunct w:val="0"/>
        <w:spacing w:line="433" w:lineRule="exact"/>
        <w:ind w:left="3216" w:hanging="840"/>
        <w:rPr>
          <w:color w:val="auto"/>
        </w:rPr>
      </w:pPr>
    </w:p>
    <w:p>
      <w:pPr>
        <w:pStyle w:val="2"/>
        <w:kinsoku w:val="0"/>
        <w:overflowPunct w:val="0"/>
        <w:spacing w:line="433" w:lineRule="exact"/>
        <w:ind w:left="3216" w:hanging="840"/>
        <w:rPr>
          <w:color w:val="auto"/>
        </w:rPr>
      </w:pPr>
    </w:p>
    <w:p>
      <w:pPr>
        <w:pStyle w:val="2"/>
        <w:kinsoku w:val="0"/>
        <w:overflowPunct w:val="0"/>
        <w:spacing w:line="433" w:lineRule="exact"/>
        <w:ind w:left="3216" w:hanging="840"/>
        <w:rPr>
          <w:color w:val="auto"/>
        </w:rPr>
      </w:pPr>
    </w:p>
    <w:p>
      <w:pPr>
        <w:pStyle w:val="2"/>
        <w:kinsoku w:val="0"/>
        <w:overflowPunct w:val="0"/>
        <w:spacing w:line="433" w:lineRule="exact"/>
        <w:ind w:left="3216" w:hanging="840"/>
        <w:rPr>
          <w:color w:val="auto"/>
        </w:rPr>
      </w:pPr>
    </w:p>
    <w:p>
      <w:pPr>
        <w:pStyle w:val="2"/>
        <w:kinsoku w:val="0"/>
        <w:overflowPunct w:val="0"/>
        <w:spacing w:line="433" w:lineRule="exact"/>
        <w:ind w:left="3216" w:hanging="840"/>
        <w:rPr>
          <w:color w:val="auto"/>
        </w:rPr>
      </w:pPr>
    </w:p>
    <w:p>
      <w:pPr>
        <w:pStyle w:val="2"/>
        <w:kinsoku w:val="0"/>
        <w:overflowPunct w:val="0"/>
        <w:spacing w:line="433" w:lineRule="exact"/>
        <w:ind w:left="3216" w:hanging="840"/>
        <w:rPr>
          <w:color w:val="auto"/>
        </w:rPr>
      </w:pPr>
    </w:p>
    <w:p>
      <w:pPr>
        <w:pStyle w:val="2"/>
        <w:kinsoku w:val="0"/>
        <w:overflowPunct w:val="0"/>
        <w:spacing w:line="433" w:lineRule="exact"/>
        <w:ind w:left="3216" w:hanging="840"/>
        <w:rPr>
          <w:color w:val="auto"/>
        </w:rPr>
      </w:pPr>
    </w:p>
    <w:p>
      <w:pPr>
        <w:pStyle w:val="2"/>
        <w:kinsoku w:val="0"/>
        <w:overflowPunct w:val="0"/>
        <w:spacing w:line="433" w:lineRule="exact"/>
        <w:ind w:left="3216" w:hanging="840"/>
        <w:rPr>
          <w:rFonts w:hint="default"/>
          <w:b w:val="0"/>
          <w:color w:val="auto"/>
        </w:rPr>
      </w:pPr>
      <w:r>
        <w:rPr>
          <w:color w:val="auto"/>
        </w:rPr>
        <w:t>第五部分</w:t>
      </w:r>
      <w:r>
        <w:rPr>
          <w:color w:val="auto"/>
          <w:spacing w:val="-7"/>
        </w:rPr>
        <w:t xml:space="preserve"> </w:t>
      </w:r>
      <w:r>
        <w:rPr>
          <w:color w:val="auto"/>
        </w:rPr>
        <w:t>政府采购合同</w:t>
      </w:r>
    </w:p>
    <w:p>
      <w:pPr>
        <w:pStyle w:val="2"/>
        <w:kinsoku w:val="0"/>
        <w:overflowPunct w:val="0"/>
        <w:spacing w:line="433" w:lineRule="exact"/>
        <w:ind w:left="3216" w:hanging="840"/>
        <w:rPr>
          <w:rFonts w:hint="default"/>
          <w:b w:val="0"/>
          <w:color w:val="auto"/>
        </w:rPr>
      </w:pPr>
      <w:bookmarkStart w:id="42" w:name="第一部分_协议书"/>
      <w:bookmarkEnd w:id="42"/>
    </w:p>
    <w:p>
      <w:pPr>
        <w:autoSpaceDE/>
        <w:autoSpaceDN/>
        <w:adjustRightInd/>
        <w:jc w:val="center"/>
        <w:rPr>
          <w:rFonts w:hint="default" w:ascii="Times New Roman" w:eastAsia="Times New Roman"/>
          <w:b/>
          <w:color w:val="auto"/>
          <w:kern w:val="2"/>
          <w:sz w:val="52"/>
          <w:szCs w:val="52"/>
        </w:rPr>
      </w:pPr>
    </w:p>
    <w:p>
      <w:pPr>
        <w:autoSpaceDE/>
        <w:autoSpaceDN/>
        <w:adjustRightInd/>
        <w:jc w:val="center"/>
        <w:rPr>
          <w:rFonts w:hint="default" w:ascii="Times New Roman" w:eastAsia="Times New Roman"/>
          <w:b/>
          <w:color w:val="auto"/>
          <w:kern w:val="2"/>
          <w:sz w:val="52"/>
          <w:szCs w:val="52"/>
        </w:rPr>
      </w:pPr>
    </w:p>
    <w:p>
      <w:pPr>
        <w:autoSpaceDE/>
        <w:autoSpaceDN/>
        <w:adjustRightInd/>
        <w:spacing w:before="70"/>
        <w:ind w:right="296"/>
        <w:jc w:val="both"/>
        <w:rPr>
          <w:rFonts w:hint="default" w:hAnsi="宋体" w:cs="宋体"/>
          <w:b/>
          <w:color w:val="auto"/>
          <w:kern w:val="2"/>
          <w:sz w:val="32"/>
          <w:szCs w:val="32"/>
        </w:rPr>
      </w:pPr>
    </w:p>
    <w:p>
      <w:pPr>
        <w:autoSpaceDE/>
        <w:autoSpaceDN/>
        <w:adjustRightInd/>
        <w:spacing w:before="70"/>
        <w:ind w:right="296" w:firstLine="643" w:firstLineChars="200"/>
        <w:jc w:val="both"/>
        <w:rPr>
          <w:rFonts w:hint="default" w:hAnsi="宋体" w:cs="宋体"/>
          <w:b/>
          <w:color w:val="auto"/>
          <w:kern w:val="2"/>
          <w:sz w:val="32"/>
          <w:szCs w:val="32"/>
          <w:u w:val="single"/>
        </w:rPr>
      </w:pPr>
      <w:r>
        <w:rPr>
          <w:rFonts w:hAnsi="宋体" w:cs="宋体"/>
          <w:b/>
          <w:color w:val="auto"/>
          <w:kern w:val="2"/>
          <w:sz w:val="32"/>
          <w:szCs w:val="32"/>
        </w:rPr>
        <w:t>项目名称：</w:t>
      </w:r>
      <w:r>
        <w:rPr>
          <w:rFonts w:hAnsi="宋体" w:cs="宋体"/>
          <w:b/>
          <w:color w:val="auto"/>
          <w:kern w:val="2"/>
          <w:sz w:val="32"/>
          <w:szCs w:val="32"/>
          <w:u w:val="single"/>
        </w:rPr>
        <w:t xml:space="preserve">                                   </w:t>
      </w:r>
    </w:p>
    <w:p>
      <w:pPr>
        <w:widowControl/>
        <w:autoSpaceDE/>
        <w:autoSpaceDN/>
        <w:adjustRightInd/>
        <w:rPr>
          <w:rFonts w:hint="default" w:ascii="Times New Roman" w:eastAsia="Times New Roman"/>
          <w:b/>
          <w:color w:val="auto"/>
          <w:kern w:val="2"/>
          <w:sz w:val="32"/>
          <w:szCs w:val="32"/>
          <w:u w:val="single"/>
        </w:rPr>
      </w:pPr>
    </w:p>
    <w:p>
      <w:pPr>
        <w:autoSpaceDE/>
        <w:autoSpaceDN/>
        <w:adjustRightInd/>
        <w:spacing w:line="360" w:lineRule="auto"/>
        <w:ind w:firstLine="1479" w:firstLineChars="462"/>
        <w:jc w:val="both"/>
        <w:rPr>
          <w:rFonts w:hint="default" w:ascii="Times New Roman" w:eastAsia="Times New Roman"/>
          <w:b/>
          <w:color w:val="auto"/>
          <w:kern w:val="2"/>
          <w:sz w:val="32"/>
          <w:szCs w:val="32"/>
        </w:rPr>
      </w:pPr>
    </w:p>
    <w:p>
      <w:pPr>
        <w:autoSpaceDE/>
        <w:autoSpaceDN/>
        <w:adjustRightInd/>
        <w:spacing w:line="360" w:lineRule="auto"/>
        <w:ind w:firstLine="1479" w:firstLineChars="462"/>
        <w:jc w:val="both"/>
        <w:rPr>
          <w:rFonts w:hint="default" w:ascii="Times New Roman" w:eastAsia="Times New Roman"/>
          <w:b/>
          <w:color w:val="auto"/>
          <w:kern w:val="2"/>
          <w:sz w:val="32"/>
          <w:szCs w:val="32"/>
        </w:rPr>
      </w:pPr>
    </w:p>
    <w:p>
      <w:pPr>
        <w:autoSpaceDE/>
        <w:autoSpaceDN/>
        <w:adjustRightInd/>
        <w:spacing w:line="360" w:lineRule="auto"/>
        <w:ind w:firstLine="1479" w:firstLineChars="462"/>
        <w:jc w:val="both"/>
        <w:rPr>
          <w:rFonts w:hint="default" w:ascii="Times New Roman" w:eastAsia="Times New Roman"/>
          <w:b/>
          <w:color w:val="auto"/>
          <w:kern w:val="2"/>
          <w:sz w:val="32"/>
          <w:szCs w:val="32"/>
        </w:rPr>
      </w:pPr>
    </w:p>
    <w:p>
      <w:pPr>
        <w:autoSpaceDE/>
        <w:autoSpaceDN/>
        <w:adjustRightInd/>
        <w:spacing w:line="360" w:lineRule="auto"/>
        <w:ind w:firstLine="1479" w:firstLineChars="462"/>
        <w:jc w:val="both"/>
        <w:rPr>
          <w:rFonts w:hint="default" w:ascii="Times New Roman" w:eastAsia="Times New Roman"/>
          <w:b/>
          <w:color w:val="auto"/>
          <w:kern w:val="2"/>
          <w:sz w:val="32"/>
          <w:szCs w:val="32"/>
        </w:rPr>
      </w:pPr>
    </w:p>
    <w:p>
      <w:pPr>
        <w:autoSpaceDE/>
        <w:autoSpaceDN/>
        <w:adjustRightInd/>
        <w:spacing w:line="360" w:lineRule="auto"/>
        <w:ind w:firstLine="1479" w:firstLineChars="462"/>
        <w:jc w:val="both"/>
        <w:rPr>
          <w:rFonts w:hint="default" w:ascii="Times New Roman" w:eastAsia="Times New Roman"/>
          <w:b/>
          <w:color w:val="auto"/>
          <w:kern w:val="2"/>
          <w:sz w:val="32"/>
          <w:szCs w:val="32"/>
        </w:rPr>
      </w:pPr>
    </w:p>
    <w:p>
      <w:pPr>
        <w:autoSpaceDE/>
        <w:autoSpaceDN/>
        <w:adjustRightInd/>
        <w:spacing w:line="360" w:lineRule="auto"/>
        <w:jc w:val="both"/>
        <w:rPr>
          <w:rFonts w:hint="default" w:ascii="Times New Roman" w:eastAsia="Times New Roman"/>
          <w:b/>
          <w:color w:val="auto"/>
          <w:kern w:val="2"/>
          <w:sz w:val="32"/>
          <w:szCs w:val="32"/>
        </w:rPr>
      </w:pPr>
    </w:p>
    <w:p>
      <w:pPr>
        <w:autoSpaceDE/>
        <w:autoSpaceDN/>
        <w:adjustRightInd/>
        <w:spacing w:line="360" w:lineRule="auto"/>
        <w:ind w:firstLine="1479" w:firstLineChars="462"/>
        <w:jc w:val="both"/>
        <w:rPr>
          <w:rFonts w:hint="default" w:ascii="Times New Roman" w:eastAsia="Times New Roman"/>
          <w:b/>
          <w:color w:val="auto"/>
          <w:kern w:val="2"/>
          <w:sz w:val="32"/>
          <w:szCs w:val="32"/>
        </w:rPr>
      </w:pPr>
    </w:p>
    <w:p>
      <w:pPr>
        <w:autoSpaceDE/>
        <w:autoSpaceDN/>
        <w:adjustRightInd/>
        <w:spacing w:line="360" w:lineRule="auto"/>
        <w:ind w:firstLine="1479" w:firstLineChars="462"/>
        <w:jc w:val="both"/>
        <w:rPr>
          <w:rFonts w:hint="default" w:ascii="Times New Roman" w:eastAsia="Times New Roman"/>
          <w:b/>
          <w:color w:val="auto"/>
          <w:kern w:val="2"/>
          <w:sz w:val="32"/>
          <w:szCs w:val="32"/>
        </w:rPr>
      </w:pPr>
    </w:p>
    <w:p>
      <w:pPr>
        <w:autoSpaceDE/>
        <w:autoSpaceDN/>
        <w:adjustRightInd/>
        <w:spacing w:line="360" w:lineRule="auto"/>
        <w:ind w:firstLine="640" w:firstLineChars="200"/>
        <w:jc w:val="both"/>
        <w:rPr>
          <w:rFonts w:hint="default" w:hAnsi="宋体" w:cs="宋体"/>
          <w:color w:val="auto"/>
          <w:kern w:val="2"/>
          <w:sz w:val="32"/>
          <w:szCs w:val="32"/>
          <w:u w:val="single"/>
        </w:rPr>
      </w:pPr>
      <w:r>
        <w:rPr>
          <w:rFonts w:hAnsi="宋体" w:cs="宋体"/>
          <w:color w:val="auto"/>
          <w:kern w:val="2"/>
          <w:sz w:val="32"/>
          <w:szCs w:val="32"/>
        </w:rPr>
        <w:t>甲   方∶</w:t>
      </w:r>
      <w:r>
        <w:rPr>
          <w:rFonts w:hint="eastAsia" w:hAnsi="宋体" w:cs="宋体"/>
          <w:color w:val="auto"/>
          <w:kern w:val="2"/>
          <w:sz w:val="32"/>
          <w:szCs w:val="32"/>
          <w:u w:val="single"/>
          <w:lang w:eastAsia="zh-CN"/>
        </w:rPr>
        <w:t>尼勒克县人民医院</w:t>
      </w:r>
      <w:r>
        <w:rPr>
          <w:rFonts w:hAnsi="宋体" w:cs="宋体"/>
          <w:color w:val="auto"/>
          <w:kern w:val="2"/>
          <w:sz w:val="32"/>
          <w:szCs w:val="32"/>
          <w:u w:val="single"/>
        </w:rPr>
        <w:t xml:space="preserve">   </w:t>
      </w:r>
    </w:p>
    <w:p>
      <w:pPr>
        <w:autoSpaceDE/>
        <w:autoSpaceDN/>
        <w:adjustRightInd/>
        <w:spacing w:line="360" w:lineRule="auto"/>
        <w:ind w:firstLine="640" w:firstLineChars="200"/>
        <w:jc w:val="both"/>
        <w:rPr>
          <w:rFonts w:hint="default" w:hAnsi="宋体" w:cs="宋体"/>
          <w:color w:val="auto"/>
          <w:kern w:val="2"/>
          <w:sz w:val="32"/>
          <w:szCs w:val="32"/>
          <w:u w:val="single"/>
        </w:rPr>
      </w:pPr>
      <w:r>
        <w:rPr>
          <w:rFonts w:hAnsi="宋体" w:cs="宋体"/>
          <w:color w:val="auto"/>
          <w:kern w:val="2"/>
          <w:sz w:val="32"/>
          <w:szCs w:val="32"/>
        </w:rPr>
        <w:t>乙   方∶</w:t>
      </w:r>
      <w:r>
        <w:rPr>
          <w:rFonts w:hAnsi="宋体" w:cs="宋体"/>
          <w:color w:val="auto"/>
          <w:kern w:val="2"/>
          <w:sz w:val="32"/>
          <w:szCs w:val="32"/>
          <w:u w:val="single"/>
        </w:rPr>
        <w:t xml:space="preserve">                                       </w:t>
      </w:r>
    </w:p>
    <w:p>
      <w:pPr>
        <w:autoSpaceDE/>
        <w:autoSpaceDN/>
        <w:adjustRightInd/>
        <w:spacing w:line="360" w:lineRule="auto"/>
        <w:jc w:val="both"/>
        <w:rPr>
          <w:rFonts w:hint="default" w:ascii="Times New Roman" w:eastAsia="Times New Roman"/>
          <w:b/>
          <w:color w:val="auto"/>
          <w:kern w:val="2"/>
          <w:sz w:val="32"/>
          <w:szCs w:val="32"/>
          <w:u w:val="single"/>
        </w:rPr>
      </w:pPr>
    </w:p>
    <w:p>
      <w:pPr>
        <w:autoSpaceDE/>
        <w:autoSpaceDN/>
        <w:adjustRightInd/>
        <w:spacing w:line="360" w:lineRule="auto"/>
        <w:jc w:val="both"/>
        <w:rPr>
          <w:rFonts w:hint="default" w:ascii="Times New Roman" w:eastAsia="Times New Roman"/>
          <w:b/>
          <w:color w:val="auto"/>
          <w:kern w:val="2"/>
          <w:sz w:val="32"/>
          <w:szCs w:val="32"/>
          <w:u w:val="single"/>
        </w:rPr>
      </w:pPr>
    </w:p>
    <w:p>
      <w:pPr>
        <w:autoSpaceDE/>
        <w:autoSpaceDN/>
        <w:adjustRightInd/>
        <w:spacing w:line="360" w:lineRule="auto"/>
        <w:ind w:firstLine="480" w:firstLineChars="200"/>
        <w:jc w:val="both"/>
        <w:rPr>
          <w:rFonts w:hint="default" w:ascii="Times New Roman" w:eastAsia="Times New Roman"/>
          <w:color w:val="auto"/>
          <w:kern w:val="2"/>
          <w:szCs w:val="22"/>
        </w:rPr>
        <w:sectPr>
          <w:footerReference r:id="rId13" w:type="default"/>
          <w:pgSz w:w="11906" w:h="16838"/>
          <w:pgMar w:top="1440" w:right="1474" w:bottom="1157" w:left="1587" w:header="851" w:footer="992" w:gutter="0"/>
          <w:pgNumType w:fmt="decimal"/>
          <w:cols w:space="720" w:num="1"/>
          <w:docGrid w:type="lines" w:linePitch="312" w:charSpace="0"/>
        </w:sectPr>
      </w:pPr>
    </w:p>
    <w:p>
      <w:pPr>
        <w:autoSpaceDE/>
        <w:autoSpaceDN/>
        <w:adjustRightInd/>
        <w:spacing w:line="520" w:lineRule="exact"/>
        <w:ind w:firstLine="640" w:firstLineChars="200"/>
        <w:jc w:val="both"/>
        <w:rPr>
          <w:rFonts w:hint="default" w:ascii="Times New Roman" w:eastAsia="Times New Roman"/>
          <w:color w:val="auto"/>
          <w:kern w:val="2"/>
          <w:sz w:val="32"/>
          <w:szCs w:val="32"/>
          <w:u w:val="single"/>
        </w:rPr>
      </w:pPr>
      <w:r>
        <w:rPr>
          <w:rFonts w:ascii="Times New Roman" w:eastAsia="仿宋_GB2312"/>
          <w:color w:val="auto"/>
          <w:kern w:val="2"/>
          <w:sz w:val="32"/>
          <w:szCs w:val="32"/>
        </w:rPr>
        <w:t>甲</w:t>
      </w:r>
      <w:r>
        <w:rPr>
          <w:rFonts w:ascii="Times New Roman" w:eastAsia="Times New Roman"/>
          <w:color w:val="auto"/>
          <w:kern w:val="2"/>
          <w:sz w:val="32"/>
          <w:szCs w:val="32"/>
        </w:rPr>
        <w:t xml:space="preserve">   </w:t>
      </w:r>
      <w:r>
        <w:rPr>
          <w:rFonts w:ascii="Times New Roman" w:eastAsia="仿宋_GB2312"/>
          <w:color w:val="auto"/>
          <w:kern w:val="2"/>
          <w:sz w:val="32"/>
          <w:szCs w:val="32"/>
        </w:rPr>
        <w:t>方</w:t>
      </w:r>
      <w:r>
        <w:rPr>
          <w:rFonts w:hAnsi="宋体" w:cs="宋体"/>
          <w:color w:val="auto"/>
          <w:kern w:val="2"/>
          <w:sz w:val="32"/>
          <w:szCs w:val="32"/>
        </w:rPr>
        <w:t>∶</w:t>
      </w:r>
      <w:r>
        <w:rPr>
          <w:rFonts w:hint="eastAsia" w:ascii="Times New Roman" w:eastAsia="仿宋_GB2312"/>
          <w:color w:val="auto"/>
          <w:kern w:val="2"/>
          <w:sz w:val="32"/>
          <w:szCs w:val="32"/>
          <w:u w:val="single"/>
          <w:lang w:eastAsia="zh-CN"/>
        </w:rPr>
        <w:t>尼勒克县人民医院</w:t>
      </w:r>
      <w:r>
        <w:rPr>
          <w:rFonts w:ascii="Times New Roman" w:eastAsia="仿宋_GB2312"/>
          <w:color w:val="auto"/>
          <w:kern w:val="2"/>
          <w:sz w:val="32"/>
          <w:szCs w:val="32"/>
          <w:u w:val="single"/>
        </w:rPr>
        <w:t xml:space="preserve">  </w:t>
      </w:r>
      <w:r>
        <w:rPr>
          <w:rFonts w:ascii="Times New Roman" w:eastAsia="Times New Roman"/>
          <w:color w:val="auto"/>
          <w:kern w:val="2"/>
          <w:sz w:val="32"/>
          <w:szCs w:val="32"/>
          <w:u w:val="single"/>
        </w:rPr>
        <w:t xml:space="preserve"> </w:t>
      </w:r>
    </w:p>
    <w:p>
      <w:pPr>
        <w:autoSpaceDE/>
        <w:autoSpaceDN/>
        <w:adjustRightInd/>
        <w:spacing w:line="520" w:lineRule="exact"/>
        <w:ind w:firstLine="640" w:firstLineChars="200"/>
        <w:jc w:val="both"/>
        <w:rPr>
          <w:rFonts w:hint="default" w:ascii="Times New Roman" w:eastAsia="Times New Roman"/>
          <w:color w:val="auto"/>
          <w:kern w:val="2"/>
          <w:sz w:val="32"/>
          <w:szCs w:val="32"/>
          <w:u w:val="single"/>
        </w:rPr>
      </w:pPr>
      <w:r>
        <w:rPr>
          <w:rFonts w:ascii="Times New Roman" w:eastAsia="仿宋_GB2312"/>
          <w:color w:val="auto"/>
          <w:kern w:val="2"/>
          <w:sz w:val="32"/>
          <w:szCs w:val="32"/>
        </w:rPr>
        <w:t>乙</w:t>
      </w:r>
      <w:r>
        <w:rPr>
          <w:rFonts w:ascii="Times New Roman" w:eastAsia="Times New Roman"/>
          <w:color w:val="auto"/>
          <w:kern w:val="2"/>
          <w:sz w:val="32"/>
          <w:szCs w:val="32"/>
        </w:rPr>
        <w:t xml:space="preserve">   </w:t>
      </w:r>
      <w:r>
        <w:rPr>
          <w:rFonts w:ascii="Times New Roman" w:eastAsia="仿宋_GB2312"/>
          <w:color w:val="auto"/>
          <w:kern w:val="2"/>
          <w:sz w:val="32"/>
          <w:szCs w:val="32"/>
        </w:rPr>
        <w:t>方</w:t>
      </w:r>
      <w:r>
        <w:rPr>
          <w:rFonts w:hAnsi="宋体" w:cs="宋体"/>
          <w:color w:val="auto"/>
          <w:kern w:val="2"/>
          <w:sz w:val="32"/>
          <w:szCs w:val="32"/>
        </w:rPr>
        <w:t>∶</w:t>
      </w:r>
      <w:r>
        <w:rPr>
          <w:rFonts w:ascii="Times New Roman" w:eastAsia="Times New Roman"/>
          <w:color w:val="auto"/>
          <w:kern w:val="2"/>
          <w:sz w:val="32"/>
          <w:szCs w:val="32"/>
          <w:u w:val="single"/>
        </w:rPr>
        <w:t xml:space="preserve">                                       </w:t>
      </w:r>
    </w:p>
    <w:p>
      <w:pPr>
        <w:autoSpaceDE/>
        <w:autoSpaceDN/>
        <w:adjustRightInd/>
        <w:spacing w:line="520" w:lineRule="exact"/>
        <w:ind w:firstLine="640" w:firstLineChars="200"/>
        <w:jc w:val="both"/>
        <w:rPr>
          <w:rFonts w:hint="default" w:ascii="Times New Roman" w:eastAsia="Times New Roman"/>
          <w:color w:val="auto"/>
          <w:kern w:val="2"/>
          <w:sz w:val="32"/>
          <w:szCs w:val="32"/>
        </w:rPr>
      </w:pPr>
      <w:r>
        <w:rPr>
          <w:rFonts w:ascii="Times New Roman" w:eastAsia="仿宋_GB2312"/>
          <w:color w:val="auto"/>
          <w:kern w:val="2"/>
          <w:sz w:val="32"/>
          <w:szCs w:val="32"/>
        </w:rPr>
        <w:t>甲、乙双方根据《中华人民共和国政府采购法》、《中华人民共和国民法典》等相关法律以及本项目招标文件的规定，经平等协商达成合同如下：</w:t>
      </w:r>
    </w:p>
    <w:p>
      <w:pPr>
        <w:autoSpaceDE/>
        <w:autoSpaceDN/>
        <w:adjustRightInd/>
        <w:spacing w:line="520" w:lineRule="exact"/>
        <w:ind w:firstLine="643" w:firstLineChars="200"/>
        <w:jc w:val="both"/>
        <w:rPr>
          <w:rFonts w:hint="default" w:ascii="仿宋_GB2312" w:hAnsi="仿宋_GB2312" w:eastAsia="仿宋_GB2312" w:cs="仿宋_GB2312"/>
          <w:b/>
          <w:color w:val="auto"/>
          <w:kern w:val="2"/>
          <w:sz w:val="32"/>
          <w:szCs w:val="32"/>
        </w:rPr>
      </w:pPr>
      <w:r>
        <w:rPr>
          <w:rFonts w:ascii="仿宋_GB2312" w:hAnsi="仿宋_GB2312" w:eastAsia="仿宋_GB2312" w:cs="仿宋_GB2312"/>
          <w:b/>
          <w:color w:val="auto"/>
          <w:kern w:val="2"/>
          <w:sz w:val="32"/>
          <w:szCs w:val="32"/>
        </w:rPr>
        <w:t>第一条 合同的范围和条件</w:t>
      </w:r>
    </w:p>
    <w:p>
      <w:pPr>
        <w:autoSpaceDE/>
        <w:autoSpaceDN/>
        <w:adjustRightInd/>
        <w:spacing w:line="520" w:lineRule="exact"/>
        <w:ind w:firstLine="640" w:firstLineChars="200"/>
        <w:rPr>
          <w:rFonts w:hint="default" w:ascii="Times New Roman" w:eastAsia="Times New Roman"/>
          <w:color w:val="auto"/>
          <w:kern w:val="2"/>
          <w:sz w:val="32"/>
          <w:szCs w:val="32"/>
          <w:u w:val="single"/>
        </w:rPr>
      </w:pPr>
      <w:r>
        <w:rPr>
          <w:rFonts w:ascii="Times New Roman" w:eastAsia="仿宋_GB2312"/>
          <w:color w:val="auto"/>
          <w:kern w:val="2"/>
          <w:sz w:val="32"/>
          <w:szCs w:val="32"/>
        </w:rPr>
        <w:t>（一）项目名称：</w:t>
      </w:r>
      <w:r>
        <w:rPr>
          <w:rFonts w:ascii="Times New Roman" w:eastAsia="Times New Roman"/>
          <w:color w:val="auto"/>
          <w:kern w:val="2"/>
          <w:sz w:val="32"/>
          <w:szCs w:val="32"/>
          <w:u w:val="single"/>
        </w:rPr>
        <w:t xml:space="preserve">                  </w:t>
      </w:r>
      <w:r>
        <w:rPr>
          <w:rFonts w:ascii="Times New Roman" w:eastAsia="仿宋_GB2312"/>
          <w:color w:val="auto"/>
          <w:kern w:val="2"/>
          <w:sz w:val="32"/>
          <w:szCs w:val="32"/>
          <w:u w:val="single"/>
        </w:rPr>
        <w:t>。</w:t>
      </w:r>
    </w:p>
    <w:p>
      <w:pPr>
        <w:autoSpaceDE/>
        <w:autoSpaceDN/>
        <w:adjustRightInd/>
        <w:spacing w:line="520" w:lineRule="exact"/>
        <w:ind w:firstLine="640" w:firstLineChars="200"/>
        <w:jc w:val="both"/>
        <w:rPr>
          <w:rFonts w:hint="default" w:ascii="Times New Roman" w:eastAsia="Times New Roman"/>
          <w:color w:val="auto"/>
          <w:kern w:val="2"/>
          <w:sz w:val="32"/>
          <w:szCs w:val="32"/>
        </w:rPr>
      </w:pPr>
      <w:r>
        <w:rPr>
          <w:rFonts w:ascii="Times New Roman" w:eastAsia="仿宋_GB2312"/>
          <w:color w:val="auto"/>
          <w:kern w:val="2"/>
          <w:sz w:val="32"/>
          <w:szCs w:val="32"/>
        </w:rPr>
        <w:t>（二）项目地点：</w:t>
      </w:r>
      <w:r>
        <w:rPr>
          <w:rFonts w:ascii="Times New Roman" w:eastAsia="Times New Roman"/>
          <w:color w:val="auto"/>
          <w:kern w:val="2"/>
          <w:sz w:val="32"/>
          <w:szCs w:val="32"/>
          <w:u w:val="single"/>
        </w:rPr>
        <w:t xml:space="preserve">                  </w:t>
      </w:r>
      <w:r>
        <w:rPr>
          <w:rFonts w:ascii="Times New Roman" w:eastAsia="仿宋_GB2312"/>
          <w:color w:val="auto"/>
          <w:kern w:val="2"/>
          <w:sz w:val="32"/>
          <w:szCs w:val="32"/>
          <w:u w:val="single"/>
        </w:rPr>
        <w:t>。</w:t>
      </w:r>
    </w:p>
    <w:p>
      <w:pPr>
        <w:autoSpaceDE/>
        <w:autoSpaceDN/>
        <w:adjustRightInd/>
        <w:spacing w:line="520" w:lineRule="exact"/>
        <w:ind w:firstLine="640" w:firstLineChars="200"/>
        <w:jc w:val="both"/>
        <w:rPr>
          <w:rFonts w:hint="default" w:ascii="Times New Roman" w:eastAsia="Times New Roman"/>
          <w:color w:val="auto"/>
          <w:kern w:val="2"/>
          <w:sz w:val="32"/>
          <w:szCs w:val="32"/>
        </w:rPr>
      </w:pPr>
      <w:r>
        <w:rPr>
          <w:rFonts w:ascii="Times New Roman" w:eastAsia="仿宋_GB2312"/>
          <w:color w:val="auto"/>
          <w:kern w:val="2"/>
          <w:sz w:val="32"/>
          <w:szCs w:val="32"/>
        </w:rPr>
        <w:t>（三）工程施工内容：</w:t>
      </w:r>
      <w:r>
        <w:rPr>
          <w:rFonts w:ascii="Times New Roman" w:eastAsia="Times New Roman"/>
          <w:color w:val="auto"/>
          <w:kern w:val="2"/>
          <w:sz w:val="32"/>
          <w:szCs w:val="32"/>
          <w:u w:val="single"/>
        </w:rPr>
        <w:t xml:space="preserve">                         </w:t>
      </w:r>
      <w:r>
        <w:rPr>
          <w:rFonts w:ascii="Times New Roman" w:eastAsia="仿宋_GB2312"/>
          <w:color w:val="auto"/>
          <w:kern w:val="2"/>
          <w:sz w:val="32"/>
          <w:szCs w:val="32"/>
          <w:u w:val="single"/>
        </w:rPr>
        <w:t>。</w:t>
      </w:r>
    </w:p>
    <w:p>
      <w:pPr>
        <w:autoSpaceDE/>
        <w:autoSpaceDN/>
        <w:adjustRightInd/>
        <w:spacing w:line="520" w:lineRule="exact"/>
        <w:ind w:firstLine="640" w:firstLineChars="200"/>
        <w:jc w:val="both"/>
        <w:rPr>
          <w:rFonts w:hint="default" w:ascii="Times New Roman" w:eastAsia="Times New Roman"/>
          <w:color w:val="auto"/>
          <w:kern w:val="2"/>
          <w:sz w:val="32"/>
          <w:szCs w:val="32"/>
        </w:rPr>
      </w:pPr>
      <w:r>
        <w:rPr>
          <w:rFonts w:ascii="Times New Roman" w:eastAsia="仿宋_GB2312"/>
          <w:color w:val="auto"/>
          <w:kern w:val="2"/>
          <w:sz w:val="32"/>
          <w:szCs w:val="32"/>
        </w:rPr>
        <w:t>（四）工程承包方式：项目建设所需材料、设备安装以及项目实施均由乙方负责完成。</w:t>
      </w:r>
    </w:p>
    <w:p>
      <w:pPr>
        <w:autoSpaceDE/>
        <w:autoSpaceDN/>
        <w:adjustRightInd/>
        <w:spacing w:line="520" w:lineRule="exact"/>
        <w:ind w:firstLine="640" w:firstLineChars="200"/>
        <w:jc w:val="both"/>
        <w:rPr>
          <w:rFonts w:hint="default" w:ascii="Times New Roman" w:eastAsia="Times New Roman"/>
          <w:color w:val="auto"/>
          <w:kern w:val="2"/>
          <w:sz w:val="32"/>
          <w:szCs w:val="32"/>
        </w:rPr>
      </w:pPr>
      <w:r>
        <w:rPr>
          <w:rFonts w:ascii="Times New Roman" w:eastAsia="仿宋_GB2312"/>
          <w:color w:val="auto"/>
          <w:kern w:val="2"/>
          <w:sz w:val="32"/>
          <w:szCs w:val="32"/>
        </w:rPr>
        <w:t>（五）合同履行期限：自合同签订之日起到</w:t>
      </w:r>
      <w:r>
        <w:rPr>
          <w:rFonts w:ascii="Times New Roman" w:eastAsia="Times New Roman"/>
          <w:color w:val="auto"/>
          <w:kern w:val="2"/>
          <w:sz w:val="32"/>
          <w:szCs w:val="32"/>
          <w:u w:val="single"/>
        </w:rPr>
        <w:t xml:space="preserve">  </w:t>
      </w:r>
      <w:r>
        <w:rPr>
          <w:rFonts w:ascii="Times New Roman" w:eastAsia="仿宋_GB2312"/>
          <w:color w:val="auto"/>
          <w:kern w:val="2"/>
          <w:sz w:val="32"/>
          <w:szCs w:val="32"/>
        </w:rPr>
        <w:t>年</w:t>
      </w:r>
      <w:r>
        <w:rPr>
          <w:rFonts w:ascii="Times New Roman" w:eastAsia="Times New Roman"/>
          <w:color w:val="auto"/>
          <w:kern w:val="2"/>
          <w:sz w:val="32"/>
          <w:szCs w:val="32"/>
          <w:u w:val="single"/>
        </w:rPr>
        <w:t xml:space="preserve">  </w:t>
      </w:r>
      <w:r>
        <w:rPr>
          <w:rFonts w:ascii="Times New Roman" w:eastAsia="仿宋_GB2312"/>
          <w:color w:val="auto"/>
          <w:kern w:val="2"/>
          <w:sz w:val="32"/>
          <w:szCs w:val="32"/>
        </w:rPr>
        <w:t>月</w:t>
      </w:r>
      <w:r>
        <w:rPr>
          <w:rFonts w:ascii="Times New Roman" w:eastAsia="Times New Roman"/>
          <w:color w:val="auto"/>
          <w:kern w:val="2"/>
          <w:sz w:val="32"/>
          <w:szCs w:val="32"/>
          <w:u w:val="single"/>
        </w:rPr>
        <w:t xml:space="preserve">  </w:t>
      </w:r>
      <w:r>
        <w:rPr>
          <w:rFonts w:ascii="Times New Roman" w:eastAsia="仿宋_GB2312"/>
          <w:color w:val="auto"/>
          <w:kern w:val="2"/>
          <w:sz w:val="32"/>
          <w:szCs w:val="32"/>
        </w:rPr>
        <w:t>日止。</w:t>
      </w:r>
    </w:p>
    <w:p>
      <w:pPr>
        <w:autoSpaceDE/>
        <w:autoSpaceDN/>
        <w:adjustRightInd/>
        <w:spacing w:line="520" w:lineRule="exact"/>
        <w:ind w:firstLine="640" w:firstLineChars="200"/>
        <w:jc w:val="both"/>
        <w:rPr>
          <w:rFonts w:hint="default" w:ascii="Times New Roman" w:eastAsia="Times New Roman"/>
          <w:color w:val="auto"/>
          <w:kern w:val="2"/>
          <w:sz w:val="32"/>
          <w:szCs w:val="32"/>
        </w:rPr>
      </w:pPr>
      <w:r>
        <w:rPr>
          <w:rFonts w:ascii="Times New Roman" w:eastAsia="仿宋_GB2312"/>
          <w:color w:val="auto"/>
          <w:kern w:val="2"/>
          <w:sz w:val="32"/>
          <w:szCs w:val="32"/>
        </w:rPr>
        <w:t>（六）工程进度要求：</w:t>
      </w:r>
      <w:r>
        <w:rPr>
          <w:rFonts w:ascii="Times New Roman" w:eastAsia="Times New Roman"/>
          <w:color w:val="auto"/>
          <w:kern w:val="2"/>
          <w:sz w:val="32"/>
          <w:szCs w:val="32"/>
          <w:u w:val="single"/>
        </w:rPr>
        <w:t xml:space="preserve">                       </w:t>
      </w:r>
      <w:r>
        <w:rPr>
          <w:rFonts w:ascii="Times New Roman" w:eastAsia="仿宋_GB2312"/>
          <w:color w:val="auto"/>
          <w:kern w:val="2"/>
          <w:sz w:val="32"/>
          <w:szCs w:val="32"/>
        </w:rPr>
        <w:t>。</w:t>
      </w:r>
    </w:p>
    <w:p>
      <w:pPr>
        <w:autoSpaceDE/>
        <w:autoSpaceDN/>
        <w:adjustRightInd/>
        <w:spacing w:line="520" w:lineRule="exact"/>
        <w:ind w:firstLine="640" w:firstLineChars="200"/>
        <w:jc w:val="both"/>
        <w:rPr>
          <w:rFonts w:hint="default" w:ascii="Times New Roman" w:eastAsia="Times New Roman"/>
          <w:color w:val="auto"/>
          <w:kern w:val="2"/>
          <w:sz w:val="32"/>
          <w:szCs w:val="32"/>
        </w:rPr>
      </w:pPr>
      <w:r>
        <w:rPr>
          <w:rFonts w:ascii="Times New Roman" w:eastAsia="仿宋_GB2312"/>
          <w:color w:val="auto"/>
          <w:kern w:val="2"/>
          <w:sz w:val="32"/>
          <w:szCs w:val="32"/>
        </w:rPr>
        <w:t>（七）工程质量标准：符合相关验收标准（合格及以上），乙方接受并严格按照甲方委托的第三方监理机构在合同履行过程中提出的建议和意见，并受监理机构的监督。</w:t>
      </w:r>
    </w:p>
    <w:p>
      <w:pPr>
        <w:autoSpaceDE/>
        <w:autoSpaceDN/>
        <w:adjustRightInd/>
        <w:spacing w:line="520" w:lineRule="exact"/>
        <w:ind w:firstLine="643" w:firstLineChars="200"/>
        <w:jc w:val="both"/>
        <w:rPr>
          <w:rFonts w:hint="default" w:ascii="Times New Roman" w:eastAsia="Times New Roman"/>
          <w:b/>
          <w:color w:val="auto"/>
          <w:kern w:val="2"/>
          <w:sz w:val="32"/>
          <w:szCs w:val="32"/>
        </w:rPr>
      </w:pPr>
      <w:r>
        <w:rPr>
          <w:rFonts w:ascii="Times New Roman" w:eastAsia="仿宋_GB2312"/>
          <w:b/>
          <w:color w:val="auto"/>
          <w:kern w:val="2"/>
          <w:sz w:val="32"/>
          <w:szCs w:val="32"/>
        </w:rPr>
        <w:t>第二条</w:t>
      </w:r>
      <w:r>
        <w:rPr>
          <w:rFonts w:ascii="Times New Roman" w:eastAsia="Times New Roman"/>
          <w:b/>
          <w:color w:val="auto"/>
          <w:kern w:val="2"/>
          <w:sz w:val="32"/>
          <w:szCs w:val="32"/>
        </w:rPr>
        <w:t xml:space="preserve"> </w:t>
      </w:r>
      <w:r>
        <w:rPr>
          <w:rFonts w:ascii="Times New Roman" w:eastAsia="仿宋_GB2312"/>
          <w:b/>
          <w:color w:val="auto"/>
          <w:kern w:val="2"/>
          <w:sz w:val="32"/>
          <w:szCs w:val="32"/>
        </w:rPr>
        <w:t>货物、数量及规格</w:t>
      </w:r>
    </w:p>
    <w:p>
      <w:pPr>
        <w:autoSpaceDE/>
        <w:autoSpaceDN/>
        <w:adjustRightInd/>
        <w:spacing w:line="520" w:lineRule="exact"/>
        <w:ind w:firstLine="640" w:firstLineChars="200"/>
        <w:jc w:val="both"/>
        <w:rPr>
          <w:rFonts w:hint="default" w:ascii="Times New Roman" w:eastAsia="Times New Roman"/>
          <w:b/>
          <w:color w:val="auto"/>
          <w:kern w:val="2"/>
          <w:sz w:val="32"/>
          <w:szCs w:val="32"/>
        </w:rPr>
      </w:pPr>
      <w:r>
        <w:rPr>
          <w:rFonts w:ascii="Times New Roman" w:eastAsia="仿宋_GB2312"/>
          <w:color w:val="auto"/>
          <w:kern w:val="2"/>
          <w:sz w:val="32"/>
          <w:szCs w:val="32"/>
        </w:rPr>
        <w:t>本合同乙方所提供的货物、数量及规格以实施方案内容为准。</w:t>
      </w:r>
    </w:p>
    <w:p>
      <w:pPr>
        <w:autoSpaceDE/>
        <w:autoSpaceDN/>
        <w:adjustRightInd/>
        <w:spacing w:line="520" w:lineRule="exact"/>
        <w:ind w:firstLine="643" w:firstLineChars="200"/>
        <w:jc w:val="both"/>
        <w:rPr>
          <w:rFonts w:hint="default" w:ascii="Times New Roman" w:eastAsia="Times New Roman"/>
          <w:color w:val="auto"/>
          <w:kern w:val="2"/>
          <w:sz w:val="32"/>
          <w:szCs w:val="32"/>
        </w:rPr>
      </w:pPr>
      <w:r>
        <w:rPr>
          <w:rFonts w:ascii="Times New Roman" w:eastAsia="仿宋_GB2312"/>
          <w:b/>
          <w:color w:val="auto"/>
          <w:kern w:val="2"/>
          <w:sz w:val="32"/>
          <w:szCs w:val="32"/>
        </w:rPr>
        <w:t>第三条</w:t>
      </w:r>
      <w:r>
        <w:rPr>
          <w:rFonts w:ascii="Times New Roman" w:eastAsia="Times New Roman"/>
          <w:b/>
          <w:color w:val="auto"/>
          <w:kern w:val="2"/>
          <w:sz w:val="32"/>
          <w:szCs w:val="32"/>
        </w:rPr>
        <w:t xml:space="preserve"> </w:t>
      </w:r>
      <w:r>
        <w:rPr>
          <w:rFonts w:ascii="Times New Roman" w:eastAsia="仿宋_GB2312"/>
          <w:b/>
          <w:color w:val="auto"/>
          <w:kern w:val="2"/>
          <w:sz w:val="32"/>
          <w:szCs w:val="32"/>
        </w:rPr>
        <w:t>合同金额</w:t>
      </w:r>
    </w:p>
    <w:p>
      <w:pPr>
        <w:widowControl/>
        <w:autoSpaceDE/>
        <w:autoSpaceDN/>
        <w:adjustRightInd/>
        <w:spacing w:line="520" w:lineRule="exact"/>
        <w:ind w:firstLine="640" w:firstLineChars="200"/>
        <w:rPr>
          <w:rFonts w:hint="default" w:ascii="Times New Roman" w:eastAsia="Times New Roman"/>
          <w:color w:val="auto"/>
          <w:kern w:val="2"/>
          <w:sz w:val="32"/>
          <w:szCs w:val="32"/>
        </w:rPr>
      </w:pPr>
      <w:r>
        <w:rPr>
          <w:rFonts w:ascii="Times New Roman" w:eastAsia="仿宋_GB2312"/>
          <w:color w:val="auto"/>
          <w:kern w:val="2"/>
          <w:sz w:val="32"/>
          <w:szCs w:val="32"/>
        </w:rPr>
        <w:t>根据上述合同文件要求，合同金额为</w:t>
      </w:r>
      <w:r>
        <w:rPr>
          <w:rFonts w:ascii="Times New Roman" w:eastAsia="Times New Roman"/>
          <w:color w:val="auto"/>
          <w:kern w:val="2"/>
          <w:sz w:val="32"/>
          <w:szCs w:val="32"/>
          <w:u w:val="single"/>
        </w:rPr>
        <w:t xml:space="preserve">¥        </w:t>
      </w:r>
      <w:r>
        <w:rPr>
          <w:rFonts w:ascii="Times New Roman" w:eastAsia="仿宋_GB2312"/>
          <w:color w:val="auto"/>
          <w:kern w:val="2"/>
          <w:sz w:val="32"/>
          <w:szCs w:val="32"/>
        </w:rPr>
        <w:t>元，大写：人民币</w:t>
      </w:r>
      <w:r>
        <w:rPr>
          <w:rFonts w:ascii="Times New Roman" w:eastAsia="Times New Roman"/>
          <w:color w:val="auto"/>
          <w:kern w:val="2"/>
          <w:sz w:val="32"/>
          <w:szCs w:val="32"/>
          <w:u w:val="single"/>
        </w:rPr>
        <w:t xml:space="preserve">               </w:t>
      </w:r>
      <w:r>
        <w:rPr>
          <w:rFonts w:ascii="Times New Roman" w:eastAsia="仿宋_GB2312"/>
          <w:color w:val="auto"/>
          <w:kern w:val="2"/>
          <w:sz w:val="32"/>
          <w:szCs w:val="32"/>
        </w:rPr>
        <w:t>。</w:t>
      </w:r>
    </w:p>
    <w:p>
      <w:pPr>
        <w:autoSpaceDE/>
        <w:autoSpaceDN/>
        <w:adjustRightInd/>
        <w:spacing w:line="520" w:lineRule="exact"/>
        <w:ind w:firstLine="640" w:firstLineChars="200"/>
        <w:jc w:val="both"/>
        <w:rPr>
          <w:rFonts w:hint="default" w:ascii="Times New Roman" w:eastAsia="Times New Roman"/>
          <w:color w:val="auto"/>
          <w:kern w:val="2"/>
          <w:sz w:val="32"/>
          <w:szCs w:val="32"/>
        </w:rPr>
      </w:pPr>
      <w:r>
        <w:rPr>
          <w:rFonts w:ascii="Times New Roman" w:eastAsia="仿宋_GB2312"/>
          <w:color w:val="auto"/>
          <w:kern w:val="2"/>
          <w:sz w:val="32"/>
          <w:szCs w:val="32"/>
        </w:rPr>
        <w:t>上述金额为甲方在本合同项下应向乙方支付的最终含税价格，除非双方另有书面约定，否则甲方不再就本合同支付任何其他费用。</w:t>
      </w:r>
    </w:p>
    <w:p>
      <w:pPr>
        <w:autoSpaceDE/>
        <w:autoSpaceDN/>
        <w:adjustRightInd/>
        <w:spacing w:line="520" w:lineRule="exact"/>
        <w:ind w:firstLine="640" w:firstLineChars="200"/>
        <w:jc w:val="both"/>
        <w:rPr>
          <w:rFonts w:hint="default" w:ascii="Times New Roman" w:eastAsia="Times New Roman"/>
          <w:color w:val="auto"/>
          <w:kern w:val="2"/>
          <w:sz w:val="32"/>
          <w:szCs w:val="32"/>
        </w:rPr>
      </w:pPr>
      <w:r>
        <w:rPr>
          <w:rFonts w:ascii="Times New Roman" w:eastAsia="仿宋_GB2312"/>
          <w:color w:val="auto"/>
          <w:kern w:val="2"/>
          <w:sz w:val="32"/>
          <w:szCs w:val="32"/>
        </w:rPr>
        <w:t>乙方开户单位：</w:t>
      </w:r>
      <w:r>
        <w:rPr>
          <w:rFonts w:ascii="Times New Roman" w:eastAsia="Times New Roman"/>
          <w:color w:val="auto"/>
          <w:kern w:val="2"/>
          <w:sz w:val="32"/>
          <w:szCs w:val="32"/>
          <w:u w:val="single"/>
        </w:rPr>
        <w:t xml:space="preserve">            </w:t>
      </w:r>
    </w:p>
    <w:p>
      <w:pPr>
        <w:spacing w:line="520" w:lineRule="exact"/>
        <w:ind w:firstLine="640" w:firstLineChars="200"/>
        <w:rPr>
          <w:rFonts w:hint="default" w:ascii="Times New Roman" w:eastAsia="Times New Roman"/>
          <w:color w:val="auto"/>
          <w:sz w:val="32"/>
          <w:szCs w:val="32"/>
        </w:rPr>
      </w:pPr>
      <w:r>
        <w:rPr>
          <w:rFonts w:ascii="Times New Roman" w:eastAsia="仿宋_GB2312"/>
          <w:color w:val="auto"/>
          <w:sz w:val="32"/>
          <w:szCs w:val="32"/>
        </w:rPr>
        <w:t>开户银行名称：</w:t>
      </w:r>
      <w:r>
        <w:rPr>
          <w:rFonts w:ascii="Times New Roman" w:eastAsia="Times New Roman"/>
          <w:color w:val="auto"/>
          <w:sz w:val="32"/>
          <w:szCs w:val="32"/>
          <w:u w:val="single"/>
        </w:rPr>
        <w:t xml:space="preserve">            </w:t>
      </w:r>
    </w:p>
    <w:p>
      <w:pPr>
        <w:spacing w:line="520" w:lineRule="exact"/>
        <w:ind w:firstLine="640" w:firstLineChars="200"/>
        <w:rPr>
          <w:rFonts w:hint="default" w:ascii="Times New Roman" w:eastAsia="Times New Roman"/>
          <w:color w:val="auto"/>
          <w:sz w:val="32"/>
          <w:szCs w:val="32"/>
        </w:rPr>
      </w:pPr>
      <w:r>
        <w:rPr>
          <w:rFonts w:ascii="Times New Roman" w:eastAsia="仿宋_GB2312"/>
          <w:color w:val="auto"/>
          <w:sz w:val="32"/>
          <w:szCs w:val="32"/>
        </w:rPr>
        <w:t>银行帐户号码：</w:t>
      </w:r>
      <w:r>
        <w:rPr>
          <w:rFonts w:ascii="Times New Roman" w:eastAsia="Times New Roman"/>
          <w:color w:val="auto"/>
          <w:sz w:val="32"/>
          <w:szCs w:val="32"/>
          <w:u w:val="single"/>
        </w:rPr>
        <w:t xml:space="preserve">            </w:t>
      </w:r>
      <w:r>
        <w:rPr>
          <w:rFonts w:ascii="Times New Roman" w:eastAsia="Times New Roman"/>
          <w:color w:val="auto"/>
          <w:sz w:val="32"/>
          <w:szCs w:val="32"/>
        </w:rPr>
        <w:t xml:space="preserve">   </w:t>
      </w:r>
    </w:p>
    <w:p>
      <w:pPr>
        <w:autoSpaceDE/>
        <w:autoSpaceDN/>
        <w:adjustRightInd/>
        <w:spacing w:line="520" w:lineRule="exact"/>
        <w:ind w:firstLine="643" w:firstLineChars="200"/>
        <w:jc w:val="both"/>
        <w:rPr>
          <w:rFonts w:hint="default" w:ascii="Times New Roman" w:eastAsia="Times New Roman"/>
          <w:color w:val="auto"/>
          <w:kern w:val="2"/>
          <w:sz w:val="32"/>
          <w:szCs w:val="32"/>
        </w:rPr>
      </w:pPr>
      <w:r>
        <w:rPr>
          <w:rFonts w:ascii="Times New Roman" w:eastAsia="仿宋_GB2312"/>
          <w:b/>
          <w:color w:val="auto"/>
          <w:kern w:val="2"/>
          <w:sz w:val="32"/>
          <w:szCs w:val="32"/>
        </w:rPr>
        <w:t>第四条</w:t>
      </w:r>
      <w:r>
        <w:rPr>
          <w:rFonts w:ascii="Times New Roman" w:eastAsia="Times New Roman"/>
          <w:b/>
          <w:color w:val="auto"/>
          <w:kern w:val="2"/>
          <w:sz w:val="32"/>
          <w:szCs w:val="32"/>
        </w:rPr>
        <w:t xml:space="preserve"> </w:t>
      </w:r>
      <w:r>
        <w:rPr>
          <w:rFonts w:ascii="Times New Roman" w:eastAsia="仿宋_GB2312"/>
          <w:b/>
          <w:color w:val="auto"/>
          <w:kern w:val="2"/>
          <w:sz w:val="32"/>
          <w:szCs w:val="32"/>
        </w:rPr>
        <w:t>付款方式</w:t>
      </w:r>
    </w:p>
    <w:p>
      <w:pPr>
        <w:autoSpaceDE/>
        <w:autoSpaceDN/>
        <w:adjustRightInd/>
        <w:ind w:firstLine="640" w:firstLineChars="200"/>
        <w:jc w:val="both"/>
        <w:rPr>
          <w:rFonts w:hint="eastAsia" w:ascii="Times New Roman" w:eastAsia="仿宋_GB2312"/>
          <w:color w:val="auto"/>
          <w:kern w:val="2"/>
          <w:sz w:val="32"/>
          <w:szCs w:val="32"/>
          <w:lang w:eastAsia="zh-CN"/>
        </w:rPr>
      </w:pPr>
      <w:r>
        <w:rPr>
          <w:rFonts w:hint="eastAsia" w:ascii="Times New Roman" w:eastAsia="仿宋_GB2312"/>
          <w:color w:val="auto"/>
          <w:kern w:val="2"/>
          <w:sz w:val="32"/>
          <w:szCs w:val="32"/>
          <w:lang w:eastAsia="zh-CN"/>
        </w:rPr>
        <w:t>签订合同后付20%，验收合格后付30%，使用满一年无质量问题后付45%，其余二年后付清。</w:t>
      </w:r>
    </w:p>
    <w:p>
      <w:pPr>
        <w:autoSpaceDE/>
        <w:autoSpaceDN/>
        <w:adjustRightInd/>
        <w:spacing w:line="520" w:lineRule="exact"/>
        <w:ind w:firstLine="640" w:firstLineChars="200"/>
        <w:jc w:val="both"/>
        <w:rPr>
          <w:rFonts w:hint="default" w:ascii="Times New Roman" w:eastAsia="Times New Roman"/>
          <w:color w:val="auto"/>
          <w:kern w:val="2"/>
          <w:sz w:val="32"/>
          <w:szCs w:val="32"/>
        </w:rPr>
      </w:pPr>
      <w:r>
        <w:rPr>
          <w:rFonts w:ascii="Times New Roman" w:eastAsia="Times New Roman"/>
          <w:color w:val="auto"/>
          <w:kern w:val="2"/>
          <w:sz w:val="32"/>
          <w:szCs w:val="32"/>
        </w:rPr>
        <w:t xml:space="preserve">  </w:t>
      </w:r>
      <w:r>
        <w:rPr>
          <w:rFonts w:ascii="Times New Roman" w:eastAsia="仿宋_GB2312"/>
          <w:color w:val="auto"/>
          <w:kern w:val="2"/>
          <w:sz w:val="32"/>
          <w:szCs w:val="32"/>
        </w:rPr>
        <w:t>乙方应向甲方开具发票，见票付款，因乙方未及时开票的，甲方付款期限相应顺延。</w:t>
      </w:r>
    </w:p>
    <w:p>
      <w:pPr>
        <w:autoSpaceDE/>
        <w:autoSpaceDN/>
        <w:adjustRightInd/>
        <w:spacing w:line="520" w:lineRule="exact"/>
        <w:ind w:firstLine="643" w:firstLineChars="200"/>
        <w:jc w:val="both"/>
        <w:rPr>
          <w:rFonts w:hint="default" w:ascii="仿宋_GB2312" w:hAnsi="仿宋_GB2312" w:eastAsia="仿宋_GB2312" w:cs="仿宋_GB2312"/>
          <w:color w:val="auto"/>
          <w:kern w:val="2"/>
          <w:sz w:val="32"/>
          <w:szCs w:val="32"/>
        </w:rPr>
      </w:pPr>
      <w:r>
        <w:rPr>
          <w:rFonts w:ascii="仿宋_GB2312" w:hAnsi="仿宋_GB2312" w:eastAsia="仿宋_GB2312" w:cs="仿宋_GB2312"/>
          <w:b/>
          <w:color w:val="auto"/>
          <w:kern w:val="2"/>
          <w:sz w:val="32"/>
          <w:szCs w:val="32"/>
        </w:rPr>
        <w:t>第五条 交付日期、地点和质量保证期</w:t>
      </w:r>
    </w:p>
    <w:p>
      <w:pPr>
        <w:autoSpaceDE/>
        <w:autoSpaceDN/>
        <w:adjustRightInd/>
        <w:spacing w:line="520" w:lineRule="exact"/>
        <w:ind w:firstLine="640" w:firstLineChars="200"/>
        <w:jc w:val="both"/>
        <w:rPr>
          <w:rFonts w:hint="default" w:ascii="Times New Roman" w:eastAsia="Times New Roman"/>
          <w:color w:val="auto"/>
          <w:kern w:val="2"/>
          <w:sz w:val="32"/>
          <w:szCs w:val="32"/>
        </w:rPr>
      </w:pPr>
      <w:r>
        <w:rPr>
          <w:rFonts w:ascii="Times New Roman" w:eastAsia="仿宋_GB2312"/>
          <w:color w:val="auto"/>
          <w:kern w:val="2"/>
          <w:sz w:val="32"/>
          <w:szCs w:val="32"/>
        </w:rPr>
        <w:t>（一）交付日期：</w:t>
      </w:r>
      <w:r>
        <w:rPr>
          <w:rFonts w:ascii="Times New Roman" w:eastAsia="Times New Roman"/>
          <w:color w:val="auto"/>
          <w:kern w:val="2"/>
          <w:sz w:val="32"/>
          <w:szCs w:val="32"/>
          <w:u w:val="single"/>
        </w:rPr>
        <w:t xml:space="preserve">            </w:t>
      </w:r>
    </w:p>
    <w:p>
      <w:pPr>
        <w:autoSpaceDE/>
        <w:autoSpaceDN/>
        <w:adjustRightInd/>
        <w:spacing w:line="520" w:lineRule="exact"/>
        <w:ind w:firstLine="640" w:firstLineChars="200"/>
        <w:jc w:val="both"/>
        <w:rPr>
          <w:rFonts w:hint="default" w:ascii="Times New Roman" w:eastAsia="Times New Roman"/>
          <w:color w:val="auto"/>
          <w:kern w:val="2"/>
          <w:sz w:val="32"/>
          <w:szCs w:val="32"/>
        </w:rPr>
      </w:pPr>
      <w:r>
        <w:rPr>
          <w:rFonts w:ascii="Times New Roman" w:eastAsia="仿宋_GB2312"/>
          <w:color w:val="auto"/>
          <w:kern w:val="2"/>
          <w:sz w:val="32"/>
          <w:szCs w:val="32"/>
        </w:rPr>
        <w:t>（二）交付地点：</w:t>
      </w:r>
      <w:r>
        <w:rPr>
          <w:rFonts w:ascii="Times New Roman" w:eastAsia="Times New Roman"/>
          <w:color w:val="auto"/>
          <w:kern w:val="2"/>
          <w:sz w:val="32"/>
          <w:szCs w:val="32"/>
          <w:u w:val="single"/>
        </w:rPr>
        <w:t xml:space="preserve">            </w:t>
      </w:r>
      <w:r>
        <w:rPr>
          <w:rFonts w:ascii="Times New Roman" w:eastAsia="Times New Roman"/>
          <w:color w:val="auto"/>
          <w:kern w:val="2"/>
          <w:sz w:val="32"/>
          <w:szCs w:val="32"/>
        </w:rPr>
        <w:t xml:space="preserve"> </w:t>
      </w:r>
    </w:p>
    <w:p>
      <w:pPr>
        <w:autoSpaceDE/>
        <w:autoSpaceDN/>
        <w:adjustRightInd/>
        <w:spacing w:line="520" w:lineRule="exact"/>
        <w:ind w:firstLine="640" w:firstLineChars="200"/>
        <w:jc w:val="both"/>
        <w:rPr>
          <w:rFonts w:hint="default" w:ascii="Times New Roman" w:eastAsia="Times New Roman"/>
          <w:color w:val="auto"/>
          <w:kern w:val="2"/>
          <w:sz w:val="32"/>
          <w:szCs w:val="32"/>
        </w:rPr>
      </w:pPr>
      <w:r>
        <w:rPr>
          <w:rFonts w:ascii="Times New Roman" w:eastAsia="仿宋_GB2312"/>
          <w:color w:val="auto"/>
          <w:kern w:val="2"/>
          <w:sz w:val="32"/>
          <w:szCs w:val="32"/>
        </w:rPr>
        <w:t>（三）质量保证期：</w:t>
      </w:r>
    </w:p>
    <w:p>
      <w:pPr>
        <w:autoSpaceDE/>
        <w:autoSpaceDN/>
        <w:adjustRightInd/>
        <w:spacing w:line="520" w:lineRule="exact"/>
        <w:ind w:firstLine="640" w:firstLineChars="200"/>
        <w:jc w:val="both"/>
        <w:rPr>
          <w:rFonts w:hint="default" w:ascii="Times New Roman" w:eastAsia="Times New Roman"/>
          <w:color w:val="auto"/>
          <w:kern w:val="2"/>
          <w:sz w:val="32"/>
          <w:szCs w:val="32"/>
          <w:u w:val="single"/>
        </w:rPr>
      </w:pPr>
      <w:r>
        <w:rPr>
          <w:rFonts w:ascii="Times New Roman" w:eastAsia="Times New Roman"/>
          <w:color w:val="auto"/>
          <w:kern w:val="2"/>
          <w:sz w:val="32"/>
          <w:szCs w:val="32"/>
        </w:rPr>
        <w:t>1.</w:t>
      </w:r>
      <w:r>
        <w:rPr>
          <w:rFonts w:ascii="Times New Roman" w:eastAsia="Times New Roman"/>
          <w:color w:val="auto"/>
          <w:kern w:val="2"/>
          <w:sz w:val="32"/>
          <w:szCs w:val="32"/>
          <w:u w:val="single"/>
        </w:rPr>
        <w:t xml:space="preserve">                                        </w:t>
      </w:r>
    </w:p>
    <w:p>
      <w:pPr>
        <w:autoSpaceDE/>
        <w:autoSpaceDN/>
        <w:adjustRightInd/>
        <w:spacing w:line="520" w:lineRule="exact"/>
        <w:ind w:firstLine="640" w:firstLineChars="200"/>
        <w:jc w:val="both"/>
        <w:rPr>
          <w:rFonts w:hint="default" w:ascii="Times New Roman" w:eastAsia="Times New Roman"/>
          <w:color w:val="auto"/>
          <w:kern w:val="2"/>
          <w:sz w:val="32"/>
          <w:szCs w:val="32"/>
        </w:rPr>
      </w:pPr>
      <w:r>
        <w:rPr>
          <w:rFonts w:ascii="Times New Roman" w:eastAsia="Times New Roman"/>
          <w:color w:val="auto"/>
          <w:kern w:val="2"/>
          <w:sz w:val="32"/>
          <w:szCs w:val="32"/>
        </w:rPr>
        <w:t>2.</w:t>
      </w:r>
      <w:r>
        <w:rPr>
          <w:rFonts w:ascii="Times New Roman" w:eastAsia="仿宋_GB2312"/>
          <w:color w:val="auto"/>
          <w:kern w:val="2"/>
          <w:sz w:val="32"/>
          <w:szCs w:val="32"/>
        </w:rPr>
        <w:t>如因甲方在使用中私自变更材料设备的硬件或软件而引起的缺陷，或因甲方人员维护不当而损坏的货物或零部件，乙方不负保修责任；乙方可以按照或比照本合同相关条款规定提供更换或修理服务，由此引起的费用由甲方承担。</w:t>
      </w:r>
    </w:p>
    <w:p>
      <w:pPr>
        <w:autoSpaceDE/>
        <w:autoSpaceDN/>
        <w:adjustRightInd/>
        <w:spacing w:line="520" w:lineRule="exact"/>
        <w:ind w:firstLine="640" w:firstLineChars="200"/>
        <w:jc w:val="both"/>
        <w:rPr>
          <w:rFonts w:hint="default" w:ascii="Times New Roman" w:eastAsia="Times New Roman"/>
          <w:color w:val="auto"/>
          <w:kern w:val="2"/>
          <w:sz w:val="32"/>
          <w:szCs w:val="32"/>
        </w:rPr>
      </w:pPr>
      <w:r>
        <w:rPr>
          <w:rFonts w:ascii="Times New Roman" w:eastAsia="Times New Roman"/>
          <w:color w:val="auto"/>
          <w:kern w:val="2"/>
          <w:sz w:val="32"/>
          <w:szCs w:val="32"/>
        </w:rPr>
        <w:t>3.</w:t>
      </w:r>
      <w:r>
        <w:rPr>
          <w:rFonts w:ascii="Times New Roman" w:eastAsia="仿宋_GB2312"/>
          <w:color w:val="auto"/>
          <w:kern w:val="2"/>
          <w:sz w:val="32"/>
          <w:szCs w:val="32"/>
        </w:rPr>
        <w:t>如因乙方提供的材料设备硬件或软件有缺陷、服务达不到要求，或乙方提供的技术资料有错误，或乙方在现场的技术人员指导有错误而使合同货物不能达到合同规定的指标和技术性能，乙方应负责按本合同相关条款规定修理或更换，使货物运行指标和技术性能以及相关服务达到合同规定。</w:t>
      </w:r>
    </w:p>
    <w:p>
      <w:pPr>
        <w:autoSpaceDE/>
        <w:autoSpaceDN/>
        <w:adjustRightInd/>
        <w:spacing w:line="520" w:lineRule="exact"/>
        <w:ind w:firstLine="640" w:firstLineChars="200"/>
        <w:jc w:val="both"/>
        <w:rPr>
          <w:rFonts w:hint="default" w:ascii="Times New Roman" w:eastAsia="Times New Roman"/>
          <w:color w:val="auto"/>
          <w:kern w:val="2"/>
          <w:sz w:val="32"/>
          <w:szCs w:val="32"/>
        </w:rPr>
      </w:pPr>
      <w:r>
        <w:rPr>
          <w:rFonts w:ascii="Times New Roman" w:eastAsia="Times New Roman"/>
          <w:color w:val="auto"/>
          <w:kern w:val="2"/>
          <w:sz w:val="32"/>
          <w:szCs w:val="32"/>
        </w:rPr>
        <w:t>4.</w:t>
      </w:r>
      <w:r>
        <w:rPr>
          <w:rFonts w:ascii="Times New Roman" w:eastAsia="仿宋_GB2312"/>
          <w:color w:val="auto"/>
          <w:kern w:val="2"/>
          <w:sz w:val="32"/>
          <w:szCs w:val="32"/>
        </w:rPr>
        <w:t>在保修期届满后，若乙方继续为甲方提供设备的维修服务，乙方保证在合同货物使用期内以不高于本合同货物、相关配件及服务的价格，并且不差于任何第三方的优惠价格，向甲方提供备品、备件及维修服务。</w:t>
      </w:r>
      <w:r>
        <w:rPr>
          <w:rFonts w:ascii="Times New Roman" w:eastAsia="Times New Roman"/>
          <w:color w:val="auto"/>
          <w:kern w:val="2"/>
          <w:sz w:val="32"/>
          <w:szCs w:val="32"/>
        </w:rPr>
        <w:t xml:space="preserve"> </w:t>
      </w:r>
    </w:p>
    <w:p>
      <w:pPr>
        <w:autoSpaceDE/>
        <w:autoSpaceDN/>
        <w:adjustRightInd/>
        <w:spacing w:line="520" w:lineRule="exact"/>
        <w:ind w:firstLine="640" w:firstLineChars="200"/>
        <w:jc w:val="both"/>
        <w:rPr>
          <w:rFonts w:hint="default" w:ascii="Times New Roman" w:eastAsia="Times New Roman"/>
          <w:color w:val="auto"/>
          <w:kern w:val="2"/>
          <w:sz w:val="32"/>
          <w:szCs w:val="32"/>
        </w:rPr>
      </w:pPr>
      <w:r>
        <w:rPr>
          <w:rFonts w:ascii="Times New Roman" w:eastAsia="Times New Roman"/>
          <w:color w:val="auto"/>
          <w:kern w:val="2"/>
          <w:sz w:val="32"/>
          <w:szCs w:val="32"/>
        </w:rPr>
        <w:t>5.</w:t>
      </w:r>
      <w:r>
        <w:rPr>
          <w:rFonts w:ascii="Times New Roman" w:eastAsia="仿宋_GB2312"/>
          <w:color w:val="auto"/>
          <w:kern w:val="2"/>
          <w:sz w:val="32"/>
          <w:szCs w:val="32"/>
        </w:rPr>
        <w:t>乙方依据本合同提供的材料设备、服务及相关的软件和技术资料，乙方均已得到有关知识产权的权利人的合法授权。</w:t>
      </w:r>
    </w:p>
    <w:p>
      <w:pPr>
        <w:autoSpaceDE/>
        <w:autoSpaceDN/>
        <w:adjustRightInd/>
        <w:spacing w:line="520" w:lineRule="exact"/>
        <w:ind w:firstLine="643" w:firstLineChars="200"/>
        <w:jc w:val="both"/>
        <w:rPr>
          <w:rFonts w:hint="default" w:ascii="Times New Roman" w:eastAsia="Times New Roman"/>
          <w:b/>
          <w:color w:val="auto"/>
          <w:kern w:val="2"/>
          <w:sz w:val="32"/>
          <w:szCs w:val="32"/>
        </w:rPr>
      </w:pPr>
      <w:r>
        <w:rPr>
          <w:rFonts w:ascii="Times New Roman" w:eastAsia="仿宋_GB2312"/>
          <w:b/>
          <w:color w:val="auto"/>
          <w:kern w:val="2"/>
          <w:sz w:val="32"/>
          <w:szCs w:val="32"/>
        </w:rPr>
        <w:t>第六条</w:t>
      </w:r>
      <w:r>
        <w:rPr>
          <w:rFonts w:ascii="Times New Roman" w:eastAsia="Times New Roman"/>
          <w:b/>
          <w:color w:val="auto"/>
          <w:kern w:val="2"/>
          <w:sz w:val="32"/>
          <w:szCs w:val="32"/>
        </w:rPr>
        <w:t xml:space="preserve"> </w:t>
      </w:r>
      <w:r>
        <w:rPr>
          <w:rFonts w:ascii="Times New Roman" w:eastAsia="仿宋_GB2312"/>
          <w:b/>
          <w:color w:val="auto"/>
          <w:kern w:val="2"/>
          <w:sz w:val="32"/>
          <w:szCs w:val="32"/>
        </w:rPr>
        <w:t>违约责任</w:t>
      </w:r>
    </w:p>
    <w:p>
      <w:pPr>
        <w:autoSpaceDE/>
        <w:autoSpaceDN/>
        <w:adjustRightInd/>
        <w:spacing w:line="520" w:lineRule="exact"/>
        <w:ind w:firstLine="656" w:firstLineChars="200"/>
        <w:rPr>
          <w:rFonts w:hint="default" w:ascii="Times New Roman" w:eastAsia="Times New Roman"/>
          <w:color w:val="auto"/>
          <w:kern w:val="2"/>
          <w:sz w:val="32"/>
          <w:szCs w:val="32"/>
        </w:rPr>
      </w:pPr>
      <w:r>
        <w:rPr>
          <w:rFonts w:ascii="Times New Roman" w:eastAsia="仿宋_GB2312"/>
          <w:color w:val="auto"/>
          <w:spacing w:val="4"/>
          <w:kern w:val="2"/>
          <w:sz w:val="32"/>
          <w:szCs w:val="32"/>
        </w:rPr>
        <w:t>（一）乙方在规定期限内未履行义务或尚未完全履行义务的</w:t>
      </w:r>
      <w:r>
        <w:rPr>
          <w:rFonts w:ascii="Times New Roman" w:eastAsia="仿宋_GB2312"/>
          <w:color w:val="auto"/>
          <w:kern w:val="2"/>
          <w:sz w:val="32"/>
          <w:szCs w:val="32"/>
        </w:rPr>
        <w:t>（不可抗力因素除外）</w:t>
      </w:r>
      <w:r>
        <w:rPr>
          <w:rFonts w:ascii="Times New Roman" w:eastAsia="仿宋_GB2312"/>
          <w:color w:val="auto"/>
          <w:spacing w:val="4"/>
          <w:kern w:val="2"/>
          <w:sz w:val="32"/>
          <w:szCs w:val="32"/>
        </w:rPr>
        <w:t>，每延期一日，乙方应按合同总价款的</w:t>
      </w:r>
      <w:r>
        <w:rPr>
          <w:rFonts w:ascii="Times New Roman" w:eastAsia="Times New Roman"/>
          <w:color w:val="auto"/>
          <w:spacing w:val="4"/>
          <w:kern w:val="2"/>
          <w:sz w:val="32"/>
          <w:szCs w:val="32"/>
        </w:rPr>
        <w:t>0.1%</w:t>
      </w:r>
      <w:r>
        <w:rPr>
          <w:rFonts w:ascii="Times New Roman" w:eastAsia="仿宋_GB2312"/>
          <w:color w:val="auto"/>
          <w:spacing w:val="4"/>
          <w:kern w:val="2"/>
          <w:sz w:val="32"/>
          <w:szCs w:val="32"/>
        </w:rPr>
        <w:t>承担违约责任，迟延履行超过</w:t>
      </w:r>
      <w:r>
        <w:rPr>
          <w:rFonts w:ascii="Times New Roman" w:eastAsia="Times New Roman"/>
          <w:color w:val="auto"/>
          <w:spacing w:val="4"/>
          <w:kern w:val="2"/>
          <w:sz w:val="32"/>
          <w:szCs w:val="32"/>
        </w:rPr>
        <w:t>10</w:t>
      </w:r>
      <w:r>
        <w:rPr>
          <w:rFonts w:ascii="Times New Roman" w:eastAsia="仿宋_GB2312"/>
          <w:color w:val="auto"/>
          <w:spacing w:val="4"/>
          <w:kern w:val="2"/>
          <w:sz w:val="32"/>
          <w:szCs w:val="32"/>
        </w:rPr>
        <w:t>日的，甲方有权单方解除本合同，乙方应退还甲方已付款项并承担由此给甲方造成的一切损失。</w:t>
      </w:r>
    </w:p>
    <w:p>
      <w:pPr>
        <w:autoSpaceDE/>
        <w:autoSpaceDN/>
        <w:adjustRightInd/>
        <w:spacing w:line="520" w:lineRule="exact"/>
        <w:ind w:firstLine="640" w:firstLineChars="200"/>
        <w:rPr>
          <w:rFonts w:hint="default" w:ascii="Times New Roman" w:eastAsia="Times New Roman"/>
          <w:color w:val="auto"/>
          <w:kern w:val="2"/>
          <w:sz w:val="32"/>
          <w:szCs w:val="32"/>
        </w:rPr>
      </w:pPr>
      <w:r>
        <w:rPr>
          <w:rFonts w:ascii="Times New Roman" w:eastAsia="仿宋_GB2312"/>
          <w:color w:val="auto"/>
          <w:kern w:val="2"/>
          <w:sz w:val="32"/>
          <w:szCs w:val="32"/>
        </w:rPr>
        <w:t>（二）乙方应对本合同内容及项目执行过程中所知悉的甲方的一切数据、信息和资料等予以严格保密，不得向任何第三方提供，也不得用于本合同目的以外的任何用途，否则因此给甲方造成的损失由乙方承担赔偿责任。</w:t>
      </w:r>
    </w:p>
    <w:p>
      <w:pPr>
        <w:autoSpaceDE/>
        <w:autoSpaceDN/>
        <w:adjustRightInd/>
        <w:spacing w:line="520" w:lineRule="exact"/>
        <w:ind w:firstLine="640" w:firstLineChars="200"/>
        <w:rPr>
          <w:rFonts w:hint="default" w:ascii="Times New Roman" w:eastAsia="Times New Roman"/>
          <w:color w:val="auto"/>
          <w:kern w:val="2"/>
          <w:sz w:val="32"/>
          <w:szCs w:val="32"/>
        </w:rPr>
      </w:pPr>
      <w:r>
        <w:rPr>
          <w:rFonts w:ascii="Times New Roman" w:eastAsia="仿宋_GB2312"/>
          <w:color w:val="auto"/>
          <w:kern w:val="2"/>
          <w:sz w:val="32"/>
          <w:szCs w:val="32"/>
        </w:rPr>
        <w:t>（三）乙方不得将本合同项目部分或全部转包、分包或转让给其他任何第三方，否则甲方有权单方解除合同，乙方应退还已收到的所有款项并赔偿因此给甲方造成的全部损失。</w:t>
      </w:r>
    </w:p>
    <w:p>
      <w:pPr>
        <w:autoSpaceDE/>
        <w:autoSpaceDN/>
        <w:adjustRightInd/>
        <w:spacing w:line="520" w:lineRule="exact"/>
        <w:ind w:firstLine="640" w:firstLineChars="200"/>
        <w:rPr>
          <w:rFonts w:hint="default" w:ascii="Times New Roman" w:eastAsia="Times New Roman"/>
          <w:color w:val="auto"/>
          <w:kern w:val="2"/>
          <w:sz w:val="32"/>
          <w:szCs w:val="32"/>
        </w:rPr>
      </w:pPr>
      <w:r>
        <w:rPr>
          <w:rFonts w:ascii="Times New Roman" w:eastAsia="仿宋_GB2312"/>
          <w:color w:val="auto"/>
          <w:kern w:val="2"/>
          <w:sz w:val="32"/>
          <w:szCs w:val="32"/>
        </w:rPr>
        <w:t>（四）因乙方原因导致本合同被解除而提前终止的，乙方应按照合同总价款的</w:t>
      </w:r>
      <w:r>
        <w:rPr>
          <w:rFonts w:ascii="Times New Roman" w:eastAsia="Times New Roman"/>
          <w:color w:val="auto"/>
          <w:kern w:val="2"/>
          <w:sz w:val="32"/>
          <w:szCs w:val="32"/>
        </w:rPr>
        <w:t>10%</w:t>
      </w:r>
      <w:r>
        <w:rPr>
          <w:rFonts w:ascii="Times New Roman" w:eastAsia="仿宋_GB2312"/>
          <w:color w:val="auto"/>
          <w:kern w:val="2"/>
          <w:sz w:val="32"/>
          <w:szCs w:val="32"/>
        </w:rPr>
        <w:t>向甲方支付违约金。违约金不足以弥补甲方损失的，乙方还应负责赔偿。</w:t>
      </w:r>
    </w:p>
    <w:p>
      <w:pPr>
        <w:autoSpaceDE/>
        <w:autoSpaceDN/>
        <w:adjustRightInd/>
        <w:spacing w:line="520" w:lineRule="exact"/>
        <w:ind w:firstLine="640" w:firstLineChars="200"/>
        <w:jc w:val="both"/>
        <w:rPr>
          <w:rFonts w:hint="default" w:ascii="Times New Roman" w:eastAsia="Times New Roman"/>
          <w:color w:val="auto"/>
          <w:kern w:val="2"/>
          <w:sz w:val="32"/>
          <w:szCs w:val="32"/>
        </w:rPr>
      </w:pPr>
      <w:r>
        <w:rPr>
          <w:rFonts w:ascii="Times New Roman" w:eastAsia="仿宋_GB2312"/>
          <w:color w:val="auto"/>
          <w:kern w:val="2"/>
          <w:sz w:val="32"/>
          <w:szCs w:val="32"/>
        </w:rPr>
        <w:t>（五）无论有无其他约定，本项目中，若因任何乙方原因导致甲方遭受索赔、追诉、处罚或投诉的，乙方除按照合同约定支付违约金外，还应当赔偿甲方由此遭受的全部损失，包括但不限于索赔或处罚的金额、律师费、诉讼费用、甲方采取补救措施支出的费用及甲方额外支出的成本或费用等。甲方有权从任意一笔款项中扣除乙方应支付的违约金及赔偿金，不足部分乙方应在接到甲方通知后</w:t>
      </w:r>
      <w:r>
        <w:rPr>
          <w:rFonts w:ascii="Times New Roman" w:eastAsia="Times New Roman"/>
          <w:color w:val="auto"/>
          <w:kern w:val="2"/>
          <w:sz w:val="32"/>
          <w:szCs w:val="32"/>
        </w:rPr>
        <w:t>3</w:t>
      </w:r>
      <w:r>
        <w:rPr>
          <w:rFonts w:ascii="Times New Roman" w:eastAsia="仿宋_GB2312"/>
          <w:color w:val="auto"/>
          <w:kern w:val="2"/>
          <w:sz w:val="32"/>
          <w:szCs w:val="32"/>
        </w:rPr>
        <w:t>个工作日内支付。</w:t>
      </w:r>
    </w:p>
    <w:p>
      <w:pPr>
        <w:autoSpaceDE/>
        <w:autoSpaceDN/>
        <w:adjustRightInd/>
        <w:spacing w:line="520" w:lineRule="exact"/>
        <w:ind w:firstLine="643" w:firstLineChars="200"/>
        <w:jc w:val="both"/>
        <w:rPr>
          <w:rFonts w:hint="default" w:ascii="Times New Roman" w:eastAsia="Times New Roman"/>
          <w:b/>
          <w:color w:val="auto"/>
          <w:kern w:val="2"/>
          <w:sz w:val="32"/>
          <w:szCs w:val="32"/>
        </w:rPr>
      </w:pPr>
      <w:r>
        <w:rPr>
          <w:rFonts w:ascii="Times New Roman" w:eastAsia="仿宋_GB2312"/>
          <w:b/>
          <w:color w:val="auto"/>
          <w:kern w:val="2"/>
          <w:sz w:val="32"/>
          <w:szCs w:val="32"/>
        </w:rPr>
        <w:t>第七条</w:t>
      </w:r>
      <w:r>
        <w:rPr>
          <w:rFonts w:ascii="Times New Roman" w:eastAsia="Times New Roman"/>
          <w:b/>
          <w:color w:val="auto"/>
          <w:kern w:val="2"/>
          <w:sz w:val="32"/>
          <w:szCs w:val="32"/>
        </w:rPr>
        <w:t xml:space="preserve"> </w:t>
      </w:r>
      <w:r>
        <w:rPr>
          <w:rFonts w:ascii="Times New Roman" w:eastAsia="仿宋_GB2312"/>
          <w:b/>
          <w:color w:val="auto"/>
          <w:kern w:val="2"/>
          <w:sz w:val="32"/>
          <w:szCs w:val="32"/>
        </w:rPr>
        <w:t>延期</w:t>
      </w:r>
    </w:p>
    <w:p>
      <w:pPr>
        <w:widowControl/>
        <w:autoSpaceDE/>
        <w:autoSpaceDN/>
        <w:adjustRightInd/>
        <w:spacing w:line="520" w:lineRule="exact"/>
        <w:ind w:firstLine="640" w:firstLineChars="200"/>
        <w:rPr>
          <w:rFonts w:hint="default" w:ascii="Times New Roman" w:eastAsia="Times New Roman"/>
          <w:color w:val="auto"/>
          <w:kern w:val="2"/>
          <w:sz w:val="32"/>
          <w:szCs w:val="32"/>
        </w:rPr>
      </w:pPr>
      <w:r>
        <w:rPr>
          <w:rFonts w:ascii="Times New Roman" w:eastAsia="仿宋_GB2312"/>
          <w:color w:val="auto"/>
          <w:kern w:val="2"/>
          <w:sz w:val="32"/>
          <w:szCs w:val="32"/>
          <w:lang w:bidi="ar"/>
        </w:rPr>
        <w:t>如遇下列情况，乙方须在发生签证事由</w:t>
      </w:r>
      <w:r>
        <w:rPr>
          <w:rFonts w:ascii="Times New Roman" w:eastAsia="Times New Roman"/>
          <w:color w:val="auto"/>
          <w:kern w:val="2"/>
          <w:sz w:val="32"/>
          <w:szCs w:val="32"/>
          <w:lang w:bidi="ar"/>
        </w:rPr>
        <w:t>3</w:t>
      </w:r>
      <w:r>
        <w:rPr>
          <w:rFonts w:ascii="Times New Roman" w:eastAsia="仿宋_GB2312"/>
          <w:color w:val="auto"/>
          <w:kern w:val="2"/>
          <w:sz w:val="32"/>
          <w:szCs w:val="32"/>
          <w:lang w:bidi="ar"/>
        </w:rPr>
        <w:t>日内书面通知甲方，并经甲乙双方代表签证，工期相应顺延。</w:t>
      </w:r>
    </w:p>
    <w:p>
      <w:pPr>
        <w:widowControl/>
        <w:autoSpaceDE/>
        <w:autoSpaceDN/>
        <w:adjustRightInd/>
        <w:spacing w:line="520" w:lineRule="exact"/>
        <w:ind w:firstLine="640" w:firstLineChars="200"/>
        <w:rPr>
          <w:rFonts w:hint="default" w:ascii="Times New Roman" w:eastAsia="Times New Roman"/>
          <w:color w:val="auto"/>
          <w:kern w:val="2"/>
          <w:sz w:val="32"/>
          <w:szCs w:val="32"/>
        </w:rPr>
      </w:pPr>
      <w:r>
        <w:rPr>
          <w:rFonts w:ascii="Times New Roman" w:eastAsia="Times New Roman"/>
          <w:color w:val="auto"/>
          <w:kern w:val="2"/>
          <w:sz w:val="32"/>
          <w:szCs w:val="32"/>
          <w:lang w:bidi="ar"/>
        </w:rPr>
        <w:t>1.</w:t>
      </w:r>
      <w:r>
        <w:rPr>
          <w:rFonts w:ascii="Times New Roman" w:eastAsia="仿宋_GB2312"/>
          <w:color w:val="auto"/>
          <w:kern w:val="2"/>
          <w:sz w:val="32"/>
          <w:szCs w:val="32"/>
          <w:lang w:bidi="ar"/>
        </w:rPr>
        <w:t>因甲方原因影响工程施工进度，如未按时交出场地，接通水电、甲方变更设计等。</w:t>
      </w:r>
      <w:r>
        <w:rPr>
          <w:rFonts w:ascii="Times New Roman" w:eastAsia="Times New Roman"/>
          <w:color w:val="auto"/>
          <w:kern w:val="2"/>
          <w:sz w:val="32"/>
          <w:szCs w:val="32"/>
          <w:lang w:bidi="ar"/>
        </w:rPr>
        <w:t xml:space="preserve"> </w:t>
      </w:r>
    </w:p>
    <w:p>
      <w:pPr>
        <w:widowControl/>
        <w:autoSpaceDE/>
        <w:autoSpaceDN/>
        <w:adjustRightInd/>
        <w:spacing w:line="520" w:lineRule="exact"/>
        <w:ind w:firstLine="640" w:firstLineChars="200"/>
        <w:rPr>
          <w:rFonts w:hint="default" w:ascii="Times New Roman" w:eastAsia="Times New Roman"/>
          <w:color w:val="auto"/>
          <w:kern w:val="2"/>
          <w:sz w:val="32"/>
          <w:szCs w:val="32"/>
        </w:rPr>
      </w:pPr>
      <w:r>
        <w:rPr>
          <w:rFonts w:ascii="Times New Roman" w:eastAsia="Times New Roman"/>
          <w:color w:val="auto"/>
          <w:kern w:val="2"/>
          <w:sz w:val="32"/>
          <w:szCs w:val="32"/>
          <w:lang w:bidi="ar"/>
        </w:rPr>
        <w:t>2.</w:t>
      </w:r>
      <w:r>
        <w:rPr>
          <w:rFonts w:ascii="Times New Roman" w:eastAsia="仿宋_GB2312"/>
          <w:color w:val="auto"/>
          <w:kern w:val="2"/>
          <w:sz w:val="32"/>
          <w:szCs w:val="32"/>
          <w:lang w:bidi="ar"/>
        </w:rPr>
        <w:t>不可抗力因素。</w:t>
      </w:r>
      <w:r>
        <w:rPr>
          <w:rFonts w:ascii="Times New Roman" w:eastAsia="Times New Roman"/>
          <w:color w:val="auto"/>
          <w:kern w:val="2"/>
          <w:sz w:val="32"/>
          <w:szCs w:val="32"/>
          <w:lang w:bidi="ar"/>
        </w:rPr>
        <w:t xml:space="preserve"> </w:t>
      </w:r>
    </w:p>
    <w:p>
      <w:pPr>
        <w:widowControl/>
        <w:autoSpaceDE/>
        <w:autoSpaceDN/>
        <w:adjustRightInd/>
        <w:spacing w:line="520" w:lineRule="exact"/>
        <w:ind w:firstLine="640" w:firstLineChars="200"/>
        <w:rPr>
          <w:rFonts w:hint="default" w:ascii="Times New Roman" w:eastAsia="Times New Roman"/>
          <w:color w:val="auto"/>
          <w:kern w:val="2"/>
          <w:sz w:val="32"/>
          <w:szCs w:val="32"/>
        </w:rPr>
      </w:pPr>
      <w:r>
        <w:rPr>
          <w:rFonts w:ascii="Times New Roman" w:eastAsia="Times New Roman"/>
          <w:color w:val="auto"/>
          <w:kern w:val="2"/>
          <w:sz w:val="32"/>
          <w:szCs w:val="32"/>
          <w:lang w:bidi="ar"/>
        </w:rPr>
        <w:t>3.</w:t>
      </w:r>
      <w:r>
        <w:rPr>
          <w:rFonts w:ascii="Times New Roman" w:eastAsia="仿宋_GB2312"/>
          <w:color w:val="auto"/>
          <w:kern w:val="2"/>
          <w:sz w:val="32"/>
          <w:szCs w:val="32"/>
          <w:lang w:bidi="ar"/>
        </w:rPr>
        <w:t>经甲乙双方共同协商同意延期的情况。</w:t>
      </w:r>
    </w:p>
    <w:p>
      <w:pPr>
        <w:autoSpaceDE/>
        <w:autoSpaceDN/>
        <w:adjustRightInd/>
        <w:spacing w:line="520" w:lineRule="exact"/>
        <w:ind w:firstLine="643" w:firstLineChars="200"/>
        <w:jc w:val="both"/>
        <w:rPr>
          <w:rFonts w:hint="default" w:ascii="Times New Roman" w:eastAsia="Times New Roman"/>
          <w:b/>
          <w:color w:val="auto"/>
          <w:kern w:val="2"/>
          <w:sz w:val="32"/>
          <w:szCs w:val="32"/>
        </w:rPr>
      </w:pPr>
      <w:r>
        <w:rPr>
          <w:rFonts w:ascii="Times New Roman" w:eastAsia="仿宋_GB2312"/>
          <w:b/>
          <w:color w:val="auto"/>
          <w:kern w:val="2"/>
          <w:sz w:val="32"/>
          <w:szCs w:val="32"/>
        </w:rPr>
        <w:t>第八条</w:t>
      </w:r>
      <w:r>
        <w:rPr>
          <w:rFonts w:ascii="Times New Roman" w:eastAsia="Times New Roman"/>
          <w:b/>
          <w:color w:val="auto"/>
          <w:kern w:val="2"/>
          <w:sz w:val="32"/>
          <w:szCs w:val="32"/>
        </w:rPr>
        <w:t xml:space="preserve"> </w:t>
      </w:r>
      <w:r>
        <w:rPr>
          <w:rFonts w:ascii="Times New Roman" w:eastAsia="仿宋_GB2312"/>
          <w:b/>
          <w:color w:val="auto"/>
          <w:kern w:val="2"/>
          <w:sz w:val="32"/>
          <w:szCs w:val="32"/>
        </w:rPr>
        <w:t>不可抗力</w:t>
      </w:r>
    </w:p>
    <w:p>
      <w:pPr>
        <w:widowControl/>
        <w:autoSpaceDE/>
        <w:autoSpaceDN/>
        <w:adjustRightInd/>
        <w:spacing w:line="520" w:lineRule="exact"/>
        <w:ind w:firstLine="640" w:firstLineChars="200"/>
        <w:rPr>
          <w:rFonts w:hint="default" w:ascii="Times New Roman" w:eastAsia="Times New Roman"/>
          <w:color w:val="auto"/>
          <w:kern w:val="2"/>
          <w:sz w:val="32"/>
          <w:szCs w:val="32"/>
        </w:rPr>
      </w:pPr>
      <w:r>
        <w:rPr>
          <w:rFonts w:ascii="Times New Roman" w:eastAsia="仿宋_GB2312"/>
          <w:color w:val="auto"/>
          <w:kern w:val="2"/>
          <w:sz w:val="32"/>
          <w:szCs w:val="32"/>
          <w:lang w:bidi="ar"/>
        </w:rPr>
        <w:t>（一）签约任何一方由于受诸如战争、严重火灾、洪水、台风、地震、寒冷、疫情等不可抗力事故的影响而不能执行合同时，履行合同的期限应予以延长，则延长的期限应相当于事故所影响的时间。不可抗力事故系指甲乙双方在缔结合同时所不能预见的，并且它的发生及其后果是无法避免和无法克服的事故。</w:t>
      </w:r>
    </w:p>
    <w:p>
      <w:pPr>
        <w:widowControl/>
        <w:autoSpaceDE/>
        <w:autoSpaceDN/>
        <w:adjustRightInd/>
        <w:spacing w:line="520" w:lineRule="exact"/>
        <w:ind w:firstLine="640" w:firstLineChars="200"/>
        <w:rPr>
          <w:rFonts w:hint="default" w:ascii="Times New Roman" w:eastAsia="Times New Roman"/>
          <w:color w:val="auto"/>
          <w:kern w:val="2"/>
          <w:sz w:val="32"/>
          <w:szCs w:val="32"/>
        </w:rPr>
      </w:pPr>
      <w:r>
        <w:rPr>
          <w:rFonts w:ascii="Times New Roman" w:eastAsia="仿宋_GB2312"/>
          <w:color w:val="auto"/>
          <w:kern w:val="2"/>
          <w:sz w:val="32"/>
          <w:szCs w:val="32"/>
          <w:lang w:bidi="ar"/>
        </w:rPr>
        <w:t>（二）受阻一方应在不可抗力事件发生后尽快用电话、邮件或微信通知对方，并于不可抗力事件结束后</w:t>
      </w:r>
      <w:r>
        <w:rPr>
          <w:rFonts w:ascii="Times New Roman" w:eastAsia="Times New Roman"/>
          <w:color w:val="auto"/>
          <w:kern w:val="2"/>
          <w:sz w:val="32"/>
          <w:szCs w:val="32"/>
          <w:lang w:bidi="ar"/>
        </w:rPr>
        <w:t>15</w:t>
      </w:r>
      <w:r>
        <w:rPr>
          <w:rFonts w:ascii="Times New Roman" w:eastAsia="仿宋_GB2312"/>
          <w:color w:val="auto"/>
          <w:kern w:val="2"/>
          <w:sz w:val="32"/>
          <w:szCs w:val="32"/>
          <w:lang w:bidi="ar"/>
        </w:rPr>
        <w:t>天内将有关部门出具的证明文件用特快专递或邮箱等形式寄给对方审阅确认。一旦不可抗力事故的影响持续</w:t>
      </w:r>
      <w:r>
        <w:rPr>
          <w:rFonts w:ascii="Times New Roman" w:eastAsia="Times New Roman"/>
          <w:color w:val="auto"/>
          <w:kern w:val="2"/>
          <w:sz w:val="32"/>
          <w:szCs w:val="32"/>
          <w:lang w:bidi="ar"/>
        </w:rPr>
        <w:t>120</w:t>
      </w:r>
      <w:r>
        <w:rPr>
          <w:rFonts w:ascii="Times New Roman" w:eastAsia="仿宋_GB2312"/>
          <w:color w:val="auto"/>
          <w:kern w:val="2"/>
          <w:sz w:val="32"/>
          <w:szCs w:val="32"/>
          <w:lang w:bidi="ar"/>
        </w:rPr>
        <w:t>天以上，双方应通过友好协商在合理的时间内达成进一步履行合同的协议。</w:t>
      </w:r>
    </w:p>
    <w:p>
      <w:pPr>
        <w:autoSpaceDE/>
        <w:autoSpaceDN/>
        <w:adjustRightInd/>
        <w:spacing w:line="520" w:lineRule="exact"/>
        <w:ind w:firstLine="643" w:firstLineChars="200"/>
        <w:jc w:val="both"/>
        <w:rPr>
          <w:rFonts w:hint="default" w:ascii="Times New Roman" w:eastAsia="Times New Roman"/>
          <w:color w:val="auto"/>
          <w:kern w:val="2"/>
          <w:sz w:val="32"/>
          <w:szCs w:val="32"/>
        </w:rPr>
      </w:pPr>
      <w:r>
        <w:rPr>
          <w:rFonts w:ascii="Times New Roman" w:eastAsia="仿宋_GB2312"/>
          <w:b/>
          <w:color w:val="auto"/>
          <w:kern w:val="2"/>
          <w:sz w:val="32"/>
          <w:szCs w:val="32"/>
        </w:rPr>
        <w:t>第九条</w:t>
      </w:r>
      <w:r>
        <w:rPr>
          <w:rFonts w:ascii="Times New Roman" w:eastAsia="Times New Roman"/>
          <w:b/>
          <w:color w:val="auto"/>
          <w:kern w:val="2"/>
          <w:sz w:val="32"/>
          <w:szCs w:val="32"/>
        </w:rPr>
        <w:t xml:space="preserve"> </w:t>
      </w:r>
      <w:r>
        <w:rPr>
          <w:rFonts w:ascii="Times New Roman" w:eastAsia="仿宋_GB2312"/>
          <w:b/>
          <w:color w:val="auto"/>
          <w:kern w:val="2"/>
          <w:sz w:val="32"/>
          <w:szCs w:val="32"/>
        </w:rPr>
        <w:t>合同生效</w:t>
      </w:r>
    </w:p>
    <w:p>
      <w:pPr>
        <w:autoSpaceDE/>
        <w:autoSpaceDN/>
        <w:adjustRightInd/>
        <w:spacing w:line="520" w:lineRule="exact"/>
        <w:ind w:firstLine="640" w:firstLineChars="200"/>
        <w:jc w:val="both"/>
        <w:rPr>
          <w:rFonts w:hint="default" w:ascii="Times New Roman" w:eastAsia="Times New Roman"/>
          <w:color w:val="auto"/>
          <w:kern w:val="2"/>
          <w:sz w:val="32"/>
          <w:szCs w:val="32"/>
        </w:rPr>
      </w:pPr>
      <w:r>
        <w:rPr>
          <w:rFonts w:ascii="Times New Roman" w:eastAsia="仿宋_GB2312"/>
          <w:color w:val="auto"/>
          <w:kern w:val="2"/>
          <w:sz w:val="32"/>
          <w:szCs w:val="32"/>
        </w:rPr>
        <w:t>本合同经甲乙双方签字盖章后生效。</w:t>
      </w:r>
    </w:p>
    <w:p>
      <w:pPr>
        <w:autoSpaceDE/>
        <w:autoSpaceDN/>
        <w:adjustRightInd/>
        <w:spacing w:line="520" w:lineRule="exact"/>
        <w:ind w:firstLine="643" w:firstLineChars="200"/>
        <w:jc w:val="both"/>
        <w:rPr>
          <w:rFonts w:hint="default" w:ascii="Times New Roman" w:eastAsia="Times New Roman"/>
          <w:color w:val="auto"/>
          <w:kern w:val="2"/>
          <w:sz w:val="32"/>
          <w:szCs w:val="32"/>
        </w:rPr>
      </w:pPr>
      <w:r>
        <w:rPr>
          <w:rFonts w:ascii="Times New Roman" w:eastAsia="仿宋_GB2312"/>
          <w:b/>
          <w:color w:val="auto"/>
          <w:kern w:val="2"/>
          <w:sz w:val="32"/>
          <w:szCs w:val="32"/>
        </w:rPr>
        <w:t>第十条</w:t>
      </w:r>
      <w:r>
        <w:rPr>
          <w:rFonts w:ascii="Times New Roman" w:eastAsia="Times New Roman"/>
          <w:b/>
          <w:color w:val="auto"/>
          <w:kern w:val="2"/>
          <w:sz w:val="32"/>
          <w:szCs w:val="32"/>
        </w:rPr>
        <w:t xml:space="preserve"> </w:t>
      </w:r>
      <w:r>
        <w:rPr>
          <w:rFonts w:ascii="Times New Roman" w:eastAsia="仿宋_GB2312"/>
          <w:b/>
          <w:color w:val="auto"/>
          <w:kern w:val="2"/>
          <w:sz w:val="32"/>
          <w:szCs w:val="32"/>
        </w:rPr>
        <w:t>合同保存</w:t>
      </w:r>
    </w:p>
    <w:p>
      <w:pPr>
        <w:autoSpaceDE/>
        <w:autoSpaceDN/>
        <w:adjustRightInd/>
        <w:spacing w:line="520" w:lineRule="exact"/>
        <w:ind w:firstLine="640" w:firstLineChars="200"/>
        <w:jc w:val="both"/>
        <w:rPr>
          <w:rFonts w:hint="default" w:ascii="Times New Roman" w:eastAsia="Times New Roman"/>
          <w:color w:val="auto"/>
          <w:kern w:val="2"/>
          <w:sz w:val="32"/>
          <w:szCs w:val="32"/>
        </w:rPr>
      </w:pPr>
      <w:r>
        <w:rPr>
          <w:rFonts w:ascii="Times New Roman" w:eastAsia="仿宋_GB2312"/>
          <w:color w:val="auto"/>
          <w:kern w:val="2"/>
          <w:sz w:val="32"/>
          <w:szCs w:val="32"/>
        </w:rPr>
        <w:t>本合同一式柒份，甲方叁份，乙方叁份，公共资源交易中心一份。</w:t>
      </w:r>
    </w:p>
    <w:p>
      <w:pPr>
        <w:autoSpaceDE/>
        <w:autoSpaceDN/>
        <w:adjustRightInd/>
        <w:spacing w:line="520" w:lineRule="exact"/>
        <w:ind w:firstLine="643" w:firstLineChars="200"/>
        <w:jc w:val="both"/>
        <w:rPr>
          <w:rFonts w:hint="default" w:ascii="Times New Roman" w:eastAsia="Times New Roman"/>
          <w:b/>
          <w:color w:val="auto"/>
          <w:kern w:val="2"/>
          <w:sz w:val="32"/>
          <w:szCs w:val="32"/>
        </w:rPr>
      </w:pPr>
      <w:r>
        <w:rPr>
          <w:rFonts w:ascii="Times New Roman" w:eastAsia="仿宋_GB2312"/>
          <w:b/>
          <w:color w:val="auto"/>
          <w:kern w:val="2"/>
          <w:sz w:val="32"/>
          <w:szCs w:val="32"/>
        </w:rPr>
        <w:t>第十一条</w:t>
      </w:r>
      <w:r>
        <w:rPr>
          <w:rFonts w:ascii="Times New Roman" w:eastAsia="Times New Roman"/>
          <w:b/>
          <w:color w:val="auto"/>
          <w:kern w:val="2"/>
          <w:sz w:val="32"/>
          <w:szCs w:val="32"/>
        </w:rPr>
        <w:t xml:space="preserve"> </w:t>
      </w:r>
      <w:r>
        <w:rPr>
          <w:rFonts w:ascii="Times New Roman" w:eastAsia="仿宋_GB2312"/>
          <w:b/>
          <w:color w:val="auto"/>
          <w:kern w:val="2"/>
          <w:sz w:val="32"/>
          <w:szCs w:val="32"/>
        </w:rPr>
        <w:t>其他事项</w:t>
      </w:r>
    </w:p>
    <w:p>
      <w:pPr>
        <w:autoSpaceDE/>
        <w:autoSpaceDN/>
        <w:adjustRightInd/>
        <w:spacing w:line="520" w:lineRule="exact"/>
        <w:ind w:firstLine="640" w:firstLineChars="200"/>
        <w:jc w:val="both"/>
        <w:rPr>
          <w:rFonts w:hint="default" w:ascii="Times New Roman" w:eastAsia="Times New Roman"/>
          <w:color w:val="auto"/>
          <w:kern w:val="2"/>
          <w:sz w:val="32"/>
          <w:szCs w:val="32"/>
        </w:rPr>
      </w:pPr>
      <w:r>
        <w:rPr>
          <w:rFonts w:ascii="Times New Roman" w:eastAsia="仿宋_GB2312"/>
          <w:color w:val="auto"/>
          <w:kern w:val="2"/>
          <w:sz w:val="32"/>
          <w:szCs w:val="32"/>
        </w:rPr>
        <w:t>（一）服务期间甲方对乙方工作给予支持，提供水、电、场地等必须的基础工作条件。如乙方有需要，还要提供履行合同所必需的图纸、数据、资料等。</w:t>
      </w:r>
    </w:p>
    <w:p>
      <w:pPr>
        <w:autoSpaceDE/>
        <w:autoSpaceDN/>
        <w:adjustRightInd/>
        <w:spacing w:line="520" w:lineRule="exact"/>
        <w:ind w:firstLine="640" w:firstLineChars="200"/>
        <w:jc w:val="both"/>
        <w:rPr>
          <w:rFonts w:hint="default" w:ascii="Times New Roman" w:eastAsia="Times New Roman"/>
          <w:color w:val="auto"/>
          <w:kern w:val="2"/>
          <w:sz w:val="32"/>
          <w:szCs w:val="32"/>
        </w:rPr>
      </w:pPr>
      <w:bookmarkStart w:id="43" w:name="_Hlk86714816"/>
      <w:r>
        <w:rPr>
          <w:rFonts w:ascii="Times New Roman" w:eastAsia="仿宋_GB2312"/>
          <w:color w:val="auto"/>
          <w:kern w:val="2"/>
          <w:sz w:val="32"/>
          <w:szCs w:val="32"/>
        </w:rPr>
        <w:t>（二）本合同中在乙方签字盖章一栏所填写信息，均为乙方合法有效的地址及联系方式，如乙方地址及联系方式发生变更的，应于变更之日起</w:t>
      </w:r>
      <w:r>
        <w:rPr>
          <w:rFonts w:ascii="Times New Roman" w:eastAsia="Times New Roman"/>
          <w:color w:val="auto"/>
          <w:kern w:val="2"/>
          <w:sz w:val="32"/>
          <w:szCs w:val="32"/>
        </w:rPr>
        <w:t>5</w:t>
      </w:r>
      <w:r>
        <w:rPr>
          <w:rFonts w:ascii="Times New Roman" w:eastAsia="仿宋_GB2312"/>
          <w:color w:val="auto"/>
          <w:kern w:val="2"/>
          <w:sz w:val="32"/>
          <w:szCs w:val="32"/>
        </w:rPr>
        <w:t>日内向甲方书面通知，未通知的，甲方向乙方原地址及联系方式送达的任何文件及法律文书或电子数据的，自退回之日视为已送达，电子数据自相关媒介接受之日视为送达。</w:t>
      </w:r>
    </w:p>
    <w:bookmarkEnd w:id="43"/>
    <w:p>
      <w:pPr>
        <w:autoSpaceDE/>
        <w:autoSpaceDN/>
        <w:adjustRightInd/>
        <w:spacing w:line="520" w:lineRule="exact"/>
        <w:ind w:firstLine="640" w:firstLineChars="200"/>
        <w:jc w:val="both"/>
        <w:rPr>
          <w:rFonts w:hint="default" w:ascii="Times New Roman" w:eastAsia="Times New Roman"/>
          <w:color w:val="auto"/>
          <w:kern w:val="2"/>
          <w:sz w:val="32"/>
          <w:szCs w:val="32"/>
        </w:rPr>
      </w:pPr>
      <w:r>
        <w:rPr>
          <w:rFonts w:ascii="Times New Roman" w:eastAsia="仿宋_GB2312"/>
          <w:color w:val="auto"/>
          <w:kern w:val="2"/>
          <w:sz w:val="32"/>
          <w:szCs w:val="32"/>
        </w:rPr>
        <w:t>（三）双方当事人在履约过程中应遵守诚信原则，如果产生争议，则应先进行友好协商，如果不能达成一致意见，则双方当事人皆同意向甲方所在地霍城垦区人民法院提起诉讼解决。</w:t>
      </w:r>
    </w:p>
    <w:p>
      <w:pPr>
        <w:autoSpaceDE/>
        <w:autoSpaceDN/>
        <w:adjustRightInd/>
        <w:spacing w:line="520" w:lineRule="exact"/>
        <w:ind w:firstLine="640" w:firstLineChars="200"/>
        <w:jc w:val="both"/>
        <w:rPr>
          <w:rFonts w:hint="default" w:ascii="Times New Roman" w:eastAsia="Times New Roman"/>
          <w:color w:val="auto"/>
          <w:kern w:val="2"/>
          <w:sz w:val="32"/>
          <w:szCs w:val="32"/>
        </w:rPr>
      </w:pPr>
      <w:r>
        <w:rPr>
          <w:rFonts w:ascii="Times New Roman" w:eastAsia="仿宋_GB2312"/>
          <w:color w:val="auto"/>
          <w:kern w:val="2"/>
          <w:sz w:val="32"/>
          <w:szCs w:val="32"/>
        </w:rPr>
        <w:t>（四）其他未明事项，由双方本着平等自愿、互利共赢、合法规范原则协商确定。</w:t>
      </w:r>
    </w:p>
    <w:p>
      <w:pPr>
        <w:autoSpaceDE/>
        <w:autoSpaceDN/>
        <w:adjustRightInd/>
        <w:spacing w:line="520" w:lineRule="exact"/>
        <w:rPr>
          <w:rFonts w:hint="default" w:ascii="Times New Roman" w:eastAsia="Times New Roman"/>
          <w:color w:val="auto"/>
          <w:kern w:val="2"/>
          <w:sz w:val="32"/>
          <w:szCs w:val="32"/>
        </w:rPr>
      </w:pPr>
    </w:p>
    <w:p>
      <w:pPr>
        <w:autoSpaceDE/>
        <w:autoSpaceDN/>
        <w:adjustRightInd/>
        <w:spacing w:line="520" w:lineRule="exact"/>
        <w:rPr>
          <w:rFonts w:hint="default" w:ascii="Times New Roman" w:eastAsia="Times New Roman"/>
          <w:b/>
          <w:color w:val="auto"/>
          <w:kern w:val="2"/>
          <w:sz w:val="32"/>
          <w:szCs w:val="32"/>
        </w:rPr>
      </w:pPr>
      <w:r>
        <w:rPr>
          <w:rFonts w:ascii="Times New Roman" w:eastAsia="仿宋_GB2312"/>
          <w:b/>
          <w:color w:val="auto"/>
          <w:kern w:val="2"/>
          <w:sz w:val="32"/>
          <w:szCs w:val="32"/>
        </w:rPr>
        <w:t>甲</w:t>
      </w:r>
      <w:r>
        <w:rPr>
          <w:rFonts w:ascii="Times New Roman" w:eastAsia="Times New Roman"/>
          <w:b/>
          <w:color w:val="auto"/>
          <w:kern w:val="2"/>
          <w:sz w:val="32"/>
          <w:szCs w:val="32"/>
        </w:rPr>
        <w:t xml:space="preserve">    </w:t>
      </w:r>
      <w:r>
        <w:rPr>
          <w:rFonts w:ascii="Times New Roman" w:eastAsia="仿宋_GB2312"/>
          <w:b/>
          <w:color w:val="auto"/>
          <w:kern w:val="2"/>
          <w:sz w:val="32"/>
          <w:szCs w:val="32"/>
        </w:rPr>
        <w:t>方：</w:t>
      </w:r>
      <w:r>
        <w:rPr>
          <w:rFonts w:ascii="Times New Roman" w:eastAsia="Times New Roman"/>
          <w:b/>
          <w:color w:val="auto"/>
          <w:kern w:val="2"/>
          <w:sz w:val="32"/>
          <w:szCs w:val="32"/>
        </w:rPr>
        <w:t xml:space="preserve">                  </w:t>
      </w:r>
      <w:r>
        <w:rPr>
          <w:rFonts w:hint="eastAsia" w:ascii="Times New Roman"/>
          <w:b/>
          <w:color w:val="auto"/>
          <w:kern w:val="2"/>
          <w:sz w:val="32"/>
          <w:szCs w:val="32"/>
          <w:lang w:val="en-US" w:eastAsia="zh-CN"/>
        </w:rPr>
        <w:t xml:space="preserve">                  </w:t>
      </w:r>
      <w:r>
        <w:rPr>
          <w:rFonts w:ascii="Times New Roman" w:eastAsia="Times New Roman"/>
          <w:b/>
          <w:color w:val="auto"/>
          <w:kern w:val="2"/>
          <w:sz w:val="32"/>
          <w:szCs w:val="32"/>
        </w:rPr>
        <w:t xml:space="preserve"> </w:t>
      </w:r>
      <w:r>
        <w:rPr>
          <w:rFonts w:hint="eastAsia" w:ascii="Times New Roman"/>
          <w:b/>
          <w:color w:val="auto"/>
          <w:kern w:val="2"/>
          <w:sz w:val="32"/>
          <w:szCs w:val="32"/>
          <w:lang w:val="en-US" w:eastAsia="zh-CN"/>
        </w:rPr>
        <w:t xml:space="preserve">   </w:t>
      </w:r>
      <w:r>
        <w:rPr>
          <w:rFonts w:ascii="Times New Roman" w:eastAsia="仿宋_GB2312"/>
          <w:b/>
          <w:color w:val="auto"/>
          <w:kern w:val="2"/>
          <w:sz w:val="32"/>
          <w:szCs w:val="32"/>
        </w:rPr>
        <w:t>乙</w:t>
      </w:r>
      <w:r>
        <w:rPr>
          <w:rFonts w:ascii="Times New Roman" w:eastAsia="Times New Roman"/>
          <w:b/>
          <w:color w:val="auto"/>
          <w:kern w:val="2"/>
          <w:sz w:val="32"/>
          <w:szCs w:val="32"/>
        </w:rPr>
        <w:t xml:space="preserve">    </w:t>
      </w:r>
      <w:r>
        <w:rPr>
          <w:rFonts w:ascii="Times New Roman" w:eastAsia="仿宋_GB2312"/>
          <w:b/>
          <w:color w:val="auto"/>
          <w:kern w:val="2"/>
          <w:sz w:val="32"/>
          <w:szCs w:val="32"/>
        </w:rPr>
        <w:t>方：</w:t>
      </w:r>
    </w:p>
    <w:p>
      <w:pPr>
        <w:autoSpaceDE/>
        <w:autoSpaceDN/>
        <w:adjustRightInd/>
        <w:spacing w:line="520" w:lineRule="exact"/>
        <w:rPr>
          <w:rFonts w:hint="default" w:ascii="Times New Roman" w:eastAsia="Times New Roman"/>
          <w:color w:val="auto"/>
          <w:kern w:val="2"/>
          <w:sz w:val="32"/>
          <w:szCs w:val="32"/>
        </w:rPr>
      </w:pPr>
      <w:r>
        <w:rPr>
          <w:rFonts w:ascii="Times New Roman" w:eastAsia="仿宋_GB2312"/>
          <w:color w:val="auto"/>
          <w:kern w:val="2"/>
          <w:sz w:val="32"/>
          <w:szCs w:val="32"/>
        </w:rPr>
        <w:t>单位名称</w:t>
      </w:r>
      <w:r>
        <w:rPr>
          <w:rFonts w:ascii="Times New Roman" w:eastAsia="Times New Roman"/>
          <w:color w:val="auto"/>
          <w:kern w:val="2"/>
          <w:sz w:val="32"/>
          <w:szCs w:val="32"/>
        </w:rPr>
        <w:t>(</w:t>
      </w:r>
      <w:r>
        <w:rPr>
          <w:rFonts w:ascii="Times New Roman" w:eastAsia="仿宋_GB2312"/>
          <w:color w:val="auto"/>
          <w:kern w:val="2"/>
          <w:sz w:val="32"/>
          <w:szCs w:val="32"/>
        </w:rPr>
        <w:t>公章</w:t>
      </w:r>
      <w:r>
        <w:rPr>
          <w:rFonts w:ascii="Times New Roman" w:eastAsia="Times New Roman"/>
          <w:color w:val="auto"/>
          <w:kern w:val="2"/>
          <w:sz w:val="32"/>
          <w:szCs w:val="32"/>
        </w:rPr>
        <w:t>)</w:t>
      </w:r>
      <w:r>
        <w:rPr>
          <w:rFonts w:ascii="Times New Roman" w:eastAsia="仿宋_GB2312"/>
          <w:color w:val="auto"/>
          <w:kern w:val="2"/>
          <w:sz w:val="32"/>
          <w:szCs w:val="32"/>
        </w:rPr>
        <w:t>：</w:t>
      </w:r>
      <w:r>
        <w:rPr>
          <w:rFonts w:ascii="Times New Roman" w:eastAsia="Times New Roman"/>
          <w:color w:val="auto"/>
          <w:kern w:val="2"/>
          <w:sz w:val="32"/>
          <w:szCs w:val="32"/>
        </w:rPr>
        <w:t xml:space="preserve">  </w:t>
      </w:r>
      <w:r>
        <w:rPr>
          <w:rFonts w:ascii="Times New Roman" w:eastAsia="Times New Roman"/>
          <w:color w:val="auto"/>
          <w:kern w:val="2"/>
          <w:sz w:val="32"/>
          <w:szCs w:val="32"/>
          <w:u w:val="single"/>
        </w:rPr>
        <w:t xml:space="preserve">              </w:t>
      </w:r>
      <w:r>
        <w:rPr>
          <w:rFonts w:ascii="Times New Roman" w:eastAsia="Times New Roman"/>
          <w:color w:val="auto"/>
          <w:kern w:val="2"/>
          <w:sz w:val="32"/>
          <w:szCs w:val="32"/>
        </w:rPr>
        <w:t xml:space="preserve">         </w:t>
      </w:r>
      <w:r>
        <w:rPr>
          <w:rFonts w:ascii="Times New Roman" w:eastAsia="仿宋_GB2312"/>
          <w:color w:val="auto"/>
          <w:kern w:val="2"/>
          <w:sz w:val="32"/>
          <w:szCs w:val="32"/>
        </w:rPr>
        <w:t>单位名称</w:t>
      </w:r>
      <w:r>
        <w:rPr>
          <w:rFonts w:ascii="Times New Roman" w:eastAsia="Times New Roman"/>
          <w:color w:val="auto"/>
          <w:kern w:val="2"/>
          <w:sz w:val="32"/>
          <w:szCs w:val="32"/>
        </w:rPr>
        <w:t>(</w:t>
      </w:r>
      <w:r>
        <w:rPr>
          <w:rFonts w:ascii="Times New Roman" w:eastAsia="仿宋_GB2312"/>
          <w:color w:val="auto"/>
          <w:kern w:val="2"/>
          <w:sz w:val="32"/>
          <w:szCs w:val="32"/>
        </w:rPr>
        <w:t>公章</w:t>
      </w:r>
      <w:r>
        <w:rPr>
          <w:rFonts w:ascii="Times New Roman" w:eastAsia="Times New Roman"/>
          <w:color w:val="auto"/>
          <w:kern w:val="2"/>
          <w:sz w:val="32"/>
          <w:szCs w:val="32"/>
        </w:rPr>
        <w:t>)</w:t>
      </w:r>
      <w:r>
        <w:rPr>
          <w:rFonts w:ascii="Times New Roman" w:eastAsia="仿宋_GB2312"/>
          <w:color w:val="auto"/>
          <w:kern w:val="2"/>
          <w:sz w:val="32"/>
          <w:szCs w:val="32"/>
        </w:rPr>
        <w:t>：</w:t>
      </w:r>
      <w:r>
        <w:rPr>
          <w:rFonts w:ascii="Times New Roman" w:eastAsia="Times New Roman"/>
          <w:color w:val="auto"/>
          <w:kern w:val="2"/>
          <w:sz w:val="32"/>
          <w:szCs w:val="32"/>
        </w:rPr>
        <w:t xml:space="preserve"> </w:t>
      </w:r>
      <w:r>
        <w:rPr>
          <w:rFonts w:ascii="Times New Roman" w:eastAsia="Times New Roman"/>
          <w:color w:val="auto"/>
          <w:kern w:val="2"/>
          <w:sz w:val="32"/>
          <w:szCs w:val="32"/>
          <w:u w:val="single"/>
        </w:rPr>
        <w:t xml:space="preserve">                </w:t>
      </w:r>
    </w:p>
    <w:p>
      <w:pPr>
        <w:autoSpaceDE/>
        <w:autoSpaceDN/>
        <w:adjustRightInd/>
        <w:spacing w:line="520" w:lineRule="exact"/>
        <w:rPr>
          <w:rFonts w:hint="default" w:ascii="Times New Roman" w:eastAsia="Times New Roman"/>
          <w:color w:val="auto"/>
          <w:kern w:val="2"/>
          <w:sz w:val="32"/>
          <w:szCs w:val="32"/>
        </w:rPr>
      </w:pPr>
      <w:r>
        <w:rPr>
          <w:rFonts w:ascii="Times New Roman" w:eastAsia="仿宋_GB2312"/>
          <w:color w:val="auto"/>
          <w:kern w:val="2"/>
          <w:sz w:val="32"/>
          <w:szCs w:val="32"/>
        </w:rPr>
        <w:t>法定代表人（签字）：</w:t>
      </w:r>
      <w:r>
        <w:rPr>
          <w:rFonts w:ascii="Times New Roman" w:eastAsia="Times New Roman"/>
          <w:color w:val="auto"/>
          <w:kern w:val="2"/>
          <w:sz w:val="32"/>
          <w:szCs w:val="32"/>
        </w:rPr>
        <w:t xml:space="preserve">          </w:t>
      </w:r>
      <w:r>
        <w:rPr>
          <w:rFonts w:hint="eastAsia" w:ascii="Times New Roman"/>
          <w:color w:val="auto"/>
          <w:kern w:val="2"/>
          <w:sz w:val="32"/>
          <w:szCs w:val="32"/>
          <w:lang w:val="en-US" w:eastAsia="zh-CN"/>
        </w:rPr>
        <w:t xml:space="preserve">       </w:t>
      </w:r>
      <w:r>
        <w:rPr>
          <w:rFonts w:ascii="Times New Roman" w:eastAsia="仿宋_GB2312"/>
          <w:color w:val="auto"/>
          <w:kern w:val="2"/>
          <w:sz w:val="32"/>
          <w:szCs w:val="32"/>
        </w:rPr>
        <w:t>法定代表人（签字）：</w:t>
      </w:r>
    </w:p>
    <w:p>
      <w:pPr>
        <w:autoSpaceDE/>
        <w:autoSpaceDN/>
        <w:adjustRightInd/>
        <w:spacing w:line="520" w:lineRule="exact"/>
        <w:rPr>
          <w:rFonts w:hint="default" w:ascii="Times New Roman" w:eastAsia="Times New Roman"/>
          <w:color w:val="auto"/>
          <w:kern w:val="2"/>
          <w:sz w:val="32"/>
          <w:szCs w:val="32"/>
        </w:rPr>
      </w:pPr>
      <w:r>
        <w:rPr>
          <w:rFonts w:ascii="Times New Roman" w:eastAsia="仿宋_GB2312"/>
          <w:color w:val="auto"/>
          <w:kern w:val="2"/>
          <w:sz w:val="32"/>
          <w:szCs w:val="32"/>
        </w:rPr>
        <w:t>联系电话：</w:t>
      </w:r>
      <w:r>
        <w:rPr>
          <w:rFonts w:ascii="Times New Roman" w:eastAsia="Times New Roman"/>
          <w:color w:val="auto"/>
          <w:kern w:val="2"/>
          <w:sz w:val="32"/>
          <w:szCs w:val="32"/>
        </w:rPr>
        <w:t xml:space="preserve">                    </w:t>
      </w:r>
      <w:r>
        <w:rPr>
          <w:rFonts w:hint="eastAsia" w:ascii="Times New Roman"/>
          <w:color w:val="auto"/>
          <w:kern w:val="2"/>
          <w:sz w:val="32"/>
          <w:szCs w:val="32"/>
          <w:lang w:val="en-US" w:eastAsia="zh-CN"/>
        </w:rPr>
        <w:t xml:space="preserve">               </w:t>
      </w:r>
      <w:r>
        <w:rPr>
          <w:rFonts w:ascii="Times New Roman" w:eastAsia="仿宋_GB2312"/>
          <w:color w:val="auto"/>
          <w:kern w:val="2"/>
          <w:sz w:val="32"/>
          <w:szCs w:val="32"/>
        </w:rPr>
        <w:t>联系电话</w:t>
      </w:r>
      <w:r>
        <w:rPr>
          <w:rFonts w:ascii="Times New Roman" w:eastAsia="Times New Roman"/>
          <w:color w:val="auto"/>
          <w:kern w:val="2"/>
          <w:sz w:val="32"/>
          <w:szCs w:val="32"/>
        </w:rPr>
        <w:t xml:space="preserve"> </w:t>
      </w:r>
      <w:r>
        <w:rPr>
          <w:rFonts w:ascii="Times New Roman" w:eastAsia="仿宋_GB2312"/>
          <w:color w:val="auto"/>
          <w:kern w:val="2"/>
          <w:sz w:val="32"/>
          <w:szCs w:val="32"/>
        </w:rPr>
        <w:t>：</w:t>
      </w:r>
    </w:p>
    <w:p>
      <w:pPr>
        <w:autoSpaceDE/>
        <w:autoSpaceDN/>
        <w:adjustRightInd/>
        <w:spacing w:line="520" w:lineRule="exact"/>
        <w:rPr>
          <w:rFonts w:hint="default" w:ascii="Times New Roman" w:eastAsia="Times New Roman"/>
          <w:color w:val="auto"/>
          <w:kern w:val="2"/>
          <w:sz w:val="32"/>
          <w:szCs w:val="32"/>
        </w:rPr>
      </w:pPr>
      <w:r>
        <w:rPr>
          <w:rFonts w:ascii="Times New Roman" w:eastAsia="仿宋_GB2312"/>
          <w:color w:val="auto"/>
          <w:kern w:val="2"/>
          <w:sz w:val="32"/>
          <w:szCs w:val="32"/>
        </w:rPr>
        <w:t>授权代理人（签字）：</w:t>
      </w:r>
      <w:r>
        <w:rPr>
          <w:rFonts w:ascii="Times New Roman" w:eastAsia="Times New Roman"/>
          <w:color w:val="auto"/>
          <w:kern w:val="2"/>
          <w:sz w:val="32"/>
          <w:szCs w:val="32"/>
        </w:rPr>
        <w:t xml:space="preserve">          </w:t>
      </w:r>
      <w:r>
        <w:rPr>
          <w:rFonts w:hint="eastAsia" w:ascii="Times New Roman"/>
          <w:color w:val="auto"/>
          <w:kern w:val="2"/>
          <w:sz w:val="32"/>
          <w:szCs w:val="32"/>
          <w:lang w:val="en-US" w:eastAsia="zh-CN"/>
        </w:rPr>
        <w:t xml:space="preserve">        </w:t>
      </w:r>
      <w:r>
        <w:rPr>
          <w:rFonts w:ascii="Times New Roman" w:eastAsia="仿宋_GB2312"/>
          <w:color w:val="auto"/>
          <w:kern w:val="2"/>
          <w:sz w:val="32"/>
          <w:szCs w:val="32"/>
        </w:rPr>
        <w:t>授权代理人（签字）：</w:t>
      </w:r>
    </w:p>
    <w:p>
      <w:pPr>
        <w:autoSpaceDE/>
        <w:autoSpaceDN/>
        <w:adjustRightInd/>
        <w:spacing w:line="520" w:lineRule="exact"/>
        <w:rPr>
          <w:rFonts w:hint="default" w:ascii="Times New Roman" w:eastAsia="Times New Roman"/>
          <w:color w:val="auto"/>
          <w:kern w:val="2"/>
          <w:sz w:val="32"/>
          <w:szCs w:val="32"/>
        </w:rPr>
      </w:pPr>
      <w:r>
        <w:rPr>
          <w:rFonts w:ascii="Times New Roman" w:eastAsia="仿宋_GB2312"/>
          <w:color w:val="auto"/>
          <w:kern w:val="2"/>
          <w:sz w:val="32"/>
          <w:szCs w:val="32"/>
        </w:rPr>
        <w:t>联系电话：</w:t>
      </w:r>
      <w:r>
        <w:rPr>
          <w:rFonts w:ascii="Times New Roman" w:eastAsia="Times New Roman"/>
          <w:color w:val="auto"/>
          <w:kern w:val="2"/>
          <w:sz w:val="32"/>
          <w:szCs w:val="32"/>
        </w:rPr>
        <w:t xml:space="preserve">                    </w:t>
      </w:r>
      <w:r>
        <w:rPr>
          <w:rFonts w:hint="eastAsia" w:ascii="Times New Roman"/>
          <w:color w:val="auto"/>
          <w:kern w:val="2"/>
          <w:sz w:val="32"/>
          <w:szCs w:val="32"/>
          <w:lang w:val="en-US" w:eastAsia="zh-CN"/>
        </w:rPr>
        <w:t xml:space="preserve">                </w:t>
      </w:r>
      <w:r>
        <w:rPr>
          <w:rFonts w:ascii="Times New Roman" w:eastAsia="仿宋_GB2312"/>
          <w:color w:val="auto"/>
          <w:kern w:val="2"/>
          <w:sz w:val="32"/>
          <w:szCs w:val="32"/>
        </w:rPr>
        <w:t>联系电话：</w:t>
      </w:r>
    </w:p>
    <w:p>
      <w:pPr>
        <w:autoSpaceDE/>
        <w:autoSpaceDN/>
        <w:adjustRightInd/>
        <w:spacing w:line="520" w:lineRule="exact"/>
        <w:rPr>
          <w:rFonts w:hint="default" w:ascii="Times New Roman" w:eastAsia="Times New Roman"/>
          <w:color w:val="auto"/>
          <w:kern w:val="2"/>
          <w:szCs w:val="22"/>
        </w:rPr>
      </w:pPr>
      <w:r>
        <w:rPr>
          <w:rFonts w:ascii="Times New Roman" w:eastAsia="仿宋_GB2312"/>
          <w:color w:val="auto"/>
          <w:kern w:val="2"/>
          <w:sz w:val="32"/>
          <w:szCs w:val="32"/>
        </w:rPr>
        <w:t>签订日期：</w:t>
      </w:r>
      <w:r>
        <w:rPr>
          <w:rFonts w:ascii="Times New Roman" w:eastAsia="Times New Roman"/>
          <w:color w:val="auto"/>
          <w:kern w:val="2"/>
          <w:sz w:val="32"/>
          <w:szCs w:val="32"/>
        </w:rPr>
        <w:t xml:space="preserve">                    </w:t>
      </w:r>
      <w:r>
        <w:rPr>
          <w:rFonts w:hint="eastAsia" w:ascii="Times New Roman"/>
          <w:color w:val="auto"/>
          <w:kern w:val="2"/>
          <w:sz w:val="32"/>
          <w:szCs w:val="32"/>
          <w:lang w:val="en-US" w:eastAsia="zh-CN"/>
        </w:rPr>
        <w:t xml:space="preserve">               </w:t>
      </w:r>
      <w:r>
        <w:rPr>
          <w:rFonts w:ascii="Times New Roman" w:eastAsia="仿宋_GB2312"/>
          <w:color w:val="auto"/>
          <w:kern w:val="2"/>
          <w:sz w:val="32"/>
          <w:szCs w:val="32"/>
        </w:rPr>
        <w:t>签订日期：</w:t>
      </w:r>
    </w:p>
    <w:p>
      <w:pPr>
        <w:pStyle w:val="8"/>
        <w:tabs>
          <w:tab w:val="left" w:pos="4425"/>
        </w:tabs>
        <w:kinsoku w:val="0"/>
        <w:overflowPunct w:val="0"/>
        <w:spacing w:before="0"/>
        <w:ind w:left="540"/>
        <w:rPr>
          <w:rFonts w:hint="default" w:ascii="微软雅黑" w:eastAsia="微软雅黑" w:cs="微软雅黑"/>
          <w:color w:val="auto"/>
          <w:sz w:val="21"/>
          <w:szCs w:val="21"/>
        </w:rPr>
        <w:sectPr>
          <w:footerReference r:id="rId14" w:type="default"/>
          <w:pgSz w:w="11910" w:h="16840"/>
          <w:pgMar w:top="1580" w:right="1680" w:bottom="1580" w:left="1680" w:header="0" w:footer="1395" w:gutter="0"/>
          <w:pgNumType w:fmt="decimal"/>
          <w:cols w:space="720" w:num="1"/>
        </w:sectPr>
      </w:pPr>
    </w:p>
    <w:p>
      <w:pPr>
        <w:pStyle w:val="2"/>
        <w:kinsoku w:val="0"/>
        <w:overflowPunct w:val="0"/>
        <w:spacing w:line="433" w:lineRule="exact"/>
        <w:ind w:right="1"/>
        <w:jc w:val="center"/>
        <w:rPr>
          <w:rFonts w:hint="default"/>
          <w:b w:val="0"/>
          <w:color w:val="auto"/>
        </w:rPr>
      </w:pPr>
      <w:bookmarkStart w:id="44" w:name="第六部分_投标文件格式"/>
      <w:bookmarkEnd w:id="44"/>
      <w:r>
        <w:rPr>
          <w:color w:val="auto"/>
        </w:rPr>
        <w:t>第六部分</w:t>
      </w:r>
      <w:r>
        <w:rPr>
          <w:color w:val="auto"/>
          <w:spacing w:val="-7"/>
        </w:rPr>
        <w:t xml:space="preserve"> </w:t>
      </w:r>
      <w:r>
        <w:rPr>
          <w:color w:val="auto"/>
        </w:rPr>
        <w:t>投标文件格式</w:t>
      </w:r>
    </w:p>
    <w:p>
      <w:pPr>
        <w:pStyle w:val="8"/>
        <w:kinsoku w:val="0"/>
        <w:overflowPunct w:val="0"/>
        <w:spacing w:before="3"/>
        <w:ind w:left="0"/>
        <w:rPr>
          <w:rFonts w:hint="default"/>
          <w:b/>
          <w:color w:val="auto"/>
          <w:sz w:val="31"/>
          <w:szCs w:val="31"/>
        </w:rPr>
      </w:pPr>
    </w:p>
    <w:p>
      <w:pPr>
        <w:pStyle w:val="8"/>
        <w:tabs>
          <w:tab w:val="left" w:pos="719"/>
        </w:tabs>
        <w:kinsoku w:val="0"/>
        <w:overflowPunct w:val="0"/>
        <w:spacing w:before="0"/>
        <w:ind w:left="0" w:right="1"/>
        <w:jc w:val="center"/>
        <w:rPr>
          <w:rFonts w:hint="default"/>
          <w:color w:val="auto"/>
        </w:rPr>
      </w:pPr>
      <w:r>
        <w:rPr>
          <w:color w:val="auto"/>
        </w:rPr>
        <w:t>目</w:t>
      </w:r>
      <w:r>
        <w:rPr>
          <w:color w:val="auto"/>
        </w:rPr>
        <w:tab/>
      </w:r>
      <w:r>
        <w:rPr>
          <w:color w:val="auto"/>
        </w:rPr>
        <w:t>录</w:t>
      </w:r>
    </w:p>
    <w:p>
      <w:pPr>
        <w:pStyle w:val="7"/>
        <w:kinsoku w:val="0"/>
        <w:overflowPunct w:val="0"/>
        <w:spacing w:before="0"/>
        <w:rPr>
          <w:rFonts w:hint="default"/>
          <w:b w:val="0"/>
          <w:color w:val="auto"/>
        </w:rPr>
      </w:pPr>
      <w:r>
        <w:rPr>
          <w:color w:val="auto"/>
        </w:rPr>
        <w:t>一、资格审查</w:t>
      </w:r>
    </w:p>
    <w:p>
      <w:pPr>
        <w:pStyle w:val="8"/>
        <w:kinsoku w:val="0"/>
        <w:overflowPunct w:val="0"/>
        <w:spacing w:before="154"/>
        <w:ind w:left="600"/>
        <w:rPr>
          <w:rFonts w:hint="default"/>
          <w:color w:val="auto"/>
        </w:rPr>
      </w:pPr>
      <w:r>
        <w:rPr>
          <w:color w:val="auto"/>
        </w:rPr>
        <w:t>1、投标文件封面</w:t>
      </w:r>
    </w:p>
    <w:p>
      <w:pPr>
        <w:pStyle w:val="8"/>
        <w:kinsoku w:val="0"/>
        <w:overflowPunct w:val="0"/>
        <w:spacing w:before="154"/>
        <w:ind w:left="600"/>
        <w:rPr>
          <w:rFonts w:hint="default"/>
          <w:color w:val="auto"/>
        </w:rPr>
      </w:pPr>
      <w:r>
        <w:rPr>
          <w:color w:val="auto"/>
        </w:rPr>
        <w:t>2、★营业执照</w:t>
      </w:r>
    </w:p>
    <w:p>
      <w:pPr>
        <w:pStyle w:val="8"/>
        <w:kinsoku w:val="0"/>
        <w:overflowPunct w:val="0"/>
        <w:spacing w:before="154"/>
        <w:ind w:left="600"/>
        <w:rPr>
          <w:rFonts w:hint="default"/>
          <w:color w:val="auto"/>
        </w:rPr>
      </w:pPr>
      <w:r>
        <w:rPr>
          <w:color w:val="auto"/>
        </w:rPr>
        <w:t>3、★法定代表人身份证明及授权委托书</w:t>
      </w:r>
    </w:p>
    <w:p>
      <w:pPr>
        <w:pStyle w:val="8"/>
        <w:kinsoku w:val="0"/>
        <w:overflowPunct w:val="0"/>
        <w:spacing w:before="154"/>
        <w:ind w:left="600"/>
        <w:rPr>
          <w:rFonts w:hint="default"/>
          <w:color w:val="auto"/>
        </w:rPr>
      </w:pPr>
      <w:r>
        <w:rPr>
          <w:color w:val="auto"/>
        </w:rPr>
        <w:t>4、★投标保证金</w:t>
      </w:r>
    </w:p>
    <w:p>
      <w:pPr>
        <w:pStyle w:val="8"/>
        <w:kinsoku w:val="0"/>
        <w:overflowPunct w:val="0"/>
        <w:spacing w:before="154"/>
        <w:ind w:left="600"/>
        <w:rPr>
          <w:rFonts w:hint="default"/>
          <w:color w:val="auto"/>
        </w:rPr>
      </w:pPr>
      <w:r>
        <w:rPr>
          <w:color w:val="auto"/>
        </w:rPr>
        <w:t>5、制造(生产)商授权书</w:t>
      </w:r>
    </w:p>
    <w:p>
      <w:pPr>
        <w:pStyle w:val="8"/>
        <w:kinsoku w:val="0"/>
        <w:overflowPunct w:val="0"/>
        <w:spacing w:before="154"/>
        <w:ind w:left="600"/>
        <w:rPr>
          <w:rFonts w:hint="default" w:eastAsia="宋体"/>
          <w:color w:val="auto"/>
          <w:lang w:val="en-US" w:eastAsia="zh-CN"/>
        </w:rPr>
      </w:pPr>
      <w:r>
        <w:rPr>
          <w:color w:val="auto"/>
        </w:rPr>
        <w:t>6、★中、小企业声明函</w:t>
      </w:r>
      <w:r>
        <w:rPr>
          <w:rFonts w:hint="eastAsia"/>
          <w:color w:val="auto"/>
          <w:lang w:eastAsia="zh-CN"/>
        </w:rPr>
        <w:t>（</w:t>
      </w:r>
      <w:r>
        <w:rPr>
          <w:rFonts w:hint="eastAsia"/>
          <w:color w:val="auto"/>
          <w:lang w:val="en-US" w:eastAsia="zh-CN"/>
        </w:rPr>
        <w:t>本项目不需提供）</w:t>
      </w:r>
    </w:p>
    <w:p>
      <w:pPr>
        <w:pStyle w:val="8"/>
        <w:kinsoku w:val="0"/>
        <w:overflowPunct w:val="0"/>
        <w:spacing w:before="154"/>
        <w:ind w:left="600"/>
        <w:rPr>
          <w:rFonts w:hint="default"/>
          <w:color w:val="auto"/>
        </w:rPr>
      </w:pPr>
      <w:r>
        <w:rPr>
          <w:color w:val="auto"/>
        </w:rPr>
        <w:t>7、供应商认为有必要提供的声明及文件资料</w:t>
      </w:r>
    </w:p>
    <w:p>
      <w:pPr>
        <w:pStyle w:val="8"/>
        <w:kinsoku w:val="0"/>
        <w:overflowPunct w:val="0"/>
        <w:spacing w:before="154"/>
        <w:ind w:left="600"/>
        <w:rPr>
          <w:rFonts w:hint="default"/>
          <w:color w:val="auto"/>
        </w:rPr>
      </w:pPr>
      <w:r>
        <w:rPr>
          <w:color w:val="auto"/>
        </w:rPr>
        <w:t>8、★《中华人民共和国政府采购法》第二十二条应当具备的条件；</w:t>
      </w:r>
    </w:p>
    <w:p>
      <w:pPr>
        <w:pStyle w:val="8"/>
        <w:kinsoku w:val="0"/>
        <w:overflowPunct w:val="0"/>
        <w:spacing w:before="154" w:line="357" w:lineRule="auto"/>
        <w:ind w:right="3646" w:firstLine="480"/>
        <w:rPr>
          <w:rFonts w:hint="default"/>
          <w:color w:val="auto"/>
        </w:rPr>
      </w:pPr>
      <w:r>
        <w:rPr>
          <w:color w:val="auto"/>
        </w:rPr>
        <w:t xml:space="preserve">9、★不参与围标串标承诺书； </w:t>
      </w:r>
    </w:p>
    <w:p>
      <w:pPr>
        <w:pStyle w:val="8"/>
        <w:kinsoku w:val="0"/>
        <w:overflowPunct w:val="0"/>
        <w:spacing w:before="154" w:line="357" w:lineRule="auto"/>
        <w:ind w:right="3646"/>
        <w:rPr>
          <w:rFonts w:hint="default"/>
          <w:color w:val="auto"/>
        </w:rPr>
      </w:pPr>
      <w:r>
        <w:rPr>
          <w:b/>
          <w:color w:val="auto"/>
        </w:rPr>
        <w:t>二、商务（响应）文件</w:t>
      </w:r>
    </w:p>
    <w:p>
      <w:pPr>
        <w:pStyle w:val="8"/>
        <w:kinsoku w:val="0"/>
        <w:overflowPunct w:val="0"/>
        <w:ind w:left="600"/>
        <w:rPr>
          <w:rFonts w:hint="default"/>
          <w:color w:val="auto"/>
        </w:rPr>
      </w:pPr>
      <w:r>
        <w:rPr>
          <w:color w:val="auto"/>
        </w:rPr>
        <w:t>1、★投标函；</w:t>
      </w:r>
    </w:p>
    <w:p>
      <w:pPr>
        <w:pStyle w:val="8"/>
        <w:kinsoku w:val="0"/>
        <w:overflowPunct w:val="0"/>
        <w:spacing w:before="154"/>
        <w:ind w:left="600"/>
        <w:rPr>
          <w:rFonts w:hint="default"/>
          <w:color w:val="auto"/>
        </w:rPr>
      </w:pPr>
      <w:r>
        <w:rPr>
          <w:color w:val="auto"/>
        </w:rPr>
        <w:t>2、★开标一览表；</w:t>
      </w:r>
    </w:p>
    <w:p>
      <w:pPr>
        <w:pStyle w:val="8"/>
        <w:kinsoku w:val="0"/>
        <w:overflowPunct w:val="0"/>
        <w:spacing w:before="154"/>
        <w:ind w:left="600"/>
        <w:rPr>
          <w:rFonts w:hint="default"/>
          <w:color w:val="auto"/>
        </w:rPr>
      </w:pPr>
      <w:r>
        <w:rPr>
          <w:color w:val="auto"/>
        </w:rPr>
        <w:t>3、★投标报价明细表；</w:t>
      </w:r>
    </w:p>
    <w:p>
      <w:pPr>
        <w:pStyle w:val="8"/>
        <w:kinsoku w:val="0"/>
        <w:overflowPunct w:val="0"/>
        <w:spacing w:before="154"/>
        <w:ind w:left="600"/>
        <w:rPr>
          <w:rFonts w:hint="default"/>
          <w:color w:val="auto"/>
        </w:rPr>
      </w:pPr>
      <w:r>
        <w:rPr>
          <w:color w:val="auto"/>
        </w:rPr>
        <w:t>4、★商务条款偏离说明表</w:t>
      </w:r>
    </w:p>
    <w:p>
      <w:pPr>
        <w:pStyle w:val="8"/>
        <w:kinsoku w:val="0"/>
        <w:overflowPunct w:val="0"/>
        <w:spacing w:before="154"/>
        <w:ind w:left="600"/>
        <w:rPr>
          <w:rFonts w:hint="default"/>
          <w:color w:val="auto"/>
        </w:rPr>
      </w:pPr>
      <w:r>
        <w:rPr>
          <w:color w:val="auto"/>
        </w:rPr>
        <w:t>5、★商务响应文件</w:t>
      </w:r>
    </w:p>
    <w:p>
      <w:pPr>
        <w:pStyle w:val="8"/>
        <w:kinsoku w:val="0"/>
        <w:overflowPunct w:val="0"/>
        <w:spacing w:before="154" w:line="357" w:lineRule="auto"/>
        <w:ind w:right="1180" w:firstLine="480"/>
        <w:rPr>
          <w:rFonts w:hint="default"/>
          <w:color w:val="auto"/>
        </w:rPr>
      </w:pPr>
      <w:r>
        <w:rPr>
          <w:rFonts w:hint="eastAsia"/>
          <w:color w:val="auto"/>
          <w:lang w:val="en-US" w:eastAsia="zh-CN"/>
        </w:rPr>
        <w:t>6</w:t>
      </w:r>
      <w:r>
        <w:rPr>
          <w:color w:val="auto"/>
        </w:rPr>
        <w:t xml:space="preserve">、供应商认为有必要提供的声明及文件资料； </w:t>
      </w:r>
    </w:p>
    <w:p>
      <w:pPr>
        <w:pStyle w:val="8"/>
        <w:kinsoku w:val="0"/>
        <w:overflowPunct w:val="0"/>
        <w:spacing w:before="154" w:line="357" w:lineRule="auto"/>
        <w:ind w:right="1180"/>
        <w:rPr>
          <w:rFonts w:hint="default"/>
          <w:color w:val="auto"/>
        </w:rPr>
      </w:pPr>
      <w:r>
        <w:rPr>
          <w:b/>
          <w:color w:val="auto"/>
        </w:rPr>
        <w:t>三、技术（响应）文件</w:t>
      </w:r>
    </w:p>
    <w:p>
      <w:pPr>
        <w:pStyle w:val="8"/>
        <w:kinsoku w:val="0"/>
        <w:overflowPunct w:val="0"/>
        <w:spacing w:line="357" w:lineRule="auto"/>
        <w:ind w:right="3646" w:firstLine="480"/>
        <w:rPr>
          <w:rFonts w:hint="default"/>
          <w:color w:val="auto"/>
        </w:rPr>
      </w:pPr>
      <w:r>
        <w:rPr>
          <w:color w:val="auto"/>
        </w:rPr>
        <w:t>1、★</w:t>
      </w:r>
      <w:r>
        <w:rPr>
          <w:rFonts w:hint="eastAsia"/>
          <w:color w:val="auto"/>
          <w:lang w:eastAsia="zh-CN"/>
        </w:rPr>
        <w:t>供应商</w:t>
      </w:r>
      <w:r>
        <w:rPr>
          <w:color w:val="auto"/>
        </w:rPr>
        <w:t>自行编写的技术文件</w:t>
      </w:r>
    </w:p>
    <w:p>
      <w:pPr>
        <w:pStyle w:val="8"/>
        <w:kinsoku w:val="0"/>
        <w:overflowPunct w:val="0"/>
        <w:spacing w:line="357" w:lineRule="auto"/>
        <w:ind w:right="3646"/>
        <w:rPr>
          <w:rFonts w:hint="default"/>
          <w:color w:val="auto"/>
        </w:rPr>
      </w:pPr>
      <w:r>
        <w:rPr>
          <w:color w:val="auto"/>
        </w:rPr>
        <w:t xml:space="preserve"> </w:t>
      </w:r>
      <w:r>
        <w:rPr>
          <w:b/>
          <w:color w:val="auto"/>
        </w:rPr>
        <w:t>四、服务（响应）文件</w:t>
      </w:r>
    </w:p>
    <w:p>
      <w:pPr>
        <w:pStyle w:val="8"/>
        <w:kinsoku w:val="0"/>
        <w:overflowPunct w:val="0"/>
        <w:ind w:left="600"/>
        <w:rPr>
          <w:rFonts w:hint="default"/>
          <w:color w:val="auto"/>
        </w:rPr>
      </w:pPr>
      <w:r>
        <w:rPr>
          <w:color w:val="auto"/>
        </w:rPr>
        <w:t>1、★</w:t>
      </w:r>
      <w:r>
        <w:rPr>
          <w:rFonts w:hint="eastAsia"/>
          <w:color w:val="auto"/>
          <w:lang w:eastAsia="zh-CN"/>
        </w:rPr>
        <w:t>供应商</w:t>
      </w:r>
      <w:r>
        <w:rPr>
          <w:color w:val="auto"/>
        </w:rPr>
        <w:t>自行编写的服务文件</w:t>
      </w:r>
    </w:p>
    <w:p>
      <w:pPr>
        <w:pStyle w:val="8"/>
        <w:kinsoku w:val="0"/>
        <w:overflowPunct w:val="0"/>
        <w:ind w:left="600"/>
        <w:rPr>
          <w:rFonts w:hint="default"/>
          <w:color w:val="auto"/>
        </w:rPr>
        <w:sectPr>
          <w:pgSz w:w="11910" w:h="16840"/>
          <w:pgMar w:top="1480" w:right="1680" w:bottom="1580" w:left="1680" w:header="0" w:footer="1395" w:gutter="0"/>
          <w:pgNumType w:fmt="decimal"/>
          <w:cols w:space="720" w:num="1"/>
        </w:sectPr>
      </w:pPr>
    </w:p>
    <w:p>
      <w:pPr>
        <w:pStyle w:val="8"/>
        <w:kinsoku w:val="0"/>
        <w:overflowPunct w:val="0"/>
        <w:spacing w:before="0" w:line="395" w:lineRule="exact"/>
        <w:rPr>
          <w:rFonts w:hint="default" w:ascii="黑体" w:eastAsia="黑体" w:cs="黑体"/>
          <w:color w:val="auto"/>
          <w:sz w:val="32"/>
          <w:szCs w:val="32"/>
        </w:rPr>
      </w:pPr>
      <w:bookmarkStart w:id="45" w:name="1、投标文件封面"/>
      <w:bookmarkEnd w:id="45"/>
      <w:bookmarkStart w:id="46" w:name="一、投标文件格式"/>
      <w:bookmarkEnd w:id="46"/>
      <w:r>
        <w:rPr>
          <w:rFonts w:ascii="黑体" w:eastAsia="黑体" w:cs="黑体"/>
          <w:b/>
          <w:color w:val="auto"/>
          <w:sz w:val="32"/>
          <w:szCs w:val="32"/>
        </w:rPr>
        <w:t>一、投标文件格式</w:t>
      </w:r>
    </w:p>
    <w:p>
      <w:pPr>
        <w:pStyle w:val="8"/>
        <w:kinsoku w:val="0"/>
        <w:overflowPunct w:val="0"/>
        <w:spacing w:before="0" w:line="395" w:lineRule="exact"/>
        <w:rPr>
          <w:rFonts w:hint="default" w:ascii="黑体" w:eastAsia="黑体" w:cs="黑体"/>
          <w:color w:val="auto"/>
          <w:sz w:val="32"/>
          <w:szCs w:val="32"/>
        </w:rPr>
        <w:sectPr>
          <w:pgSz w:w="11910" w:h="16840"/>
          <w:pgMar w:top="1500" w:right="1680" w:bottom="1580" w:left="1680" w:header="0" w:footer="1395" w:gutter="0"/>
          <w:pgNumType w:fmt="decimal"/>
          <w:cols w:space="720" w:num="1"/>
        </w:sectPr>
      </w:pPr>
    </w:p>
    <w:p>
      <w:pPr>
        <w:pStyle w:val="8"/>
        <w:kinsoku w:val="0"/>
        <w:overflowPunct w:val="0"/>
        <w:spacing w:before="0" w:line="395" w:lineRule="exact"/>
        <w:rPr>
          <w:rFonts w:hint="default" w:ascii="黑体" w:eastAsia="黑体" w:cs="黑体"/>
          <w:color w:val="auto"/>
          <w:sz w:val="32"/>
          <w:szCs w:val="32"/>
        </w:rPr>
      </w:pPr>
      <w:bookmarkStart w:id="47" w:name="2、★营业执照"/>
      <w:bookmarkEnd w:id="47"/>
      <w:r>
        <w:rPr>
          <w:rFonts w:ascii="黑体" w:eastAsia="黑体" w:cs="黑体"/>
          <w:b/>
          <w:color w:val="auto"/>
          <w:sz w:val="32"/>
          <w:szCs w:val="32"/>
        </w:rPr>
        <w:t>1、投标文件封面</w:t>
      </w:r>
    </w:p>
    <w:p>
      <w:pPr>
        <w:pStyle w:val="8"/>
        <w:kinsoku w:val="0"/>
        <w:overflowPunct w:val="0"/>
        <w:spacing w:before="0"/>
        <w:ind w:left="0"/>
        <w:rPr>
          <w:rFonts w:hint="default" w:ascii="黑体" w:eastAsia="黑体" w:cs="黑体"/>
          <w:b/>
          <w:color w:val="auto"/>
          <w:sz w:val="20"/>
          <w:szCs w:val="20"/>
        </w:rPr>
      </w:pPr>
    </w:p>
    <w:p>
      <w:pPr>
        <w:pStyle w:val="8"/>
        <w:kinsoku w:val="0"/>
        <w:overflowPunct w:val="0"/>
        <w:spacing w:before="0"/>
        <w:ind w:left="0"/>
        <w:rPr>
          <w:rFonts w:hint="default" w:ascii="黑体" w:eastAsia="黑体" w:cs="黑体"/>
          <w:b/>
          <w:color w:val="auto"/>
          <w:sz w:val="20"/>
          <w:szCs w:val="20"/>
        </w:rPr>
      </w:pPr>
    </w:p>
    <w:p>
      <w:pPr>
        <w:pStyle w:val="8"/>
        <w:kinsoku w:val="0"/>
        <w:overflowPunct w:val="0"/>
        <w:spacing w:before="0"/>
        <w:ind w:left="0"/>
        <w:rPr>
          <w:rFonts w:hint="default" w:ascii="黑体" w:eastAsia="黑体" w:cs="黑体"/>
          <w:b/>
          <w:color w:val="auto"/>
          <w:sz w:val="20"/>
          <w:szCs w:val="20"/>
        </w:rPr>
      </w:pPr>
    </w:p>
    <w:p>
      <w:pPr>
        <w:pStyle w:val="8"/>
        <w:kinsoku w:val="0"/>
        <w:overflowPunct w:val="0"/>
        <w:spacing w:before="8"/>
        <w:ind w:left="0"/>
        <w:rPr>
          <w:rFonts w:hint="default" w:ascii="黑体" w:eastAsia="黑体" w:cs="黑体"/>
          <w:b/>
          <w:color w:val="auto"/>
          <w:sz w:val="28"/>
          <w:szCs w:val="28"/>
        </w:rPr>
      </w:pPr>
    </w:p>
    <w:p>
      <w:pPr>
        <w:pStyle w:val="8"/>
        <w:kinsoku w:val="0"/>
        <w:overflowPunct w:val="0"/>
        <w:spacing w:before="14"/>
        <w:ind w:left="2358" w:right="2359"/>
        <w:jc w:val="center"/>
        <w:rPr>
          <w:rFonts w:hint="default"/>
          <w:color w:val="auto"/>
          <w:sz w:val="28"/>
          <w:szCs w:val="28"/>
        </w:rPr>
      </w:pPr>
      <w:r>
        <w:rPr>
          <w:color w:val="auto"/>
          <w:sz w:val="28"/>
          <w:szCs w:val="28"/>
        </w:rPr>
        <w:t>（项目名称）</w:t>
      </w:r>
    </w:p>
    <w:p>
      <w:pPr>
        <w:pStyle w:val="8"/>
        <w:kinsoku w:val="0"/>
        <w:overflowPunct w:val="0"/>
        <w:spacing w:before="0"/>
        <w:ind w:left="0"/>
        <w:rPr>
          <w:rFonts w:hint="default"/>
          <w:color w:val="auto"/>
          <w:sz w:val="28"/>
          <w:szCs w:val="28"/>
        </w:rPr>
      </w:pPr>
    </w:p>
    <w:p>
      <w:pPr>
        <w:pStyle w:val="8"/>
        <w:kinsoku w:val="0"/>
        <w:overflowPunct w:val="0"/>
        <w:spacing w:before="5"/>
        <w:ind w:left="0"/>
        <w:rPr>
          <w:rFonts w:hint="default"/>
          <w:color w:val="auto"/>
          <w:sz w:val="39"/>
          <w:szCs w:val="39"/>
        </w:rPr>
      </w:pPr>
    </w:p>
    <w:p>
      <w:pPr>
        <w:pStyle w:val="8"/>
        <w:kinsoku w:val="0"/>
        <w:overflowPunct w:val="0"/>
        <w:spacing w:before="0"/>
        <w:ind w:left="97" w:right="1"/>
        <w:jc w:val="center"/>
        <w:rPr>
          <w:rFonts w:hint="default"/>
          <w:color w:val="auto"/>
          <w:sz w:val="28"/>
          <w:szCs w:val="28"/>
        </w:rPr>
      </w:pPr>
      <w:r>
        <w:rPr>
          <w:color w:val="auto"/>
          <w:sz w:val="28"/>
          <w:szCs w:val="28"/>
        </w:rPr>
        <w:t>（包号）</w:t>
      </w:r>
    </w:p>
    <w:p>
      <w:pPr>
        <w:pStyle w:val="8"/>
        <w:kinsoku w:val="0"/>
        <w:overflowPunct w:val="0"/>
        <w:spacing w:before="0"/>
        <w:ind w:left="0"/>
        <w:rPr>
          <w:rFonts w:hint="default"/>
          <w:color w:val="auto"/>
          <w:sz w:val="28"/>
          <w:szCs w:val="28"/>
        </w:rPr>
      </w:pPr>
    </w:p>
    <w:p>
      <w:pPr>
        <w:pStyle w:val="8"/>
        <w:kinsoku w:val="0"/>
        <w:overflowPunct w:val="0"/>
        <w:spacing w:before="0"/>
        <w:ind w:left="0"/>
        <w:rPr>
          <w:rFonts w:hint="default"/>
          <w:color w:val="auto"/>
          <w:sz w:val="28"/>
          <w:szCs w:val="28"/>
        </w:rPr>
      </w:pPr>
    </w:p>
    <w:p>
      <w:pPr>
        <w:pStyle w:val="8"/>
        <w:kinsoku w:val="0"/>
        <w:overflowPunct w:val="0"/>
        <w:spacing w:before="10"/>
        <w:ind w:left="0"/>
        <w:rPr>
          <w:rFonts w:hint="default"/>
          <w:color w:val="auto"/>
          <w:sz w:val="19"/>
          <w:szCs w:val="19"/>
        </w:rPr>
      </w:pPr>
    </w:p>
    <w:p>
      <w:pPr>
        <w:pStyle w:val="8"/>
        <w:kinsoku w:val="0"/>
        <w:overflowPunct w:val="0"/>
        <w:spacing w:before="0"/>
        <w:ind w:left="1" w:right="1"/>
        <w:jc w:val="center"/>
        <w:rPr>
          <w:rFonts w:hint="default" w:ascii="黑体" w:eastAsia="黑体" w:cs="黑体"/>
          <w:color w:val="auto"/>
          <w:sz w:val="72"/>
          <w:szCs w:val="72"/>
        </w:rPr>
      </w:pPr>
      <w:r>
        <w:rPr>
          <w:rFonts w:ascii="黑体" w:eastAsia="黑体" w:cs="黑体"/>
          <w:b/>
          <w:color w:val="auto"/>
          <w:sz w:val="72"/>
          <w:szCs w:val="72"/>
        </w:rPr>
        <w:t>投标文件</w:t>
      </w:r>
    </w:p>
    <w:p>
      <w:pPr>
        <w:pStyle w:val="8"/>
        <w:kinsoku w:val="0"/>
        <w:overflowPunct w:val="0"/>
        <w:spacing w:before="0"/>
        <w:ind w:left="0"/>
        <w:rPr>
          <w:rFonts w:hint="default" w:ascii="黑体" w:eastAsia="黑体" w:cs="黑体"/>
          <w:b/>
          <w:color w:val="auto"/>
          <w:sz w:val="72"/>
          <w:szCs w:val="72"/>
        </w:rPr>
      </w:pPr>
    </w:p>
    <w:p>
      <w:pPr>
        <w:pStyle w:val="8"/>
        <w:kinsoku w:val="0"/>
        <w:overflowPunct w:val="0"/>
        <w:spacing w:before="0"/>
        <w:ind w:left="0"/>
        <w:rPr>
          <w:rFonts w:hint="default" w:ascii="黑体" w:eastAsia="黑体" w:cs="黑体"/>
          <w:b/>
          <w:color w:val="auto"/>
          <w:sz w:val="72"/>
          <w:szCs w:val="72"/>
        </w:rPr>
      </w:pPr>
    </w:p>
    <w:p>
      <w:pPr>
        <w:pStyle w:val="8"/>
        <w:kinsoku w:val="0"/>
        <w:overflowPunct w:val="0"/>
        <w:spacing w:before="0"/>
        <w:ind w:left="0"/>
        <w:rPr>
          <w:rFonts w:hint="default" w:ascii="黑体" w:eastAsia="黑体" w:cs="黑体"/>
          <w:b/>
          <w:color w:val="auto"/>
          <w:sz w:val="72"/>
          <w:szCs w:val="72"/>
        </w:rPr>
      </w:pPr>
    </w:p>
    <w:p>
      <w:pPr>
        <w:pStyle w:val="8"/>
        <w:kinsoku w:val="0"/>
        <w:overflowPunct w:val="0"/>
        <w:spacing w:before="1"/>
        <w:ind w:left="0"/>
        <w:rPr>
          <w:rFonts w:hint="default" w:ascii="黑体" w:eastAsia="黑体" w:cs="黑体"/>
          <w:b/>
          <w:color w:val="auto"/>
          <w:sz w:val="85"/>
          <w:szCs w:val="85"/>
        </w:rPr>
      </w:pPr>
    </w:p>
    <w:p>
      <w:pPr>
        <w:pStyle w:val="8"/>
        <w:kinsoku w:val="0"/>
        <w:overflowPunct w:val="0"/>
        <w:spacing w:before="0"/>
        <w:ind w:left="0" w:right="1"/>
        <w:jc w:val="center"/>
        <w:rPr>
          <w:rFonts w:hint="default" w:ascii="仿宋" w:eastAsia="仿宋" w:cs="仿宋"/>
          <w:color w:val="auto"/>
          <w:sz w:val="28"/>
          <w:szCs w:val="28"/>
        </w:rPr>
      </w:pPr>
      <w:r>
        <w:rPr>
          <w:rFonts w:hint="eastAsia" w:eastAsia="仿宋"/>
          <w:color w:val="auto"/>
          <w:sz w:val="28"/>
          <w:szCs w:val="28"/>
          <w:lang w:eastAsia="zh-CN"/>
        </w:rPr>
        <w:t>供应商</w:t>
      </w:r>
      <w:r>
        <w:rPr>
          <w:rFonts w:ascii="仿宋" w:eastAsia="仿宋" w:cs="仿宋"/>
          <w:color w:val="auto"/>
          <w:sz w:val="28"/>
          <w:szCs w:val="28"/>
        </w:rPr>
        <w:t>（电子签章）</w:t>
      </w:r>
    </w:p>
    <w:p>
      <w:pPr>
        <w:pStyle w:val="8"/>
        <w:kinsoku w:val="0"/>
        <w:overflowPunct w:val="0"/>
        <w:spacing w:before="9"/>
        <w:ind w:left="0"/>
        <w:rPr>
          <w:rFonts w:hint="default" w:ascii="仿宋" w:eastAsia="仿宋" w:cs="仿宋"/>
          <w:color w:val="auto"/>
          <w:sz w:val="19"/>
          <w:szCs w:val="19"/>
        </w:rPr>
      </w:pPr>
    </w:p>
    <w:p>
      <w:pPr>
        <w:pStyle w:val="8"/>
        <w:kinsoku w:val="0"/>
        <w:overflowPunct w:val="0"/>
        <w:spacing w:before="0"/>
        <w:ind w:left="1519"/>
        <w:rPr>
          <w:rFonts w:hint="default"/>
          <w:color w:val="auto"/>
          <w:sz w:val="28"/>
          <w:szCs w:val="28"/>
        </w:rPr>
      </w:pPr>
      <w:r>
        <w:rPr>
          <w:color w:val="auto"/>
          <w:sz w:val="28"/>
          <w:szCs w:val="28"/>
        </w:rPr>
        <w:t>法定代表人</w:t>
      </w:r>
    </w:p>
    <w:p>
      <w:pPr>
        <w:pStyle w:val="8"/>
        <w:kinsoku w:val="0"/>
        <w:overflowPunct w:val="0"/>
        <w:spacing w:before="9"/>
        <w:ind w:left="0"/>
        <w:rPr>
          <w:rFonts w:hint="default"/>
          <w:color w:val="auto"/>
          <w:sz w:val="19"/>
          <w:szCs w:val="19"/>
        </w:rPr>
      </w:pPr>
    </w:p>
    <w:p>
      <w:pPr>
        <w:pStyle w:val="8"/>
        <w:kinsoku w:val="0"/>
        <w:overflowPunct w:val="0"/>
        <w:spacing w:before="0"/>
        <w:ind w:left="3" w:right="1"/>
        <w:jc w:val="center"/>
        <w:rPr>
          <w:rFonts w:hint="default"/>
          <w:color w:val="auto"/>
          <w:sz w:val="28"/>
          <w:szCs w:val="28"/>
        </w:rPr>
      </w:pPr>
      <w:r>
        <w:rPr>
          <w:color w:val="auto"/>
          <w:sz w:val="28"/>
          <w:szCs w:val="28"/>
        </w:rPr>
        <w:t>日期（年/月/日）</w:t>
      </w:r>
    </w:p>
    <w:p>
      <w:pPr>
        <w:pStyle w:val="8"/>
        <w:kinsoku w:val="0"/>
        <w:overflowPunct w:val="0"/>
        <w:spacing w:before="0"/>
        <w:ind w:left="3" w:right="1"/>
        <w:jc w:val="center"/>
        <w:rPr>
          <w:rFonts w:hint="default"/>
          <w:color w:val="auto"/>
          <w:sz w:val="28"/>
          <w:szCs w:val="28"/>
        </w:rPr>
        <w:sectPr>
          <w:pgSz w:w="11910" w:h="16840"/>
          <w:pgMar w:top="1500" w:right="1680" w:bottom="1580" w:left="1680" w:header="0" w:footer="1395" w:gutter="0"/>
          <w:pgNumType w:fmt="decimal"/>
          <w:cols w:space="720" w:num="1"/>
        </w:sectPr>
      </w:pPr>
    </w:p>
    <w:p>
      <w:pPr>
        <w:pStyle w:val="8"/>
        <w:kinsoku w:val="0"/>
        <w:overflowPunct w:val="0"/>
        <w:spacing w:before="0" w:line="395" w:lineRule="exact"/>
        <w:rPr>
          <w:rFonts w:hint="default" w:ascii="黑体" w:eastAsia="黑体" w:cs="黑体"/>
          <w:color w:val="auto"/>
          <w:sz w:val="32"/>
          <w:szCs w:val="32"/>
        </w:rPr>
      </w:pPr>
      <w:bookmarkStart w:id="48" w:name="3、★法定代表人身份证明及授权委托书"/>
      <w:bookmarkEnd w:id="48"/>
      <w:r>
        <w:rPr>
          <w:rFonts w:ascii="黑体" w:eastAsia="黑体" w:cs="黑体"/>
          <w:b/>
          <w:color w:val="auto"/>
          <w:sz w:val="32"/>
          <w:szCs w:val="32"/>
        </w:rPr>
        <w:t>2、★营业执照</w:t>
      </w:r>
    </w:p>
    <w:p>
      <w:pPr>
        <w:pStyle w:val="8"/>
        <w:kinsoku w:val="0"/>
        <w:overflowPunct w:val="0"/>
        <w:spacing w:before="0" w:line="395" w:lineRule="exact"/>
        <w:rPr>
          <w:rFonts w:hint="default" w:ascii="黑体" w:eastAsia="黑体" w:cs="黑体"/>
          <w:color w:val="auto"/>
          <w:sz w:val="32"/>
          <w:szCs w:val="32"/>
        </w:rPr>
        <w:sectPr>
          <w:pgSz w:w="11910" w:h="16840"/>
          <w:pgMar w:top="1500" w:right="1680" w:bottom="1580" w:left="1680" w:header="0" w:footer="1395" w:gutter="0"/>
          <w:pgNumType w:fmt="decimal"/>
          <w:cols w:space="720" w:num="1"/>
        </w:sectPr>
      </w:pPr>
    </w:p>
    <w:p>
      <w:pPr>
        <w:pStyle w:val="8"/>
        <w:kinsoku w:val="0"/>
        <w:overflowPunct w:val="0"/>
        <w:spacing w:before="0" w:line="395" w:lineRule="exact"/>
        <w:rPr>
          <w:rFonts w:hint="default" w:ascii="黑体" w:eastAsia="黑体" w:cs="黑体"/>
          <w:color w:val="auto"/>
          <w:sz w:val="32"/>
          <w:szCs w:val="32"/>
        </w:rPr>
      </w:pPr>
      <w:r>
        <w:rPr>
          <w:rFonts w:ascii="黑体" w:eastAsia="黑体" w:cs="黑体"/>
          <w:b/>
          <w:color w:val="auto"/>
          <w:sz w:val="32"/>
          <w:szCs w:val="32"/>
        </w:rPr>
        <w:t>3、★法定代表人身份证明及授权委托书</w:t>
      </w:r>
    </w:p>
    <w:p>
      <w:pPr>
        <w:pStyle w:val="8"/>
        <w:kinsoku w:val="0"/>
        <w:overflowPunct w:val="0"/>
        <w:spacing w:before="272"/>
        <w:ind w:left="0" w:right="1"/>
        <w:jc w:val="center"/>
        <w:rPr>
          <w:rFonts w:hint="default"/>
          <w:color w:val="auto"/>
        </w:rPr>
      </w:pPr>
      <w:r>
        <w:rPr>
          <w:color w:val="auto"/>
        </w:rPr>
        <w:t>法定代表人资格证明文件</w:t>
      </w:r>
    </w:p>
    <w:p>
      <w:pPr>
        <w:pStyle w:val="8"/>
        <w:kinsoku w:val="0"/>
        <w:overflowPunct w:val="0"/>
        <w:spacing w:before="185" w:line="381" w:lineRule="auto"/>
        <w:ind w:left="600" w:hanging="480"/>
        <w:rPr>
          <w:rFonts w:hint="default"/>
          <w:color w:val="auto"/>
          <w:spacing w:val="-3"/>
        </w:rPr>
      </w:pPr>
      <w:r>
        <w:rPr>
          <w:color w:val="auto"/>
          <w:u w:val="single"/>
        </w:rPr>
        <w:t>（代理机构名称）</w:t>
      </w:r>
      <w:r>
        <w:rPr>
          <w:color w:val="auto"/>
        </w:rPr>
        <w:t xml:space="preserve">： </w:t>
      </w:r>
      <w:r>
        <w:rPr>
          <w:color w:val="auto"/>
          <w:spacing w:val="-3"/>
        </w:rPr>
        <w:t>兹有同志为公司法定代表人，代表我公司办理一切社会公务事宜，具有法律</w:t>
      </w:r>
    </w:p>
    <w:p>
      <w:pPr>
        <w:pStyle w:val="8"/>
        <w:kinsoku w:val="0"/>
        <w:overflowPunct w:val="0"/>
        <w:spacing w:before="46"/>
        <w:rPr>
          <w:rFonts w:hint="default"/>
          <w:color w:val="auto"/>
        </w:rPr>
      </w:pPr>
      <w:r>
        <w:rPr>
          <w:color w:val="auto"/>
        </w:rPr>
        <w:t>效力。</w:t>
      </w:r>
    </w:p>
    <w:p>
      <w:pPr>
        <w:pStyle w:val="8"/>
        <w:kinsoku w:val="0"/>
        <w:overflowPunct w:val="0"/>
        <w:spacing w:before="185" w:line="381" w:lineRule="auto"/>
        <w:ind w:left="600" w:right="3646"/>
        <w:rPr>
          <w:rFonts w:hint="default"/>
          <w:color w:val="auto"/>
        </w:rPr>
      </w:pPr>
      <w:r>
        <w:rPr>
          <w:color w:val="auto"/>
        </w:rPr>
        <w:t>附法定代表人基本情况： 姓名：性别：年龄：职务： 身份证号码：</w:t>
      </w:r>
    </w:p>
    <w:p>
      <w:pPr>
        <w:pStyle w:val="8"/>
        <w:kinsoku w:val="0"/>
        <w:overflowPunct w:val="0"/>
        <w:spacing w:before="43" w:line="381" w:lineRule="auto"/>
        <w:ind w:left="600" w:right="4950"/>
        <w:rPr>
          <w:rFonts w:hint="default"/>
          <w:color w:val="auto"/>
        </w:rPr>
      </w:pPr>
      <w:r>
        <w:rPr>
          <w:color w:val="auto"/>
        </w:rPr>
        <w:t>通讯地址： 电话号码：邮政编码：</w:t>
      </w:r>
    </w:p>
    <w:p>
      <w:pPr>
        <w:pStyle w:val="8"/>
        <w:kinsoku w:val="0"/>
        <w:overflowPunct w:val="0"/>
        <w:spacing w:before="0"/>
        <w:ind w:left="0"/>
        <w:rPr>
          <w:rFonts w:hint="default"/>
          <w:color w:val="auto"/>
          <w:sz w:val="20"/>
          <w:szCs w:val="20"/>
        </w:rPr>
      </w:pPr>
    </w:p>
    <w:p>
      <w:pPr>
        <w:pStyle w:val="8"/>
        <w:kinsoku w:val="0"/>
        <w:overflowPunct w:val="0"/>
        <w:spacing w:before="11"/>
        <w:ind w:left="0"/>
        <w:rPr>
          <w:rFonts w:hint="default"/>
          <w:color w:val="auto"/>
          <w:sz w:val="12"/>
          <w:szCs w:val="12"/>
        </w:rPr>
      </w:pPr>
    </w:p>
    <w:p>
      <w:pPr>
        <w:pStyle w:val="8"/>
        <w:kinsoku w:val="0"/>
        <w:overflowPunct w:val="0"/>
        <w:spacing w:before="0" w:line="2998" w:lineRule="exact"/>
        <w:ind w:left="1396"/>
        <w:rPr>
          <w:rFonts w:hint="default"/>
          <w:color w:val="auto"/>
          <w:position w:val="-60"/>
          <w:sz w:val="20"/>
          <w:szCs w:val="20"/>
        </w:rPr>
      </w:pPr>
      <w:r>
        <w:rPr>
          <w:rFonts w:hint="default"/>
          <w:color w:val="auto"/>
          <w:position w:val="-60"/>
          <w:sz w:val="20"/>
          <w:szCs w:val="20"/>
        </w:rPr>
        <mc:AlternateContent>
          <mc:Choice Requires="wps">
            <w:drawing>
              <wp:inline distT="0" distB="0" distL="114300" distR="114300">
                <wp:extent cx="4320540" cy="1903730"/>
                <wp:effectExtent l="4445" t="4445" r="5715" b="9525"/>
                <wp:docPr id="7" name="文本框 143"/>
                <wp:cNvGraphicFramePr/>
                <a:graphic xmlns:a="http://schemas.openxmlformats.org/drawingml/2006/main">
                  <a:graphicData uri="http://schemas.microsoft.com/office/word/2010/wordprocessingShape">
                    <wps:wsp>
                      <wps:cNvSpPr txBox="1">
                        <a:spLocks noRot="1"/>
                      </wps:cNvSpPr>
                      <wps:spPr>
                        <a:xfrm>
                          <a:off x="0" y="0"/>
                          <a:ext cx="4320540" cy="1903730"/>
                        </a:xfrm>
                        <a:prstGeom prst="rect">
                          <a:avLst/>
                        </a:prstGeom>
                        <a:noFill/>
                        <a:ln w="6096" cap="flat" cmpd="sng">
                          <a:solidFill>
                            <a:srgbClr val="000000"/>
                          </a:solidFill>
                          <a:prstDash val="solid"/>
                          <a:miter/>
                          <a:headEnd type="none" w="med" len="med"/>
                          <a:tailEnd type="none" w="med" len="med"/>
                        </a:ln>
                      </wps:spPr>
                      <wps:txbx>
                        <w:txbxContent>
                          <w:p>
                            <w:pPr>
                              <w:pStyle w:val="8"/>
                              <w:kinsoku w:val="0"/>
                              <w:overflowPunct w:val="0"/>
                              <w:spacing w:before="0"/>
                              <w:ind w:left="0"/>
                              <w:rPr>
                                <w:rFonts w:hint="default"/>
                              </w:rPr>
                            </w:pPr>
                          </w:p>
                          <w:p>
                            <w:pPr>
                              <w:pStyle w:val="8"/>
                              <w:kinsoku w:val="0"/>
                              <w:overflowPunct w:val="0"/>
                              <w:spacing w:before="0"/>
                              <w:ind w:left="0"/>
                              <w:rPr>
                                <w:rFonts w:hint="default"/>
                              </w:rPr>
                            </w:pPr>
                          </w:p>
                          <w:p>
                            <w:pPr>
                              <w:pStyle w:val="8"/>
                              <w:kinsoku w:val="0"/>
                              <w:overflowPunct w:val="0"/>
                              <w:spacing w:before="0"/>
                              <w:ind w:left="0"/>
                              <w:rPr>
                                <w:rFonts w:hint="default"/>
                              </w:rPr>
                            </w:pPr>
                          </w:p>
                          <w:p>
                            <w:pPr>
                              <w:pStyle w:val="8"/>
                              <w:kinsoku w:val="0"/>
                              <w:overflowPunct w:val="0"/>
                              <w:spacing w:before="179"/>
                              <w:ind w:left="1596"/>
                              <w:rPr>
                                <w:rFonts w:hint="default"/>
                              </w:rPr>
                            </w:pPr>
                            <w:r>
                              <w:t>法定代表人《居民身份证》扫描件</w:t>
                            </w:r>
                          </w:p>
                        </w:txbxContent>
                      </wps:txbx>
                      <wps:bodyPr wrap="square" lIns="0" tIns="0" rIns="0" bIns="0" upright="1"/>
                    </wps:wsp>
                  </a:graphicData>
                </a:graphic>
              </wp:inline>
            </w:drawing>
          </mc:Choice>
          <mc:Fallback>
            <w:pict>
              <v:shape id="文本框 143" o:spid="_x0000_s1026" o:spt="202" type="#_x0000_t202" style="height:149.9pt;width:340.2pt;" filled="f" stroked="t" coordsize="21600,21600" o:gfxdata="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ljJPTUAAAABQEAAA8AAAAAAAAAAQAgAAAAIgAAAGRycy9kb3ducmV2LnhtbFBLAQIU&#10;ABQAAAAIAIdO4kBZQfNVMAIAAGUEAAAOAAAAAAAAAAEAIAAAACMBAABkcnMvZTJvRG9jLnhtbFBL&#10;BQYAAAAABgAGAFkBAADFBQAAAAA=&#10;">
                <v:fill on="f" focussize="0,0"/>
                <v:stroke weight="0.48pt" color="#000000" joinstyle="miter"/>
                <v:imagedata o:title=""/>
                <o:lock v:ext="edit" rotation="t" aspectratio="f"/>
                <v:textbox inset="0mm,0mm,0mm,0mm">
                  <w:txbxContent>
                    <w:p>
                      <w:pPr>
                        <w:pStyle w:val="8"/>
                        <w:kinsoku w:val="0"/>
                        <w:overflowPunct w:val="0"/>
                        <w:spacing w:before="0"/>
                        <w:ind w:left="0"/>
                        <w:rPr>
                          <w:rFonts w:hint="default"/>
                        </w:rPr>
                      </w:pPr>
                    </w:p>
                    <w:p>
                      <w:pPr>
                        <w:pStyle w:val="8"/>
                        <w:kinsoku w:val="0"/>
                        <w:overflowPunct w:val="0"/>
                        <w:spacing w:before="0"/>
                        <w:ind w:left="0"/>
                        <w:rPr>
                          <w:rFonts w:hint="default"/>
                        </w:rPr>
                      </w:pPr>
                    </w:p>
                    <w:p>
                      <w:pPr>
                        <w:pStyle w:val="8"/>
                        <w:kinsoku w:val="0"/>
                        <w:overflowPunct w:val="0"/>
                        <w:spacing w:before="0"/>
                        <w:ind w:left="0"/>
                        <w:rPr>
                          <w:rFonts w:hint="default"/>
                        </w:rPr>
                      </w:pPr>
                    </w:p>
                    <w:p>
                      <w:pPr>
                        <w:pStyle w:val="8"/>
                        <w:kinsoku w:val="0"/>
                        <w:overflowPunct w:val="0"/>
                        <w:spacing w:before="179"/>
                        <w:ind w:left="1596"/>
                        <w:rPr>
                          <w:rFonts w:hint="default"/>
                        </w:rPr>
                      </w:pPr>
                      <w:r>
                        <w:t>法定代表人《居民身份证》扫描件</w:t>
                      </w:r>
                    </w:p>
                  </w:txbxContent>
                </v:textbox>
                <w10:wrap type="none"/>
                <w10:anchorlock/>
              </v:shape>
            </w:pict>
          </mc:Fallback>
        </mc:AlternateContent>
      </w:r>
    </w:p>
    <w:p>
      <w:pPr>
        <w:pStyle w:val="8"/>
        <w:kinsoku w:val="0"/>
        <w:overflowPunct w:val="0"/>
        <w:spacing w:before="0"/>
        <w:ind w:left="0"/>
        <w:rPr>
          <w:rFonts w:hint="default"/>
          <w:color w:val="auto"/>
          <w:sz w:val="20"/>
          <w:szCs w:val="20"/>
        </w:rPr>
      </w:pPr>
    </w:p>
    <w:p>
      <w:pPr>
        <w:pStyle w:val="8"/>
        <w:kinsoku w:val="0"/>
        <w:overflowPunct w:val="0"/>
        <w:spacing w:before="12"/>
        <w:ind w:left="0"/>
        <w:rPr>
          <w:rFonts w:hint="default"/>
          <w:color w:val="auto"/>
          <w:sz w:val="25"/>
          <w:szCs w:val="25"/>
        </w:rPr>
      </w:pPr>
    </w:p>
    <w:p>
      <w:pPr>
        <w:pStyle w:val="8"/>
        <w:kinsoku w:val="0"/>
        <w:overflowPunct w:val="0"/>
        <w:spacing w:before="26"/>
        <w:ind w:left="840" w:firstLine="28"/>
        <w:rPr>
          <w:rFonts w:hint="default"/>
          <w:color w:val="auto"/>
        </w:rPr>
      </w:pPr>
      <w:r>
        <w:rPr>
          <w:rFonts w:hint="eastAsia"/>
          <w:color w:val="auto"/>
          <w:lang w:eastAsia="zh-CN"/>
        </w:rPr>
        <w:t>供应商</w:t>
      </w:r>
      <w:r>
        <w:rPr>
          <w:color w:val="auto"/>
        </w:rPr>
        <w:t>名称（电子签章）：</w:t>
      </w:r>
    </w:p>
    <w:p>
      <w:pPr>
        <w:pStyle w:val="8"/>
        <w:kinsoku w:val="0"/>
        <w:overflowPunct w:val="0"/>
        <w:spacing w:before="0"/>
        <w:ind w:left="0"/>
        <w:rPr>
          <w:rFonts w:hint="default"/>
          <w:color w:val="auto"/>
        </w:rPr>
      </w:pPr>
    </w:p>
    <w:p>
      <w:pPr>
        <w:pStyle w:val="8"/>
        <w:kinsoku w:val="0"/>
        <w:overflowPunct w:val="0"/>
        <w:spacing w:before="4"/>
        <w:ind w:left="0"/>
        <w:rPr>
          <w:rFonts w:hint="default"/>
          <w:color w:val="auto"/>
          <w:sz w:val="28"/>
          <w:szCs w:val="28"/>
        </w:rPr>
      </w:pPr>
    </w:p>
    <w:p>
      <w:pPr>
        <w:pStyle w:val="8"/>
        <w:kinsoku w:val="0"/>
        <w:overflowPunct w:val="0"/>
        <w:spacing w:before="0"/>
        <w:ind w:left="840"/>
        <w:rPr>
          <w:rFonts w:hint="default"/>
          <w:color w:val="auto"/>
        </w:rPr>
      </w:pPr>
      <w:r>
        <w:rPr>
          <w:color w:val="auto"/>
        </w:rPr>
        <w:t>法定代表人（电子签名）：</w:t>
      </w:r>
    </w:p>
    <w:p>
      <w:pPr>
        <w:pStyle w:val="8"/>
        <w:kinsoku w:val="0"/>
        <w:overflowPunct w:val="0"/>
        <w:spacing w:before="0"/>
        <w:ind w:left="0"/>
        <w:rPr>
          <w:rFonts w:hint="default"/>
          <w:color w:val="auto"/>
        </w:rPr>
      </w:pPr>
    </w:p>
    <w:p>
      <w:pPr>
        <w:pStyle w:val="8"/>
        <w:kinsoku w:val="0"/>
        <w:overflowPunct w:val="0"/>
        <w:spacing w:before="6"/>
        <w:ind w:left="0"/>
        <w:rPr>
          <w:rFonts w:hint="default"/>
          <w:color w:val="auto"/>
          <w:sz w:val="28"/>
          <w:szCs w:val="28"/>
        </w:rPr>
      </w:pPr>
    </w:p>
    <w:p>
      <w:pPr>
        <w:pStyle w:val="8"/>
        <w:kinsoku w:val="0"/>
        <w:overflowPunct w:val="0"/>
        <w:spacing w:before="0"/>
        <w:ind w:left="840"/>
        <w:rPr>
          <w:rFonts w:hint="default"/>
          <w:color w:val="auto"/>
        </w:rPr>
      </w:pPr>
      <w:r>
        <w:rPr>
          <w:color w:val="auto"/>
        </w:rPr>
        <w:t>日期：年月日</w:t>
      </w:r>
    </w:p>
    <w:p>
      <w:pPr>
        <w:pStyle w:val="8"/>
        <w:kinsoku w:val="0"/>
        <w:overflowPunct w:val="0"/>
        <w:spacing w:before="0"/>
        <w:ind w:left="840"/>
        <w:rPr>
          <w:rFonts w:hint="default"/>
          <w:color w:val="auto"/>
        </w:rPr>
        <w:sectPr>
          <w:pgSz w:w="11910" w:h="16840"/>
          <w:pgMar w:top="1500" w:right="1680" w:bottom="1580" w:left="1680" w:header="0" w:footer="1395" w:gutter="0"/>
          <w:pgNumType w:fmt="decimal"/>
          <w:cols w:space="720" w:num="1"/>
        </w:sectPr>
      </w:pPr>
    </w:p>
    <w:p>
      <w:pPr>
        <w:pStyle w:val="8"/>
        <w:kinsoku w:val="0"/>
        <w:overflowPunct w:val="0"/>
        <w:spacing w:before="3"/>
        <w:ind w:left="0" w:right="81"/>
        <w:jc w:val="center"/>
        <w:rPr>
          <w:rFonts w:hint="default"/>
          <w:color w:val="auto"/>
        </w:rPr>
      </w:pPr>
      <w:bookmarkStart w:id="49" w:name="4、★投标保证金"/>
      <w:bookmarkEnd w:id="49"/>
      <w:r>
        <w:rPr>
          <w:color w:val="auto"/>
        </w:rPr>
        <w:t>法定代表人授权书</w:t>
      </w:r>
    </w:p>
    <w:p>
      <w:pPr>
        <w:pStyle w:val="8"/>
        <w:kinsoku w:val="0"/>
        <w:overflowPunct w:val="0"/>
        <w:spacing w:before="2"/>
        <w:ind w:left="0"/>
        <w:rPr>
          <w:rFonts w:hint="default"/>
          <w:color w:val="auto"/>
          <w:sz w:val="12"/>
          <w:szCs w:val="12"/>
        </w:rPr>
      </w:pPr>
    </w:p>
    <w:p>
      <w:pPr>
        <w:pStyle w:val="8"/>
        <w:kinsoku w:val="0"/>
        <w:overflowPunct w:val="0"/>
        <w:spacing w:before="26" w:line="381" w:lineRule="auto"/>
        <w:ind w:left="0" w:leftChars="0" w:firstLine="120" w:firstLineChars="0"/>
        <w:rPr>
          <w:rFonts w:hint="default"/>
          <w:color w:val="auto"/>
        </w:rPr>
      </w:pPr>
      <w:r>
        <w:rPr>
          <w:color w:val="auto"/>
          <w:u w:val="single"/>
        </w:rPr>
        <w:t>（代理机构名称）</w:t>
      </w:r>
      <w:r>
        <w:rPr>
          <w:color w:val="auto"/>
        </w:rPr>
        <w:t>： 兹授权同志为我公司参加贵单位组织的编号为</w:t>
      </w:r>
      <w:r>
        <w:rPr>
          <w:color w:val="auto"/>
          <w:u w:val="single"/>
        </w:rPr>
        <w:t>（项目编号）</w:t>
      </w:r>
      <w:r>
        <w:rPr>
          <w:color w:val="auto"/>
        </w:rPr>
        <w:t>的</w:t>
      </w:r>
      <w:r>
        <w:rPr>
          <w:color w:val="auto"/>
          <w:u w:val="single"/>
        </w:rPr>
        <w:t>（项目名称）</w:t>
      </w:r>
      <w:r>
        <w:rPr>
          <w:color w:val="auto"/>
        </w:rPr>
        <w:t>采购活动的投标代表人，全权代表我公司处理在该项目采购活动中的一切事宜。 代理期限从年月日起至年月日止。</w:t>
      </w:r>
    </w:p>
    <w:p>
      <w:pPr>
        <w:pStyle w:val="8"/>
        <w:kinsoku w:val="0"/>
        <w:overflowPunct w:val="0"/>
        <w:spacing w:before="0"/>
        <w:ind w:left="0"/>
        <w:rPr>
          <w:rFonts w:hint="default"/>
          <w:color w:val="auto"/>
        </w:rPr>
      </w:pPr>
    </w:p>
    <w:p>
      <w:pPr>
        <w:pStyle w:val="8"/>
        <w:kinsoku w:val="0"/>
        <w:overflowPunct w:val="0"/>
        <w:spacing w:before="9"/>
        <w:ind w:left="0"/>
        <w:rPr>
          <w:rFonts w:hint="default"/>
          <w:color w:val="auto"/>
          <w:sz w:val="17"/>
          <w:szCs w:val="17"/>
        </w:rPr>
      </w:pPr>
    </w:p>
    <w:p>
      <w:pPr>
        <w:pStyle w:val="8"/>
        <w:tabs>
          <w:tab w:val="left" w:pos="3600"/>
        </w:tabs>
        <w:kinsoku w:val="0"/>
        <w:overflowPunct w:val="0"/>
        <w:spacing w:before="0" w:line="381" w:lineRule="auto"/>
        <w:ind w:right="-10" w:rightChars="0"/>
        <w:rPr>
          <w:color w:val="auto"/>
        </w:rPr>
      </w:pPr>
      <w:r>
        <w:rPr>
          <w:rFonts w:hint="eastAsia"/>
          <w:color w:val="auto"/>
          <w:lang w:eastAsia="zh-CN"/>
        </w:rPr>
        <w:t>供应商</w:t>
      </w:r>
      <w:r>
        <w:rPr>
          <w:color w:val="auto"/>
        </w:rPr>
        <w:t xml:space="preserve">（电子签章）： </w:t>
      </w:r>
    </w:p>
    <w:p>
      <w:pPr>
        <w:pStyle w:val="8"/>
        <w:tabs>
          <w:tab w:val="left" w:pos="3600"/>
        </w:tabs>
        <w:kinsoku w:val="0"/>
        <w:overflowPunct w:val="0"/>
        <w:spacing w:before="0" w:line="381" w:lineRule="auto"/>
        <w:ind w:right="-10" w:rightChars="0"/>
        <w:rPr>
          <w:color w:val="auto"/>
        </w:rPr>
      </w:pPr>
      <w:r>
        <w:rPr>
          <w:color w:val="auto"/>
        </w:rPr>
        <w:t xml:space="preserve">法定代表人（电子签名）： </w:t>
      </w:r>
    </w:p>
    <w:p>
      <w:pPr>
        <w:pStyle w:val="8"/>
        <w:tabs>
          <w:tab w:val="left" w:pos="3600"/>
        </w:tabs>
        <w:kinsoku w:val="0"/>
        <w:overflowPunct w:val="0"/>
        <w:spacing w:before="0" w:line="381" w:lineRule="auto"/>
        <w:ind w:right="-10" w:rightChars="0"/>
        <w:rPr>
          <w:rFonts w:hint="default"/>
          <w:color w:val="auto"/>
        </w:rPr>
      </w:pPr>
      <w:r>
        <w:rPr>
          <w:color w:val="auto"/>
        </w:rPr>
        <w:t>签发日期：年月日</w:t>
      </w:r>
    </w:p>
    <w:p>
      <w:pPr>
        <w:pStyle w:val="8"/>
        <w:kinsoku w:val="0"/>
        <w:overflowPunct w:val="0"/>
        <w:spacing w:before="0"/>
        <w:ind w:left="0"/>
        <w:rPr>
          <w:rFonts w:hint="default"/>
          <w:color w:val="auto"/>
        </w:rPr>
      </w:pPr>
    </w:p>
    <w:p>
      <w:pPr>
        <w:pStyle w:val="8"/>
        <w:kinsoku w:val="0"/>
        <w:overflowPunct w:val="0"/>
        <w:spacing w:before="9"/>
        <w:ind w:left="0"/>
        <w:rPr>
          <w:rFonts w:hint="default"/>
          <w:color w:val="auto"/>
          <w:sz w:val="17"/>
          <w:szCs w:val="17"/>
        </w:rPr>
      </w:pPr>
    </w:p>
    <w:p>
      <w:pPr>
        <w:pStyle w:val="8"/>
        <w:kinsoku w:val="0"/>
        <w:overflowPunct w:val="0"/>
        <w:spacing w:before="0" w:line="381" w:lineRule="auto"/>
        <w:ind w:right="-10" w:rightChars="0"/>
        <w:rPr>
          <w:color w:val="auto"/>
        </w:rPr>
      </w:pPr>
      <w:r>
        <w:rPr>
          <w:color w:val="auto"/>
        </w:rPr>
        <w:t xml:space="preserve">附：代理人工作单位： </w:t>
      </w:r>
    </w:p>
    <w:p>
      <w:pPr>
        <w:pStyle w:val="8"/>
        <w:kinsoku w:val="0"/>
        <w:overflowPunct w:val="0"/>
        <w:spacing w:before="0" w:line="381" w:lineRule="auto"/>
        <w:ind w:right="-10" w:rightChars="0" w:firstLine="480" w:firstLineChars="200"/>
        <w:rPr>
          <w:color w:val="auto"/>
        </w:rPr>
      </w:pPr>
      <w:r>
        <w:rPr>
          <w:color w:val="auto"/>
        </w:rPr>
        <w:t>职务：</w:t>
      </w:r>
    </w:p>
    <w:p>
      <w:pPr>
        <w:pStyle w:val="8"/>
        <w:kinsoku w:val="0"/>
        <w:overflowPunct w:val="0"/>
        <w:spacing w:before="0" w:line="381" w:lineRule="auto"/>
        <w:ind w:right="-10" w:rightChars="0" w:firstLine="480" w:firstLineChars="200"/>
        <w:rPr>
          <w:color w:val="auto"/>
        </w:rPr>
      </w:pPr>
      <w:r>
        <w:rPr>
          <w:color w:val="auto"/>
        </w:rPr>
        <w:t>性别：</w:t>
      </w:r>
    </w:p>
    <w:p>
      <w:pPr>
        <w:pStyle w:val="8"/>
        <w:kinsoku w:val="0"/>
        <w:overflowPunct w:val="0"/>
        <w:spacing w:before="0" w:line="381" w:lineRule="auto"/>
        <w:ind w:right="-10" w:rightChars="0" w:firstLine="480" w:firstLineChars="200"/>
        <w:rPr>
          <w:rFonts w:hint="default"/>
          <w:color w:val="auto"/>
        </w:rPr>
      </w:pPr>
      <w:r>
        <w:rPr>
          <w:color w:val="auto"/>
        </w:rPr>
        <w:t>身份证号码：</w:t>
      </w:r>
    </w:p>
    <w:p>
      <w:pPr>
        <w:pStyle w:val="8"/>
        <w:kinsoku w:val="0"/>
        <w:overflowPunct w:val="0"/>
        <w:spacing w:before="0"/>
        <w:ind w:left="0"/>
        <w:rPr>
          <w:rFonts w:hint="default"/>
          <w:color w:val="auto"/>
          <w:sz w:val="20"/>
          <w:szCs w:val="20"/>
        </w:rPr>
      </w:pPr>
    </w:p>
    <w:p>
      <w:pPr>
        <w:pStyle w:val="8"/>
        <w:kinsoku w:val="0"/>
        <w:overflowPunct w:val="0"/>
        <w:spacing w:before="10"/>
        <w:ind w:left="0"/>
        <w:rPr>
          <w:rFonts w:hint="default"/>
          <w:color w:val="auto"/>
          <w:sz w:val="12"/>
          <w:szCs w:val="12"/>
        </w:rPr>
      </w:pPr>
    </w:p>
    <w:p>
      <w:pPr>
        <w:pStyle w:val="8"/>
        <w:kinsoku w:val="0"/>
        <w:overflowPunct w:val="0"/>
        <w:spacing w:before="0" w:line="1644" w:lineRule="exact"/>
        <w:ind w:left="343"/>
        <w:rPr>
          <w:rFonts w:hint="default"/>
          <w:color w:val="auto"/>
          <w:position w:val="-33"/>
          <w:sz w:val="20"/>
          <w:szCs w:val="20"/>
        </w:rPr>
      </w:pPr>
      <w:r>
        <w:rPr>
          <w:rFonts w:hint="default"/>
          <w:color w:val="auto"/>
          <w:position w:val="-33"/>
          <w:sz w:val="20"/>
          <w:szCs w:val="20"/>
        </w:rPr>
        <mc:AlternateContent>
          <mc:Choice Requires="wps">
            <w:drawing>
              <wp:inline distT="0" distB="0" distL="114300" distR="114300">
                <wp:extent cx="4866005" cy="1043940"/>
                <wp:effectExtent l="4445" t="5080" r="6350" b="5080"/>
                <wp:docPr id="6" name="文本框 144"/>
                <wp:cNvGraphicFramePr/>
                <a:graphic xmlns:a="http://schemas.openxmlformats.org/drawingml/2006/main">
                  <a:graphicData uri="http://schemas.microsoft.com/office/word/2010/wordprocessingShape">
                    <wps:wsp>
                      <wps:cNvSpPr txBox="1">
                        <a:spLocks noRot="1"/>
                      </wps:cNvSpPr>
                      <wps:spPr>
                        <a:xfrm>
                          <a:off x="0" y="0"/>
                          <a:ext cx="4866005" cy="1043940"/>
                        </a:xfrm>
                        <a:prstGeom prst="rect">
                          <a:avLst/>
                        </a:prstGeom>
                        <a:noFill/>
                        <a:ln w="6096" cap="flat" cmpd="sng">
                          <a:solidFill>
                            <a:srgbClr val="000000"/>
                          </a:solidFill>
                          <a:prstDash val="solid"/>
                          <a:miter/>
                          <a:headEnd type="none" w="med" len="med"/>
                          <a:tailEnd type="none" w="med" len="med"/>
                        </a:ln>
                      </wps:spPr>
                      <wps:txbx>
                        <w:txbxContent>
                          <w:p>
                            <w:pPr>
                              <w:pStyle w:val="8"/>
                              <w:kinsoku w:val="0"/>
                              <w:overflowPunct w:val="0"/>
                              <w:spacing w:before="121"/>
                              <w:ind w:left="103"/>
                              <w:rPr>
                                <w:rFonts w:hint="default"/>
                              </w:rPr>
                            </w:pPr>
                            <w:r>
                              <w:t>粘贴被授权人身份证（扫描件）</w:t>
                            </w:r>
                          </w:p>
                        </w:txbxContent>
                      </wps:txbx>
                      <wps:bodyPr wrap="square" lIns="0" tIns="0" rIns="0" bIns="0" upright="1"/>
                    </wps:wsp>
                  </a:graphicData>
                </a:graphic>
              </wp:inline>
            </w:drawing>
          </mc:Choice>
          <mc:Fallback>
            <w:pict>
              <v:shape id="文本框 144" o:spid="_x0000_s1026" o:spt="202" type="#_x0000_t202" style="height:82.2pt;width:383.15pt;" filled="f" stroked="t" coordsize="21600,21600" o:gfxdata="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V8hq/dQAAAAFAQAADwAAAAAAAAABACAAAAAiAAAAZHJzL2Rvd25yZXYueG1sUEsBAhQA&#10;FAAAAAgAh07iQBiEscMvAgAAZQQAAA4AAAAAAAAAAQAgAAAAIwEAAGRycy9lMm9Eb2MueG1sUEsF&#10;BgAAAAAGAAYAWQEAAMQFAAAAAA==&#10;">
                <v:fill on="f" focussize="0,0"/>
                <v:stroke weight="0.48pt" color="#000000" joinstyle="miter"/>
                <v:imagedata o:title=""/>
                <o:lock v:ext="edit" rotation="t" aspectratio="f"/>
                <v:textbox inset="0mm,0mm,0mm,0mm">
                  <w:txbxContent>
                    <w:p>
                      <w:pPr>
                        <w:pStyle w:val="8"/>
                        <w:kinsoku w:val="0"/>
                        <w:overflowPunct w:val="0"/>
                        <w:spacing w:before="121"/>
                        <w:ind w:left="103"/>
                        <w:rPr>
                          <w:rFonts w:hint="default"/>
                        </w:rPr>
                      </w:pPr>
                      <w:r>
                        <w:t>粘贴被授权人身份证（扫描件）</w:t>
                      </w:r>
                    </w:p>
                  </w:txbxContent>
                </v:textbox>
                <w10:wrap type="none"/>
                <w10:anchorlock/>
              </v:shape>
            </w:pict>
          </mc:Fallback>
        </mc:AlternateContent>
      </w:r>
    </w:p>
    <w:p>
      <w:pPr>
        <w:pStyle w:val="8"/>
        <w:kinsoku w:val="0"/>
        <w:overflowPunct w:val="0"/>
        <w:spacing w:before="0" w:line="1644" w:lineRule="exact"/>
        <w:ind w:left="343"/>
        <w:rPr>
          <w:rFonts w:hint="default"/>
          <w:color w:val="auto"/>
          <w:position w:val="-33"/>
          <w:sz w:val="20"/>
          <w:szCs w:val="20"/>
        </w:rPr>
        <w:sectPr>
          <w:footerReference r:id="rId15" w:type="default"/>
          <w:pgSz w:w="11910" w:h="16840"/>
          <w:pgMar w:top="1540" w:right="1600" w:bottom="1600" w:left="1680" w:header="0" w:footer="1415" w:gutter="0"/>
          <w:pgNumType w:fmt="decimal"/>
          <w:cols w:space="720" w:num="1"/>
        </w:sectPr>
      </w:pPr>
    </w:p>
    <w:p>
      <w:pPr>
        <w:pStyle w:val="3"/>
        <w:kinsoku w:val="0"/>
        <w:overflowPunct w:val="0"/>
        <w:spacing w:line="395" w:lineRule="exact"/>
        <w:rPr>
          <w:rFonts w:hint="default"/>
          <w:b w:val="0"/>
          <w:color w:val="auto"/>
        </w:rPr>
      </w:pPr>
      <w:bookmarkStart w:id="50" w:name="5、制造商授权书（本项目不适用）"/>
      <w:bookmarkEnd w:id="50"/>
      <w:r>
        <w:rPr>
          <w:color w:val="auto"/>
        </w:rPr>
        <w:t>4、★投标保证金</w:t>
      </w:r>
    </w:p>
    <w:p>
      <w:pPr>
        <w:pStyle w:val="3"/>
        <w:kinsoku w:val="0"/>
        <w:overflowPunct w:val="0"/>
        <w:spacing w:line="395" w:lineRule="exact"/>
        <w:rPr>
          <w:rFonts w:hint="default"/>
          <w:b w:val="0"/>
          <w:color w:val="auto"/>
        </w:rPr>
        <w:sectPr>
          <w:pgSz w:w="11910" w:h="16840"/>
          <w:pgMar w:top="1500" w:right="1680" w:bottom="1600" w:left="1680" w:header="0" w:footer="1415" w:gutter="0"/>
          <w:pgNumType w:fmt="decimal"/>
          <w:cols w:space="720" w:num="1"/>
        </w:sectPr>
      </w:pPr>
    </w:p>
    <w:p>
      <w:pPr>
        <w:pStyle w:val="8"/>
        <w:kinsoku w:val="0"/>
        <w:overflowPunct w:val="0"/>
        <w:spacing w:before="0" w:line="395" w:lineRule="exact"/>
        <w:ind w:right="237"/>
        <w:rPr>
          <w:rFonts w:hint="default" w:ascii="黑体" w:eastAsia="黑体" w:cs="黑体"/>
          <w:color w:val="auto"/>
          <w:sz w:val="32"/>
          <w:szCs w:val="32"/>
        </w:rPr>
      </w:pPr>
      <w:bookmarkStart w:id="51" w:name="6、★中、小企业声明函"/>
      <w:bookmarkEnd w:id="51"/>
      <w:r>
        <w:rPr>
          <w:rFonts w:ascii="黑体" w:eastAsia="黑体" w:cs="黑体"/>
          <w:b/>
          <w:color w:val="auto"/>
          <w:sz w:val="32"/>
          <w:szCs w:val="32"/>
        </w:rPr>
        <w:t>5、制造商授权书（</w:t>
      </w:r>
      <w:r>
        <w:rPr>
          <w:rFonts w:hint="eastAsia" w:ascii="黑体" w:eastAsia="黑体" w:cs="黑体"/>
          <w:b/>
          <w:color w:val="auto"/>
          <w:sz w:val="32"/>
          <w:szCs w:val="32"/>
          <w:lang w:val="en-US" w:eastAsia="zh-CN"/>
        </w:rPr>
        <w:t>格式自拟</w:t>
      </w:r>
      <w:r>
        <w:rPr>
          <w:rFonts w:ascii="黑体" w:eastAsia="黑体" w:cs="黑体"/>
          <w:b/>
          <w:color w:val="auto"/>
          <w:sz w:val="32"/>
          <w:szCs w:val="32"/>
        </w:rPr>
        <w:t>）</w:t>
      </w:r>
    </w:p>
    <w:p>
      <w:pPr>
        <w:pStyle w:val="8"/>
        <w:kinsoku w:val="0"/>
        <w:overflowPunct w:val="0"/>
        <w:spacing w:before="137"/>
        <w:ind w:right="237"/>
        <w:rPr>
          <w:rFonts w:hint="default"/>
          <w:color w:val="auto"/>
          <w:sz w:val="21"/>
          <w:szCs w:val="21"/>
        </w:rPr>
      </w:pPr>
      <w:r>
        <w:rPr>
          <w:color w:val="auto"/>
          <w:sz w:val="21"/>
          <w:szCs w:val="21"/>
        </w:rPr>
        <w:t>制造商（或总代理）授权书</w:t>
      </w:r>
    </w:p>
    <w:p>
      <w:pPr>
        <w:pStyle w:val="8"/>
        <w:kinsoku w:val="0"/>
        <w:overflowPunct w:val="0"/>
        <w:spacing w:before="172"/>
        <w:ind w:left="2232" w:right="237"/>
        <w:rPr>
          <w:rFonts w:hint="default"/>
          <w:color w:val="auto"/>
        </w:rPr>
      </w:pPr>
      <w:r>
        <w:rPr>
          <w:color w:val="auto"/>
        </w:rPr>
        <w:t>（适用于产品不是</w:t>
      </w:r>
      <w:r>
        <w:rPr>
          <w:rFonts w:hint="eastAsia"/>
          <w:color w:val="auto"/>
          <w:lang w:eastAsia="zh-CN"/>
        </w:rPr>
        <w:t>供应商</w:t>
      </w:r>
      <w:r>
        <w:rPr>
          <w:color w:val="auto"/>
        </w:rPr>
        <w:t>自己生产的）</w:t>
      </w:r>
    </w:p>
    <w:p>
      <w:pPr>
        <w:pStyle w:val="8"/>
        <w:kinsoku w:val="0"/>
        <w:overflowPunct w:val="0"/>
        <w:spacing w:before="0"/>
        <w:ind w:left="0"/>
        <w:rPr>
          <w:rFonts w:hint="default"/>
          <w:color w:val="auto"/>
        </w:rPr>
      </w:pPr>
    </w:p>
    <w:p>
      <w:pPr>
        <w:pStyle w:val="8"/>
        <w:kinsoku w:val="0"/>
        <w:overflowPunct w:val="0"/>
        <w:spacing w:before="4"/>
        <w:ind w:left="0"/>
        <w:rPr>
          <w:rFonts w:hint="default"/>
          <w:color w:val="auto"/>
          <w:sz w:val="28"/>
          <w:szCs w:val="28"/>
        </w:rPr>
      </w:pPr>
    </w:p>
    <w:p>
      <w:pPr>
        <w:pStyle w:val="8"/>
        <w:kinsoku w:val="0"/>
        <w:overflowPunct w:val="0"/>
        <w:spacing w:before="0" w:line="384" w:lineRule="auto"/>
        <w:ind w:left="600" w:right="237" w:hanging="480"/>
        <w:rPr>
          <w:rFonts w:hint="default"/>
          <w:color w:val="auto"/>
          <w:spacing w:val="-10"/>
        </w:rPr>
      </w:pPr>
      <w:r>
        <w:rPr>
          <w:color w:val="auto"/>
          <w:u w:val="single"/>
        </w:rPr>
        <w:t>（代理机构名称）</w:t>
      </w:r>
      <w:r>
        <w:rPr>
          <w:color w:val="auto"/>
        </w:rPr>
        <w:t xml:space="preserve">： </w:t>
      </w:r>
      <w:r>
        <w:rPr>
          <w:color w:val="auto"/>
          <w:spacing w:val="-10"/>
        </w:rPr>
        <w:t>我方</w:t>
      </w:r>
      <w:r>
        <w:rPr>
          <w:color w:val="auto"/>
          <w:spacing w:val="-10"/>
          <w:u w:val="single"/>
        </w:rPr>
        <w:t>（制造商名称）</w:t>
      </w:r>
      <w:r>
        <w:rPr>
          <w:color w:val="auto"/>
          <w:spacing w:val="-10"/>
        </w:rPr>
        <w:t>是按国家法律成立的一家制造厂，主要营业地点设在</w:t>
      </w:r>
      <w:r>
        <w:rPr>
          <w:color w:val="auto"/>
          <w:spacing w:val="-10"/>
          <w:u w:val="single"/>
        </w:rPr>
        <w:t>（制</w:t>
      </w:r>
    </w:p>
    <w:p>
      <w:pPr>
        <w:pStyle w:val="8"/>
        <w:kinsoku w:val="0"/>
        <w:overflowPunct w:val="0"/>
        <w:spacing w:before="41"/>
        <w:rPr>
          <w:rFonts w:hint="default"/>
          <w:color w:val="auto"/>
          <w:spacing w:val="-6"/>
        </w:rPr>
      </w:pPr>
      <w:r>
        <w:rPr>
          <w:color w:val="auto"/>
          <w:spacing w:val="-6"/>
          <w:u w:val="single"/>
        </w:rPr>
        <w:t>造商地址）</w:t>
      </w:r>
      <w:r>
        <w:rPr>
          <w:color w:val="auto"/>
          <w:spacing w:val="-6"/>
        </w:rPr>
        <w:t>。兹授权</w:t>
      </w:r>
      <w:r>
        <w:rPr>
          <w:color w:val="auto"/>
          <w:spacing w:val="-6"/>
          <w:u w:val="single"/>
        </w:rPr>
        <w:t>（</w:t>
      </w:r>
      <w:r>
        <w:rPr>
          <w:rFonts w:hint="eastAsia"/>
          <w:color w:val="auto"/>
          <w:spacing w:val="-6"/>
          <w:u w:val="single"/>
          <w:lang w:eastAsia="zh-CN"/>
        </w:rPr>
        <w:t>供应商</w:t>
      </w:r>
      <w:r>
        <w:rPr>
          <w:color w:val="auto"/>
          <w:spacing w:val="-6"/>
          <w:u w:val="single"/>
        </w:rPr>
        <w:t>名称）</w:t>
      </w:r>
      <w:r>
        <w:rPr>
          <w:color w:val="auto"/>
          <w:spacing w:val="-6"/>
        </w:rPr>
        <w:t>作为我方真正的合法的代理人进行下列活动：</w:t>
      </w:r>
    </w:p>
    <w:p>
      <w:pPr>
        <w:pStyle w:val="8"/>
        <w:kinsoku w:val="0"/>
        <w:overflowPunct w:val="0"/>
        <w:spacing w:before="185" w:line="384" w:lineRule="auto"/>
        <w:ind w:right="237" w:firstLine="480"/>
        <w:rPr>
          <w:rFonts w:hint="default"/>
          <w:color w:val="auto"/>
        </w:rPr>
      </w:pPr>
      <w:r>
        <w:rPr>
          <w:color w:val="auto"/>
        </w:rPr>
        <w:t>（1）代表我方办理贵方采购项目编号为的招标文件要求提供的由我方制造 的</w:t>
      </w:r>
      <w:r>
        <w:rPr>
          <w:color w:val="auto"/>
          <w:u w:val="single"/>
        </w:rPr>
        <w:t>（货物名称）</w:t>
      </w:r>
      <w:r>
        <w:rPr>
          <w:color w:val="auto"/>
        </w:rPr>
        <w:t>的有关事宜，并对我方具有约束力。</w:t>
      </w:r>
    </w:p>
    <w:p>
      <w:pPr>
        <w:pStyle w:val="8"/>
        <w:kinsoku w:val="0"/>
        <w:overflowPunct w:val="0"/>
        <w:spacing w:before="41" w:line="381" w:lineRule="auto"/>
        <w:ind w:right="237" w:firstLine="480"/>
        <w:rPr>
          <w:rFonts w:hint="default"/>
          <w:color w:val="auto"/>
        </w:rPr>
      </w:pPr>
      <w:r>
        <w:rPr>
          <w:color w:val="auto"/>
        </w:rPr>
        <w:t>（2）作为制造商，我方保证以</w:t>
      </w:r>
      <w:r>
        <w:rPr>
          <w:rFonts w:hint="eastAsia"/>
          <w:color w:val="auto"/>
          <w:lang w:eastAsia="zh-CN"/>
        </w:rPr>
        <w:t>供应商</w:t>
      </w:r>
      <w:r>
        <w:rPr>
          <w:color w:val="auto"/>
        </w:rPr>
        <w:t>合作者身份来约束自己，并对该投标 共同和分别负责。</w:t>
      </w:r>
    </w:p>
    <w:p>
      <w:pPr>
        <w:pStyle w:val="8"/>
        <w:kinsoku w:val="0"/>
        <w:overflowPunct w:val="0"/>
        <w:spacing w:before="46" w:line="381" w:lineRule="auto"/>
        <w:ind w:right="237" w:firstLine="480"/>
        <w:rPr>
          <w:rFonts w:hint="default"/>
          <w:color w:val="auto"/>
        </w:rPr>
      </w:pPr>
      <w:r>
        <w:rPr>
          <w:color w:val="auto"/>
        </w:rPr>
        <w:t>（3）我方兹授权</w:t>
      </w:r>
      <w:r>
        <w:rPr>
          <w:color w:val="auto"/>
          <w:u w:val="single"/>
        </w:rPr>
        <w:t>（</w:t>
      </w:r>
      <w:r>
        <w:rPr>
          <w:rFonts w:hint="eastAsia"/>
          <w:color w:val="auto"/>
          <w:u w:val="single"/>
          <w:lang w:eastAsia="zh-CN"/>
        </w:rPr>
        <w:t>供应商</w:t>
      </w:r>
      <w:r>
        <w:rPr>
          <w:color w:val="auto"/>
          <w:u w:val="single"/>
        </w:rPr>
        <w:t>名称）</w:t>
      </w:r>
      <w:r>
        <w:rPr>
          <w:color w:val="auto"/>
        </w:rPr>
        <w:t>全权办理和履行此项目招标文件中约定的 一切事宜。兹确认</w:t>
      </w:r>
      <w:r>
        <w:rPr>
          <w:color w:val="auto"/>
          <w:u w:val="single"/>
        </w:rPr>
        <w:t>（</w:t>
      </w:r>
      <w:r>
        <w:rPr>
          <w:rFonts w:hint="eastAsia"/>
          <w:color w:val="auto"/>
          <w:u w:val="single"/>
          <w:lang w:eastAsia="zh-CN"/>
        </w:rPr>
        <w:t>供应商</w:t>
      </w:r>
      <w:r>
        <w:rPr>
          <w:color w:val="auto"/>
          <w:u w:val="single"/>
        </w:rPr>
        <w:t>名称）</w:t>
      </w:r>
      <w:r>
        <w:rPr>
          <w:color w:val="auto"/>
        </w:rPr>
        <w:t>及其正式授权代表依此办理一切合法事宜。</w:t>
      </w:r>
    </w:p>
    <w:p>
      <w:pPr>
        <w:pStyle w:val="8"/>
        <w:kinsoku w:val="0"/>
        <w:overflowPunct w:val="0"/>
        <w:spacing w:before="43"/>
        <w:ind w:right="237" w:firstLine="480"/>
        <w:rPr>
          <w:rFonts w:hint="default"/>
          <w:color w:val="auto"/>
        </w:rPr>
      </w:pPr>
      <w:r>
        <w:rPr>
          <w:color w:val="auto"/>
        </w:rPr>
        <w:t>我方于年月日签署本文件</w:t>
      </w:r>
      <w:r>
        <w:rPr>
          <w:color w:val="auto"/>
          <w:u w:val="single"/>
        </w:rPr>
        <w:t>（</w:t>
      </w:r>
      <w:r>
        <w:rPr>
          <w:rFonts w:hint="eastAsia"/>
          <w:color w:val="auto"/>
          <w:u w:val="single"/>
          <w:lang w:eastAsia="zh-CN"/>
        </w:rPr>
        <w:t>供应商</w:t>
      </w:r>
      <w:r>
        <w:rPr>
          <w:color w:val="auto"/>
          <w:u w:val="single"/>
        </w:rPr>
        <w:t>名称）</w:t>
      </w:r>
      <w:r>
        <w:rPr>
          <w:color w:val="auto"/>
        </w:rPr>
        <w:t>于年月日接受此文件,以此为证。</w:t>
      </w:r>
    </w:p>
    <w:p>
      <w:pPr>
        <w:pStyle w:val="8"/>
        <w:kinsoku w:val="0"/>
        <w:overflowPunct w:val="0"/>
        <w:spacing w:before="0"/>
        <w:ind w:left="0"/>
        <w:rPr>
          <w:rFonts w:hint="default"/>
          <w:color w:val="auto"/>
        </w:rPr>
      </w:pPr>
    </w:p>
    <w:p>
      <w:pPr>
        <w:pStyle w:val="8"/>
        <w:kinsoku w:val="0"/>
        <w:overflowPunct w:val="0"/>
        <w:spacing w:before="0"/>
        <w:ind w:left="0"/>
        <w:rPr>
          <w:rFonts w:hint="default"/>
          <w:color w:val="auto"/>
        </w:rPr>
      </w:pPr>
    </w:p>
    <w:p>
      <w:pPr>
        <w:pStyle w:val="8"/>
        <w:kinsoku w:val="0"/>
        <w:overflowPunct w:val="0"/>
        <w:spacing w:before="0"/>
        <w:ind w:left="0"/>
        <w:rPr>
          <w:rFonts w:hint="default"/>
          <w:color w:val="auto"/>
        </w:rPr>
      </w:pPr>
    </w:p>
    <w:p>
      <w:pPr>
        <w:pStyle w:val="8"/>
        <w:kinsoku w:val="0"/>
        <w:overflowPunct w:val="0"/>
        <w:spacing w:before="0"/>
        <w:ind w:left="0"/>
        <w:rPr>
          <w:rFonts w:hint="default"/>
          <w:color w:val="auto"/>
        </w:rPr>
      </w:pPr>
    </w:p>
    <w:p>
      <w:pPr>
        <w:pStyle w:val="8"/>
        <w:kinsoku w:val="0"/>
        <w:overflowPunct w:val="0"/>
        <w:spacing w:before="13"/>
        <w:ind w:left="0"/>
        <w:rPr>
          <w:rFonts w:hint="default"/>
          <w:color w:val="auto"/>
          <w:sz w:val="32"/>
          <w:szCs w:val="32"/>
        </w:rPr>
      </w:pPr>
    </w:p>
    <w:p>
      <w:pPr>
        <w:pStyle w:val="8"/>
        <w:kinsoku w:val="0"/>
        <w:overflowPunct w:val="0"/>
        <w:spacing w:before="0" w:line="384" w:lineRule="auto"/>
        <w:ind w:right="1606"/>
        <w:rPr>
          <w:rFonts w:ascii="宋体" w:eastAsia="宋体" w:cs="宋体"/>
          <w:color w:val="auto"/>
        </w:rPr>
      </w:pPr>
      <w:r>
        <w:rPr>
          <w:rFonts w:hint="eastAsia" w:ascii="宋体" w:eastAsia="宋体" w:cs="宋体"/>
          <w:color w:val="auto"/>
          <w:lang w:eastAsia="zh-CN"/>
        </w:rPr>
        <w:t>供应商</w:t>
      </w:r>
      <w:r>
        <w:rPr>
          <w:rFonts w:ascii="宋体" w:eastAsia="宋体" w:cs="宋体"/>
          <w:color w:val="auto"/>
        </w:rPr>
        <w:t>名称(电子签章)：</w:t>
      </w:r>
    </w:p>
    <w:p>
      <w:pPr>
        <w:pStyle w:val="8"/>
        <w:kinsoku w:val="0"/>
        <w:overflowPunct w:val="0"/>
        <w:spacing w:before="0" w:line="384" w:lineRule="auto"/>
        <w:ind w:right="1606"/>
        <w:rPr>
          <w:rFonts w:hint="default" w:ascii="宋体" w:eastAsia="宋体" w:cs="宋体"/>
          <w:color w:val="auto"/>
        </w:rPr>
      </w:pPr>
      <w:r>
        <w:rPr>
          <w:rFonts w:ascii="宋体" w:eastAsia="宋体" w:cs="宋体"/>
          <w:color w:val="auto"/>
        </w:rPr>
        <w:t>出具授权书的制造厂名称(签章):</w:t>
      </w:r>
    </w:p>
    <w:p>
      <w:pPr>
        <w:pStyle w:val="8"/>
        <w:kinsoku w:val="0"/>
        <w:overflowPunct w:val="0"/>
        <w:spacing w:before="0" w:line="384" w:lineRule="auto"/>
        <w:ind w:right="1606"/>
        <w:rPr>
          <w:rFonts w:ascii="宋体" w:eastAsia="宋体" w:cs="宋体"/>
          <w:color w:val="auto"/>
        </w:rPr>
      </w:pPr>
      <w:r>
        <w:rPr>
          <w:rFonts w:ascii="宋体" w:eastAsia="宋体" w:cs="宋体"/>
          <w:color w:val="auto"/>
        </w:rPr>
        <w:t>法定代表人（电子签名）：</w:t>
      </w:r>
    </w:p>
    <w:p>
      <w:pPr>
        <w:pStyle w:val="8"/>
        <w:kinsoku w:val="0"/>
        <w:overflowPunct w:val="0"/>
        <w:spacing w:before="0" w:line="384" w:lineRule="auto"/>
        <w:ind w:right="1606"/>
        <w:rPr>
          <w:color w:val="auto"/>
        </w:rPr>
      </w:pPr>
      <w:r>
        <w:rPr>
          <w:color w:val="auto"/>
        </w:rPr>
        <w:t>正式授权代表（签章）：</w:t>
      </w:r>
    </w:p>
    <w:p>
      <w:pPr>
        <w:pStyle w:val="8"/>
        <w:kinsoku w:val="0"/>
        <w:overflowPunct w:val="0"/>
        <w:spacing w:before="0" w:line="384" w:lineRule="auto"/>
        <w:ind w:right="1606"/>
        <w:rPr>
          <w:rFonts w:hint="default"/>
          <w:color w:val="auto"/>
        </w:rPr>
      </w:pPr>
      <w:r>
        <w:rPr>
          <w:color w:val="auto"/>
        </w:rPr>
        <w:t>职务：</w:t>
      </w:r>
    </w:p>
    <w:p>
      <w:pPr>
        <w:pStyle w:val="8"/>
        <w:kinsoku w:val="0"/>
        <w:overflowPunct w:val="0"/>
        <w:spacing w:before="41"/>
        <w:ind w:right="237"/>
        <w:rPr>
          <w:rFonts w:hint="default"/>
          <w:color w:val="auto"/>
        </w:rPr>
        <w:sectPr>
          <w:pgSz w:w="11910" w:h="16840"/>
          <w:pgMar w:top="1500" w:right="1560" w:bottom="1600" w:left="1680" w:header="0" w:footer="1415" w:gutter="0"/>
          <w:pgNumType w:fmt="decimal"/>
          <w:cols w:space="720" w:num="1"/>
        </w:sectPr>
      </w:pPr>
      <w:r>
        <w:rPr>
          <w:color w:val="auto"/>
        </w:rPr>
        <w:t>部门：</w:t>
      </w:r>
    </w:p>
    <w:p>
      <w:pPr>
        <w:pStyle w:val="3"/>
        <w:kinsoku w:val="0"/>
        <w:overflowPunct w:val="0"/>
        <w:spacing w:line="395" w:lineRule="exact"/>
        <w:ind w:left="140"/>
        <w:jc w:val="both"/>
        <w:rPr>
          <w:rFonts w:hint="default"/>
          <w:b w:val="0"/>
          <w:color w:val="auto"/>
        </w:rPr>
      </w:pPr>
      <w:r>
        <w:rPr>
          <w:color w:val="auto"/>
        </w:rPr>
        <w:t>6、</w:t>
      </w:r>
      <w:r>
        <w:rPr>
          <w:rFonts w:ascii="宋体" w:eastAsia="宋体" w:cs="宋体"/>
          <w:color w:val="auto"/>
          <w:sz w:val="24"/>
          <w:szCs w:val="24"/>
        </w:rPr>
        <w:t>★</w:t>
      </w:r>
      <w:r>
        <w:rPr>
          <w:color w:val="auto"/>
        </w:rPr>
        <w:t>中、小企业声明函</w:t>
      </w:r>
      <w:r>
        <w:rPr>
          <w:rFonts w:ascii="黑体" w:eastAsia="黑体" w:cs="黑体"/>
          <w:b/>
          <w:color w:val="auto"/>
          <w:sz w:val="32"/>
          <w:szCs w:val="32"/>
        </w:rPr>
        <w:t>（本项目不适用）</w:t>
      </w:r>
    </w:p>
    <w:p>
      <w:pPr>
        <w:pStyle w:val="8"/>
        <w:kinsoku w:val="0"/>
        <w:overflowPunct w:val="0"/>
        <w:spacing w:before="0"/>
        <w:ind w:left="0"/>
        <w:rPr>
          <w:rFonts w:hint="default" w:ascii="黑体" w:eastAsia="黑体" w:cs="黑体"/>
          <w:b/>
          <w:color w:val="auto"/>
          <w:sz w:val="32"/>
          <w:szCs w:val="32"/>
        </w:rPr>
      </w:pPr>
    </w:p>
    <w:p>
      <w:pPr>
        <w:pStyle w:val="8"/>
        <w:kinsoku w:val="0"/>
        <w:overflowPunct w:val="0"/>
        <w:spacing w:before="0" w:line="432" w:lineRule="auto"/>
        <w:ind w:left="612" w:firstLine="1831"/>
        <w:rPr>
          <w:b/>
          <w:color w:val="auto"/>
          <w:w w:val="99"/>
        </w:rPr>
      </w:pPr>
      <w:r>
        <w:rPr>
          <w:b/>
          <w:color w:val="auto"/>
        </w:rPr>
        <w:t>附件</w:t>
      </w:r>
      <w:r>
        <w:rPr>
          <w:b/>
          <w:color w:val="auto"/>
          <w:spacing w:val="-62"/>
        </w:rPr>
        <w:t xml:space="preserve"> </w:t>
      </w:r>
      <w:r>
        <w:rPr>
          <w:rFonts w:ascii="Times New Roman" w:eastAsia="Times New Roman" w:cs="Times New Roman"/>
          <w:b/>
          <w:color w:val="auto"/>
        </w:rPr>
        <w:t>1</w:t>
      </w:r>
      <w:r>
        <w:rPr>
          <w:b/>
          <w:color w:val="auto"/>
        </w:rPr>
        <w:t>：中小企业声明函（</w:t>
      </w:r>
      <w:r>
        <w:rPr>
          <w:rFonts w:hint="eastAsia"/>
          <w:b/>
          <w:color w:val="auto"/>
          <w:lang w:val="en-US" w:eastAsia="zh-CN"/>
        </w:rPr>
        <w:t>货物</w:t>
      </w:r>
      <w:r>
        <w:rPr>
          <w:b/>
          <w:color w:val="auto"/>
        </w:rPr>
        <w:t>类）</w:t>
      </w:r>
      <w:r>
        <w:rPr>
          <w:b/>
          <w:color w:val="auto"/>
          <w:w w:val="99"/>
        </w:rPr>
        <w:t xml:space="preserve"> </w:t>
      </w:r>
    </w:p>
    <w:p>
      <w:pPr>
        <w:pStyle w:val="8"/>
        <w:kinsoku w:val="0"/>
        <w:overflowPunct w:val="0"/>
        <w:spacing w:before="0" w:line="432" w:lineRule="auto"/>
        <w:ind w:firstLine="464" w:firstLineChars="200"/>
        <w:rPr>
          <w:rFonts w:hint="default"/>
          <w:color w:val="auto"/>
          <w:spacing w:val="-5"/>
        </w:rPr>
      </w:pPr>
      <w:r>
        <w:rPr>
          <w:color w:val="auto"/>
          <w:spacing w:val="-4"/>
        </w:rPr>
        <w:t>本公司（联合体）郑重声明，根据《政府采购促进中小企业发展管理办法》</w:t>
      </w:r>
      <w:r>
        <w:rPr>
          <w:color w:val="auto"/>
          <w:spacing w:val="-3"/>
        </w:rPr>
        <w:t>（财库﹝2020﹞46</w:t>
      </w:r>
      <w:r>
        <w:rPr>
          <w:color w:val="auto"/>
          <w:spacing w:val="-2"/>
        </w:rPr>
        <w:t xml:space="preserve"> </w:t>
      </w:r>
      <w:r>
        <w:rPr>
          <w:color w:val="auto"/>
          <w:spacing w:val="-7"/>
        </w:rPr>
        <w:t>号）的规定，本公司（联合体）参加（单位名称）的（项目名</w:t>
      </w:r>
      <w:r>
        <w:rPr>
          <w:color w:val="auto"/>
        </w:rPr>
        <w:t xml:space="preserve"> </w:t>
      </w:r>
      <w:r>
        <w:rPr>
          <w:color w:val="auto"/>
          <w:spacing w:val="-4"/>
        </w:rPr>
        <w:t>称）采购活动，提供的货物全部由符合政策要求的中小企业制造。相关企业（含</w:t>
      </w:r>
      <w:r>
        <w:rPr>
          <w:color w:val="auto"/>
          <w:spacing w:val="-90"/>
        </w:rPr>
        <w:t xml:space="preserve"> </w:t>
      </w:r>
      <w:r>
        <w:rPr>
          <w:color w:val="auto"/>
          <w:spacing w:val="-5"/>
        </w:rPr>
        <w:t>联合体中的中小企业、签订分包意向协议的中小企业）的具体情况如下：</w:t>
      </w:r>
    </w:p>
    <w:p>
      <w:pPr>
        <w:pStyle w:val="8"/>
        <w:kinsoku w:val="0"/>
        <w:overflowPunct w:val="0"/>
        <w:spacing w:before="46"/>
        <w:ind w:left="612"/>
        <w:rPr>
          <w:rFonts w:hint="default"/>
          <w:color w:val="auto"/>
          <w:spacing w:val="-47"/>
          <w:sz w:val="25"/>
          <w:szCs w:val="25"/>
        </w:rPr>
      </w:pPr>
      <w:r>
        <w:rPr>
          <w:color w:val="auto"/>
          <w:spacing w:val="-47"/>
        </w:rPr>
        <w:t>1.</w:t>
      </w:r>
      <w:r>
        <w:rPr>
          <w:color w:val="auto"/>
          <w:spacing w:val="-47"/>
          <w:u w:val="single"/>
        </w:rPr>
        <w:t>（</w:t>
      </w:r>
      <w:r>
        <w:rPr>
          <w:i/>
          <w:color w:val="auto"/>
          <w:spacing w:val="-47"/>
          <w:sz w:val="25"/>
          <w:szCs w:val="25"/>
          <w:u w:val="single"/>
        </w:rPr>
        <w:t>标的名称</w:t>
      </w:r>
      <w:r>
        <w:rPr>
          <w:color w:val="auto"/>
          <w:spacing w:val="-47"/>
          <w:u w:val="single"/>
        </w:rPr>
        <w:t>）</w:t>
      </w:r>
      <w:r>
        <w:rPr>
          <w:color w:val="auto"/>
          <w:spacing w:val="-47"/>
        </w:rPr>
        <w:t>，属于</w:t>
      </w:r>
      <w:r>
        <w:rPr>
          <w:color w:val="auto"/>
          <w:spacing w:val="-47"/>
          <w:u w:val="single"/>
        </w:rPr>
        <w:t>（</w:t>
      </w:r>
      <w:r>
        <w:rPr>
          <w:i/>
          <w:color w:val="auto"/>
          <w:spacing w:val="-47"/>
          <w:sz w:val="25"/>
          <w:szCs w:val="25"/>
          <w:u w:val="single"/>
        </w:rPr>
        <w:t>采购文件中明确的所属行业</w:t>
      </w:r>
      <w:r>
        <w:rPr>
          <w:color w:val="auto"/>
          <w:spacing w:val="-47"/>
          <w:u w:val="single"/>
        </w:rPr>
        <w:t>）</w:t>
      </w:r>
      <w:r>
        <w:rPr>
          <w:color w:val="auto"/>
          <w:spacing w:val="-47"/>
        </w:rPr>
        <w:t>；制造商为</w:t>
      </w:r>
      <w:r>
        <w:rPr>
          <w:color w:val="auto"/>
          <w:spacing w:val="-47"/>
          <w:u w:val="single"/>
        </w:rPr>
        <w:t>（</w:t>
      </w:r>
      <w:r>
        <w:rPr>
          <w:i/>
          <w:color w:val="auto"/>
          <w:spacing w:val="-47"/>
          <w:sz w:val="25"/>
          <w:szCs w:val="25"/>
          <w:u w:val="single"/>
        </w:rPr>
        <w:t>企业名</w:t>
      </w:r>
    </w:p>
    <w:p>
      <w:pPr>
        <w:pStyle w:val="8"/>
        <w:kinsoku w:val="0"/>
        <w:overflowPunct w:val="0"/>
        <w:spacing w:before="8"/>
        <w:ind w:left="0"/>
        <w:rPr>
          <w:rFonts w:hint="default"/>
          <w:i/>
          <w:color w:val="auto"/>
          <w:sz w:val="16"/>
          <w:szCs w:val="16"/>
        </w:rPr>
      </w:pPr>
    </w:p>
    <w:p>
      <w:pPr>
        <w:pStyle w:val="8"/>
        <w:kinsoku w:val="0"/>
        <w:overflowPunct w:val="0"/>
        <w:spacing w:before="14"/>
        <w:ind w:left="129"/>
        <w:rPr>
          <w:rFonts w:hint="default"/>
          <w:color w:val="auto"/>
          <w:spacing w:val="-20"/>
          <w:sz w:val="25"/>
          <w:szCs w:val="25"/>
        </w:rPr>
      </w:pPr>
      <w:r>
        <w:rPr>
          <w:i/>
          <w:color w:val="auto"/>
          <w:spacing w:val="-20"/>
          <w:sz w:val="25"/>
          <w:szCs w:val="25"/>
          <w:u w:val="single"/>
        </w:rPr>
        <w:t>称</w:t>
      </w:r>
      <w:r>
        <w:rPr>
          <w:color w:val="auto"/>
          <w:spacing w:val="-20"/>
          <w:u w:val="single"/>
        </w:rPr>
        <w:t>）</w:t>
      </w:r>
      <w:r>
        <w:rPr>
          <w:color w:val="auto"/>
          <w:spacing w:val="-20"/>
        </w:rPr>
        <w:t>，从业人员人，营业收入为万元，资产总额为万元，属于</w:t>
      </w:r>
      <w:r>
        <w:rPr>
          <w:color w:val="auto"/>
          <w:spacing w:val="-20"/>
          <w:u w:val="single"/>
        </w:rPr>
        <w:t>（</w:t>
      </w:r>
      <w:r>
        <w:rPr>
          <w:i/>
          <w:color w:val="auto"/>
          <w:spacing w:val="-20"/>
          <w:sz w:val="25"/>
          <w:szCs w:val="25"/>
          <w:u w:val="single"/>
        </w:rPr>
        <w:t>中型企业、小型</w:t>
      </w:r>
    </w:p>
    <w:p>
      <w:pPr>
        <w:pStyle w:val="8"/>
        <w:kinsoku w:val="0"/>
        <w:overflowPunct w:val="0"/>
        <w:spacing w:before="11"/>
        <w:ind w:left="0"/>
        <w:rPr>
          <w:rFonts w:hint="default"/>
          <w:i/>
          <w:color w:val="auto"/>
          <w:sz w:val="16"/>
          <w:szCs w:val="16"/>
        </w:rPr>
      </w:pPr>
    </w:p>
    <w:p>
      <w:pPr>
        <w:pStyle w:val="8"/>
        <w:kinsoku w:val="0"/>
        <w:overflowPunct w:val="0"/>
        <w:spacing w:before="14" w:line="410" w:lineRule="auto"/>
        <w:ind w:left="612" w:right="352" w:hanging="495"/>
        <w:rPr>
          <w:rFonts w:hint="default"/>
          <w:color w:val="auto"/>
          <w:spacing w:val="-47"/>
          <w:sz w:val="25"/>
          <w:szCs w:val="25"/>
        </w:rPr>
      </w:pPr>
      <w:r>
        <w:rPr>
          <w:i/>
          <w:color w:val="auto"/>
          <w:spacing w:val="-65"/>
          <w:sz w:val="25"/>
          <w:szCs w:val="25"/>
          <w:u w:val="single"/>
        </w:rPr>
        <w:t>企业、微型企业</w:t>
      </w:r>
      <w:r>
        <w:rPr>
          <w:color w:val="auto"/>
          <w:spacing w:val="-65"/>
          <w:u w:val="single"/>
        </w:rPr>
        <w:t>）</w:t>
      </w:r>
      <w:r>
        <w:rPr>
          <w:color w:val="auto"/>
          <w:spacing w:val="-65"/>
        </w:rPr>
        <w:t>；</w:t>
      </w:r>
      <w:r>
        <w:rPr>
          <w:color w:val="auto"/>
        </w:rPr>
        <w:t xml:space="preserve">    </w:t>
      </w:r>
      <w:r>
        <w:rPr>
          <w:color w:val="auto"/>
          <w:spacing w:val="-47"/>
        </w:rPr>
        <w:t>2.</w:t>
      </w:r>
      <w:r>
        <w:rPr>
          <w:color w:val="auto"/>
          <w:spacing w:val="-47"/>
          <w:u w:val="single"/>
        </w:rPr>
        <w:t>（</w:t>
      </w:r>
      <w:r>
        <w:rPr>
          <w:i/>
          <w:color w:val="auto"/>
          <w:spacing w:val="-47"/>
          <w:sz w:val="25"/>
          <w:szCs w:val="25"/>
          <w:u w:val="single"/>
        </w:rPr>
        <w:t>标的名称</w:t>
      </w:r>
      <w:r>
        <w:rPr>
          <w:color w:val="auto"/>
          <w:spacing w:val="-47"/>
          <w:u w:val="single"/>
        </w:rPr>
        <w:t>）</w:t>
      </w:r>
      <w:r>
        <w:rPr>
          <w:color w:val="auto"/>
          <w:spacing w:val="-47"/>
        </w:rPr>
        <w:t>，属于</w:t>
      </w:r>
      <w:r>
        <w:rPr>
          <w:color w:val="auto"/>
          <w:spacing w:val="-47"/>
          <w:u w:val="single"/>
        </w:rPr>
        <w:t>（</w:t>
      </w:r>
      <w:r>
        <w:rPr>
          <w:i/>
          <w:color w:val="auto"/>
          <w:spacing w:val="-47"/>
          <w:sz w:val="25"/>
          <w:szCs w:val="25"/>
          <w:u w:val="single"/>
        </w:rPr>
        <w:t>采购文件中明确的所属行业</w:t>
      </w:r>
      <w:r>
        <w:rPr>
          <w:color w:val="auto"/>
          <w:spacing w:val="-47"/>
          <w:u w:val="single"/>
        </w:rPr>
        <w:t>）</w:t>
      </w:r>
      <w:r>
        <w:rPr>
          <w:color w:val="auto"/>
          <w:spacing w:val="-47"/>
        </w:rPr>
        <w:t>；制造商为</w:t>
      </w:r>
      <w:r>
        <w:rPr>
          <w:color w:val="auto"/>
          <w:spacing w:val="-47"/>
          <w:u w:val="single"/>
        </w:rPr>
        <w:t>（</w:t>
      </w:r>
      <w:r>
        <w:rPr>
          <w:i/>
          <w:color w:val="auto"/>
          <w:spacing w:val="-47"/>
          <w:sz w:val="25"/>
          <w:szCs w:val="25"/>
          <w:u w:val="single"/>
        </w:rPr>
        <w:t>企业名</w:t>
      </w:r>
    </w:p>
    <w:p>
      <w:pPr>
        <w:pStyle w:val="8"/>
        <w:kinsoku w:val="0"/>
        <w:overflowPunct w:val="0"/>
        <w:spacing w:before="54"/>
        <w:ind w:left="129"/>
        <w:rPr>
          <w:rFonts w:hint="default"/>
          <w:color w:val="auto"/>
          <w:spacing w:val="-29"/>
          <w:sz w:val="25"/>
          <w:szCs w:val="25"/>
        </w:rPr>
      </w:pPr>
      <w:r>
        <w:rPr>
          <w:i/>
          <w:color w:val="auto"/>
          <w:spacing w:val="-9"/>
          <w:w w:val="95"/>
          <w:sz w:val="25"/>
          <w:szCs w:val="25"/>
          <w:u w:val="single"/>
        </w:rPr>
        <w:t>称</w:t>
      </w:r>
      <w:r>
        <w:rPr>
          <w:color w:val="auto"/>
          <w:spacing w:val="-9"/>
          <w:w w:val="95"/>
          <w:u w:val="single"/>
        </w:rPr>
        <w:t>）</w:t>
      </w:r>
      <w:r>
        <w:rPr>
          <w:color w:val="auto"/>
          <w:spacing w:val="-9"/>
          <w:w w:val="95"/>
        </w:rPr>
        <w:t xml:space="preserve">，从业人员人，营业收入为   </w:t>
      </w:r>
      <w:r>
        <w:rPr>
          <w:color w:val="auto"/>
          <w:spacing w:val="8"/>
          <w:w w:val="95"/>
        </w:rPr>
        <w:t xml:space="preserve"> </w:t>
      </w:r>
      <w:r>
        <w:rPr>
          <w:color w:val="auto"/>
          <w:spacing w:val="-29"/>
          <w:w w:val="95"/>
        </w:rPr>
        <w:t>万元，资产总额为万元，属于</w:t>
      </w:r>
      <w:r>
        <w:rPr>
          <w:color w:val="auto"/>
          <w:spacing w:val="-29"/>
          <w:w w:val="95"/>
          <w:u w:val="single"/>
        </w:rPr>
        <w:t>（</w:t>
      </w:r>
      <w:r>
        <w:rPr>
          <w:i/>
          <w:color w:val="auto"/>
          <w:spacing w:val="-29"/>
          <w:w w:val="95"/>
          <w:sz w:val="25"/>
          <w:szCs w:val="25"/>
          <w:u w:val="single"/>
        </w:rPr>
        <w:t>中型企业、小型</w:t>
      </w:r>
    </w:p>
    <w:p>
      <w:pPr>
        <w:pStyle w:val="8"/>
        <w:kinsoku w:val="0"/>
        <w:overflowPunct w:val="0"/>
        <w:spacing w:before="0" w:line="20" w:lineRule="exact"/>
        <w:ind w:left="3438"/>
        <w:rPr>
          <w:rFonts w:hint="default"/>
          <w:color w:val="auto"/>
          <w:sz w:val="2"/>
          <w:szCs w:val="2"/>
        </w:rPr>
      </w:pPr>
      <w:r>
        <w:rPr>
          <w:rFonts w:hint="default"/>
          <w:color w:val="auto"/>
          <w:sz w:val="2"/>
          <w:szCs w:val="2"/>
        </w:rPr>
        <mc:AlternateContent>
          <mc:Choice Requires="wpg">
            <w:drawing>
              <wp:inline distT="0" distB="0" distL="114300" distR="114300">
                <wp:extent cx="43180" cy="12700"/>
                <wp:effectExtent l="0" t="0" r="0" b="0"/>
                <wp:docPr id="5" name="组合 145"/>
                <wp:cNvGraphicFramePr/>
                <a:graphic xmlns:a="http://schemas.openxmlformats.org/drawingml/2006/main">
                  <a:graphicData uri="http://schemas.microsoft.com/office/word/2010/wordprocessingGroup">
                    <wpg:wgp>
                      <wpg:cNvGrpSpPr>
                        <a:grpSpLocks noRot="1"/>
                      </wpg:cNvGrpSpPr>
                      <wpg:grpSpPr>
                        <a:xfrm>
                          <a:off x="0" y="0"/>
                          <a:ext cx="43180" cy="12700"/>
                          <a:chOff x="6" y="6"/>
                          <a:chExt cx="56" cy="20"/>
                        </a:xfrm>
                      </wpg:grpSpPr>
                      <wps:wsp>
                        <wps:cNvPr id="4" name="任意多边形 146"/>
                        <wps:cNvSpPr/>
                        <wps:spPr>
                          <a:xfrm>
                            <a:off x="6" y="6"/>
                            <a:ext cx="56" cy="20"/>
                          </a:xfrm>
                          <a:custGeom>
                            <a:avLst/>
                            <a:gdLst/>
                            <a:ahLst/>
                            <a:cxnLst/>
                            <a:rect l="0" t="0" r="0" b="0"/>
                            <a:pathLst>
                              <a:path w="56" h="20">
                                <a:moveTo>
                                  <a:pt x="0" y="0"/>
                                </a:moveTo>
                                <a:lnTo>
                                  <a:pt x="56" y="0"/>
                                </a:lnTo>
                              </a:path>
                            </a:pathLst>
                          </a:custGeom>
                          <a:noFill/>
                          <a:ln w="7620" cap="flat" cmpd="sng">
                            <a:solidFill>
                              <a:srgbClr val="000000"/>
                            </a:solidFill>
                            <a:prstDash val="solid"/>
                            <a:headEnd type="none" w="med" len="med"/>
                            <a:tailEnd type="none" w="med" len="med"/>
                          </a:ln>
                        </wps:spPr>
                        <wps:bodyPr wrap="square" upright="1"/>
                      </wps:wsp>
                    </wpg:wgp>
                  </a:graphicData>
                </a:graphic>
              </wp:inline>
            </w:drawing>
          </mc:Choice>
          <mc:Fallback>
            <w:pict>
              <v:group id="组合 145" o:spid="_x0000_s1026" o:spt="203" style="height:1pt;width:3.4pt;" coordorigin="6,6" coordsize="56,20" o:gfxdata="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JolpSnSAAAAAQEAAA8AAAAAAAAAAQAgAAAAIgAAAGRycy9kb3du&#10;cmV2LnhtbFBLAQIUABQAAAAIAIdO4kDogIiBsAIAAAAGAAAOAAAAAAAAAAEAIAAAACEBAABkcnMv&#10;ZTJvRG9jLnhtbFBLBQYAAAAABgAGAFkBAABDBgAAAAA=&#10;">
                <o:lock v:ext="edit" rotation="t" aspectratio="f"/>
                <v:shape id="任意多边形 146" o:spid="_x0000_s1026" o:spt="100" style="position:absolute;left:6;top:6;height:20;width:56;" filled="f" stroked="t" coordsize="56,20" o:gfxdata="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VAUObsAAADa&#10;AAAADwAAAAAAAAABACAAAAAiAAAAZHJzL2Rvd25yZXYueG1sUEsBAhQAFAAAAAgAh07iQDMvBZ47&#10;AAAAOQAAABAAAAAAAAAAAQAgAAAACgEAAGRycy9zaGFwZXhtbC54bWxQSwUGAAAAAAYABgBbAQAA&#10;tAMAAAAA&#10;" path="m0,0l56,0e">
                  <v:fill on="f" focussize="0,0"/>
                  <v:stroke weight="0.6pt" color="#000000" joinstyle="round"/>
                  <v:imagedata o:title=""/>
                  <o:lock v:ext="edit" aspectratio="f"/>
                </v:shape>
                <w10:wrap type="none"/>
                <w10:anchorlock/>
              </v:group>
            </w:pict>
          </mc:Fallback>
        </mc:AlternateContent>
      </w:r>
    </w:p>
    <w:p>
      <w:pPr>
        <w:pStyle w:val="8"/>
        <w:kinsoku w:val="0"/>
        <w:overflowPunct w:val="0"/>
        <w:spacing w:before="4"/>
        <w:ind w:left="0"/>
        <w:rPr>
          <w:rFonts w:hint="default"/>
          <w:i/>
          <w:color w:val="auto"/>
          <w:sz w:val="16"/>
          <w:szCs w:val="16"/>
        </w:rPr>
      </w:pPr>
    </w:p>
    <w:p>
      <w:pPr>
        <w:pStyle w:val="8"/>
        <w:kinsoku w:val="0"/>
        <w:overflowPunct w:val="0"/>
        <w:spacing w:before="14"/>
        <w:ind w:left="118"/>
        <w:rPr>
          <w:rFonts w:hint="default"/>
          <w:color w:val="auto"/>
          <w:spacing w:val="-65"/>
        </w:rPr>
      </w:pPr>
      <w:r>
        <w:rPr>
          <w:i/>
          <w:color w:val="auto"/>
          <w:spacing w:val="-65"/>
          <w:sz w:val="25"/>
          <w:szCs w:val="25"/>
          <w:u w:val="single"/>
        </w:rPr>
        <w:t>企业、微型企业</w:t>
      </w:r>
      <w:r>
        <w:rPr>
          <w:color w:val="auto"/>
          <w:spacing w:val="-65"/>
          <w:u w:val="single"/>
        </w:rPr>
        <w:t>）</w:t>
      </w:r>
      <w:r>
        <w:rPr>
          <w:color w:val="auto"/>
          <w:spacing w:val="-65"/>
        </w:rPr>
        <w:t>；</w:t>
      </w:r>
    </w:p>
    <w:p>
      <w:pPr>
        <w:pStyle w:val="8"/>
        <w:kinsoku w:val="0"/>
        <w:overflowPunct w:val="0"/>
        <w:spacing w:before="0"/>
        <w:ind w:left="0"/>
        <w:rPr>
          <w:rFonts w:hint="default"/>
          <w:color w:val="auto"/>
        </w:rPr>
      </w:pPr>
    </w:p>
    <w:p>
      <w:pPr>
        <w:pStyle w:val="8"/>
        <w:kinsoku w:val="0"/>
        <w:overflowPunct w:val="0"/>
        <w:spacing w:before="210"/>
        <w:ind w:left="720"/>
        <w:rPr>
          <w:rFonts w:hint="default"/>
          <w:color w:val="auto"/>
        </w:rPr>
      </w:pPr>
      <w:r>
        <w:rPr>
          <w:color w:val="auto"/>
        </w:rPr>
        <w:t>......</w:t>
      </w:r>
    </w:p>
    <w:p>
      <w:pPr>
        <w:pStyle w:val="8"/>
        <w:kinsoku w:val="0"/>
        <w:overflowPunct w:val="0"/>
        <w:spacing w:before="0"/>
        <w:ind w:left="0"/>
        <w:rPr>
          <w:rFonts w:hint="default"/>
          <w:color w:val="auto"/>
        </w:rPr>
      </w:pPr>
    </w:p>
    <w:p>
      <w:pPr>
        <w:pStyle w:val="8"/>
        <w:kinsoku w:val="0"/>
        <w:overflowPunct w:val="0"/>
        <w:spacing w:before="212" w:line="427" w:lineRule="auto"/>
        <w:ind w:left="140" w:firstLine="472"/>
        <w:rPr>
          <w:rFonts w:hint="default"/>
          <w:color w:val="auto"/>
          <w:spacing w:val="-5"/>
        </w:rPr>
      </w:pPr>
      <w:r>
        <w:rPr>
          <w:color w:val="auto"/>
          <w:spacing w:val="-4"/>
        </w:rPr>
        <w:t>以上企业，不属于大企业的分支机构，不存在控股股东为大企业的情形，也</w:t>
      </w:r>
      <w:r>
        <w:rPr>
          <w:color w:val="auto"/>
        </w:rPr>
        <w:t xml:space="preserve"> </w:t>
      </w:r>
      <w:r>
        <w:rPr>
          <w:color w:val="auto"/>
          <w:spacing w:val="-5"/>
        </w:rPr>
        <w:t>不存在与大企业的负责人为同一人的情形。</w:t>
      </w:r>
    </w:p>
    <w:p>
      <w:pPr>
        <w:pStyle w:val="8"/>
        <w:kinsoku w:val="0"/>
        <w:overflowPunct w:val="0"/>
        <w:spacing w:before="58"/>
        <w:ind w:left="831" w:hanging="219"/>
        <w:rPr>
          <w:rFonts w:hint="default"/>
          <w:color w:val="auto"/>
          <w:spacing w:val="-5"/>
        </w:rPr>
      </w:pPr>
      <w:r>
        <w:rPr>
          <w:color w:val="auto"/>
          <w:spacing w:val="-5"/>
        </w:rPr>
        <w:t>本企业对上述声明内容的真实性负责。如有虚假，将依法承担相应责任。</w:t>
      </w:r>
    </w:p>
    <w:p>
      <w:pPr>
        <w:pStyle w:val="8"/>
        <w:kinsoku w:val="0"/>
        <w:overflowPunct w:val="0"/>
        <w:spacing w:before="0"/>
        <w:ind w:left="0"/>
        <w:rPr>
          <w:rFonts w:hint="default"/>
          <w:color w:val="auto"/>
        </w:rPr>
      </w:pPr>
    </w:p>
    <w:p>
      <w:pPr>
        <w:pStyle w:val="8"/>
        <w:kinsoku w:val="0"/>
        <w:overflowPunct w:val="0"/>
        <w:spacing w:before="4"/>
        <w:ind w:left="0"/>
        <w:rPr>
          <w:rFonts w:hint="default"/>
          <w:color w:val="auto"/>
          <w:sz w:val="28"/>
          <w:szCs w:val="28"/>
        </w:rPr>
      </w:pPr>
    </w:p>
    <w:p>
      <w:pPr>
        <w:pStyle w:val="8"/>
        <w:kinsoku w:val="0"/>
        <w:overflowPunct w:val="0"/>
        <w:spacing w:before="0" w:line="487" w:lineRule="auto"/>
        <w:ind w:left="140" w:right="4980" w:firstLine="691"/>
        <w:rPr>
          <w:rFonts w:hint="default"/>
          <w:color w:val="auto"/>
          <w:spacing w:val="-3"/>
        </w:rPr>
      </w:pPr>
      <w:r>
        <w:rPr>
          <w:color w:val="auto"/>
          <w:spacing w:val="-4"/>
        </w:rPr>
        <w:t>企业名称（盖章）：</w:t>
      </w:r>
      <w:r>
        <w:rPr>
          <w:color w:val="auto"/>
        </w:rPr>
        <w:t xml:space="preserve"> </w:t>
      </w:r>
      <w:r>
        <w:rPr>
          <w:color w:val="auto"/>
          <w:spacing w:val="-3"/>
        </w:rPr>
        <w:t>日期：</w:t>
      </w:r>
    </w:p>
    <w:p>
      <w:pPr>
        <w:pStyle w:val="8"/>
        <w:kinsoku w:val="0"/>
        <w:overflowPunct w:val="0"/>
        <w:spacing w:before="0" w:line="487" w:lineRule="auto"/>
        <w:ind w:left="140" w:right="4980" w:firstLine="691"/>
        <w:rPr>
          <w:rFonts w:hint="default"/>
          <w:color w:val="auto"/>
          <w:spacing w:val="-3"/>
        </w:rPr>
        <w:sectPr>
          <w:pgSz w:w="11910" w:h="16840"/>
          <w:pgMar w:top="1500" w:right="1620" w:bottom="1600" w:left="1660" w:header="0" w:footer="1415" w:gutter="0"/>
          <w:pgNumType w:fmt="decimal"/>
          <w:cols w:space="720" w:num="1"/>
        </w:sectPr>
      </w:pPr>
    </w:p>
    <w:p>
      <w:pPr>
        <w:pStyle w:val="8"/>
        <w:kinsoku w:val="0"/>
        <w:overflowPunct w:val="0"/>
        <w:spacing w:before="2" w:line="432" w:lineRule="auto"/>
        <w:ind w:left="592" w:right="237" w:firstLine="1348"/>
        <w:rPr>
          <w:b/>
          <w:color w:val="auto"/>
          <w:w w:val="99"/>
        </w:rPr>
      </w:pPr>
      <w:r>
        <w:rPr>
          <w:b/>
          <w:color w:val="auto"/>
        </w:rPr>
        <w:t>附件</w:t>
      </w:r>
      <w:r>
        <w:rPr>
          <w:b/>
          <w:color w:val="auto"/>
          <w:spacing w:val="-60"/>
        </w:rPr>
        <w:t xml:space="preserve"> </w:t>
      </w:r>
      <w:r>
        <w:rPr>
          <w:rFonts w:ascii="Times New Roman" w:eastAsia="Times New Roman" w:cs="Times New Roman"/>
          <w:b/>
          <w:color w:val="auto"/>
        </w:rPr>
        <w:t>2</w:t>
      </w:r>
      <w:r>
        <w:rPr>
          <w:b/>
          <w:color w:val="auto"/>
        </w:rPr>
        <w:t>：中小企业声明函（服务类、工程类）</w:t>
      </w:r>
      <w:r>
        <w:rPr>
          <w:b/>
          <w:color w:val="auto"/>
          <w:w w:val="99"/>
        </w:rPr>
        <w:t xml:space="preserve"> </w:t>
      </w:r>
    </w:p>
    <w:p>
      <w:pPr>
        <w:pStyle w:val="8"/>
        <w:kinsoku w:val="0"/>
        <w:overflowPunct w:val="0"/>
        <w:spacing w:before="2" w:line="432" w:lineRule="auto"/>
        <w:ind w:right="237" w:firstLine="464" w:firstLineChars="200"/>
        <w:rPr>
          <w:rFonts w:hint="default"/>
          <w:color w:val="auto"/>
          <w:spacing w:val="-5"/>
        </w:rPr>
      </w:pPr>
      <w:r>
        <w:rPr>
          <w:color w:val="auto"/>
          <w:spacing w:val="-4"/>
        </w:rPr>
        <w:t>本公司（联合体）郑重声明，根据《政府采购促进中小企业发展管理办法》</w:t>
      </w:r>
      <w:r>
        <w:rPr>
          <w:color w:val="auto"/>
          <w:spacing w:val="-3"/>
        </w:rPr>
        <w:t>（财库﹝2020﹞46</w:t>
      </w:r>
      <w:r>
        <w:rPr>
          <w:color w:val="auto"/>
          <w:spacing w:val="-57"/>
        </w:rPr>
        <w:t xml:space="preserve"> </w:t>
      </w:r>
      <w:r>
        <w:rPr>
          <w:color w:val="auto"/>
          <w:spacing w:val="-5"/>
        </w:rPr>
        <w:t>号）的规定，本公司（联合体）参加（单位名称）的（项目名</w:t>
      </w:r>
      <w:r>
        <w:rPr>
          <w:color w:val="auto"/>
          <w:spacing w:val="-118"/>
        </w:rPr>
        <w:t xml:space="preserve"> </w:t>
      </w:r>
      <w:r>
        <w:rPr>
          <w:color w:val="auto"/>
          <w:spacing w:val="-4"/>
        </w:rPr>
        <w:t>称）采购活动，工程的施工单位全部为符合政策要求的中小企业（或者：服务全</w:t>
      </w:r>
      <w:r>
        <w:rPr>
          <w:color w:val="auto"/>
          <w:spacing w:val="-90"/>
        </w:rPr>
        <w:t xml:space="preserve"> </w:t>
      </w:r>
      <w:r>
        <w:rPr>
          <w:color w:val="auto"/>
          <w:spacing w:val="-4"/>
        </w:rPr>
        <w:t>部由符合政策要求的中小企业承接）。相关企业（含联合体中的中小企业、签订</w:t>
      </w:r>
      <w:r>
        <w:rPr>
          <w:color w:val="auto"/>
          <w:spacing w:val="-90"/>
        </w:rPr>
        <w:t xml:space="preserve"> </w:t>
      </w:r>
      <w:r>
        <w:rPr>
          <w:color w:val="auto"/>
          <w:spacing w:val="-5"/>
        </w:rPr>
        <w:t>分包意向协议的中小企业）的具体情况如下：</w:t>
      </w:r>
    </w:p>
    <w:p>
      <w:pPr>
        <w:pStyle w:val="8"/>
        <w:kinsoku w:val="0"/>
        <w:overflowPunct w:val="0"/>
        <w:spacing w:before="58" w:line="427" w:lineRule="auto"/>
        <w:ind w:right="117" w:firstLine="472"/>
        <w:rPr>
          <w:rFonts w:hint="default"/>
          <w:color w:val="auto"/>
          <w:spacing w:val="-5"/>
        </w:rPr>
      </w:pPr>
      <w:r>
        <w:rPr>
          <w:color w:val="auto"/>
          <w:spacing w:val="-7"/>
        </w:rPr>
        <w:t>1、</w:t>
      </w:r>
      <w:r>
        <w:rPr>
          <w:color w:val="auto"/>
          <w:spacing w:val="-7"/>
          <w:u w:val="single"/>
        </w:rPr>
        <w:t>（标的名称）</w:t>
      </w:r>
      <w:r>
        <w:rPr>
          <w:color w:val="auto"/>
          <w:spacing w:val="-7"/>
        </w:rPr>
        <w:t>，属于</w:t>
      </w:r>
      <w:r>
        <w:rPr>
          <w:color w:val="auto"/>
          <w:spacing w:val="-7"/>
          <w:u w:val="single"/>
        </w:rPr>
        <w:t>（采购文件中明确的所属行业）</w:t>
      </w:r>
      <w:r>
        <w:rPr>
          <w:color w:val="auto"/>
          <w:spacing w:val="-7"/>
        </w:rPr>
        <w:t>；承建（承接）企业</w:t>
      </w:r>
      <w:r>
        <w:rPr>
          <w:color w:val="auto"/>
        </w:rPr>
        <w:t xml:space="preserve"> </w:t>
      </w:r>
      <w:r>
        <w:rPr>
          <w:color w:val="auto"/>
          <w:spacing w:val="-4"/>
        </w:rPr>
        <w:t>为</w:t>
      </w:r>
      <w:r>
        <w:rPr>
          <w:color w:val="auto"/>
          <w:spacing w:val="-4"/>
          <w:u w:val="single"/>
        </w:rPr>
        <w:t>（企业名称</w:t>
      </w:r>
      <w:r>
        <w:rPr>
          <w:color w:val="auto"/>
          <w:spacing w:val="-4"/>
        </w:rPr>
        <w:t>），从业人员人，营业收入为万元，资产总额为万【从业人员、营</w:t>
      </w:r>
      <w:r>
        <w:rPr>
          <w:color w:val="auto"/>
          <w:spacing w:val="-90"/>
        </w:rPr>
        <w:t xml:space="preserve"> </w:t>
      </w:r>
      <w:r>
        <w:rPr>
          <w:color w:val="auto"/>
          <w:spacing w:val="-13"/>
        </w:rPr>
        <w:t>业收入、资产总额填报上一年度数据，无上一年度数据的新成立企业可不填报。】，</w:t>
      </w:r>
      <w:r>
        <w:rPr>
          <w:color w:val="auto"/>
          <w:spacing w:val="-103"/>
        </w:rPr>
        <w:t xml:space="preserve"> </w:t>
      </w:r>
      <w:r>
        <w:rPr>
          <w:color w:val="auto"/>
          <w:spacing w:val="-5"/>
        </w:rPr>
        <w:t>属于</w:t>
      </w:r>
      <w:r>
        <w:rPr>
          <w:color w:val="auto"/>
          <w:spacing w:val="-5"/>
          <w:u w:val="single"/>
        </w:rPr>
        <w:t>（中型企业、小型企业、微型企业）</w:t>
      </w:r>
      <w:r>
        <w:rPr>
          <w:color w:val="auto"/>
          <w:spacing w:val="-5"/>
        </w:rPr>
        <w:t>；</w:t>
      </w:r>
    </w:p>
    <w:p>
      <w:pPr>
        <w:pStyle w:val="8"/>
        <w:kinsoku w:val="0"/>
        <w:overflowPunct w:val="0"/>
        <w:spacing w:before="60" w:line="427" w:lineRule="auto"/>
        <w:ind w:right="237" w:firstLine="472"/>
        <w:rPr>
          <w:rFonts w:hint="default"/>
          <w:color w:val="auto"/>
          <w:spacing w:val="-4"/>
        </w:rPr>
      </w:pPr>
      <w:r>
        <w:rPr>
          <w:color w:val="auto"/>
          <w:spacing w:val="-7"/>
        </w:rPr>
        <w:t>2、</w:t>
      </w:r>
      <w:r>
        <w:rPr>
          <w:color w:val="auto"/>
          <w:spacing w:val="-7"/>
          <w:u w:val="single"/>
        </w:rPr>
        <w:t>（标的名称）</w:t>
      </w:r>
      <w:r>
        <w:rPr>
          <w:color w:val="auto"/>
          <w:spacing w:val="-7"/>
        </w:rPr>
        <w:t>，属于</w:t>
      </w:r>
      <w:r>
        <w:rPr>
          <w:color w:val="auto"/>
          <w:spacing w:val="-7"/>
          <w:u w:val="single"/>
        </w:rPr>
        <w:t>（采购文件中明确的所属行业）</w:t>
      </w:r>
      <w:r>
        <w:rPr>
          <w:color w:val="auto"/>
          <w:spacing w:val="-7"/>
        </w:rPr>
        <w:t>；承建（承接）企业</w:t>
      </w:r>
      <w:r>
        <w:rPr>
          <w:color w:val="auto"/>
        </w:rPr>
        <w:t xml:space="preserve"> </w:t>
      </w:r>
      <w:r>
        <w:rPr>
          <w:color w:val="auto"/>
          <w:spacing w:val="-4"/>
        </w:rPr>
        <w:t>为</w:t>
      </w:r>
      <w:r>
        <w:rPr>
          <w:color w:val="auto"/>
          <w:spacing w:val="-4"/>
          <w:u w:val="single"/>
        </w:rPr>
        <w:t>（企业名称）</w:t>
      </w:r>
      <w:r>
        <w:rPr>
          <w:color w:val="auto"/>
          <w:spacing w:val="-4"/>
        </w:rPr>
        <w:t>，从业人员人，营业收入为万元，资产总额为万元，属于</w:t>
      </w:r>
      <w:r>
        <w:rPr>
          <w:color w:val="auto"/>
          <w:spacing w:val="-4"/>
          <w:u w:val="single"/>
        </w:rPr>
        <w:t>（中型</w:t>
      </w:r>
    </w:p>
    <w:p>
      <w:pPr>
        <w:pStyle w:val="8"/>
        <w:kinsoku w:val="0"/>
        <w:overflowPunct w:val="0"/>
        <w:spacing w:before="58"/>
        <w:ind w:right="237"/>
        <w:rPr>
          <w:rFonts w:hint="default"/>
          <w:color w:val="auto"/>
          <w:spacing w:val="-5"/>
        </w:rPr>
      </w:pPr>
      <w:r>
        <w:rPr>
          <w:color w:val="auto"/>
          <w:spacing w:val="-5"/>
          <w:u w:val="single"/>
        </w:rPr>
        <w:t>企业、小型企业、微型企业）</w:t>
      </w:r>
      <w:r>
        <w:rPr>
          <w:color w:val="auto"/>
          <w:spacing w:val="-5"/>
        </w:rPr>
        <w:t>；</w:t>
      </w:r>
    </w:p>
    <w:p>
      <w:pPr>
        <w:pStyle w:val="8"/>
        <w:kinsoku w:val="0"/>
        <w:overflowPunct w:val="0"/>
        <w:spacing w:before="12"/>
        <w:ind w:left="0"/>
        <w:rPr>
          <w:rFonts w:hint="default"/>
          <w:color w:val="auto"/>
          <w:sz w:val="18"/>
          <w:szCs w:val="18"/>
        </w:rPr>
      </w:pPr>
    </w:p>
    <w:p>
      <w:pPr>
        <w:pStyle w:val="8"/>
        <w:kinsoku w:val="0"/>
        <w:overflowPunct w:val="0"/>
        <w:spacing w:before="0" w:line="427" w:lineRule="auto"/>
        <w:ind w:left="592" w:right="237"/>
        <w:rPr>
          <w:rFonts w:hint="default"/>
          <w:color w:val="auto"/>
          <w:spacing w:val="-4"/>
        </w:rPr>
      </w:pPr>
      <w:r>
        <w:rPr>
          <w:color w:val="auto"/>
          <w:spacing w:val="-3"/>
        </w:rPr>
        <w:t>……</w:t>
      </w:r>
      <w:r>
        <w:rPr>
          <w:color w:val="auto"/>
        </w:rPr>
        <w:t xml:space="preserve"> </w:t>
      </w:r>
      <w:r>
        <w:rPr>
          <w:color w:val="auto"/>
          <w:spacing w:val="-4"/>
        </w:rPr>
        <w:t>以上企业，不属于大企业的分支机构，不存在控股股东为大企业的情形，也</w:t>
      </w:r>
    </w:p>
    <w:p>
      <w:pPr>
        <w:pStyle w:val="8"/>
        <w:kinsoku w:val="0"/>
        <w:overflowPunct w:val="0"/>
        <w:spacing w:before="58" w:line="429" w:lineRule="auto"/>
        <w:ind w:left="592" w:right="237" w:hanging="473"/>
        <w:rPr>
          <w:rFonts w:hint="default"/>
          <w:color w:val="auto"/>
          <w:spacing w:val="-5"/>
        </w:rPr>
      </w:pPr>
      <w:r>
        <w:rPr>
          <w:color w:val="auto"/>
          <w:spacing w:val="-5"/>
        </w:rPr>
        <w:t>不存在与大企业的负责人为同一人的情形。</w:t>
      </w:r>
      <w:r>
        <w:rPr>
          <w:color w:val="auto"/>
          <w:spacing w:val="-103"/>
        </w:rPr>
        <w:t xml:space="preserve"> </w:t>
      </w:r>
      <w:r>
        <w:rPr>
          <w:color w:val="auto"/>
          <w:spacing w:val="-5"/>
        </w:rPr>
        <w:t>本企业对上述声明内容的真实性负责。如有虚假，将依法承担相应责任。</w:t>
      </w:r>
    </w:p>
    <w:p>
      <w:pPr>
        <w:pStyle w:val="8"/>
        <w:kinsoku w:val="0"/>
        <w:overflowPunct w:val="0"/>
        <w:spacing w:before="0"/>
        <w:ind w:left="0"/>
        <w:rPr>
          <w:rFonts w:hint="default"/>
          <w:color w:val="auto"/>
        </w:rPr>
      </w:pPr>
    </w:p>
    <w:p>
      <w:pPr>
        <w:pStyle w:val="8"/>
        <w:kinsoku w:val="0"/>
        <w:overflowPunct w:val="0"/>
        <w:spacing w:before="12"/>
        <w:ind w:left="0"/>
        <w:rPr>
          <w:rFonts w:hint="default"/>
          <w:color w:val="auto"/>
          <w:sz w:val="16"/>
          <w:szCs w:val="16"/>
        </w:rPr>
      </w:pPr>
    </w:p>
    <w:p>
      <w:pPr>
        <w:pStyle w:val="8"/>
        <w:kinsoku w:val="0"/>
        <w:overflowPunct w:val="0"/>
        <w:spacing w:before="0" w:line="427" w:lineRule="auto"/>
        <w:ind w:right="1251"/>
        <w:jc w:val="right"/>
        <w:rPr>
          <w:rFonts w:hint="default"/>
          <w:color w:val="auto"/>
          <w:spacing w:val="-4"/>
        </w:rPr>
      </w:pPr>
      <w:r>
        <w:rPr>
          <w:color w:val="auto"/>
          <w:spacing w:val="-4"/>
        </w:rPr>
        <w:t>企业名称（盖章）：</w:t>
      </w:r>
      <w:r>
        <w:rPr>
          <w:color w:val="auto"/>
          <w:spacing w:val="-118"/>
        </w:rPr>
        <w:t xml:space="preserve"> </w:t>
      </w:r>
      <w:r>
        <w:rPr>
          <w:color w:val="auto"/>
          <w:spacing w:val="-4"/>
        </w:rPr>
        <w:t>日期：年月日</w:t>
      </w:r>
    </w:p>
    <w:p>
      <w:pPr>
        <w:pStyle w:val="8"/>
        <w:kinsoku w:val="0"/>
        <w:overflowPunct w:val="0"/>
        <w:spacing w:before="0" w:line="427" w:lineRule="auto"/>
        <w:ind w:left="3895" w:right="1251"/>
        <w:rPr>
          <w:rFonts w:hint="default"/>
          <w:color w:val="auto"/>
          <w:spacing w:val="-4"/>
        </w:rPr>
        <w:sectPr>
          <w:pgSz w:w="11910" w:h="16840"/>
          <w:pgMar w:top="1460" w:right="1560" w:bottom="1600" w:left="1680" w:header="0" w:footer="1415" w:gutter="0"/>
          <w:pgNumType w:fmt="decimal"/>
          <w:cols w:space="720" w:num="1"/>
        </w:sectPr>
      </w:pPr>
    </w:p>
    <w:p>
      <w:pPr>
        <w:pStyle w:val="7"/>
        <w:kinsoku w:val="0"/>
        <w:overflowPunct w:val="0"/>
        <w:spacing w:before="11"/>
        <w:rPr>
          <w:rFonts w:hint="default"/>
          <w:b w:val="0"/>
          <w:color w:val="auto"/>
        </w:rPr>
      </w:pPr>
      <w:r>
        <w:rPr>
          <w:color w:val="auto"/>
        </w:rPr>
        <w:t>注：</w:t>
      </w:r>
    </w:p>
    <w:p>
      <w:pPr>
        <w:pStyle w:val="8"/>
        <w:kinsoku w:val="0"/>
        <w:overflowPunct w:val="0"/>
        <w:spacing w:before="10"/>
        <w:ind w:left="0"/>
        <w:rPr>
          <w:rFonts w:hint="default"/>
          <w:b/>
          <w:color w:val="auto"/>
          <w:sz w:val="18"/>
          <w:szCs w:val="18"/>
        </w:rPr>
      </w:pPr>
    </w:p>
    <w:p>
      <w:pPr>
        <w:pStyle w:val="8"/>
        <w:kinsoku w:val="0"/>
        <w:overflowPunct w:val="0"/>
        <w:spacing w:before="0" w:line="403" w:lineRule="auto"/>
        <w:ind w:firstLine="480"/>
        <w:rPr>
          <w:rFonts w:hint="default"/>
          <w:color w:val="auto"/>
        </w:rPr>
      </w:pPr>
      <w:r>
        <w:rPr>
          <w:rFonts w:ascii="Times New Roman" w:eastAsia="Times New Roman" w:cs="Times New Roman"/>
          <w:b/>
          <w:color w:val="auto"/>
        </w:rPr>
        <w:t>1</w:t>
      </w:r>
      <w:r>
        <w:rPr>
          <w:b/>
          <w:color w:val="auto"/>
        </w:rPr>
        <w:t>、如可以享受中小企业政策的供应商，按照如上声明函的内容如实填写，</w:t>
      </w:r>
      <w:r>
        <w:rPr>
          <w:b/>
          <w:color w:val="auto"/>
          <w:w w:val="99"/>
        </w:rPr>
        <w:t xml:space="preserve"> </w:t>
      </w:r>
      <w:r>
        <w:rPr>
          <w:b/>
          <w:color w:val="auto"/>
        </w:rPr>
        <w:t>若不满足中小企业政策的供应商，请不要填写。</w:t>
      </w:r>
    </w:p>
    <w:p>
      <w:pPr>
        <w:pStyle w:val="8"/>
        <w:kinsoku w:val="0"/>
        <w:overflowPunct w:val="0"/>
        <w:spacing w:before="84" w:line="403" w:lineRule="auto"/>
        <w:ind w:firstLine="480"/>
        <w:rPr>
          <w:rFonts w:hint="default"/>
          <w:color w:val="auto"/>
        </w:rPr>
      </w:pPr>
      <w:r>
        <w:rPr>
          <w:rFonts w:ascii="Times New Roman" w:eastAsia="Times New Roman" w:cs="Times New Roman"/>
          <w:b/>
          <w:color w:val="auto"/>
          <w:w w:val="95"/>
        </w:rPr>
        <w:t>2</w:t>
      </w:r>
      <w:r>
        <w:rPr>
          <w:b/>
          <w:color w:val="auto"/>
          <w:w w:val="95"/>
        </w:rPr>
        <w:t>、如存在虚假声明或未按实际内容填写，供应商需承担由此产生的一切后</w:t>
      </w:r>
      <w:r>
        <w:rPr>
          <w:b/>
          <w:color w:val="auto"/>
          <w:w w:val="99"/>
        </w:rPr>
        <w:t xml:space="preserve"> </w:t>
      </w:r>
      <w:r>
        <w:rPr>
          <w:b/>
          <w:color w:val="auto"/>
        </w:rPr>
        <w:t>果及相应的法律责任。</w:t>
      </w:r>
    </w:p>
    <w:p>
      <w:pPr>
        <w:pStyle w:val="8"/>
        <w:kinsoku w:val="0"/>
        <w:overflowPunct w:val="0"/>
        <w:spacing w:before="82" w:line="405" w:lineRule="auto"/>
        <w:ind w:right="44" w:firstLine="480"/>
        <w:rPr>
          <w:rFonts w:hint="default"/>
          <w:color w:val="auto"/>
        </w:rPr>
      </w:pPr>
      <w:r>
        <w:rPr>
          <w:rFonts w:ascii="Times New Roman" w:eastAsia="Times New Roman" w:cs="Times New Roman"/>
          <w:b/>
          <w:color w:val="auto"/>
          <w:w w:val="95"/>
        </w:rPr>
        <w:t>3</w:t>
      </w:r>
      <w:r>
        <w:rPr>
          <w:b/>
          <w:color w:val="auto"/>
          <w:w w:val="95"/>
        </w:rPr>
        <w:t>、后附大中小微型企业划分标准。详细内容请在中国政府采购网上查询获</w:t>
      </w:r>
      <w:r>
        <w:rPr>
          <w:b/>
          <w:color w:val="auto"/>
          <w:w w:val="99"/>
        </w:rPr>
        <w:t xml:space="preserve"> </w:t>
      </w:r>
      <w:r>
        <w:rPr>
          <w:b/>
          <w:color w:val="auto"/>
        </w:rPr>
        <w:t>取。</w:t>
      </w:r>
    </w:p>
    <w:p>
      <w:pPr>
        <w:pStyle w:val="8"/>
        <w:kinsoku w:val="0"/>
        <w:overflowPunct w:val="0"/>
        <w:spacing w:before="82" w:line="405" w:lineRule="auto"/>
        <w:ind w:right="44" w:firstLine="480"/>
        <w:rPr>
          <w:rFonts w:hint="default"/>
          <w:color w:val="auto"/>
        </w:rPr>
        <w:sectPr>
          <w:pgSz w:w="11910" w:h="16840"/>
          <w:pgMar w:top="1580" w:right="1680" w:bottom="1600" w:left="1680" w:header="0" w:footer="1415" w:gutter="0"/>
          <w:pgNumType w:fmt="decimal"/>
          <w:cols w:space="720" w:num="1"/>
        </w:sectPr>
      </w:pPr>
    </w:p>
    <w:p>
      <w:pPr>
        <w:pStyle w:val="8"/>
        <w:kinsoku w:val="0"/>
        <w:overflowPunct w:val="0"/>
        <w:spacing w:before="0" w:line="408" w:lineRule="exact"/>
        <w:ind w:left="520"/>
        <w:rPr>
          <w:rFonts w:hint="default"/>
          <w:color w:val="auto"/>
          <w:sz w:val="32"/>
          <w:szCs w:val="32"/>
        </w:rPr>
      </w:pPr>
      <w:bookmarkStart w:id="52" w:name="7、供应商认为有必要提供的声明及文件资料"/>
      <w:bookmarkEnd w:id="52"/>
      <w:r>
        <w:rPr>
          <w:color w:val="auto"/>
          <w:sz w:val="32"/>
          <w:szCs w:val="32"/>
        </w:rPr>
        <w:t>附表</w:t>
      </w:r>
    </w:p>
    <w:p>
      <w:pPr>
        <w:pStyle w:val="8"/>
        <w:kinsoku w:val="0"/>
        <w:overflowPunct w:val="0"/>
        <w:spacing w:before="93"/>
        <w:ind w:left="2692"/>
        <w:rPr>
          <w:rFonts w:hint="default"/>
          <w:color w:val="auto"/>
          <w:sz w:val="36"/>
          <w:szCs w:val="36"/>
        </w:rPr>
      </w:pPr>
      <w:r>
        <w:rPr>
          <w:color w:val="auto"/>
          <w:sz w:val="36"/>
          <w:szCs w:val="36"/>
        </w:rPr>
        <w:t>大中小微型企业划分标准</w:t>
      </w:r>
    </w:p>
    <w:p>
      <w:pPr>
        <w:pStyle w:val="8"/>
        <w:kinsoku w:val="0"/>
        <w:overflowPunct w:val="0"/>
        <w:spacing w:before="2"/>
        <w:ind w:left="0"/>
        <w:rPr>
          <w:rFonts w:hint="default"/>
          <w:color w:val="auto"/>
          <w:sz w:val="10"/>
          <w:szCs w:val="10"/>
        </w:rPr>
      </w:pPr>
    </w:p>
    <w:tbl>
      <w:tblPr>
        <w:tblStyle w:val="17"/>
        <w:tblW w:w="0" w:type="auto"/>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1782"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13"/>
              <w:rPr>
                <w:rFonts w:hint="default" w:cs="宋体"/>
                <w:color w:val="auto"/>
                <w:sz w:val="12"/>
                <w:szCs w:val="12"/>
              </w:rPr>
            </w:pPr>
          </w:p>
          <w:p>
            <w:pPr>
              <w:pStyle w:val="21"/>
              <w:kinsoku w:val="0"/>
              <w:overflowPunct w:val="0"/>
              <w:ind w:left="528"/>
              <w:rPr>
                <w:rFonts w:hint="default" w:ascii="Times New Roman" w:eastAsia="Times New Roman"/>
                <w:color w:val="auto"/>
              </w:rPr>
            </w:pPr>
            <w:r>
              <w:rPr>
                <w:rFonts w:cs="宋体"/>
                <w:b/>
                <w:color w:val="auto"/>
                <w:sz w:val="18"/>
                <w:szCs w:val="18"/>
              </w:rPr>
              <w:t>行业名称</w:t>
            </w:r>
          </w:p>
        </w:tc>
        <w:tc>
          <w:tcPr>
            <w:tcW w:w="1369"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160"/>
              <w:ind w:left="318"/>
              <w:rPr>
                <w:rFonts w:hint="default" w:ascii="Times New Roman" w:eastAsia="Times New Roman"/>
                <w:color w:val="auto"/>
              </w:rPr>
            </w:pPr>
            <w:r>
              <w:rPr>
                <w:rFonts w:cs="宋体"/>
                <w:b/>
                <w:color w:val="auto"/>
                <w:sz w:val="18"/>
                <w:szCs w:val="18"/>
              </w:rPr>
              <w:t>指标名称</w:t>
            </w:r>
          </w:p>
        </w:tc>
        <w:tc>
          <w:tcPr>
            <w:tcW w:w="709"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11" w:line="316" w:lineRule="auto"/>
              <w:ind w:left="168" w:right="168"/>
              <w:rPr>
                <w:rFonts w:hint="default" w:ascii="Times New Roman" w:eastAsia="Times New Roman"/>
                <w:color w:val="auto"/>
              </w:rPr>
            </w:pPr>
            <w:r>
              <w:rPr>
                <w:rFonts w:cs="宋体"/>
                <w:b/>
                <w:color w:val="auto"/>
                <w:sz w:val="18"/>
                <w:szCs w:val="18"/>
              </w:rPr>
              <w:t>计量</w:t>
            </w:r>
            <w:r>
              <w:rPr>
                <w:rFonts w:cs="宋体"/>
                <w:b/>
                <w:color w:val="auto"/>
                <w:w w:val="99"/>
                <w:sz w:val="18"/>
                <w:szCs w:val="18"/>
              </w:rPr>
              <w:t xml:space="preserve"> </w:t>
            </w:r>
            <w:r>
              <w:rPr>
                <w:rFonts w:cs="宋体"/>
                <w:b/>
                <w:color w:val="auto"/>
                <w:sz w:val="18"/>
                <w:szCs w:val="18"/>
              </w:rPr>
              <w:t>单位</w:t>
            </w:r>
          </w:p>
        </w:tc>
        <w:tc>
          <w:tcPr>
            <w:tcW w:w="1125"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160"/>
              <w:jc w:val="center"/>
              <w:rPr>
                <w:rFonts w:hint="default" w:ascii="Times New Roman" w:eastAsia="Times New Roman"/>
                <w:color w:val="auto"/>
              </w:rPr>
            </w:pPr>
            <w:r>
              <w:rPr>
                <w:rFonts w:cs="宋体"/>
                <w:b/>
                <w:color w:val="auto"/>
                <w:sz w:val="18"/>
                <w:szCs w:val="18"/>
              </w:rPr>
              <w:t>大型</w:t>
            </w:r>
          </w:p>
        </w:tc>
        <w:tc>
          <w:tcPr>
            <w:tcW w:w="1701"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160"/>
              <w:jc w:val="center"/>
              <w:rPr>
                <w:rFonts w:hint="default" w:ascii="Times New Roman" w:eastAsia="Times New Roman"/>
                <w:color w:val="auto"/>
              </w:rPr>
            </w:pPr>
            <w:r>
              <w:rPr>
                <w:rFonts w:cs="宋体"/>
                <w:b/>
                <w:color w:val="auto"/>
                <w:sz w:val="18"/>
                <w:szCs w:val="18"/>
              </w:rPr>
              <w:t>中型</w:t>
            </w:r>
          </w:p>
        </w:tc>
        <w:tc>
          <w:tcPr>
            <w:tcW w:w="1426"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160"/>
              <w:ind w:right="1"/>
              <w:jc w:val="center"/>
              <w:rPr>
                <w:rFonts w:hint="default" w:ascii="Times New Roman" w:eastAsia="Times New Roman"/>
                <w:color w:val="auto"/>
              </w:rPr>
            </w:pPr>
            <w:r>
              <w:rPr>
                <w:rFonts w:cs="宋体"/>
                <w:b/>
                <w:color w:val="auto"/>
                <w:sz w:val="18"/>
                <w:szCs w:val="18"/>
              </w:rPr>
              <w:t>小型</w:t>
            </w:r>
          </w:p>
        </w:tc>
        <w:tc>
          <w:tcPr>
            <w:tcW w:w="992"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160"/>
              <w:ind w:left="310"/>
              <w:rPr>
                <w:rFonts w:hint="default" w:ascii="Times New Roman" w:eastAsia="Times New Roman"/>
                <w:color w:val="auto"/>
              </w:rPr>
            </w:pPr>
            <w:r>
              <w:rPr>
                <w:rFonts w:cs="宋体"/>
                <w:b/>
                <w:color w:val="auto"/>
                <w:sz w:val="18"/>
                <w:szCs w:val="18"/>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1782"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56"/>
              <w:ind w:left="108"/>
              <w:rPr>
                <w:rFonts w:hint="default" w:ascii="Times New Roman" w:eastAsia="Times New Roman"/>
                <w:color w:val="auto"/>
              </w:rPr>
            </w:pPr>
            <w:r>
              <w:rPr>
                <w:rFonts w:cs="宋体"/>
                <w:color w:val="auto"/>
                <w:sz w:val="18"/>
                <w:szCs w:val="18"/>
              </w:rPr>
              <w:t>农、林、牧、渔业</w:t>
            </w:r>
          </w:p>
        </w:tc>
        <w:tc>
          <w:tcPr>
            <w:tcW w:w="1369"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184"/>
              <w:rPr>
                <w:rFonts w:hint="default" w:ascii="Times New Roman" w:eastAsia="Times New Roman"/>
                <w:color w:val="auto"/>
              </w:rPr>
            </w:pPr>
            <w:r>
              <w:rPr>
                <w:rFonts w:cs="宋体"/>
                <w:color w:val="auto"/>
                <w:sz w:val="18"/>
                <w:szCs w:val="18"/>
              </w:rPr>
              <w:t>营业收入(Y)</w:t>
            </w:r>
          </w:p>
        </w:tc>
        <w:tc>
          <w:tcPr>
            <w:tcW w:w="709"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168"/>
              <w:rPr>
                <w:rFonts w:hint="default" w:ascii="Times New Roman" w:eastAsia="Times New Roman"/>
                <w:color w:val="auto"/>
              </w:rPr>
            </w:pPr>
            <w:r>
              <w:rPr>
                <w:rFonts w:cs="宋体"/>
                <w:color w:val="auto"/>
                <w:sz w:val="18"/>
                <w:szCs w:val="18"/>
              </w:rPr>
              <w:t>万元</w:t>
            </w:r>
          </w:p>
        </w:tc>
        <w:tc>
          <w:tcPr>
            <w:tcW w:w="1125"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196"/>
              <w:rPr>
                <w:rFonts w:hint="default" w:ascii="Times New Roman" w:eastAsia="Times New Roman"/>
                <w:color w:val="auto"/>
              </w:rPr>
            </w:pPr>
            <w:r>
              <w:rPr>
                <w:rFonts w:cs="宋体"/>
                <w:color w:val="auto"/>
                <w:sz w:val="18"/>
                <w:szCs w:val="18"/>
              </w:rPr>
              <w:t>Y≥20000</w:t>
            </w:r>
          </w:p>
        </w:tc>
        <w:tc>
          <w:tcPr>
            <w:tcW w:w="1701"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305"/>
              <w:rPr>
                <w:rFonts w:hint="default" w:ascii="Times New Roman" w:eastAsia="Times New Roman"/>
                <w:color w:val="auto"/>
              </w:rPr>
            </w:pPr>
            <w:r>
              <w:rPr>
                <w:rFonts w:cs="宋体"/>
                <w:color w:val="auto"/>
                <w:sz w:val="18"/>
                <w:szCs w:val="18"/>
              </w:rPr>
              <w:t>500≤Y＜20000</w:t>
            </w:r>
          </w:p>
        </w:tc>
        <w:tc>
          <w:tcPr>
            <w:tcW w:w="1426"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303"/>
              <w:rPr>
                <w:rFonts w:hint="default" w:ascii="Times New Roman" w:eastAsia="Times New Roman"/>
                <w:color w:val="auto"/>
              </w:rPr>
            </w:pPr>
            <w:r>
              <w:rPr>
                <w:rFonts w:cs="宋体"/>
                <w:color w:val="auto"/>
                <w:sz w:val="18"/>
                <w:szCs w:val="18"/>
              </w:rPr>
              <w:t>50≤Y＜500</w:t>
            </w:r>
          </w:p>
        </w:tc>
        <w:tc>
          <w:tcPr>
            <w:tcW w:w="992"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267"/>
              <w:rPr>
                <w:rFonts w:hint="default" w:ascii="Times New Roman" w:eastAsia="Times New Roman"/>
                <w:color w:val="auto"/>
              </w:rPr>
            </w:pPr>
            <w:r>
              <w:rPr>
                <w:rFonts w:cs="宋体"/>
                <w:color w:val="auto"/>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782"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6"/>
              <w:rPr>
                <w:rFonts w:hint="default" w:cs="宋体"/>
                <w:color w:val="auto"/>
                <w:sz w:val="19"/>
                <w:szCs w:val="19"/>
              </w:rPr>
            </w:pPr>
          </w:p>
          <w:p>
            <w:pPr>
              <w:pStyle w:val="21"/>
              <w:kinsoku w:val="0"/>
              <w:overflowPunct w:val="0"/>
              <w:ind w:left="108"/>
              <w:rPr>
                <w:rFonts w:hint="default" w:ascii="Times New Roman" w:eastAsia="Times New Roman"/>
                <w:color w:val="auto"/>
              </w:rPr>
            </w:pPr>
            <w:r>
              <w:rPr>
                <w:rFonts w:cs="宋体"/>
                <w:color w:val="auto"/>
                <w:sz w:val="18"/>
                <w:szCs w:val="18"/>
              </w:rPr>
              <w:t>工业</w:t>
            </w:r>
            <w:r>
              <w:rPr>
                <w:rFonts w:cs="宋体"/>
                <w:color w:val="auto"/>
                <w:spacing w:val="-2"/>
                <w:sz w:val="18"/>
                <w:szCs w:val="18"/>
              </w:rPr>
              <w:t xml:space="preserve"> </w:t>
            </w:r>
            <w:r>
              <w:rPr>
                <w:rFonts w:cs="宋体"/>
                <w:color w:val="auto"/>
                <w:sz w:val="18"/>
                <w:szCs w:val="18"/>
              </w:rPr>
              <w:t>*</w:t>
            </w:r>
          </w:p>
        </w:tc>
        <w:tc>
          <w:tcPr>
            <w:tcW w:w="1369"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8"/>
              <w:ind w:left="184"/>
              <w:rPr>
                <w:rFonts w:hint="default" w:cs="宋体"/>
                <w:color w:val="auto"/>
                <w:sz w:val="18"/>
                <w:szCs w:val="18"/>
              </w:rPr>
            </w:pPr>
            <w:r>
              <w:rPr>
                <w:rFonts w:cs="宋体"/>
                <w:color w:val="auto"/>
                <w:sz w:val="18"/>
                <w:szCs w:val="18"/>
              </w:rPr>
              <w:t>从业人员(X)</w:t>
            </w:r>
          </w:p>
          <w:p>
            <w:pPr>
              <w:pStyle w:val="21"/>
              <w:kinsoku w:val="0"/>
              <w:overflowPunct w:val="0"/>
              <w:spacing w:before="13"/>
              <w:rPr>
                <w:rFonts w:hint="default" w:cs="宋体"/>
                <w:color w:val="auto"/>
                <w:sz w:val="12"/>
                <w:szCs w:val="12"/>
              </w:rPr>
            </w:pPr>
          </w:p>
          <w:p>
            <w:pPr>
              <w:pStyle w:val="21"/>
              <w:kinsoku w:val="0"/>
              <w:overflowPunct w:val="0"/>
              <w:ind w:left="184"/>
              <w:rPr>
                <w:rFonts w:hint="default" w:ascii="Times New Roman" w:eastAsia="Times New Roman"/>
                <w:color w:val="auto"/>
              </w:rPr>
            </w:pPr>
            <w:r>
              <w:rPr>
                <w:rFonts w:cs="宋体"/>
                <w:color w:val="auto"/>
                <w:sz w:val="18"/>
                <w:szCs w:val="18"/>
              </w:rPr>
              <w:t>营业收入(Y)</w:t>
            </w:r>
          </w:p>
        </w:tc>
        <w:tc>
          <w:tcPr>
            <w:tcW w:w="709"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8"/>
              <w:ind w:left="168" w:firstLine="91"/>
              <w:rPr>
                <w:rFonts w:hint="default" w:cs="宋体"/>
                <w:color w:val="auto"/>
                <w:sz w:val="18"/>
                <w:szCs w:val="18"/>
              </w:rPr>
            </w:pPr>
            <w:r>
              <w:rPr>
                <w:rFonts w:cs="宋体"/>
                <w:color w:val="auto"/>
                <w:sz w:val="18"/>
                <w:szCs w:val="18"/>
              </w:rPr>
              <w:t>人</w:t>
            </w:r>
          </w:p>
          <w:p>
            <w:pPr>
              <w:pStyle w:val="21"/>
              <w:kinsoku w:val="0"/>
              <w:overflowPunct w:val="0"/>
              <w:spacing w:before="160"/>
              <w:ind w:left="168"/>
              <w:rPr>
                <w:rFonts w:hint="default" w:ascii="Times New Roman" w:eastAsia="Times New Roman"/>
                <w:color w:val="auto"/>
              </w:rPr>
            </w:pPr>
            <w:r>
              <w:rPr>
                <w:rFonts w:cs="宋体"/>
                <w:color w:val="auto"/>
                <w:sz w:val="18"/>
                <w:szCs w:val="18"/>
              </w:rPr>
              <w:t>万元</w:t>
            </w:r>
          </w:p>
        </w:tc>
        <w:tc>
          <w:tcPr>
            <w:tcW w:w="1125"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8"/>
              <w:ind w:left="196" w:firstLine="45"/>
              <w:rPr>
                <w:rFonts w:hint="default" w:cs="宋体"/>
                <w:color w:val="auto"/>
                <w:sz w:val="18"/>
                <w:szCs w:val="18"/>
              </w:rPr>
            </w:pPr>
            <w:r>
              <w:rPr>
                <w:rFonts w:cs="宋体"/>
                <w:color w:val="auto"/>
                <w:sz w:val="18"/>
                <w:szCs w:val="18"/>
              </w:rPr>
              <w:t>X≥1000</w:t>
            </w:r>
          </w:p>
          <w:p>
            <w:pPr>
              <w:pStyle w:val="21"/>
              <w:kinsoku w:val="0"/>
              <w:overflowPunct w:val="0"/>
              <w:spacing w:before="160"/>
              <w:ind w:left="196"/>
              <w:rPr>
                <w:rFonts w:hint="default" w:ascii="Times New Roman" w:eastAsia="Times New Roman"/>
                <w:color w:val="auto"/>
              </w:rPr>
            </w:pPr>
            <w:r>
              <w:rPr>
                <w:rFonts w:cs="宋体"/>
                <w:color w:val="auto"/>
                <w:sz w:val="18"/>
                <w:szCs w:val="18"/>
              </w:rPr>
              <w:t>Y≥40000</w:t>
            </w:r>
          </w:p>
        </w:tc>
        <w:tc>
          <w:tcPr>
            <w:tcW w:w="1701"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8"/>
              <w:ind w:left="305"/>
              <w:rPr>
                <w:rFonts w:hint="default" w:cs="宋体"/>
                <w:color w:val="auto"/>
                <w:sz w:val="18"/>
                <w:szCs w:val="18"/>
              </w:rPr>
            </w:pPr>
            <w:r>
              <w:rPr>
                <w:rFonts w:cs="宋体"/>
                <w:color w:val="auto"/>
                <w:sz w:val="18"/>
                <w:szCs w:val="18"/>
              </w:rPr>
              <w:t>300≤X＜1000</w:t>
            </w:r>
          </w:p>
          <w:p>
            <w:pPr>
              <w:pStyle w:val="21"/>
              <w:kinsoku w:val="0"/>
              <w:overflowPunct w:val="0"/>
              <w:spacing w:before="160"/>
              <w:ind w:left="213"/>
              <w:rPr>
                <w:rFonts w:hint="default" w:ascii="Times New Roman" w:eastAsia="Times New Roman"/>
                <w:color w:val="auto"/>
              </w:rPr>
            </w:pPr>
            <w:r>
              <w:rPr>
                <w:rFonts w:cs="宋体"/>
                <w:color w:val="auto"/>
                <w:sz w:val="18"/>
                <w:szCs w:val="18"/>
              </w:rPr>
              <w:t>2000≤Y＜40000</w:t>
            </w:r>
          </w:p>
        </w:tc>
        <w:tc>
          <w:tcPr>
            <w:tcW w:w="1426"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8"/>
              <w:ind w:left="303"/>
              <w:rPr>
                <w:rFonts w:hint="default" w:cs="宋体"/>
                <w:color w:val="auto"/>
                <w:sz w:val="18"/>
                <w:szCs w:val="18"/>
              </w:rPr>
            </w:pPr>
            <w:r>
              <w:rPr>
                <w:rFonts w:cs="宋体"/>
                <w:color w:val="auto"/>
                <w:sz w:val="18"/>
                <w:szCs w:val="18"/>
              </w:rPr>
              <w:t>20≤X＜300</w:t>
            </w:r>
          </w:p>
          <w:p>
            <w:pPr>
              <w:pStyle w:val="21"/>
              <w:kinsoku w:val="0"/>
              <w:overflowPunct w:val="0"/>
              <w:spacing w:before="160"/>
              <w:ind w:left="212"/>
              <w:rPr>
                <w:rFonts w:hint="default" w:ascii="Times New Roman" w:eastAsia="Times New Roman"/>
                <w:color w:val="auto"/>
              </w:rPr>
            </w:pPr>
            <w:r>
              <w:rPr>
                <w:rFonts w:cs="宋体"/>
                <w:color w:val="auto"/>
                <w:sz w:val="18"/>
                <w:szCs w:val="18"/>
              </w:rPr>
              <w:t>300≤Y＜2000</w:t>
            </w:r>
          </w:p>
        </w:tc>
        <w:tc>
          <w:tcPr>
            <w:tcW w:w="992"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8"/>
              <w:ind w:left="221" w:firstLine="45"/>
              <w:rPr>
                <w:rFonts w:hint="default" w:cs="宋体"/>
                <w:color w:val="auto"/>
                <w:sz w:val="18"/>
                <w:szCs w:val="18"/>
              </w:rPr>
            </w:pPr>
            <w:r>
              <w:rPr>
                <w:rFonts w:cs="宋体"/>
                <w:color w:val="auto"/>
                <w:sz w:val="18"/>
                <w:szCs w:val="18"/>
              </w:rPr>
              <w:t>X＜20</w:t>
            </w:r>
          </w:p>
          <w:p>
            <w:pPr>
              <w:pStyle w:val="21"/>
              <w:kinsoku w:val="0"/>
              <w:overflowPunct w:val="0"/>
              <w:spacing w:before="160"/>
              <w:ind w:left="221"/>
              <w:rPr>
                <w:rFonts w:hint="default" w:ascii="Times New Roman" w:eastAsia="Times New Roman"/>
                <w:color w:val="auto"/>
              </w:rPr>
            </w:pPr>
            <w:r>
              <w:rPr>
                <w:rFonts w:cs="宋体"/>
                <w:color w:val="auto"/>
                <w:sz w:val="18"/>
                <w:szCs w:val="18"/>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782"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7"/>
              <w:rPr>
                <w:rFonts w:hint="default" w:cs="宋体"/>
                <w:color w:val="auto"/>
                <w:sz w:val="19"/>
                <w:szCs w:val="19"/>
              </w:rPr>
            </w:pPr>
          </w:p>
          <w:p>
            <w:pPr>
              <w:pStyle w:val="21"/>
              <w:kinsoku w:val="0"/>
              <w:overflowPunct w:val="0"/>
              <w:ind w:left="108"/>
              <w:rPr>
                <w:rFonts w:hint="default" w:ascii="Times New Roman" w:eastAsia="Times New Roman"/>
                <w:color w:val="auto"/>
              </w:rPr>
            </w:pPr>
            <w:r>
              <w:rPr>
                <w:rFonts w:cs="宋体"/>
                <w:color w:val="auto"/>
                <w:sz w:val="18"/>
                <w:szCs w:val="18"/>
              </w:rPr>
              <w:t>建筑业</w:t>
            </w:r>
          </w:p>
        </w:tc>
        <w:tc>
          <w:tcPr>
            <w:tcW w:w="1369"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9"/>
              <w:ind w:left="184"/>
              <w:rPr>
                <w:rFonts w:hint="default" w:cs="宋体"/>
                <w:color w:val="auto"/>
                <w:sz w:val="18"/>
                <w:szCs w:val="18"/>
              </w:rPr>
            </w:pPr>
            <w:r>
              <w:rPr>
                <w:rFonts w:cs="宋体"/>
                <w:color w:val="auto"/>
                <w:sz w:val="18"/>
                <w:szCs w:val="18"/>
              </w:rPr>
              <w:t>营业收入(Y)</w:t>
            </w:r>
          </w:p>
          <w:p>
            <w:pPr>
              <w:pStyle w:val="21"/>
              <w:kinsoku w:val="0"/>
              <w:overflowPunct w:val="0"/>
              <w:spacing w:before="11"/>
              <w:rPr>
                <w:rFonts w:hint="default" w:cs="宋体"/>
                <w:color w:val="auto"/>
                <w:sz w:val="12"/>
                <w:szCs w:val="12"/>
              </w:rPr>
            </w:pPr>
          </w:p>
          <w:p>
            <w:pPr>
              <w:pStyle w:val="21"/>
              <w:kinsoku w:val="0"/>
              <w:overflowPunct w:val="0"/>
              <w:ind w:left="184"/>
              <w:rPr>
                <w:rFonts w:hint="default" w:ascii="Times New Roman" w:eastAsia="Times New Roman"/>
                <w:color w:val="auto"/>
              </w:rPr>
            </w:pPr>
            <w:r>
              <w:rPr>
                <w:rFonts w:cs="宋体"/>
                <w:color w:val="auto"/>
                <w:sz w:val="18"/>
                <w:szCs w:val="18"/>
              </w:rPr>
              <w:t>资产总额(Z)</w:t>
            </w:r>
          </w:p>
        </w:tc>
        <w:tc>
          <w:tcPr>
            <w:tcW w:w="709"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9"/>
              <w:ind w:left="168"/>
              <w:rPr>
                <w:rFonts w:hint="default" w:cs="宋体"/>
                <w:color w:val="auto"/>
                <w:sz w:val="18"/>
                <w:szCs w:val="18"/>
              </w:rPr>
            </w:pPr>
            <w:r>
              <w:rPr>
                <w:rFonts w:cs="宋体"/>
                <w:color w:val="auto"/>
                <w:sz w:val="18"/>
                <w:szCs w:val="18"/>
              </w:rPr>
              <w:t>万元</w:t>
            </w:r>
          </w:p>
          <w:p>
            <w:pPr>
              <w:pStyle w:val="21"/>
              <w:kinsoku w:val="0"/>
              <w:overflowPunct w:val="0"/>
              <w:spacing w:before="160"/>
              <w:ind w:left="168"/>
              <w:rPr>
                <w:rFonts w:hint="default" w:ascii="Times New Roman" w:eastAsia="Times New Roman"/>
                <w:color w:val="auto"/>
              </w:rPr>
            </w:pPr>
            <w:r>
              <w:rPr>
                <w:rFonts w:cs="宋体"/>
                <w:color w:val="auto"/>
                <w:sz w:val="18"/>
                <w:szCs w:val="18"/>
              </w:rPr>
              <w:t>万元</w:t>
            </w:r>
          </w:p>
        </w:tc>
        <w:tc>
          <w:tcPr>
            <w:tcW w:w="1125"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9"/>
              <w:ind w:left="196"/>
              <w:rPr>
                <w:rFonts w:hint="default" w:cs="宋体"/>
                <w:color w:val="auto"/>
                <w:sz w:val="18"/>
                <w:szCs w:val="18"/>
              </w:rPr>
            </w:pPr>
            <w:r>
              <w:rPr>
                <w:rFonts w:cs="宋体"/>
                <w:color w:val="auto"/>
                <w:sz w:val="18"/>
                <w:szCs w:val="18"/>
              </w:rPr>
              <w:t>Y≥80000</w:t>
            </w:r>
          </w:p>
          <w:p>
            <w:pPr>
              <w:pStyle w:val="21"/>
              <w:kinsoku w:val="0"/>
              <w:overflowPunct w:val="0"/>
              <w:spacing w:before="160"/>
              <w:ind w:left="196"/>
              <w:rPr>
                <w:rFonts w:hint="default" w:ascii="Times New Roman" w:eastAsia="Times New Roman"/>
                <w:color w:val="auto"/>
              </w:rPr>
            </w:pPr>
            <w:r>
              <w:rPr>
                <w:rFonts w:cs="宋体"/>
                <w:color w:val="auto"/>
                <w:sz w:val="18"/>
                <w:szCs w:val="18"/>
              </w:rPr>
              <w:t>Z≥80000</w:t>
            </w:r>
          </w:p>
        </w:tc>
        <w:tc>
          <w:tcPr>
            <w:tcW w:w="1701"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9"/>
              <w:ind w:left="213"/>
              <w:rPr>
                <w:rFonts w:hint="default" w:cs="宋体"/>
                <w:color w:val="auto"/>
                <w:sz w:val="18"/>
                <w:szCs w:val="18"/>
              </w:rPr>
            </w:pPr>
            <w:r>
              <w:rPr>
                <w:rFonts w:cs="宋体"/>
                <w:color w:val="auto"/>
                <w:sz w:val="18"/>
                <w:szCs w:val="18"/>
              </w:rPr>
              <w:t>6000≤Y＜80000</w:t>
            </w:r>
          </w:p>
          <w:p>
            <w:pPr>
              <w:pStyle w:val="21"/>
              <w:kinsoku w:val="0"/>
              <w:overflowPunct w:val="0"/>
              <w:spacing w:before="160"/>
              <w:ind w:left="213"/>
              <w:rPr>
                <w:rFonts w:hint="default" w:ascii="Times New Roman" w:eastAsia="Times New Roman"/>
                <w:color w:val="auto"/>
              </w:rPr>
            </w:pPr>
            <w:r>
              <w:rPr>
                <w:rFonts w:cs="宋体"/>
                <w:color w:val="auto"/>
                <w:sz w:val="18"/>
                <w:szCs w:val="18"/>
              </w:rPr>
              <w:t>5000≤Z＜80000</w:t>
            </w:r>
          </w:p>
        </w:tc>
        <w:tc>
          <w:tcPr>
            <w:tcW w:w="1426"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9"/>
              <w:ind w:left="212"/>
              <w:rPr>
                <w:rFonts w:hint="default" w:cs="宋体"/>
                <w:color w:val="auto"/>
                <w:sz w:val="18"/>
                <w:szCs w:val="18"/>
              </w:rPr>
            </w:pPr>
            <w:r>
              <w:rPr>
                <w:rFonts w:cs="宋体"/>
                <w:color w:val="auto"/>
                <w:sz w:val="18"/>
                <w:szCs w:val="18"/>
              </w:rPr>
              <w:t>300≤Y＜6000</w:t>
            </w:r>
          </w:p>
          <w:p>
            <w:pPr>
              <w:pStyle w:val="21"/>
              <w:kinsoku w:val="0"/>
              <w:overflowPunct w:val="0"/>
              <w:spacing w:before="160"/>
              <w:ind w:left="212"/>
              <w:rPr>
                <w:rFonts w:hint="default" w:ascii="Times New Roman" w:eastAsia="Times New Roman"/>
                <w:color w:val="auto"/>
              </w:rPr>
            </w:pPr>
            <w:r>
              <w:rPr>
                <w:rFonts w:cs="宋体"/>
                <w:color w:val="auto"/>
                <w:sz w:val="18"/>
                <w:szCs w:val="18"/>
              </w:rPr>
              <w:t>300≤Z＜5000</w:t>
            </w:r>
          </w:p>
        </w:tc>
        <w:tc>
          <w:tcPr>
            <w:tcW w:w="992"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9"/>
              <w:ind w:left="221"/>
              <w:rPr>
                <w:rFonts w:hint="default" w:cs="宋体"/>
                <w:color w:val="auto"/>
                <w:sz w:val="18"/>
                <w:szCs w:val="18"/>
              </w:rPr>
            </w:pPr>
            <w:r>
              <w:rPr>
                <w:rFonts w:cs="宋体"/>
                <w:color w:val="auto"/>
                <w:sz w:val="18"/>
                <w:szCs w:val="18"/>
              </w:rPr>
              <w:t>Y＜300</w:t>
            </w:r>
          </w:p>
          <w:p>
            <w:pPr>
              <w:pStyle w:val="21"/>
              <w:kinsoku w:val="0"/>
              <w:overflowPunct w:val="0"/>
              <w:spacing w:before="160"/>
              <w:ind w:left="221"/>
              <w:rPr>
                <w:rFonts w:hint="default" w:ascii="Times New Roman" w:eastAsia="Times New Roman"/>
                <w:color w:val="auto"/>
              </w:rPr>
            </w:pPr>
            <w:r>
              <w:rPr>
                <w:rFonts w:cs="宋体"/>
                <w:color w:val="auto"/>
                <w:sz w:val="18"/>
                <w:szCs w:val="18"/>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782"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7"/>
              <w:rPr>
                <w:rFonts w:hint="default" w:cs="宋体"/>
                <w:color w:val="auto"/>
                <w:sz w:val="19"/>
                <w:szCs w:val="19"/>
              </w:rPr>
            </w:pPr>
          </w:p>
          <w:p>
            <w:pPr>
              <w:pStyle w:val="21"/>
              <w:kinsoku w:val="0"/>
              <w:overflowPunct w:val="0"/>
              <w:ind w:left="108"/>
              <w:rPr>
                <w:rFonts w:hint="default" w:ascii="Times New Roman" w:eastAsia="Times New Roman"/>
                <w:color w:val="auto"/>
              </w:rPr>
            </w:pPr>
            <w:r>
              <w:rPr>
                <w:rFonts w:cs="宋体"/>
                <w:color w:val="auto"/>
                <w:sz w:val="18"/>
                <w:szCs w:val="18"/>
              </w:rPr>
              <w:t>批发业</w:t>
            </w:r>
          </w:p>
        </w:tc>
        <w:tc>
          <w:tcPr>
            <w:tcW w:w="1369"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184"/>
              <w:rPr>
                <w:rFonts w:hint="default" w:cs="宋体"/>
                <w:color w:val="auto"/>
                <w:sz w:val="18"/>
                <w:szCs w:val="18"/>
              </w:rPr>
            </w:pPr>
            <w:r>
              <w:rPr>
                <w:rFonts w:cs="宋体"/>
                <w:color w:val="auto"/>
                <w:sz w:val="18"/>
                <w:szCs w:val="18"/>
              </w:rPr>
              <w:t>从业人员(X)</w:t>
            </w:r>
          </w:p>
          <w:p>
            <w:pPr>
              <w:pStyle w:val="21"/>
              <w:kinsoku w:val="0"/>
              <w:overflowPunct w:val="0"/>
              <w:spacing w:before="13"/>
              <w:rPr>
                <w:rFonts w:hint="default" w:cs="宋体"/>
                <w:color w:val="auto"/>
                <w:sz w:val="12"/>
                <w:szCs w:val="12"/>
              </w:rPr>
            </w:pPr>
          </w:p>
          <w:p>
            <w:pPr>
              <w:pStyle w:val="21"/>
              <w:kinsoku w:val="0"/>
              <w:overflowPunct w:val="0"/>
              <w:ind w:left="184"/>
              <w:rPr>
                <w:rFonts w:hint="default" w:ascii="Times New Roman" w:eastAsia="Times New Roman"/>
                <w:color w:val="auto"/>
              </w:rPr>
            </w:pPr>
            <w:r>
              <w:rPr>
                <w:rFonts w:cs="宋体"/>
                <w:color w:val="auto"/>
                <w:sz w:val="18"/>
                <w:szCs w:val="18"/>
              </w:rPr>
              <w:t>营业收入(Y)</w:t>
            </w:r>
          </w:p>
        </w:tc>
        <w:tc>
          <w:tcPr>
            <w:tcW w:w="709"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168" w:firstLine="91"/>
              <w:rPr>
                <w:rFonts w:hint="default" w:cs="宋体"/>
                <w:color w:val="auto"/>
                <w:sz w:val="18"/>
                <w:szCs w:val="18"/>
              </w:rPr>
            </w:pPr>
            <w:r>
              <w:rPr>
                <w:rFonts w:cs="宋体"/>
                <w:color w:val="auto"/>
                <w:sz w:val="18"/>
                <w:szCs w:val="18"/>
              </w:rPr>
              <w:t>人</w:t>
            </w:r>
          </w:p>
          <w:p>
            <w:pPr>
              <w:pStyle w:val="21"/>
              <w:kinsoku w:val="0"/>
              <w:overflowPunct w:val="0"/>
              <w:spacing w:before="6"/>
              <w:rPr>
                <w:rFonts w:hint="default" w:cs="宋体"/>
                <w:color w:val="auto"/>
                <w:sz w:val="12"/>
                <w:szCs w:val="12"/>
              </w:rPr>
            </w:pPr>
          </w:p>
          <w:p>
            <w:pPr>
              <w:pStyle w:val="21"/>
              <w:kinsoku w:val="0"/>
              <w:overflowPunct w:val="0"/>
              <w:ind w:left="168"/>
              <w:rPr>
                <w:rFonts w:hint="default" w:ascii="Times New Roman" w:eastAsia="Times New Roman"/>
                <w:color w:val="auto"/>
              </w:rPr>
            </w:pPr>
            <w:r>
              <w:rPr>
                <w:rFonts w:cs="宋体"/>
                <w:color w:val="auto"/>
                <w:sz w:val="18"/>
                <w:szCs w:val="18"/>
              </w:rPr>
              <w:t>万元</w:t>
            </w:r>
          </w:p>
        </w:tc>
        <w:tc>
          <w:tcPr>
            <w:tcW w:w="1125"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196" w:firstLine="91"/>
              <w:rPr>
                <w:rFonts w:hint="default" w:cs="宋体"/>
                <w:color w:val="auto"/>
                <w:sz w:val="18"/>
                <w:szCs w:val="18"/>
              </w:rPr>
            </w:pPr>
            <w:r>
              <w:rPr>
                <w:rFonts w:cs="宋体"/>
                <w:color w:val="auto"/>
                <w:sz w:val="18"/>
                <w:szCs w:val="18"/>
              </w:rPr>
              <w:t>X≥200</w:t>
            </w:r>
          </w:p>
          <w:p>
            <w:pPr>
              <w:pStyle w:val="21"/>
              <w:kinsoku w:val="0"/>
              <w:overflowPunct w:val="0"/>
              <w:spacing w:before="6"/>
              <w:rPr>
                <w:rFonts w:hint="default" w:cs="宋体"/>
                <w:color w:val="auto"/>
                <w:sz w:val="12"/>
                <w:szCs w:val="12"/>
              </w:rPr>
            </w:pPr>
          </w:p>
          <w:p>
            <w:pPr>
              <w:pStyle w:val="21"/>
              <w:kinsoku w:val="0"/>
              <w:overflowPunct w:val="0"/>
              <w:ind w:left="196"/>
              <w:rPr>
                <w:rFonts w:hint="default" w:ascii="Times New Roman" w:eastAsia="Times New Roman"/>
                <w:color w:val="auto"/>
              </w:rPr>
            </w:pPr>
            <w:r>
              <w:rPr>
                <w:rFonts w:cs="宋体"/>
                <w:color w:val="auto"/>
                <w:sz w:val="18"/>
                <w:szCs w:val="18"/>
              </w:rPr>
              <w:t>Y≥40000</w:t>
            </w:r>
          </w:p>
        </w:tc>
        <w:tc>
          <w:tcPr>
            <w:tcW w:w="1701"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jc w:val="center"/>
              <w:rPr>
                <w:rFonts w:hint="default" w:cs="宋体"/>
                <w:color w:val="auto"/>
                <w:sz w:val="18"/>
                <w:szCs w:val="18"/>
              </w:rPr>
            </w:pPr>
            <w:r>
              <w:rPr>
                <w:rFonts w:cs="宋体"/>
                <w:color w:val="auto"/>
                <w:sz w:val="18"/>
                <w:szCs w:val="18"/>
              </w:rPr>
              <w:t>20≤X＜200</w:t>
            </w:r>
          </w:p>
          <w:p>
            <w:pPr>
              <w:pStyle w:val="21"/>
              <w:kinsoku w:val="0"/>
              <w:overflowPunct w:val="0"/>
              <w:spacing w:before="6"/>
              <w:rPr>
                <w:rFonts w:hint="default" w:cs="宋体"/>
                <w:color w:val="auto"/>
                <w:sz w:val="12"/>
                <w:szCs w:val="12"/>
              </w:rPr>
            </w:pPr>
          </w:p>
          <w:p>
            <w:pPr>
              <w:pStyle w:val="21"/>
              <w:kinsoku w:val="0"/>
              <w:overflowPunct w:val="0"/>
              <w:jc w:val="center"/>
              <w:rPr>
                <w:rFonts w:hint="default" w:ascii="Times New Roman" w:eastAsia="Times New Roman"/>
                <w:color w:val="auto"/>
              </w:rPr>
            </w:pPr>
            <w:r>
              <w:rPr>
                <w:rFonts w:cs="宋体"/>
                <w:color w:val="auto"/>
                <w:sz w:val="18"/>
                <w:szCs w:val="18"/>
              </w:rPr>
              <w:t>5000≤Y＜40000</w:t>
            </w:r>
          </w:p>
        </w:tc>
        <w:tc>
          <w:tcPr>
            <w:tcW w:w="1426"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89"/>
              <w:jc w:val="center"/>
              <w:rPr>
                <w:rFonts w:hint="default" w:cs="宋体"/>
                <w:color w:val="auto"/>
                <w:sz w:val="18"/>
                <w:szCs w:val="18"/>
              </w:rPr>
            </w:pPr>
            <w:r>
              <w:rPr>
                <w:rFonts w:cs="宋体"/>
                <w:color w:val="auto"/>
                <w:sz w:val="18"/>
                <w:szCs w:val="18"/>
              </w:rPr>
              <w:t>5≤X＜20</w:t>
            </w:r>
          </w:p>
          <w:p>
            <w:pPr>
              <w:pStyle w:val="21"/>
              <w:kinsoku w:val="0"/>
              <w:overflowPunct w:val="0"/>
              <w:spacing w:before="6"/>
              <w:rPr>
                <w:rFonts w:hint="default" w:cs="宋体"/>
                <w:color w:val="auto"/>
                <w:sz w:val="12"/>
                <w:szCs w:val="12"/>
              </w:rPr>
            </w:pPr>
          </w:p>
          <w:p>
            <w:pPr>
              <w:pStyle w:val="21"/>
              <w:kinsoku w:val="0"/>
              <w:overflowPunct w:val="0"/>
              <w:jc w:val="center"/>
              <w:rPr>
                <w:rFonts w:hint="default" w:ascii="Times New Roman" w:eastAsia="Times New Roman"/>
                <w:color w:val="auto"/>
              </w:rPr>
            </w:pPr>
            <w:r>
              <w:rPr>
                <w:rFonts w:cs="宋体"/>
                <w:color w:val="auto"/>
                <w:sz w:val="18"/>
                <w:szCs w:val="18"/>
              </w:rPr>
              <w:t>1000≤Y＜5000</w:t>
            </w:r>
          </w:p>
        </w:tc>
        <w:tc>
          <w:tcPr>
            <w:tcW w:w="992"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right="3"/>
              <w:jc w:val="center"/>
              <w:rPr>
                <w:rFonts w:hint="default" w:cs="宋体"/>
                <w:color w:val="auto"/>
                <w:sz w:val="18"/>
                <w:szCs w:val="18"/>
              </w:rPr>
            </w:pPr>
            <w:r>
              <w:rPr>
                <w:rFonts w:cs="宋体"/>
                <w:color w:val="auto"/>
                <w:sz w:val="18"/>
                <w:szCs w:val="18"/>
              </w:rPr>
              <w:t>X＜5</w:t>
            </w:r>
          </w:p>
          <w:p>
            <w:pPr>
              <w:pStyle w:val="21"/>
              <w:kinsoku w:val="0"/>
              <w:overflowPunct w:val="0"/>
              <w:spacing w:before="6"/>
              <w:rPr>
                <w:rFonts w:hint="default" w:cs="宋体"/>
                <w:color w:val="auto"/>
                <w:sz w:val="12"/>
                <w:szCs w:val="12"/>
              </w:rPr>
            </w:pPr>
          </w:p>
          <w:p>
            <w:pPr>
              <w:pStyle w:val="21"/>
              <w:kinsoku w:val="0"/>
              <w:overflowPunct w:val="0"/>
              <w:ind w:right="1"/>
              <w:jc w:val="center"/>
              <w:rPr>
                <w:rFonts w:hint="default" w:ascii="Times New Roman" w:eastAsia="Times New Roman"/>
                <w:color w:val="auto"/>
              </w:rPr>
            </w:pPr>
            <w:r>
              <w:rPr>
                <w:rFonts w:cs="宋体"/>
                <w:color w:val="auto"/>
                <w:sz w:val="18"/>
                <w:szCs w:val="18"/>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782"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8"/>
              <w:rPr>
                <w:rFonts w:hint="default" w:cs="宋体"/>
                <w:color w:val="auto"/>
                <w:sz w:val="19"/>
                <w:szCs w:val="19"/>
              </w:rPr>
            </w:pPr>
          </w:p>
          <w:p>
            <w:pPr>
              <w:pStyle w:val="21"/>
              <w:kinsoku w:val="0"/>
              <w:overflowPunct w:val="0"/>
              <w:ind w:left="108"/>
              <w:rPr>
                <w:rFonts w:hint="default" w:ascii="Times New Roman" w:eastAsia="Times New Roman"/>
                <w:color w:val="auto"/>
              </w:rPr>
            </w:pPr>
            <w:r>
              <w:rPr>
                <w:rFonts w:cs="宋体"/>
                <w:color w:val="auto"/>
                <w:sz w:val="18"/>
                <w:szCs w:val="18"/>
              </w:rPr>
              <w:t>零售业</w:t>
            </w:r>
          </w:p>
        </w:tc>
        <w:tc>
          <w:tcPr>
            <w:tcW w:w="1369"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184"/>
              <w:rPr>
                <w:rFonts w:hint="default" w:cs="宋体"/>
                <w:color w:val="auto"/>
                <w:sz w:val="18"/>
                <w:szCs w:val="18"/>
              </w:rPr>
            </w:pPr>
            <w:r>
              <w:rPr>
                <w:rFonts w:cs="宋体"/>
                <w:color w:val="auto"/>
                <w:sz w:val="18"/>
                <w:szCs w:val="18"/>
              </w:rPr>
              <w:t>从业人员(X)</w:t>
            </w:r>
          </w:p>
          <w:p>
            <w:pPr>
              <w:pStyle w:val="21"/>
              <w:kinsoku w:val="0"/>
              <w:overflowPunct w:val="0"/>
              <w:spacing w:before="13"/>
              <w:rPr>
                <w:rFonts w:hint="default" w:cs="宋体"/>
                <w:color w:val="auto"/>
                <w:sz w:val="12"/>
                <w:szCs w:val="12"/>
              </w:rPr>
            </w:pPr>
          </w:p>
          <w:p>
            <w:pPr>
              <w:pStyle w:val="21"/>
              <w:kinsoku w:val="0"/>
              <w:overflowPunct w:val="0"/>
              <w:ind w:left="184"/>
              <w:rPr>
                <w:rFonts w:hint="default" w:ascii="Times New Roman" w:eastAsia="Times New Roman"/>
                <w:color w:val="auto"/>
              </w:rPr>
            </w:pPr>
            <w:r>
              <w:rPr>
                <w:rFonts w:cs="宋体"/>
                <w:color w:val="auto"/>
                <w:sz w:val="18"/>
                <w:szCs w:val="18"/>
              </w:rPr>
              <w:t>营业收入(Y)</w:t>
            </w:r>
          </w:p>
        </w:tc>
        <w:tc>
          <w:tcPr>
            <w:tcW w:w="709"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168" w:firstLine="91"/>
              <w:rPr>
                <w:rFonts w:hint="default" w:cs="宋体"/>
                <w:color w:val="auto"/>
                <w:sz w:val="18"/>
                <w:szCs w:val="18"/>
              </w:rPr>
            </w:pPr>
            <w:r>
              <w:rPr>
                <w:rFonts w:cs="宋体"/>
                <w:color w:val="auto"/>
                <w:sz w:val="18"/>
                <w:szCs w:val="18"/>
              </w:rPr>
              <w:t>人</w:t>
            </w:r>
          </w:p>
          <w:p>
            <w:pPr>
              <w:pStyle w:val="21"/>
              <w:kinsoku w:val="0"/>
              <w:overflowPunct w:val="0"/>
              <w:spacing w:before="6"/>
              <w:rPr>
                <w:rFonts w:hint="default" w:cs="宋体"/>
                <w:color w:val="auto"/>
                <w:sz w:val="12"/>
                <w:szCs w:val="12"/>
              </w:rPr>
            </w:pPr>
          </w:p>
          <w:p>
            <w:pPr>
              <w:pStyle w:val="21"/>
              <w:kinsoku w:val="0"/>
              <w:overflowPunct w:val="0"/>
              <w:ind w:left="168"/>
              <w:rPr>
                <w:rFonts w:hint="default" w:ascii="Times New Roman" w:eastAsia="Times New Roman"/>
                <w:color w:val="auto"/>
              </w:rPr>
            </w:pPr>
            <w:r>
              <w:rPr>
                <w:rFonts w:cs="宋体"/>
                <w:color w:val="auto"/>
                <w:sz w:val="18"/>
                <w:szCs w:val="18"/>
              </w:rPr>
              <w:t>万元</w:t>
            </w:r>
          </w:p>
        </w:tc>
        <w:tc>
          <w:tcPr>
            <w:tcW w:w="1125"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196" w:firstLine="91"/>
              <w:rPr>
                <w:rFonts w:hint="default" w:cs="宋体"/>
                <w:color w:val="auto"/>
                <w:sz w:val="18"/>
                <w:szCs w:val="18"/>
              </w:rPr>
            </w:pPr>
            <w:r>
              <w:rPr>
                <w:rFonts w:cs="宋体"/>
                <w:color w:val="auto"/>
                <w:sz w:val="18"/>
                <w:szCs w:val="18"/>
              </w:rPr>
              <w:t>X≥300</w:t>
            </w:r>
          </w:p>
          <w:p>
            <w:pPr>
              <w:pStyle w:val="21"/>
              <w:kinsoku w:val="0"/>
              <w:overflowPunct w:val="0"/>
              <w:spacing w:before="6"/>
              <w:rPr>
                <w:rFonts w:hint="default" w:cs="宋体"/>
                <w:color w:val="auto"/>
                <w:sz w:val="12"/>
                <w:szCs w:val="12"/>
              </w:rPr>
            </w:pPr>
          </w:p>
          <w:p>
            <w:pPr>
              <w:pStyle w:val="21"/>
              <w:kinsoku w:val="0"/>
              <w:overflowPunct w:val="0"/>
              <w:ind w:left="196"/>
              <w:rPr>
                <w:rFonts w:hint="default" w:ascii="Times New Roman" w:eastAsia="Times New Roman"/>
                <w:color w:val="auto"/>
              </w:rPr>
            </w:pPr>
            <w:r>
              <w:rPr>
                <w:rFonts w:cs="宋体"/>
                <w:color w:val="auto"/>
                <w:sz w:val="18"/>
                <w:szCs w:val="18"/>
              </w:rPr>
              <w:t>Y≥20000</w:t>
            </w:r>
          </w:p>
        </w:tc>
        <w:tc>
          <w:tcPr>
            <w:tcW w:w="1701"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393"/>
              <w:rPr>
                <w:rFonts w:hint="default" w:cs="宋体"/>
                <w:color w:val="auto"/>
                <w:sz w:val="18"/>
                <w:szCs w:val="18"/>
              </w:rPr>
            </w:pPr>
            <w:r>
              <w:rPr>
                <w:rFonts w:cs="宋体"/>
                <w:color w:val="auto"/>
                <w:sz w:val="18"/>
                <w:szCs w:val="18"/>
              </w:rPr>
              <w:t>50≤X＜300</w:t>
            </w:r>
          </w:p>
          <w:p>
            <w:pPr>
              <w:pStyle w:val="21"/>
              <w:kinsoku w:val="0"/>
              <w:overflowPunct w:val="0"/>
              <w:spacing w:before="6"/>
              <w:rPr>
                <w:rFonts w:hint="default" w:cs="宋体"/>
                <w:color w:val="auto"/>
                <w:sz w:val="12"/>
                <w:szCs w:val="12"/>
              </w:rPr>
            </w:pPr>
          </w:p>
          <w:p>
            <w:pPr>
              <w:pStyle w:val="21"/>
              <w:kinsoku w:val="0"/>
              <w:overflowPunct w:val="0"/>
              <w:ind w:left="305"/>
              <w:rPr>
                <w:rFonts w:hint="default" w:ascii="Times New Roman" w:eastAsia="Times New Roman"/>
                <w:color w:val="auto"/>
              </w:rPr>
            </w:pPr>
            <w:r>
              <w:rPr>
                <w:rFonts w:cs="宋体"/>
                <w:color w:val="auto"/>
                <w:sz w:val="18"/>
                <w:szCs w:val="18"/>
              </w:rPr>
              <w:t>500≤Y＜20000</w:t>
            </w:r>
          </w:p>
        </w:tc>
        <w:tc>
          <w:tcPr>
            <w:tcW w:w="1426"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300"/>
              <w:rPr>
                <w:rFonts w:hint="default" w:cs="宋体"/>
                <w:color w:val="auto"/>
                <w:sz w:val="18"/>
                <w:szCs w:val="18"/>
              </w:rPr>
            </w:pPr>
            <w:r>
              <w:rPr>
                <w:rFonts w:cs="宋体"/>
                <w:color w:val="auto"/>
                <w:sz w:val="18"/>
                <w:szCs w:val="18"/>
              </w:rPr>
              <w:t>10≤X＜50</w:t>
            </w:r>
          </w:p>
          <w:p>
            <w:pPr>
              <w:pStyle w:val="21"/>
              <w:kinsoku w:val="0"/>
              <w:overflowPunct w:val="0"/>
              <w:spacing w:before="6"/>
              <w:rPr>
                <w:rFonts w:hint="default" w:cs="宋体"/>
                <w:color w:val="auto"/>
                <w:sz w:val="12"/>
                <w:szCs w:val="12"/>
              </w:rPr>
            </w:pPr>
          </w:p>
          <w:p>
            <w:pPr>
              <w:pStyle w:val="21"/>
              <w:kinsoku w:val="0"/>
              <w:overflowPunct w:val="0"/>
              <w:ind w:left="212"/>
              <w:rPr>
                <w:rFonts w:hint="default" w:ascii="Times New Roman" w:eastAsia="Times New Roman"/>
                <w:color w:val="auto"/>
              </w:rPr>
            </w:pPr>
            <w:r>
              <w:rPr>
                <w:rFonts w:cs="宋体"/>
                <w:color w:val="auto"/>
                <w:sz w:val="18"/>
                <w:szCs w:val="18"/>
              </w:rPr>
              <w:t>100≤Y＜500</w:t>
            </w:r>
          </w:p>
        </w:tc>
        <w:tc>
          <w:tcPr>
            <w:tcW w:w="992"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221" w:firstLine="45"/>
              <w:rPr>
                <w:rFonts w:hint="default" w:cs="宋体"/>
                <w:color w:val="auto"/>
                <w:sz w:val="18"/>
                <w:szCs w:val="18"/>
              </w:rPr>
            </w:pPr>
            <w:r>
              <w:rPr>
                <w:rFonts w:cs="宋体"/>
                <w:color w:val="auto"/>
                <w:sz w:val="18"/>
                <w:szCs w:val="18"/>
              </w:rPr>
              <w:t>X＜10</w:t>
            </w:r>
          </w:p>
          <w:p>
            <w:pPr>
              <w:pStyle w:val="21"/>
              <w:kinsoku w:val="0"/>
              <w:overflowPunct w:val="0"/>
              <w:spacing w:before="6"/>
              <w:rPr>
                <w:rFonts w:hint="default" w:cs="宋体"/>
                <w:color w:val="auto"/>
                <w:sz w:val="12"/>
                <w:szCs w:val="12"/>
              </w:rPr>
            </w:pPr>
          </w:p>
          <w:p>
            <w:pPr>
              <w:pStyle w:val="21"/>
              <w:kinsoku w:val="0"/>
              <w:overflowPunct w:val="0"/>
              <w:ind w:left="221"/>
              <w:rPr>
                <w:rFonts w:hint="default" w:ascii="Times New Roman" w:eastAsia="Times New Roman"/>
                <w:color w:val="auto"/>
              </w:rPr>
            </w:pPr>
            <w:r>
              <w:rPr>
                <w:rFonts w:cs="宋体"/>
                <w:color w:val="auto"/>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782"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6"/>
              <w:rPr>
                <w:rFonts w:hint="default" w:cs="宋体"/>
                <w:color w:val="auto"/>
                <w:sz w:val="19"/>
                <w:szCs w:val="19"/>
              </w:rPr>
            </w:pPr>
          </w:p>
          <w:p>
            <w:pPr>
              <w:pStyle w:val="21"/>
              <w:kinsoku w:val="0"/>
              <w:overflowPunct w:val="0"/>
              <w:ind w:left="108"/>
              <w:rPr>
                <w:rFonts w:hint="default" w:ascii="Times New Roman" w:eastAsia="Times New Roman"/>
                <w:color w:val="auto"/>
              </w:rPr>
            </w:pPr>
            <w:r>
              <w:rPr>
                <w:rFonts w:cs="宋体"/>
                <w:color w:val="auto"/>
                <w:sz w:val="18"/>
                <w:szCs w:val="18"/>
              </w:rPr>
              <w:t>交通运输业</w:t>
            </w:r>
            <w:r>
              <w:rPr>
                <w:rFonts w:cs="宋体"/>
                <w:color w:val="auto"/>
                <w:spacing w:val="-2"/>
                <w:sz w:val="18"/>
                <w:szCs w:val="18"/>
              </w:rPr>
              <w:t xml:space="preserve"> </w:t>
            </w:r>
            <w:r>
              <w:rPr>
                <w:rFonts w:cs="宋体"/>
                <w:color w:val="auto"/>
                <w:sz w:val="18"/>
                <w:szCs w:val="18"/>
              </w:rPr>
              <w:t>*</w:t>
            </w:r>
          </w:p>
        </w:tc>
        <w:tc>
          <w:tcPr>
            <w:tcW w:w="1369"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184"/>
              <w:rPr>
                <w:rFonts w:hint="default" w:cs="宋体"/>
                <w:color w:val="auto"/>
                <w:sz w:val="18"/>
                <w:szCs w:val="18"/>
              </w:rPr>
            </w:pPr>
            <w:r>
              <w:rPr>
                <w:rFonts w:cs="宋体"/>
                <w:color w:val="auto"/>
                <w:sz w:val="18"/>
                <w:szCs w:val="18"/>
              </w:rPr>
              <w:t>从业人员(X)</w:t>
            </w:r>
          </w:p>
          <w:p>
            <w:pPr>
              <w:pStyle w:val="21"/>
              <w:kinsoku w:val="0"/>
              <w:overflowPunct w:val="0"/>
              <w:spacing w:before="13"/>
              <w:rPr>
                <w:rFonts w:hint="default" w:cs="宋体"/>
                <w:color w:val="auto"/>
                <w:sz w:val="12"/>
                <w:szCs w:val="12"/>
              </w:rPr>
            </w:pPr>
          </w:p>
          <w:p>
            <w:pPr>
              <w:pStyle w:val="21"/>
              <w:kinsoku w:val="0"/>
              <w:overflowPunct w:val="0"/>
              <w:ind w:left="184"/>
              <w:rPr>
                <w:rFonts w:hint="default" w:ascii="Times New Roman" w:eastAsia="Times New Roman"/>
                <w:color w:val="auto"/>
              </w:rPr>
            </w:pPr>
            <w:r>
              <w:rPr>
                <w:rFonts w:cs="宋体"/>
                <w:color w:val="auto"/>
                <w:sz w:val="18"/>
                <w:szCs w:val="18"/>
              </w:rPr>
              <w:t>营业收入(Y)</w:t>
            </w:r>
          </w:p>
        </w:tc>
        <w:tc>
          <w:tcPr>
            <w:tcW w:w="709"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168" w:firstLine="91"/>
              <w:rPr>
                <w:rFonts w:hint="default" w:cs="宋体"/>
                <w:color w:val="auto"/>
                <w:sz w:val="18"/>
                <w:szCs w:val="18"/>
              </w:rPr>
            </w:pPr>
            <w:r>
              <w:rPr>
                <w:rFonts w:cs="宋体"/>
                <w:color w:val="auto"/>
                <w:sz w:val="18"/>
                <w:szCs w:val="18"/>
              </w:rPr>
              <w:t>人</w:t>
            </w:r>
          </w:p>
          <w:p>
            <w:pPr>
              <w:pStyle w:val="21"/>
              <w:kinsoku w:val="0"/>
              <w:overflowPunct w:val="0"/>
              <w:spacing w:before="6"/>
              <w:rPr>
                <w:rFonts w:hint="default" w:cs="宋体"/>
                <w:color w:val="auto"/>
                <w:sz w:val="12"/>
                <w:szCs w:val="12"/>
              </w:rPr>
            </w:pPr>
          </w:p>
          <w:p>
            <w:pPr>
              <w:pStyle w:val="21"/>
              <w:kinsoku w:val="0"/>
              <w:overflowPunct w:val="0"/>
              <w:ind w:left="168"/>
              <w:rPr>
                <w:rFonts w:hint="default" w:ascii="Times New Roman" w:eastAsia="Times New Roman"/>
                <w:color w:val="auto"/>
              </w:rPr>
            </w:pPr>
            <w:r>
              <w:rPr>
                <w:rFonts w:cs="宋体"/>
                <w:color w:val="auto"/>
                <w:sz w:val="18"/>
                <w:szCs w:val="18"/>
              </w:rPr>
              <w:t>万元</w:t>
            </w:r>
          </w:p>
        </w:tc>
        <w:tc>
          <w:tcPr>
            <w:tcW w:w="1125"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196" w:firstLine="45"/>
              <w:rPr>
                <w:rFonts w:hint="default" w:cs="宋体"/>
                <w:color w:val="auto"/>
                <w:sz w:val="18"/>
                <w:szCs w:val="18"/>
              </w:rPr>
            </w:pPr>
            <w:r>
              <w:rPr>
                <w:rFonts w:cs="宋体"/>
                <w:color w:val="auto"/>
                <w:sz w:val="18"/>
                <w:szCs w:val="18"/>
              </w:rPr>
              <w:t>X≥1000</w:t>
            </w:r>
          </w:p>
          <w:p>
            <w:pPr>
              <w:pStyle w:val="21"/>
              <w:kinsoku w:val="0"/>
              <w:overflowPunct w:val="0"/>
              <w:spacing w:before="6"/>
              <w:rPr>
                <w:rFonts w:hint="default" w:cs="宋体"/>
                <w:color w:val="auto"/>
                <w:sz w:val="12"/>
                <w:szCs w:val="12"/>
              </w:rPr>
            </w:pPr>
          </w:p>
          <w:p>
            <w:pPr>
              <w:pStyle w:val="21"/>
              <w:kinsoku w:val="0"/>
              <w:overflowPunct w:val="0"/>
              <w:ind w:left="196"/>
              <w:rPr>
                <w:rFonts w:hint="default" w:ascii="Times New Roman" w:eastAsia="Times New Roman"/>
                <w:color w:val="auto"/>
              </w:rPr>
            </w:pPr>
            <w:r>
              <w:rPr>
                <w:rFonts w:cs="宋体"/>
                <w:color w:val="auto"/>
                <w:sz w:val="18"/>
                <w:szCs w:val="18"/>
              </w:rPr>
              <w:t>Y≥30000</w:t>
            </w:r>
          </w:p>
        </w:tc>
        <w:tc>
          <w:tcPr>
            <w:tcW w:w="1701"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305"/>
              <w:rPr>
                <w:rFonts w:hint="default" w:cs="宋体"/>
                <w:color w:val="auto"/>
                <w:sz w:val="18"/>
                <w:szCs w:val="18"/>
              </w:rPr>
            </w:pPr>
            <w:r>
              <w:rPr>
                <w:rFonts w:cs="宋体"/>
                <w:color w:val="auto"/>
                <w:sz w:val="18"/>
                <w:szCs w:val="18"/>
              </w:rPr>
              <w:t>300≤X＜1000</w:t>
            </w:r>
          </w:p>
          <w:p>
            <w:pPr>
              <w:pStyle w:val="21"/>
              <w:kinsoku w:val="0"/>
              <w:overflowPunct w:val="0"/>
              <w:spacing w:before="6"/>
              <w:rPr>
                <w:rFonts w:hint="default" w:cs="宋体"/>
                <w:color w:val="auto"/>
                <w:sz w:val="12"/>
                <w:szCs w:val="12"/>
              </w:rPr>
            </w:pPr>
          </w:p>
          <w:p>
            <w:pPr>
              <w:pStyle w:val="21"/>
              <w:kinsoku w:val="0"/>
              <w:overflowPunct w:val="0"/>
              <w:ind w:left="213"/>
              <w:rPr>
                <w:rFonts w:hint="default" w:ascii="Times New Roman" w:eastAsia="Times New Roman"/>
                <w:color w:val="auto"/>
              </w:rPr>
            </w:pPr>
            <w:r>
              <w:rPr>
                <w:rFonts w:cs="宋体"/>
                <w:color w:val="auto"/>
                <w:sz w:val="18"/>
                <w:szCs w:val="18"/>
              </w:rPr>
              <w:t>3000≤Y＜30000</w:t>
            </w:r>
          </w:p>
        </w:tc>
        <w:tc>
          <w:tcPr>
            <w:tcW w:w="1426"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303"/>
              <w:rPr>
                <w:rFonts w:hint="default" w:cs="宋体"/>
                <w:color w:val="auto"/>
                <w:sz w:val="18"/>
                <w:szCs w:val="18"/>
              </w:rPr>
            </w:pPr>
            <w:r>
              <w:rPr>
                <w:rFonts w:cs="宋体"/>
                <w:color w:val="auto"/>
                <w:sz w:val="18"/>
                <w:szCs w:val="18"/>
              </w:rPr>
              <w:t>20≤X＜300</w:t>
            </w:r>
          </w:p>
          <w:p>
            <w:pPr>
              <w:pStyle w:val="21"/>
              <w:kinsoku w:val="0"/>
              <w:overflowPunct w:val="0"/>
              <w:spacing w:before="6"/>
              <w:rPr>
                <w:rFonts w:hint="default" w:cs="宋体"/>
                <w:color w:val="auto"/>
                <w:sz w:val="12"/>
                <w:szCs w:val="12"/>
              </w:rPr>
            </w:pPr>
          </w:p>
          <w:p>
            <w:pPr>
              <w:pStyle w:val="21"/>
              <w:kinsoku w:val="0"/>
              <w:overflowPunct w:val="0"/>
              <w:ind w:left="212"/>
              <w:rPr>
                <w:rFonts w:hint="default" w:ascii="Times New Roman" w:eastAsia="Times New Roman"/>
                <w:color w:val="auto"/>
              </w:rPr>
            </w:pPr>
            <w:r>
              <w:rPr>
                <w:rFonts w:cs="宋体"/>
                <w:color w:val="auto"/>
                <w:sz w:val="18"/>
                <w:szCs w:val="18"/>
              </w:rPr>
              <w:t>200≤Y＜3000</w:t>
            </w:r>
          </w:p>
        </w:tc>
        <w:tc>
          <w:tcPr>
            <w:tcW w:w="992"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221" w:firstLine="45"/>
              <w:rPr>
                <w:rFonts w:hint="default" w:cs="宋体"/>
                <w:color w:val="auto"/>
                <w:sz w:val="18"/>
                <w:szCs w:val="18"/>
              </w:rPr>
            </w:pPr>
            <w:r>
              <w:rPr>
                <w:rFonts w:cs="宋体"/>
                <w:color w:val="auto"/>
                <w:sz w:val="18"/>
                <w:szCs w:val="18"/>
              </w:rPr>
              <w:t>X＜20</w:t>
            </w:r>
          </w:p>
          <w:p>
            <w:pPr>
              <w:pStyle w:val="21"/>
              <w:kinsoku w:val="0"/>
              <w:overflowPunct w:val="0"/>
              <w:spacing w:before="6"/>
              <w:rPr>
                <w:rFonts w:hint="default" w:cs="宋体"/>
                <w:color w:val="auto"/>
                <w:sz w:val="12"/>
                <w:szCs w:val="12"/>
              </w:rPr>
            </w:pPr>
          </w:p>
          <w:p>
            <w:pPr>
              <w:pStyle w:val="21"/>
              <w:kinsoku w:val="0"/>
              <w:overflowPunct w:val="0"/>
              <w:ind w:left="221"/>
              <w:rPr>
                <w:rFonts w:hint="default" w:ascii="Times New Roman" w:eastAsia="Times New Roman"/>
                <w:color w:val="auto"/>
              </w:rPr>
            </w:pPr>
            <w:r>
              <w:rPr>
                <w:rFonts w:cs="宋体"/>
                <w:color w:val="auto"/>
                <w:sz w:val="18"/>
                <w:szCs w:val="18"/>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782"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6"/>
              <w:rPr>
                <w:rFonts w:hint="default" w:cs="宋体"/>
                <w:color w:val="auto"/>
                <w:sz w:val="19"/>
                <w:szCs w:val="19"/>
              </w:rPr>
            </w:pPr>
          </w:p>
          <w:p>
            <w:pPr>
              <w:pStyle w:val="21"/>
              <w:kinsoku w:val="0"/>
              <w:overflowPunct w:val="0"/>
              <w:ind w:left="108"/>
              <w:rPr>
                <w:rFonts w:hint="default" w:ascii="Times New Roman" w:eastAsia="Times New Roman"/>
                <w:color w:val="auto"/>
              </w:rPr>
            </w:pPr>
            <w:r>
              <w:rPr>
                <w:rFonts w:cs="宋体"/>
                <w:color w:val="auto"/>
                <w:sz w:val="18"/>
                <w:szCs w:val="18"/>
              </w:rPr>
              <w:t>仓储业*</w:t>
            </w:r>
          </w:p>
        </w:tc>
        <w:tc>
          <w:tcPr>
            <w:tcW w:w="1369"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8"/>
              <w:ind w:left="184"/>
              <w:rPr>
                <w:rFonts w:hint="default" w:cs="宋体"/>
                <w:color w:val="auto"/>
                <w:sz w:val="18"/>
                <w:szCs w:val="18"/>
              </w:rPr>
            </w:pPr>
            <w:r>
              <w:rPr>
                <w:rFonts w:cs="宋体"/>
                <w:color w:val="auto"/>
                <w:sz w:val="18"/>
                <w:szCs w:val="18"/>
              </w:rPr>
              <w:t>从业人员(X)</w:t>
            </w:r>
          </w:p>
          <w:p>
            <w:pPr>
              <w:pStyle w:val="21"/>
              <w:kinsoku w:val="0"/>
              <w:overflowPunct w:val="0"/>
              <w:spacing w:before="13"/>
              <w:rPr>
                <w:rFonts w:hint="default" w:cs="宋体"/>
                <w:color w:val="auto"/>
                <w:sz w:val="12"/>
                <w:szCs w:val="12"/>
              </w:rPr>
            </w:pPr>
          </w:p>
          <w:p>
            <w:pPr>
              <w:pStyle w:val="21"/>
              <w:kinsoku w:val="0"/>
              <w:overflowPunct w:val="0"/>
              <w:ind w:left="184"/>
              <w:rPr>
                <w:rFonts w:hint="default" w:ascii="Times New Roman" w:eastAsia="Times New Roman"/>
                <w:color w:val="auto"/>
              </w:rPr>
            </w:pPr>
            <w:r>
              <w:rPr>
                <w:rFonts w:cs="宋体"/>
                <w:color w:val="auto"/>
                <w:sz w:val="18"/>
                <w:szCs w:val="18"/>
              </w:rPr>
              <w:t>营业收入(Y)</w:t>
            </w:r>
          </w:p>
        </w:tc>
        <w:tc>
          <w:tcPr>
            <w:tcW w:w="709"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8"/>
              <w:ind w:left="168" w:firstLine="91"/>
              <w:rPr>
                <w:rFonts w:hint="default" w:cs="宋体"/>
                <w:color w:val="auto"/>
                <w:sz w:val="18"/>
                <w:szCs w:val="18"/>
              </w:rPr>
            </w:pPr>
            <w:r>
              <w:rPr>
                <w:rFonts w:cs="宋体"/>
                <w:color w:val="auto"/>
                <w:sz w:val="18"/>
                <w:szCs w:val="18"/>
              </w:rPr>
              <w:t>人</w:t>
            </w:r>
          </w:p>
          <w:p>
            <w:pPr>
              <w:pStyle w:val="21"/>
              <w:kinsoku w:val="0"/>
              <w:overflowPunct w:val="0"/>
              <w:spacing w:before="160"/>
              <w:ind w:left="168"/>
              <w:rPr>
                <w:rFonts w:hint="default" w:ascii="Times New Roman" w:eastAsia="Times New Roman"/>
                <w:color w:val="auto"/>
              </w:rPr>
            </w:pPr>
            <w:r>
              <w:rPr>
                <w:rFonts w:cs="宋体"/>
                <w:color w:val="auto"/>
                <w:sz w:val="18"/>
                <w:szCs w:val="18"/>
              </w:rPr>
              <w:t>万元</w:t>
            </w:r>
          </w:p>
        </w:tc>
        <w:tc>
          <w:tcPr>
            <w:tcW w:w="1125"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8"/>
              <w:ind w:left="196" w:firstLine="91"/>
              <w:rPr>
                <w:rFonts w:hint="default" w:cs="宋体"/>
                <w:color w:val="auto"/>
                <w:sz w:val="18"/>
                <w:szCs w:val="18"/>
              </w:rPr>
            </w:pPr>
            <w:r>
              <w:rPr>
                <w:rFonts w:cs="宋体"/>
                <w:color w:val="auto"/>
                <w:sz w:val="18"/>
                <w:szCs w:val="18"/>
              </w:rPr>
              <w:t>X≥200</w:t>
            </w:r>
          </w:p>
          <w:p>
            <w:pPr>
              <w:pStyle w:val="21"/>
              <w:kinsoku w:val="0"/>
              <w:overflowPunct w:val="0"/>
              <w:spacing w:before="160"/>
              <w:ind w:left="196"/>
              <w:rPr>
                <w:rFonts w:hint="default" w:ascii="Times New Roman" w:eastAsia="Times New Roman"/>
                <w:color w:val="auto"/>
              </w:rPr>
            </w:pPr>
            <w:r>
              <w:rPr>
                <w:rFonts w:cs="宋体"/>
                <w:color w:val="auto"/>
                <w:sz w:val="18"/>
                <w:szCs w:val="18"/>
              </w:rPr>
              <w:t>Y≥30000</w:t>
            </w:r>
          </w:p>
        </w:tc>
        <w:tc>
          <w:tcPr>
            <w:tcW w:w="1701"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8"/>
              <w:ind w:left="297"/>
              <w:rPr>
                <w:rFonts w:hint="default" w:cs="宋体"/>
                <w:color w:val="auto"/>
                <w:sz w:val="18"/>
                <w:szCs w:val="18"/>
              </w:rPr>
            </w:pPr>
            <w:r>
              <w:rPr>
                <w:rFonts w:cs="宋体"/>
                <w:color w:val="auto"/>
                <w:sz w:val="18"/>
                <w:szCs w:val="18"/>
              </w:rPr>
              <w:t>100≤X＜200</w:t>
            </w:r>
          </w:p>
          <w:p>
            <w:pPr>
              <w:pStyle w:val="21"/>
              <w:kinsoku w:val="0"/>
              <w:overflowPunct w:val="0"/>
              <w:spacing w:before="160"/>
              <w:ind w:left="213"/>
              <w:rPr>
                <w:rFonts w:hint="default" w:ascii="Times New Roman" w:eastAsia="Times New Roman"/>
                <w:color w:val="auto"/>
              </w:rPr>
            </w:pPr>
            <w:r>
              <w:rPr>
                <w:rFonts w:cs="宋体"/>
                <w:color w:val="auto"/>
                <w:sz w:val="18"/>
                <w:szCs w:val="18"/>
              </w:rPr>
              <w:t>1000≤Y＜30000</w:t>
            </w:r>
          </w:p>
        </w:tc>
        <w:tc>
          <w:tcPr>
            <w:tcW w:w="1426"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8"/>
              <w:ind w:left="303"/>
              <w:rPr>
                <w:rFonts w:hint="default" w:cs="宋体"/>
                <w:color w:val="auto"/>
                <w:sz w:val="18"/>
                <w:szCs w:val="18"/>
              </w:rPr>
            </w:pPr>
            <w:r>
              <w:rPr>
                <w:rFonts w:cs="宋体"/>
                <w:color w:val="auto"/>
                <w:sz w:val="18"/>
                <w:szCs w:val="18"/>
              </w:rPr>
              <w:t>20≤X＜100</w:t>
            </w:r>
          </w:p>
          <w:p>
            <w:pPr>
              <w:pStyle w:val="21"/>
              <w:kinsoku w:val="0"/>
              <w:overflowPunct w:val="0"/>
              <w:spacing w:before="160"/>
              <w:ind w:left="212"/>
              <w:rPr>
                <w:rFonts w:hint="default" w:ascii="Times New Roman" w:eastAsia="Times New Roman"/>
                <w:color w:val="auto"/>
              </w:rPr>
            </w:pPr>
            <w:r>
              <w:rPr>
                <w:rFonts w:cs="宋体"/>
                <w:color w:val="auto"/>
                <w:sz w:val="18"/>
                <w:szCs w:val="18"/>
              </w:rPr>
              <w:t>100≤Y＜1000</w:t>
            </w:r>
          </w:p>
        </w:tc>
        <w:tc>
          <w:tcPr>
            <w:tcW w:w="992"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8"/>
              <w:ind w:left="221" w:firstLine="45"/>
              <w:rPr>
                <w:rFonts w:hint="default" w:cs="宋体"/>
                <w:color w:val="auto"/>
                <w:sz w:val="18"/>
                <w:szCs w:val="18"/>
              </w:rPr>
            </w:pPr>
            <w:r>
              <w:rPr>
                <w:rFonts w:cs="宋体"/>
                <w:color w:val="auto"/>
                <w:sz w:val="18"/>
                <w:szCs w:val="18"/>
              </w:rPr>
              <w:t>X＜20</w:t>
            </w:r>
          </w:p>
          <w:p>
            <w:pPr>
              <w:pStyle w:val="21"/>
              <w:kinsoku w:val="0"/>
              <w:overflowPunct w:val="0"/>
              <w:spacing w:before="160"/>
              <w:ind w:left="221"/>
              <w:rPr>
                <w:rFonts w:hint="default" w:ascii="Times New Roman" w:eastAsia="Times New Roman"/>
                <w:color w:val="auto"/>
              </w:rPr>
            </w:pPr>
            <w:r>
              <w:rPr>
                <w:rFonts w:cs="宋体"/>
                <w:color w:val="auto"/>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782"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6"/>
              <w:rPr>
                <w:rFonts w:hint="default" w:cs="宋体"/>
                <w:color w:val="auto"/>
                <w:sz w:val="19"/>
                <w:szCs w:val="19"/>
              </w:rPr>
            </w:pPr>
          </w:p>
          <w:p>
            <w:pPr>
              <w:pStyle w:val="21"/>
              <w:kinsoku w:val="0"/>
              <w:overflowPunct w:val="0"/>
              <w:ind w:left="108"/>
              <w:rPr>
                <w:rFonts w:hint="default" w:ascii="Times New Roman" w:eastAsia="Times New Roman"/>
                <w:color w:val="auto"/>
              </w:rPr>
            </w:pPr>
            <w:r>
              <w:rPr>
                <w:rFonts w:cs="宋体"/>
                <w:color w:val="auto"/>
                <w:sz w:val="18"/>
                <w:szCs w:val="18"/>
              </w:rPr>
              <w:t>邮政业</w:t>
            </w:r>
          </w:p>
        </w:tc>
        <w:tc>
          <w:tcPr>
            <w:tcW w:w="1369"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8"/>
              <w:ind w:left="184"/>
              <w:rPr>
                <w:rFonts w:hint="default" w:cs="宋体"/>
                <w:color w:val="auto"/>
                <w:sz w:val="18"/>
                <w:szCs w:val="18"/>
              </w:rPr>
            </w:pPr>
            <w:r>
              <w:rPr>
                <w:rFonts w:cs="宋体"/>
                <w:color w:val="auto"/>
                <w:sz w:val="18"/>
                <w:szCs w:val="18"/>
              </w:rPr>
              <w:t>从业人员(X)</w:t>
            </w:r>
          </w:p>
          <w:p>
            <w:pPr>
              <w:pStyle w:val="21"/>
              <w:kinsoku w:val="0"/>
              <w:overflowPunct w:val="0"/>
              <w:spacing w:before="13"/>
              <w:rPr>
                <w:rFonts w:hint="default" w:cs="宋体"/>
                <w:color w:val="auto"/>
                <w:sz w:val="12"/>
                <w:szCs w:val="12"/>
              </w:rPr>
            </w:pPr>
          </w:p>
          <w:p>
            <w:pPr>
              <w:pStyle w:val="21"/>
              <w:kinsoku w:val="0"/>
              <w:overflowPunct w:val="0"/>
              <w:ind w:left="184"/>
              <w:rPr>
                <w:rFonts w:hint="default" w:ascii="Times New Roman" w:eastAsia="Times New Roman"/>
                <w:color w:val="auto"/>
              </w:rPr>
            </w:pPr>
            <w:r>
              <w:rPr>
                <w:rFonts w:cs="宋体"/>
                <w:color w:val="auto"/>
                <w:sz w:val="18"/>
                <w:szCs w:val="18"/>
              </w:rPr>
              <w:t>营业收入(Y)</w:t>
            </w:r>
          </w:p>
        </w:tc>
        <w:tc>
          <w:tcPr>
            <w:tcW w:w="709"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8"/>
              <w:ind w:left="168" w:firstLine="91"/>
              <w:rPr>
                <w:rFonts w:hint="default" w:cs="宋体"/>
                <w:color w:val="auto"/>
                <w:sz w:val="18"/>
                <w:szCs w:val="18"/>
              </w:rPr>
            </w:pPr>
            <w:r>
              <w:rPr>
                <w:rFonts w:cs="宋体"/>
                <w:color w:val="auto"/>
                <w:sz w:val="18"/>
                <w:szCs w:val="18"/>
              </w:rPr>
              <w:t>人</w:t>
            </w:r>
          </w:p>
          <w:p>
            <w:pPr>
              <w:pStyle w:val="21"/>
              <w:kinsoku w:val="0"/>
              <w:overflowPunct w:val="0"/>
              <w:spacing w:before="160"/>
              <w:ind w:left="168"/>
              <w:rPr>
                <w:rFonts w:hint="default" w:ascii="Times New Roman" w:eastAsia="Times New Roman"/>
                <w:color w:val="auto"/>
              </w:rPr>
            </w:pPr>
            <w:r>
              <w:rPr>
                <w:rFonts w:cs="宋体"/>
                <w:color w:val="auto"/>
                <w:sz w:val="18"/>
                <w:szCs w:val="18"/>
              </w:rPr>
              <w:t>万元</w:t>
            </w:r>
          </w:p>
        </w:tc>
        <w:tc>
          <w:tcPr>
            <w:tcW w:w="1125"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8"/>
              <w:ind w:left="196" w:firstLine="45"/>
              <w:rPr>
                <w:rFonts w:hint="default" w:cs="宋体"/>
                <w:color w:val="auto"/>
                <w:sz w:val="18"/>
                <w:szCs w:val="18"/>
              </w:rPr>
            </w:pPr>
            <w:r>
              <w:rPr>
                <w:rFonts w:cs="宋体"/>
                <w:color w:val="auto"/>
                <w:sz w:val="18"/>
                <w:szCs w:val="18"/>
              </w:rPr>
              <w:t>X≥1000</w:t>
            </w:r>
          </w:p>
          <w:p>
            <w:pPr>
              <w:pStyle w:val="21"/>
              <w:kinsoku w:val="0"/>
              <w:overflowPunct w:val="0"/>
              <w:spacing w:before="160"/>
              <w:ind w:left="196"/>
              <w:rPr>
                <w:rFonts w:hint="default" w:ascii="Times New Roman" w:eastAsia="Times New Roman"/>
                <w:color w:val="auto"/>
              </w:rPr>
            </w:pPr>
            <w:r>
              <w:rPr>
                <w:rFonts w:cs="宋体"/>
                <w:color w:val="auto"/>
                <w:sz w:val="18"/>
                <w:szCs w:val="18"/>
              </w:rPr>
              <w:t>Y≥30000</w:t>
            </w:r>
          </w:p>
        </w:tc>
        <w:tc>
          <w:tcPr>
            <w:tcW w:w="1701"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8"/>
              <w:ind w:left="305"/>
              <w:rPr>
                <w:rFonts w:hint="default" w:cs="宋体"/>
                <w:color w:val="auto"/>
                <w:sz w:val="18"/>
                <w:szCs w:val="18"/>
              </w:rPr>
            </w:pPr>
            <w:r>
              <w:rPr>
                <w:rFonts w:cs="宋体"/>
                <w:color w:val="auto"/>
                <w:sz w:val="18"/>
                <w:szCs w:val="18"/>
              </w:rPr>
              <w:t>300≤X＜1000</w:t>
            </w:r>
          </w:p>
          <w:p>
            <w:pPr>
              <w:pStyle w:val="21"/>
              <w:kinsoku w:val="0"/>
              <w:overflowPunct w:val="0"/>
              <w:spacing w:before="160"/>
              <w:ind w:left="213"/>
              <w:rPr>
                <w:rFonts w:hint="default" w:ascii="Times New Roman" w:eastAsia="Times New Roman"/>
                <w:color w:val="auto"/>
              </w:rPr>
            </w:pPr>
            <w:r>
              <w:rPr>
                <w:rFonts w:cs="宋体"/>
                <w:color w:val="auto"/>
                <w:sz w:val="18"/>
                <w:szCs w:val="18"/>
              </w:rPr>
              <w:t>2000≤Y＜30000</w:t>
            </w:r>
          </w:p>
        </w:tc>
        <w:tc>
          <w:tcPr>
            <w:tcW w:w="1426"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8"/>
              <w:ind w:left="303"/>
              <w:rPr>
                <w:rFonts w:hint="default" w:cs="宋体"/>
                <w:color w:val="auto"/>
                <w:sz w:val="18"/>
                <w:szCs w:val="18"/>
              </w:rPr>
            </w:pPr>
            <w:r>
              <w:rPr>
                <w:rFonts w:cs="宋体"/>
                <w:color w:val="auto"/>
                <w:sz w:val="18"/>
                <w:szCs w:val="18"/>
              </w:rPr>
              <w:t>20≤X＜300</w:t>
            </w:r>
          </w:p>
          <w:p>
            <w:pPr>
              <w:pStyle w:val="21"/>
              <w:kinsoku w:val="0"/>
              <w:overflowPunct w:val="0"/>
              <w:spacing w:before="160"/>
              <w:ind w:left="212"/>
              <w:rPr>
                <w:rFonts w:hint="default" w:ascii="Times New Roman" w:eastAsia="Times New Roman"/>
                <w:color w:val="auto"/>
              </w:rPr>
            </w:pPr>
            <w:r>
              <w:rPr>
                <w:rFonts w:cs="宋体"/>
                <w:color w:val="auto"/>
                <w:sz w:val="18"/>
                <w:szCs w:val="18"/>
              </w:rPr>
              <w:t>100≤Y＜2000</w:t>
            </w:r>
          </w:p>
        </w:tc>
        <w:tc>
          <w:tcPr>
            <w:tcW w:w="992"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8"/>
              <w:ind w:left="221" w:firstLine="45"/>
              <w:rPr>
                <w:rFonts w:hint="default" w:cs="宋体"/>
                <w:color w:val="auto"/>
                <w:sz w:val="18"/>
                <w:szCs w:val="18"/>
              </w:rPr>
            </w:pPr>
            <w:r>
              <w:rPr>
                <w:rFonts w:cs="宋体"/>
                <w:color w:val="auto"/>
                <w:sz w:val="18"/>
                <w:szCs w:val="18"/>
              </w:rPr>
              <w:t>X＜20</w:t>
            </w:r>
          </w:p>
          <w:p>
            <w:pPr>
              <w:pStyle w:val="21"/>
              <w:kinsoku w:val="0"/>
              <w:overflowPunct w:val="0"/>
              <w:spacing w:before="160"/>
              <w:ind w:left="221"/>
              <w:rPr>
                <w:rFonts w:hint="default" w:ascii="Times New Roman" w:eastAsia="Times New Roman"/>
                <w:color w:val="auto"/>
              </w:rPr>
            </w:pPr>
            <w:r>
              <w:rPr>
                <w:rFonts w:cs="宋体"/>
                <w:color w:val="auto"/>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782"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7"/>
              <w:rPr>
                <w:rFonts w:hint="default" w:cs="宋体"/>
                <w:color w:val="auto"/>
                <w:sz w:val="19"/>
                <w:szCs w:val="19"/>
              </w:rPr>
            </w:pPr>
          </w:p>
          <w:p>
            <w:pPr>
              <w:pStyle w:val="21"/>
              <w:kinsoku w:val="0"/>
              <w:overflowPunct w:val="0"/>
              <w:ind w:left="108"/>
              <w:rPr>
                <w:rFonts w:hint="default" w:ascii="Times New Roman" w:eastAsia="Times New Roman"/>
                <w:color w:val="auto"/>
              </w:rPr>
            </w:pPr>
            <w:r>
              <w:rPr>
                <w:rFonts w:cs="宋体"/>
                <w:color w:val="auto"/>
                <w:sz w:val="18"/>
                <w:szCs w:val="18"/>
              </w:rPr>
              <w:t>住宿业</w:t>
            </w:r>
          </w:p>
        </w:tc>
        <w:tc>
          <w:tcPr>
            <w:tcW w:w="1369"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9"/>
              <w:ind w:left="184"/>
              <w:rPr>
                <w:rFonts w:hint="default" w:cs="宋体"/>
                <w:color w:val="auto"/>
                <w:sz w:val="18"/>
                <w:szCs w:val="18"/>
              </w:rPr>
            </w:pPr>
            <w:r>
              <w:rPr>
                <w:rFonts w:cs="宋体"/>
                <w:color w:val="auto"/>
                <w:sz w:val="18"/>
                <w:szCs w:val="18"/>
              </w:rPr>
              <w:t>从业人员(X)</w:t>
            </w:r>
          </w:p>
          <w:p>
            <w:pPr>
              <w:pStyle w:val="21"/>
              <w:kinsoku w:val="0"/>
              <w:overflowPunct w:val="0"/>
              <w:spacing w:before="11"/>
              <w:rPr>
                <w:rFonts w:hint="default" w:cs="宋体"/>
                <w:color w:val="auto"/>
                <w:sz w:val="12"/>
                <w:szCs w:val="12"/>
              </w:rPr>
            </w:pPr>
          </w:p>
          <w:p>
            <w:pPr>
              <w:pStyle w:val="21"/>
              <w:kinsoku w:val="0"/>
              <w:overflowPunct w:val="0"/>
              <w:ind w:left="184"/>
              <w:rPr>
                <w:rFonts w:hint="default" w:ascii="Times New Roman" w:eastAsia="Times New Roman"/>
                <w:color w:val="auto"/>
              </w:rPr>
            </w:pPr>
            <w:r>
              <w:rPr>
                <w:rFonts w:cs="宋体"/>
                <w:color w:val="auto"/>
                <w:sz w:val="18"/>
                <w:szCs w:val="18"/>
              </w:rPr>
              <w:t>营业收入(Y)</w:t>
            </w:r>
          </w:p>
        </w:tc>
        <w:tc>
          <w:tcPr>
            <w:tcW w:w="709"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9"/>
              <w:ind w:left="168" w:firstLine="91"/>
              <w:rPr>
                <w:rFonts w:hint="default" w:cs="宋体"/>
                <w:color w:val="auto"/>
                <w:sz w:val="18"/>
                <w:szCs w:val="18"/>
              </w:rPr>
            </w:pPr>
            <w:r>
              <w:rPr>
                <w:rFonts w:cs="宋体"/>
                <w:color w:val="auto"/>
                <w:sz w:val="18"/>
                <w:szCs w:val="18"/>
              </w:rPr>
              <w:t>人</w:t>
            </w:r>
          </w:p>
          <w:p>
            <w:pPr>
              <w:pStyle w:val="21"/>
              <w:kinsoku w:val="0"/>
              <w:overflowPunct w:val="0"/>
              <w:spacing w:before="160"/>
              <w:ind w:left="168"/>
              <w:rPr>
                <w:rFonts w:hint="default" w:ascii="Times New Roman" w:eastAsia="Times New Roman"/>
                <w:color w:val="auto"/>
              </w:rPr>
            </w:pPr>
            <w:r>
              <w:rPr>
                <w:rFonts w:cs="宋体"/>
                <w:color w:val="auto"/>
                <w:sz w:val="18"/>
                <w:szCs w:val="18"/>
              </w:rPr>
              <w:t>万元</w:t>
            </w:r>
          </w:p>
        </w:tc>
        <w:tc>
          <w:tcPr>
            <w:tcW w:w="1125"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9"/>
              <w:ind w:left="196" w:firstLine="91"/>
              <w:rPr>
                <w:rFonts w:hint="default" w:cs="宋体"/>
                <w:color w:val="auto"/>
                <w:sz w:val="18"/>
                <w:szCs w:val="18"/>
              </w:rPr>
            </w:pPr>
            <w:r>
              <w:rPr>
                <w:rFonts w:cs="宋体"/>
                <w:color w:val="auto"/>
                <w:sz w:val="18"/>
                <w:szCs w:val="18"/>
              </w:rPr>
              <w:t>X≥300</w:t>
            </w:r>
          </w:p>
          <w:p>
            <w:pPr>
              <w:pStyle w:val="21"/>
              <w:kinsoku w:val="0"/>
              <w:overflowPunct w:val="0"/>
              <w:spacing w:before="160"/>
              <w:ind w:left="196"/>
              <w:rPr>
                <w:rFonts w:hint="default" w:ascii="Times New Roman" w:eastAsia="Times New Roman"/>
                <w:color w:val="auto"/>
              </w:rPr>
            </w:pPr>
            <w:r>
              <w:rPr>
                <w:rFonts w:cs="宋体"/>
                <w:color w:val="auto"/>
                <w:sz w:val="18"/>
                <w:szCs w:val="18"/>
              </w:rPr>
              <w:t>Y≥10000</w:t>
            </w:r>
          </w:p>
        </w:tc>
        <w:tc>
          <w:tcPr>
            <w:tcW w:w="1701"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9"/>
              <w:ind w:left="297"/>
              <w:rPr>
                <w:rFonts w:hint="default" w:cs="宋体"/>
                <w:color w:val="auto"/>
                <w:sz w:val="18"/>
                <w:szCs w:val="18"/>
              </w:rPr>
            </w:pPr>
            <w:r>
              <w:rPr>
                <w:rFonts w:cs="宋体"/>
                <w:color w:val="auto"/>
                <w:sz w:val="18"/>
                <w:szCs w:val="18"/>
              </w:rPr>
              <w:t>100≤X＜300</w:t>
            </w:r>
          </w:p>
          <w:p>
            <w:pPr>
              <w:pStyle w:val="21"/>
              <w:kinsoku w:val="0"/>
              <w:overflowPunct w:val="0"/>
              <w:spacing w:before="160"/>
              <w:ind w:left="213"/>
              <w:rPr>
                <w:rFonts w:hint="default" w:ascii="Times New Roman" w:eastAsia="Times New Roman"/>
                <w:color w:val="auto"/>
              </w:rPr>
            </w:pPr>
            <w:r>
              <w:rPr>
                <w:rFonts w:cs="宋体"/>
                <w:color w:val="auto"/>
                <w:sz w:val="18"/>
                <w:szCs w:val="18"/>
              </w:rPr>
              <w:t>2000≤Y＜10000</w:t>
            </w:r>
          </w:p>
        </w:tc>
        <w:tc>
          <w:tcPr>
            <w:tcW w:w="1426"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9"/>
              <w:ind w:left="303"/>
              <w:rPr>
                <w:rFonts w:hint="default" w:cs="宋体"/>
                <w:color w:val="auto"/>
                <w:sz w:val="18"/>
                <w:szCs w:val="18"/>
              </w:rPr>
            </w:pPr>
            <w:r>
              <w:rPr>
                <w:rFonts w:cs="宋体"/>
                <w:color w:val="auto"/>
                <w:sz w:val="18"/>
                <w:szCs w:val="18"/>
              </w:rPr>
              <w:t>10≤X＜100</w:t>
            </w:r>
          </w:p>
          <w:p>
            <w:pPr>
              <w:pStyle w:val="21"/>
              <w:kinsoku w:val="0"/>
              <w:overflowPunct w:val="0"/>
              <w:spacing w:before="160"/>
              <w:ind w:left="212"/>
              <w:rPr>
                <w:rFonts w:hint="default" w:ascii="Times New Roman" w:eastAsia="Times New Roman"/>
                <w:color w:val="auto"/>
              </w:rPr>
            </w:pPr>
            <w:r>
              <w:rPr>
                <w:rFonts w:cs="宋体"/>
                <w:color w:val="auto"/>
                <w:sz w:val="18"/>
                <w:szCs w:val="18"/>
              </w:rPr>
              <w:t>100≤Y＜2000</w:t>
            </w:r>
          </w:p>
        </w:tc>
        <w:tc>
          <w:tcPr>
            <w:tcW w:w="992"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9"/>
              <w:ind w:left="221" w:firstLine="45"/>
              <w:rPr>
                <w:rFonts w:hint="default" w:cs="宋体"/>
                <w:color w:val="auto"/>
                <w:sz w:val="18"/>
                <w:szCs w:val="18"/>
              </w:rPr>
            </w:pPr>
            <w:r>
              <w:rPr>
                <w:rFonts w:cs="宋体"/>
                <w:color w:val="auto"/>
                <w:sz w:val="18"/>
                <w:szCs w:val="18"/>
              </w:rPr>
              <w:t>X＜10</w:t>
            </w:r>
          </w:p>
          <w:p>
            <w:pPr>
              <w:pStyle w:val="21"/>
              <w:kinsoku w:val="0"/>
              <w:overflowPunct w:val="0"/>
              <w:spacing w:before="160"/>
              <w:ind w:left="221"/>
              <w:rPr>
                <w:rFonts w:hint="default" w:ascii="Times New Roman" w:eastAsia="Times New Roman"/>
                <w:color w:val="auto"/>
              </w:rPr>
            </w:pPr>
            <w:r>
              <w:rPr>
                <w:rFonts w:cs="宋体"/>
                <w:color w:val="auto"/>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782"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7"/>
              <w:rPr>
                <w:rFonts w:hint="default" w:cs="宋体"/>
                <w:color w:val="auto"/>
                <w:sz w:val="19"/>
                <w:szCs w:val="19"/>
              </w:rPr>
            </w:pPr>
          </w:p>
          <w:p>
            <w:pPr>
              <w:pStyle w:val="21"/>
              <w:kinsoku w:val="0"/>
              <w:overflowPunct w:val="0"/>
              <w:ind w:left="108"/>
              <w:rPr>
                <w:rFonts w:hint="default" w:ascii="Times New Roman" w:eastAsia="Times New Roman"/>
                <w:color w:val="auto"/>
              </w:rPr>
            </w:pPr>
            <w:r>
              <w:rPr>
                <w:rFonts w:cs="宋体"/>
                <w:color w:val="auto"/>
                <w:sz w:val="18"/>
                <w:szCs w:val="18"/>
              </w:rPr>
              <w:t>餐饮业</w:t>
            </w:r>
          </w:p>
        </w:tc>
        <w:tc>
          <w:tcPr>
            <w:tcW w:w="1369"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184"/>
              <w:rPr>
                <w:rFonts w:hint="default" w:cs="宋体"/>
                <w:color w:val="auto"/>
                <w:sz w:val="18"/>
                <w:szCs w:val="18"/>
              </w:rPr>
            </w:pPr>
            <w:r>
              <w:rPr>
                <w:rFonts w:cs="宋体"/>
                <w:color w:val="auto"/>
                <w:sz w:val="18"/>
                <w:szCs w:val="18"/>
              </w:rPr>
              <w:t>从业人员(X)</w:t>
            </w:r>
          </w:p>
          <w:p>
            <w:pPr>
              <w:pStyle w:val="21"/>
              <w:kinsoku w:val="0"/>
              <w:overflowPunct w:val="0"/>
              <w:spacing w:before="13"/>
              <w:rPr>
                <w:rFonts w:hint="default" w:cs="宋体"/>
                <w:color w:val="auto"/>
                <w:sz w:val="12"/>
                <w:szCs w:val="12"/>
              </w:rPr>
            </w:pPr>
          </w:p>
          <w:p>
            <w:pPr>
              <w:pStyle w:val="21"/>
              <w:kinsoku w:val="0"/>
              <w:overflowPunct w:val="0"/>
              <w:ind w:left="184"/>
              <w:rPr>
                <w:rFonts w:hint="default" w:ascii="Times New Roman" w:eastAsia="Times New Roman"/>
                <w:color w:val="auto"/>
              </w:rPr>
            </w:pPr>
            <w:r>
              <w:rPr>
                <w:rFonts w:cs="宋体"/>
                <w:color w:val="auto"/>
                <w:sz w:val="18"/>
                <w:szCs w:val="18"/>
              </w:rPr>
              <w:t>营业收入(Y)</w:t>
            </w:r>
          </w:p>
        </w:tc>
        <w:tc>
          <w:tcPr>
            <w:tcW w:w="709"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168" w:firstLine="91"/>
              <w:rPr>
                <w:rFonts w:hint="default" w:cs="宋体"/>
                <w:color w:val="auto"/>
                <w:sz w:val="18"/>
                <w:szCs w:val="18"/>
              </w:rPr>
            </w:pPr>
            <w:r>
              <w:rPr>
                <w:rFonts w:cs="宋体"/>
                <w:color w:val="auto"/>
                <w:sz w:val="18"/>
                <w:szCs w:val="18"/>
              </w:rPr>
              <w:t>人</w:t>
            </w:r>
          </w:p>
          <w:p>
            <w:pPr>
              <w:pStyle w:val="21"/>
              <w:kinsoku w:val="0"/>
              <w:overflowPunct w:val="0"/>
              <w:spacing w:before="6"/>
              <w:rPr>
                <w:rFonts w:hint="default" w:cs="宋体"/>
                <w:color w:val="auto"/>
                <w:sz w:val="12"/>
                <w:szCs w:val="12"/>
              </w:rPr>
            </w:pPr>
          </w:p>
          <w:p>
            <w:pPr>
              <w:pStyle w:val="21"/>
              <w:kinsoku w:val="0"/>
              <w:overflowPunct w:val="0"/>
              <w:ind w:left="168"/>
              <w:rPr>
                <w:rFonts w:hint="default" w:ascii="Times New Roman" w:eastAsia="Times New Roman"/>
                <w:color w:val="auto"/>
              </w:rPr>
            </w:pPr>
            <w:r>
              <w:rPr>
                <w:rFonts w:cs="宋体"/>
                <w:color w:val="auto"/>
                <w:sz w:val="18"/>
                <w:szCs w:val="18"/>
              </w:rPr>
              <w:t>万元</w:t>
            </w:r>
          </w:p>
        </w:tc>
        <w:tc>
          <w:tcPr>
            <w:tcW w:w="1125"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196" w:firstLine="91"/>
              <w:rPr>
                <w:rFonts w:hint="default" w:cs="宋体"/>
                <w:color w:val="auto"/>
                <w:sz w:val="18"/>
                <w:szCs w:val="18"/>
              </w:rPr>
            </w:pPr>
            <w:r>
              <w:rPr>
                <w:rFonts w:cs="宋体"/>
                <w:color w:val="auto"/>
                <w:sz w:val="18"/>
                <w:szCs w:val="18"/>
              </w:rPr>
              <w:t>X≥300</w:t>
            </w:r>
          </w:p>
          <w:p>
            <w:pPr>
              <w:pStyle w:val="21"/>
              <w:kinsoku w:val="0"/>
              <w:overflowPunct w:val="0"/>
              <w:spacing w:before="6"/>
              <w:rPr>
                <w:rFonts w:hint="default" w:cs="宋体"/>
                <w:color w:val="auto"/>
                <w:sz w:val="12"/>
                <w:szCs w:val="12"/>
              </w:rPr>
            </w:pPr>
          </w:p>
          <w:p>
            <w:pPr>
              <w:pStyle w:val="21"/>
              <w:kinsoku w:val="0"/>
              <w:overflowPunct w:val="0"/>
              <w:ind w:left="196"/>
              <w:rPr>
                <w:rFonts w:hint="default" w:ascii="Times New Roman" w:eastAsia="Times New Roman"/>
                <w:color w:val="auto"/>
              </w:rPr>
            </w:pPr>
            <w:r>
              <w:rPr>
                <w:rFonts w:cs="宋体"/>
                <w:color w:val="auto"/>
                <w:sz w:val="18"/>
                <w:szCs w:val="18"/>
              </w:rPr>
              <w:t>Y≥10000</w:t>
            </w:r>
          </w:p>
        </w:tc>
        <w:tc>
          <w:tcPr>
            <w:tcW w:w="1701"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297"/>
              <w:rPr>
                <w:rFonts w:hint="default" w:cs="宋体"/>
                <w:color w:val="auto"/>
                <w:sz w:val="18"/>
                <w:szCs w:val="18"/>
              </w:rPr>
            </w:pPr>
            <w:r>
              <w:rPr>
                <w:rFonts w:cs="宋体"/>
                <w:color w:val="auto"/>
                <w:sz w:val="18"/>
                <w:szCs w:val="18"/>
              </w:rPr>
              <w:t>100≤X＜300</w:t>
            </w:r>
          </w:p>
          <w:p>
            <w:pPr>
              <w:pStyle w:val="21"/>
              <w:kinsoku w:val="0"/>
              <w:overflowPunct w:val="0"/>
              <w:spacing w:before="6"/>
              <w:rPr>
                <w:rFonts w:hint="default" w:cs="宋体"/>
                <w:color w:val="auto"/>
                <w:sz w:val="12"/>
                <w:szCs w:val="12"/>
              </w:rPr>
            </w:pPr>
          </w:p>
          <w:p>
            <w:pPr>
              <w:pStyle w:val="21"/>
              <w:kinsoku w:val="0"/>
              <w:overflowPunct w:val="0"/>
              <w:ind w:left="213"/>
              <w:rPr>
                <w:rFonts w:hint="default" w:ascii="Times New Roman" w:eastAsia="Times New Roman"/>
                <w:color w:val="auto"/>
              </w:rPr>
            </w:pPr>
            <w:r>
              <w:rPr>
                <w:rFonts w:cs="宋体"/>
                <w:color w:val="auto"/>
                <w:sz w:val="18"/>
                <w:szCs w:val="18"/>
              </w:rPr>
              <w:t>2000≤Y＜10000</w:t>
            </w:r>
          </w:p>
        </w:tc>
        <w:tc>
          <w:tcPr>
            <w:tcW w:w="1426"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303"/>
              <w:rPr>
                <w:rFonts w:hint="default" w:cs="宋体"/>
                <w:color w:val="auto"/>
                <w:sz w:val="18"/>
                <w:szCs w:val="18"/>
              </w:rPr>
            </w:pPr>
            <w:r>
              <w:rPr>
                <w:rFonts w:cs="宋体"/>
                <w:color w:val="auto"/>
                <w:sz w:val="18"/>
                <w:szCs w:val="18"/>
              </w:rPr>
              <w:t>10≤X＜100</w:t>
            </w:r>
          </w:p>
          <w:p>
            <w:pPr>
              <w:pStyle w:val="21"/>
              <w:kinsoku w:val="0"/>
              <w:overflowPunct w:val="0"/>
              <w:spacing w:before="6"/>
              <w:rPr>
                <w:rFonts w:hint="default" w:cs="宋体"/>
                <w:color w:val="auto"/>
                <w:sz w:val="12"/>
                <w:szCs w:val="12"/>
              </w:rPr>
            </w:pPr>
          </w:p>
          <w:p>
            <w:pPr>
              <w:pStyle w:val="21"/>
              <w:kinsoku w:val="0"/>
              <w:overflowPunct w:val="0"/>
              <w:ind w:left="212"/>
              <w:rPr>
                <w:rFonts w:hint="default" w:ascii="Times New Roman" w:eastAsia="Times New Roman"/>
                <w:color w:val="auto"/>
              </w:rPr>
            </w:pPr>
            <w:r>
              <w:rPr>
                <w:rFonts w:cs="宋体"/>
                <w:color w:val="auto"/>
                <w:sz w:val="18"/>
                <w:szCs w:val="18"/>
              </w:rPr>
              <w:t>100≤Y＜2000</w:t>
            </w:r>
          </w:p>
        </w:tc>
        <w:tc>
          <w:tcPr>
            <w:tcW w:w="992"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221" w:firstLine="45"/>
              <w:rPr>
                <w:rFonts w:hint="default" w:cs="宋体"/>
                <w:color w:val="auto"/>
                <w:sz w:val="18"/>
                <w:szCs w:val="18"/>
              </w:rPr>
            </w:pPr>
            <w:r>
              <w:rPr>
                <w:rFonts w:cs="宋体"/>
                <w:color w:val="auto"/>
                <w:sz w:val="18"/>
                <w:szCs w:val="18"/>
              </w:rPr>
              <w:t>X＜10</w:t>
            </w:r>
          </w:p>
          <w:p>
            <w:pPr>
              <w:pStyle w:val="21"/>
              <w:kinsoku w:val="0"/>
              <w:overflowPunct w:val="0"/>
              <w:spacing w:before="6"/>
              <w:rPr>
                <w:rFonts w:hint="default" w:cs="宋体"/>
                <w:color w:val="auto"/>
                <w:sz w:val="12"/>
                <w:szCs w:val="12"/>
              </w:rPr>
            </w:pPr>
          </w:p>
          <w:p>
            <w:pPr>
              <w:pStyle w:val="21"/>
              <w:kinsoku w:val="0"/>
              <w:overflowPunct w:val="0"/>
              <w:ind w:left="221"/>
              <w:rPr>
                <w:rFonts w:hint="default" w:ascii="Times New Roman" w:eastAsia="Times New Roman"/>
                <w:color w:val="auto"/>
              </w:rPr>
            </w:pPr>
            <w:r>
              <w:rPr>
                <w:rFonts w:cs="宋体"/>
                <w:color w:val="auto"/>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782"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8"/>
              <w:rPr>
                <w:rFonts w:hint="default" w:cs="宋体"/>
                <w:color w:val="auto"/>
                <w:sz w:val="19"/>
                <w:szCs w:val="19"/>
              </w:rPr>
            </w:pPr>
          </w:p>
          <w:p>
            <w:pPr>
              <w:pStyle w:val="21"/>
              <w:kinsoku w:val="0"/>
              <w:overflowPunct w:val="0"/>
              <w:ind w:left="108"/>
              <w:rPr>
                <w:rFonts w:hint="default" w:ascii="Times New Roman" w:eastAsia="Times New Roman"/>
                <w:color w:val="auto"/>
              </w:rPr>
            </w:pPr>
            <w:r>
              <w:rPr>
                <w:rFonts w:cs="宋体"/>
                <w:color w:val="auto"/>
                <w:sz w:val="18"/>
                <w:szCs w:val="18"/>
              </w:rPr>
              <w:t>信息传输业</w:t>
            </w:r>
            <w:r>
              <w:rPr>
                <w:rFonts w:cs="宋体"/>
                <w:color w:val="auto"/>
                <w:spacing w:val="-2"/>
                <w:sz w:val="18"/>
                <w:szCs w:val="18"/>
              </w:rPr>
              <w:t xml:space="preserve"> </w:t>
            </w:r>
            <w:r>
              <w:rPr>
                <w:rFonts w:cs="宋体"/>
                <w:color w:val="auto"/>
                <w:sz w:val="18"/>
                <w:szCs w:val="18"/>
              </w:rPr>
              <w:t>*</w:t>
            </w:r>
          </w:p>
        </w:tc>
        <w:tc>
          <w:tcPr>
            <w:tcW w:w="1369"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184"/>
              <w:rPr>
                <w:rFonts w:hint="default" w:cs="宋体"/>
                <w:color w:val="auto"/>
                <w:sz w:val="18"/>
                <w:szCs w:val="18"/>
              </w:rPr>
            </w:pPr>
            <w:r>
              <w:rPr>
                <w:rFonts w:cs="宋体"/>
                <w:color w:val="auto"/>
                <w:sz w:val="18"/>
                <w:szCs w:val="18"/>
              </w:rPr>
              <w:t>从业人员(X)</w:t>
            </w:r>
          </w:p>
          <w:p>
            <w:pPr>
              <w:pStyle w:val="21"/>
              <w:kinsoku w:val="0"/>
              <w:overflowPunct w:val="0"/>
              <w:spacing w:before="13"/>
              <w:rPr>
                <w:rFonts w:hint="default" w:cs="宋体"/>
                <w:color w:val="auto"/>
                <w:sz w:val="12"/>
                <w:szCs w:val="12"/>
              </w:rPr>
            </w:pPr>
          </w:p>
          <w:p>
            <w:pPr>
              <w:pStyle w:val="21"/>
              <w:kinsoku w:val="0"/>
              <w:overflowPunct w:val="0"/>
              <w:ind w:left="184"/>
              <w:rPr>
                <w:rFonts w:hint="default" w:ascii="Times New Roman" w:eastAsia="Times New Roman"/>
                <w:color w:val="auto"/>
              </w:rPr>
            </w:pPr>
            <w:r>
              <w:rPr>
                <w:rFonts w:cs="宋体"/>
                <w:color w:val="auto"/>
                <w:sz w:val="18"/>
                <w:szCs w:val="18"/>
              </w:rPr>
              <w:t>营业收入(Y)</w:t>
            </w:r>
          </w:p>
        </w:tc>
        <w:tc>
          <w:tcPr>
            <w:tcW w:w="709"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168" w:firstLine="91"/>
              <w:rPr>
                <w:rFonts w:hint="default" w:cs="宋体"/>
                <w:color w:val="auto"/>
                <w:sz w:val="18"/>
                <w:szCs w:val="18"/>
              </w:rPr>
            </w:pPr>
            <w:r>
              <w:rPr>
                <w:rFonts w:cs="宋体"/>
                <w:color w:val="auto"/>
                <w:sz w:val="18"/>
                <w:szCs w:val="18"/>
              </w:rPr>
              <w:t>人</w:t>
            </w:r>
          </w:p>
          <w:p>
            <w:pPr>
              <w:pStyle w:val="21"/>
              <w:kinsoku w:val="0"/>
              <w:overflowPunct w:val="0"/>
              <w:spacing w:before="6"/>
              <w:rPr>
                <w:rFonts w:hint="default" w:cs="宋体"/>
                <w:color w:val="auto"/>
                <w:sz w:val="12"/>
                <w:szCs w:val="12"/>
              </w:rPr>
            </w:pPr>
          </w:p>
          <w:p>
            <w:pPr>
              <w:pStyle w:val="21"/>
              <w:kinsoku w:val="0"/>
              <w:overflowPunct w:val="0"/>
              <w:ind w:left="168"/>
              <w:rPr>
                <w:rFonts w:hint="default" w:ascii="Times New Roman" w:eastAsia="Times New Roman"/>
                <w:color w:val="auto"/>
              </w:rPr>
            </w:pPr>
            <w:r>
              <w:rPr>
                <w:rFonts w:cs="宋体"/>
                <w:color w:val="auto"/>
                <w:sz w:val="18"/>
                <w:szCs w:val="18"/>
              </w:rPr>
              <w:t>万元</w:t>
            </w:r>
          </w:p>
        </w:tc>
        <w:tc>
          <w:tcPr>
            <w:tcW w:w="1125"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150" w:firstLine="91"/>
              <w:rPr>
                <w:rFonts w:hint="default" w:cs="宋体"/>
                <w:color w:val="auto"/>
                <w:sz w:val="18"/>
                <w:szCs w:val="18"/>
              </w:rPr>
            </w:pPr>
            <w:r>
              <w:rPr>
                <w:rFonts w:cs="宋体"/>
                <w:color w:val="auto"/>
                <w:sz w:val="18"/>
                <w:szCs w:val="18"/>
              </w:rPr>
              <w:t>X≥2000</w:t>
            </w:r>
          </w:p>
          <w:p>
            <w:pPr>
              <w:pStyle w:val="21"/>
              <w:kinsoku w:val="0"/>
              <w:overflowPunct w:val="0"/>
              <w:spacing w:before="6"/>
              <w:rPr>
                <w:rFonts w:hint="default" w:cs="宋体"/>
                <w:color w:val="auto"/>
                <w:sz w:val="12"/>
                <w:szCs w:val="12"/>
              </w:rPr>
            </w:pPr>
          </w:p>
          <w:p>
            <w:pPr>
              <w:pStyle w:val="21"/>
              <w:kinsoku w:val="0"/>
              <w:overflowPunct w:val="0"/>
              <w:ind w:left="150"/>
              <w:rPr>
                <w:rFonts w:hint="default" w:ascii="Times New Roman" w:eastAsia="Times New Roman"/>
                <w:color w:val="auto"/>
              </w:rPr>
            </w:pPr>
            <w:r>
              <w:rPr>
                <w:rFonts w:cs="宋体"/>
                <w:color w:val="auto"/>
                <w:sz w:val="18"/>
                <w:szCs w:val="18"/>
              </w:rPr>
              <w:t>Y≥100000</w:t>
            </w:r>
          </w:p>
        </w:tc>
        <w:tc>
          <w:tcPr>
            <w:tcW w:w="1701"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305"/>
              <w:rPr>
                <w:rFonts w:hint="default" w:cs="宋体"/>
                <w:color w:val="auto"/>
                <w:sz w:val="18"/>
                <w:szCs w:val="18"/>
              </w:rPr>
            </w:pPr>
            <w:r>
              <w:rPr>
                <w:rFonts w:cs="宋体"/>
                <w:color w:val="auto"/>
                <w:sz w:val="18"/>
                <w:szCs w:val="18"/>
              </w:rPr>
              <w:t>100≤X＜2000</w:t>
            </w:r>
          </w:p>
          <w:p>
            <w:pPr>
              <w:pStyle w:val="21"/>
              <w:kinsoku w:val="0"/>
              <w:overflowPunct w:val="0"/>
              <w:spacing w:before="6"/>
              <w:rPr>
                <w:rFonts w:hint="default" w:cs="宋体"/>
                <w:color w:val="auto"/>
                <w:sz w:val="12"/>
                <w:szCs w:val="12"/>
              </w:rPr>
            </w:pPr>
          </w:p>
          <w:p>
            <w:pPr>
              <w:pStyle w:val="21"/>
              <w:kinsoku w:val="0"/>
              <w:overflowPunct w:val="0"/>
              <w:ind w:left="213"/>
              <w:rPr>
                <w:rFonts w:hint="default" w:ascii="Times New Roman" w:eastAsia="Times New Roman"/>
                <w:color w:val="auto"/>
              </w:rPr>
            </w:pPr>
            <w:r>
              <w:rPr>
                <w:rFonts w:cs="宋体"/>
                <w:color w:val="auto"/>
                <w:sz w:val="18"/>
                <w:szCs w:val="18"/>
              </w:rPr>
              <w:t>1000≤Y＜100000</w:t>
            </w:r>
          </w:p>
        </w:tc>
        <w:tc>
          <w:tcPr>
            <w:tcW w:w="1426"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303"/>
              <w:rPr>
                <w:rFonts w:hint="default" w:cs="宋体"/>
                <w:color w:val="auto"/>
                <w:sz w:val="18"/>
                <w:szCs w:val="18"/>
              </w:rPr>
            </w:pPr>
            <w:r>
              <w:rPr>
                <w:rFonts w:cs="宋体"/>
                <w:color w:val="auto"/>
                <w:sz w:val="18"/>
                <w:szCs w:val="18"/>
              </w:rPr>
              <w:t>10≤X＜100</w:t>
            </w:r>
          </w:p>
          <w:p>
            <w:pPr>
              <w:pStyle w:val="21"/>
              <w:kinsoku w:val="0"/>
              <w:overflowPunct w:val="0"/>
              <w:spacing w:before="6"/>
              <w:rPr>
                <w:rFonts w:hint="default" w:cs="宋体"/>
                <w:color w:val="auto"/>
                <w:sz w:val="12"/>
                <w:szCs w:val="12"/>
              </w:rPr>
            </w:pPr>
          </w:p>
          <w:p>
            <w:pPr>
              <w:pStyle w:val="21"/>
              <w:kinsoku w:val="0"/>
              <w:overflowPunct w:val="0"/>
              <w:ind w:left="212"/>
              <w:rPr>
                <w:rFonts w:hint="default" w:ascii="Times New Roman" w:eastAsia="Times New Roman"/>
                <w:color w:val="auto"/>
              </w:rPr>
            </w:pPr>
            <w:r>
              <w:rPr>
                <w:rFonts w:cs="宋体"/>
                <w:color w:val="auto"/>
                <w:sz w:val="18"/>
                <w:szCs w:val="18"/>
              </w:rPr>
              <w:t>100≤Y＜1000</w:t>
            </w:r>
          </w:p>
        </w:tc>
        <w:tc>
          <w:tcPr>
            <w:tcW w:w="992"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221" w:firstLine="45"/>
              <w:rPr>
                <w:rFonts w:hint="default" w:cs="宋体"/>
                <w:color w:val="auto"/>
                <w:sz w:val="18"/>
                <w:szCs w:val="18"/>
              </w:rPr>
            </w:pPr>
            <w:r>
              <w:rPr>
                <w:rFonts w:cs="宋体"/>
                <w:color w:val="auto"/>
                <w:sz w:val="18"/>
                <w:szCs w:val="18"/>
              </w:rPr>
              <w:t>X＜10</w:t>
            </w:r>
          </w:p>
          <w:p>
            <w:pPr>
              <w:pStyle w:val="21"/>
              <w:kinsoku w:val="0"/>
              <w:overflowPunct w:val="0"/>
              <w:spacing w:before="6"/>
              <w:rPr>
                <w:rFonts w:hint="default" w:cs="宋体"/>
                <w:color w:val="auto"/>
                <w:sz w:val="12"/>
                <w:szCs w:val="12"/>
              </w:rPr>
            </w:pPr>
          </w:p>
          <w:p>
            <w:pPr>
              <w:pStyle w:val="21"/>
              <w:kinsoku w:val="0"/>
              <w:overflowPunct w:val="0"/>
              <w:ind w:left="221"/>
              <w:rPr>
                <w:rFonts w:hint="default" w:ascii="Times New Roman" w:eastAsia="Times New Roman"/>
                <w:color w:val="auto"/>
              </w:rPr>
            </w:pPr>
            <w:r>
              <w:rPr>
                <w:rFonts w:cs="宋体"/>
                <w:color w:val="auto"/>
                <w:sz w:val="18"/>
                <w:szCs w:val="18"/>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82"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79" w:line="244" w:lineRule="auto"/>
              <w:ind w:left="108" w:right="238"/>
              <w:rPr>
                <w:rFonts w:hint="default" w:ascii="Times New Roman" w:eastAsia="Times New Roman"/>
                <w:color w:val="auto"/>
              </w:rPr>
            </w:pPr>
            <w:r>
              <w:rPr>
                <w:rFonts w:cs="宋体"/>
                <w:color w:val="auto"/>
                <w:spacing w:val="-22"/>
                <w:sz w:val="18"/>
                <w:szCs w:val="18"/>
              </w:rPr>
              <w:t>软件和信息技术服务</w:t>
            </w:r>
            <w:r>
              <w:rPr>
                <w:rFonts w:cs="宋体"/>
                <w:color w:val="auto"/>
                <w:spacing w:val="-84"/>
                <w:sz w:val="18"/>
                <w:szCs w:val="18"/>
              </w:rPr>
              <w:t xml:space="preserve"> </w:t>
            </w:r>
            <w:r>
              <w:rPr>
                <w:rFonts w:cs="宋体"/>
                <w:color w:val="auto"/>
                <w:sz w:val="18"/>
                <w:szCs w:val="18"/>
              </w:rPr>
              <w:t>业</w:t>
            </w:r>
          </w:p>
        </w:tc>
        <w:tc>
          <w:tcPr>
            <w:tcW w:w="1369"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19"/>
              <w:ind w:left="184"/>
              <w:rPr>
                <w:rFonts w:hint="default" w:cs="宋体"/>
                <w:color w:val="auto"/>
                <w:sz w:val="18"/>
                <w:szCs w:val="18"/>
              </w:rPr>
            </w:pPr>
            <w:r>
              <w:rPr>
                <w:rFonts w:cs="宋体"/>
                <w:color w:val="auto"/>
                <w:sz w:val="18"/>
                <w:szCs w:val="18"/>
              </w:rPr>
              <w:t>从业人员(X)</w:t>
            </w:r>
          </w:p>
          <w:p>
            <w:pPr>
              <w:pStyle w:val="21"/>
              <w:kinsoku w:val="0"/>
              <w:overflowPunct w:val="0"/>
              <w:spacing w:before="105"/>
              <w:ind w:left="184"/>
              <w:rPr>
                <w:rFonts w:hint="default" w:ascii="Times New Roman" w:eastAsia="Times New Roman"/>
                <w:color w:val="auto"/>
              </w:rPr>
            </w:pPr>
            <w:r>
              <w:rPr>
                <w:rFonts w:cs="宋体"/>
                <w:color w:val="auto"/>
                <w:sz w:val="18"/>
                <w:szCs w:val="18"/>
              </w:rPr>
              <w:t>营业收入(Y)</w:t>
            </w:r>
          </w:p>
        </w:tc>
        <w:tc>
          <w:tcPr>
            <w:tcW w:w="709"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19"/>
              <w:ind w:left="168" w:firstLine="91"/>
              <w:rPr>
                <w:rFonts w:hint="default" w:cs="宋体"/>
                <w:color w:val="auto"/>
                <w:sz w:val="18"/>
                <w:szCs w:val="18"/>
              </w:rPr>
            </w:pPr>
            <w:r>
              <w:rPr>
                <w:rFonts w:cs="宋体"/>
                <w:color w:val="auto"/>
                <w:sz w:val="18"/>
                <w:szCs w:val="18"/>
              </w:rPr>
              <w:t>人</w:t>
            </w:r>
          </w:p>
          <w:p>
            <w:pPr>
              <w:pStyle w:val="21"/>
              <w:kinsoku w:val="0"/>
              <w:overflowPunct w:val="0"/>
              <w:spacing w:before="105"/>
              <w:ind w:left="168"/>
              <w:rPr>
                <w:rFonts w:hint="default" w:ascii="Times New Roman" w:eastAsia="Times New Roman"/>
                <w:color w:val="auto"/>
              </w:rPr>
            </w:pPr>
            <w:r>
              <w:rPr>
                <w:rFonts w:cs="宋体"/>
                <w:color w:val="auto"/>
                <w:sz w:val="18"/>
                <w:szCs w:val="18"/>
              </w:rPr>
              <w:t>万元</w:t>
            </w:r>
          </w:p>
        </w:tc>
        <w:tc>
          <w:tcPr>
            <w:tcW w:w="1125"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19"/>
              <w:ind w:left="196" w:firstLine="91"/>
              <w:rPr>
                <w:rFonts w:hint="default" w:cs="宋体"/>
                <w:color w:val="auto"/>
                <w:sz w:val="18"/>
                <w:szCs w:val="18"/>
              </w:rPr>
            </w:pPr>
            <w:r>
              <w:rPr>
                <w:rFonts w:cs="宋体"/>
                <w:color w:val="auto"/>
                <w:sz w:val="18"/>
                <w:szCs w:val="18"/>
              </w:rPr>
              <w:t>X≥300</w:t>
            </w:r>
          </w:p>
          <w:p>
            <w:pPr>
              <w:pStyle w:val="21"/>
              <w:kinsoku w:val="0"/>
              <w:overflowPunct w:val="0"/>
              <w:spacing w:before="105"/>
              <w:ind w:left="196"/>
              <w:rPr>
                <w:rFonts w:hint="default" w:ascii="Times New Roman" w:eastAsia="Times New Roman"/>
                <w:color w:val="auto"/>
              </w:rPr>
            </w:pPr>
            <w:r>
              <w:rPr>
                <w:rFonts w:cs="宋体"/>
                <w:color w:val="auto"/>
                <w:sz w:val="18"/>
                <w:szCs w:val="18"/>
              </w:rPr>
              <w:t>Y≥10000</w:t>
            </w:r>
          </w:p>
        </w:tc>
        <w:tc>
          <w:tcPr>
            <w:tcW w:w="1701"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19"/>
              <w:ind w:left="297"/>
              <w:rPr>
                <w:rFonts w:hint="default" w:cs="宋体"/>
                <w:color w:val="auto"/>
                <w:sz w:val="18"/>
                <w:szCs w:val="18"/>
              </w:rPr>
            </w:pPr>
            <w:r>
              <w:rPr>
                <w:rFonts w:cs="宋体"/>
                <w:color w:val="auto"/>
                <w:sz w:val="18"/>
                <w:szCs w:val="18"/>
              </w:rPr>
              <w:t>100≤X＜300</w:t>
            </w:r>
          </w:p>
          <w:p>
            <w:pPr>
              <w:pStyle w:val="21"/>
              <w:kinsoku w:val="0"/>
              <w:overflowPunct w:val="0"/>
              <w:spacing w:before="105"/>
              <w:ind w:left="213"/>
              <w:rPr>
                <w:rFonts w:hint="default" w:ascii="Times New Roman" w:eastAsia="Times New Roman"/>
                <w:color w:val="auto"/>
              </w:rPr>
            </w:pPr>
            <w:r>
              <w:rPr>
                <w:rFonts w:cs="宋体"/>
                <w:color w:val="auto"/>
                <w:sz w:val="18"/>
                <w:szCs w:val="18"/>
              </w:rPr>
              <w:t>1000≤Y＜10000</w:t>
            </w:r>
          </w:p>
        </w:tc>
        <w:tc>
          <w:tcPr>
            <w:tcW w:w="1426"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19"/>
              <w:ind w:left="303"/>
              <w:rPr>
                <w:rFonts w:hint="default" w:cs="宋体"/>
                <w:color w:val="auto"/>
                <w:sz w:val="18"/>
                <w:szCs w:val="18"/>
              </w:rPr>
            </w:pPr>
            <w:r>
              <w:rPr>
                <w:rFonts w:cs="宋体"/>
                <w:color w:val="auto"/>
                <w:sz w:val="18"/>
                <w:szCs w:val="18"/>
              </w:rPr>
              <w:t>10≤X＜100</w:t>
            </w:r>
          </w:p>
          <w:p>
            <w:pPr>
              <w:pStyle w:val="21"/>
              <w:kinsoku w:val="0"/>
              <w:overflowPunct w:val="0"/>
              <w:spacing w:before="105"/>
              <w:ind w:left="303"/>
              <w:rPr>
                <w:rFonts w:hint="default" w:ascii="Times New Roman" w:eastAsia="Times New Roman"/>
                <w:color w:val="auto"/>
              </w:rPr>
            </w:pPr>
            <w:r>
              <w:rPr>
                <w:rFonts w:cs="宋体"/>
                <w:color w:val="auto"/>
                <w:sz w:val="18"/>
                <w:szCs w:val="18"/>
              </w:rPr>
              <w:t>50≤Y＜1000</w:t>
            </w:r>
          </w:p>
        </w:tc>
        <w:tc>
          <w:tcPr>
            <w:tcW w:w="992"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19"/>
              <w:ind w:left="267"/>
              <w:rPr>
                <w:rFonts w:hint="default" w:cs="宋体"/>
                <w:color w:val="auto"/>
                <w:sz w:val="18"/>
                <w:szCs w:val="18"/>
              </w:rPr>
            </w:pPr>
            <w:r>
              <w:rPr>
                <w:rFonts w:cs="宋体"/>
                <w:color w:val="auto"/>
                <w:sz w:val="18"/>
                <w:szCs w:val="18"/>
              </w:rPr>
              <w:t>X＜10</w:t>
            </w:r>
          </w:p>
          <w:p>
            <w:pPr>
              <w:pStyle w:val="21"/>
              <w:kinsoku w:val="0"/>
              <w:overflowPunct w:val="0"/>
              <w:spacing w:before="105"/>
              <w:ind w:left="267"/>
              <w:rPr>
                <w:rFonts w:hint="default" w:ascii="Times New Roman" w:eastAsia="Times New Roman"/>
                <w:color w:val="auto"/>
              </w:rPr>
            </w:pPr>
            <w:r>
              <w:rPr>
                <w:rFonts w:cs="宋体"/>
                <w:color w:val="auto"/>
                <w:sz w:val="18"/>
                <w:szCs w:val="18"/>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82"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2"/>
              <w:rPr>
                <w:rFonts w:hint="default" w:cs="宋体"/>
                <w:color w:val="auto"/>
                <w:sz w:val="15"/>
                <w:szCs w:val="15"/>
              </w:rPr>
            </w:pPr>
          </w:p>
          <w:p>
            <w:pPr>
              <w:pStyle w:val="21"/>
              <w:kinsoku w:val="0"/>
              <w:overflowPunct w:val="0"/>
              <w:ind w:left="108"/>
              <w:rPr>
                <w:rFonts w:hint="default" w:ascii="Times New Roman" w:eastAsia="Times New Roman"/>
                <w:color w:val="auto"/>
              </w:rPr>
            </w:pPr>
            <w:r>
              <w:rPr>
                <w:rFonts w:cs="宋体"/>
                <w:color w:val="auto"/>
                <w:sz w:val="18"/>
                <w:szCs w:val="18"/>
              </w:rPr>
              <w:t>房地产开发经营</w:t>
            </w:r>
          </w:p>
        </w:tc>
        <w:tc>
          <w:tcPr>
            <w:tcW w:w="1369"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20"/>
              <w:ind w:left="184"/>
              <w:rPr>
                <w:rFonts w:hint="default" w:cs="宋体"/>
                <w:color w:val="auto"/>
                <w:sz w:val="18"/>
                <w:szCs w:val="18"/>
              </w:rPr>
            </w:pPr>
            <w:r>
              <w:rPr>
                <w:rFonts w:cs="宋体"/>
                <w:color w:val="auto"/>
                <w:sz w:val="18"/>
                <w:szCs w:val="18"/>
              </w:rPr>
              <w:t>营业收入(Y)</w:t>
            </w:r>
          </w:p>
          <w:p>
            <w:pPr>
              <w:pStyle w:val="21"/>
              <w:kinsoku w:val="0"/>
              <w:overflowPunct w:val="0"/>
              <w:spacing w:before="112"/>
              <w:ind w:left="184"/>
              <w:rPr>
                <w:rFonts w:hint="default" w:ascii="Times New Roman" w:eastAsia="Times New Roman"/>
                <w:color w:val="auto"/>
              </w:rPr>
            </w:pPr>
            <w:r>
              <w:rPr>
                <w:rFonts w:cs="宋体"/>
                <w:color w:val="auto"/>
                <w:sz w:val="18"/>
                <w:szCs w:val="18"/>
              </w:rPr>
              <w:t>资产总额(Z)</w:t>
            </w:r>
          </w:p>
        </w:tc>
        <w:tc>
          <w:tcPr>
            <w:tcW w:w="709"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20" w:line="345" w:lineRule="auto"/>
              <w:ind w:left="168" w:right="168"/>
              <w:rPr>
                <w:rFonts w:hint="default" w:ascii="Times New Roman" w:eastAsia="Times New Roman"/>
                <w:color w:val="auto"/>
              </w:rPr>
            </w:pPr>
            <w:r>
              <w:rPr>
                <w:rFonts w:cs="宋体"/>
                <w:color w:val="auto"/>
                <w:sz w:val="18"/>
                <w:szCs w:val="18"/>
              </w:rPr>
              <w:t>万元 万元</w:t>
            </w:r>
          </w:p>
        </w:tc>
        <w:tc>
          <w:tcPr>
            <w:tcW w:w="1125"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20" w:line="345" w:lineRule="auto"/>
              <w:ind w:left="196" w:right="150" w:hanging="46"/>
              <w:rPr>
                <w:rFonts w:hint="default" w:ascii="Times New Roman" w:eastAsia="Times New Roman"/>
                <w:color w:val="auto"/>
              </w:rPr>
            </w:pPr>
            <w:r>
              <w:rPr>
                <w:rFonts w:cs="宋体"/>
                <w:color w:val="auto"/>
                <w:sz w:val="18"/>
                <w:szCs w:val="18"/>
              </w:rPr>
              <w:t>Y≥200000 Z≥10000</w:t>
            </w:r>
          </w:p>
        </w:tc>
        <w:tc>
          <w:tcPr>
            <w:tcW w:w="1701"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20"/>
              <w:ind w:left="213"/>
              <w:rPr>
                <w:rFonts w:hint="default" w:cs="宋体"/>
                <w:color w:val="auto"/>
                <w:sz w:val="18"/>
                <w:szCs w:val="18"/>
              </w:rPr>
            </w:pPr>
            <w:r>
              <w:rPr>
                <w:rFonts w:cs="宋体"/>
                <w:color w:val="auto"/>
                <w:sz w:val="18"/>
                <w:szCs w:val="18"/>
              </w:rPr>
              <w:t>1000≤Y＜200000</w:t>
            </w:r>
          </w:p>
          <w:p>
            <w:pPr>
              <w:pStyle w:val="21"/>
              <w:kinsoku w:val="0"/>
              <w:overflowPunct w:val="0"/>
              <w:spacing w:before="103"/>
              <w:ind w:left="213"/>
              <w:rPr>
                <w:rFonts w:hint="default" w:ascii="Times New Roman" w:eastAsia="Times New Roman"/>
                <w:color w:val="auto"/>
              </w:rPr>
            </w:pPr>
            <w:r>
              <w:rPr>
                <w:rFonts w:cs="宋体"/>
                <w:color w:val="auto"/>
                <w:sz w:val="18"/>
                <w:szCs w:val="18"/>
              </w:rPr>
              <w:t>5000≤Z＜10000</w:t>
            </w:r>
          </w:p>
        </w:tc>
        <w:tc>
          <w:tcPr>
            <w:tcW w:w="1426"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20"/>
              <w:ind w:left="212"/>
              <w:rPr>
                <w:rFonts w:hint="default" w:cs="宋体"/>
                <w:color w:val="auto"/>
                <w:sz w:val="18"/>
                <w:szCs w:val="18"/>
              </w:rPr>
            </w:pPr>
            <w:r>
              <w:rPr>
                <w:rFonts w:cs="宋体"/>
                <w:color w:val="auto"/>
                <w:sz w:val="18"/>
                <w:szCs w:val="18"/>
              </w:rPr>
              <w:t>100≤Y＜1000</w:t>
            </w:r>
          </w:p>
          <w:p>
            <w:pPr>
              <w:pStyle w:val="21"/>
              <w:kinsoku w:val="0"/>
              <w:overflowPunct w:val="0"/>
              <w:spacing w:before="103"/>
              <w:ind w:left="123"/>
              <w:rPr>
                <w:rFonts w:hint="default" w:ascii="Times New Roman" w:eastAsia="Times New Roman"/>
                <w:color w:val="auto"/>
              </w:rPr>
            </w:pPr>
            <w:r>
              <w:rPr>
                <w:rFonts w:cs="宋体"/>
                <w:color w:val="auto"/>
                <w:sz w:val="18"/>
                <w:szCs w:val="18"/>
              </w:rPr>
              <w:t>2000≤Z＜5000</w:t>
            </w:r>
          </w:p>
        </w:tc>
        <w:tc>
          <w:tcPr>
            <w:tcW w:w="992"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20" w:line="345" w:lineRule="auto"/>
              <w:ind w:left="175" w:right="177" w:firstLine="45"/>
              <w:rPr>
                <w:rFonts w:hint="default" w:ascii="Times New Roman" w:eastAsia="Times New Roman"/>
                <w:color w:val="auto"/>
              </w:rPr>
            </w:pPr>
            <w:r>
              <w:rPr>
                <w:rFonts w:cs="宋体"/>
                <w:color w:val="auto"/>
                <w:sz w:val="18"/>
                <w:szCs w:val="18"/>
              </w:rPr>
              <w:t>Y＜100 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82"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1"/>
              <w:rPr>
                <w:rFonts w:hint="default" w:cs="宋体"/>
                <w:color w:val="auto"/>
                <w:sz w:val="15"/>
                <w:szCs w:val="15"/>
              </w:rPr>
            </w:pPr>
          </w:p>
          <w:p>
            <w:pPr>
              <w:pStyle w:val="21"/>
              <w:kinsoku w:val="0"/>
              <w:overflowPunct w:val="0"/>
              <w:ind w:left="108"/>
              <w:rPr>
                <w:rFonts w:hint="default" w:ascii="Times New Roman" w:eastAsia="Times New Roman"/>
                <w:color w:val="auto"/>
              </w:rPr>
            </w:pPr>
            <w:r>
              <w:rPr>
                <w:rFonts w:cs="宋体"/>
                <w:color w:val="auto"/>
                <w:sz w:val="18"/>
                <w:szCs w:val="18"/>
              </w:rPr>
              <w:t>物业管理</w:t>
            </w:r>
          </w:p>
        </w:tc>
        <w:tc>
          <w:tcPr>
            <w:tcW w:w="1369"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19"/>
              <w:ind w:left="184"/>
              <w:rPr>
                <w:rFonts w:hint="default" w:cs="宋体"/>
                <w:color w:val="auto"/>
                <w:sz w:val="18"/>
                <w:szCs w:val="18"/>
              </w:rPr>
            </w:pPr>
            <w:r>
              <w:rPr>
                <w:rFonts w:cs="宋体"/>
                <w:color w:val="auto"/>
                <w:sz w:val="18"/>
                <w:szCs w:val="18"/>
              </w:rPr>
              <w:t>从业人员(X)</w:t>
            </w:r>
          </w:p>
          <w:p>
            <w:pPr>
              <w:pStyle w:val="21"/>
              <w:kinsoku w:val="0"/>
              <w:overflowPunct w:val="0"/>
              <w:spacing w:before="112"/>
              <w:ind w:left="184"/>
              <w:rPr>
                <w:rFonts w:hint="default" w:ascii="Times New Roman" w:eastAsia="Times New Roman"/>
                <w:color w:val="auto"/>
              </w:rPr>
            </w:pPr>
            <w:r>
              <w:rPr>
                <w:rFonts w:cs="宋体"/>
                <w:color w:val="auto"/>
                <w:sz w:val="18"/>
                <w:szCs w:val="18"/>
              </w:rPr>
              <w:t>营业收入(Y)</w:t>
            </w:r>
          </w:p>
        </w:tc>
        <w:tc>
          <w:tcPr>
            <w:tcW w:w="709"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19"/>
              <w:ind w:left="168" w:firstLine="91"/>
              <w:rPr>
                <w:rFonts w:hint="default" w:cs="宋体"/>
                <w:color w:val="auto"/>
                <w:sz w:val="18"/>
                <w:szCs w:val="18"/>
              </w:rPr>
            </w:pPr>
            <w:r>
              <w:rPr>
                <w:rFonts w:cs="宋体"/>
                <w:color w:val="auto"/>
                <w:sz w:val="18"/>
                <w:szCs w:val="18"/>
              </w:rPr>
              <w:t>人</w:t>
            </w:r>
          </w:p>
          <w:p>
            <w:pPr>
              <w:pStyle w:val="21"/>
              <w:kinsoku w:val="0"/>
              <w:overflowPunct w:val="0"/>
              <w:spacing w:before="105"/>
              <w:ind w:left="168"/>
              <w:rPr>
                <w:rFonts w:hint="default" w:ascii="Times New Roman" w:eastAsia="Times New Roman"/>
                <w:color w:val="auto"/>
              </w:rPr>
            </w:pPr>
            <w:r>
              <w:rPr>
                <w:rFonts w:cs="宋体"/>
                <w:color w:val="auto"/>
                <w:sz w:val="18"/>
                <w:szCs w:val="18"/>
              </w:rPr>
              <w:t>万元</w:t>
            </w:r>
          </w:p>
        </w:tc>
        <w:tc>
          <w:tcPr>
            <w:tcW w:w="1125"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19"/>
              <w:ind w:left="242"/>
              <w:rPr>
                <w:rFonts w:hint="default" w:cs="宋体"/>
                <w:color w:val="auto"/>
                <w:sz w:val="18"/>
                <w:szCs w:val="18"/>
              </w:rPr>
            </w:pPr>
            <w:r>
              <w:rPr>
                <w:rFonts w:cs="宋体"/>
                <w:color w:val="auto"/>
                <w:sz w:val="18"/>
                <w:szCs w:val="18"/>
              </w:rPr>
              <w:t>X≥1000</w:t>
            </w:r>
          </w:p>
          <w:p>
            <w:pPr>
              <w:pStyle w:val="21"/>
              <w:kinsoku w:val="0"/>
              <w:overflowPunct w:val="0"/>
              <w:spacing w:before="105"/>
              <w:ind w:left="242"/>
              <w:rPr>
                <w:rFonts w:hint="default" w:ascii="Times New Roman" w:eastAsia="Times New Roman"/>
                <w:color w:val="auto"/>
              </w:rPr>
            </w:pPr>
            <w:r>
              <w:rPr>
                <w:rFonts w:cs="宋体"/>
                <w:color w:val="auto"/>
                <w:sz w:val="18"/>
                <w:szCs w:val="18"/>
              </w:rPr>
              <w:t>Y≥5000</w:t>
            </w:r>
          </w:p>
        </w:tc>
        <w:tc>
          <w:tcPr>
            <w:tcW w:w="1701"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19"/>
              <w:ind w:left="305"/>
              <w:rPr>
                <w:rFonts w:hint="default" w:cs="宋体"/>
                <w:color w:val="auto"/>
                <w:sz w:val="18"/>
                <w:szCs w:val="18"/>
              </w:rPr>
            </w:pPr>
            <w:r>
              <w:rPr>
                <w:rFonts w:cs="宋体"/>
                <w:color w:val="auto"/>
                <w:sz w:val="18"/>
                <w:szCs w:val="18"/>
              </w:rPr>
              <w:t>300≤X＜1000</w:t>
            </w:r>
          </w:p>
          <w:p>
            <w:pPr>
              <w:pStyle w:val="21"/>
              <w:kinsoku w:val="0"/>
              <w:overflowPunct w:val="0"/>
              <w:spacing w:before="105"/>
              <w:ind w:left="206"/>
              <w:rPr>
                <w:rFonts w:hint="default" w:ascii="Times New Roman" w:eastAsia="Times New Roman"/>
                <w:color w:val="auto"/>
              </w:rPr>
            </w:pPr>
            <w:r>
              <w:rPr>
                <w:rFonts w:cs="宋体"/>
                <w:color w:val="auto"/>
                <w:sz w:val="18"/>
                <w:szCs w:val="18"/>
              </w:rPr>
              <w:t>1000≤Y＜5000</w:t>
            </w:r>
          </w:p>
        </w:tc>
        <w:tc>
          <w:tcPr>
            <w:tcW w:w="1426"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19"/>
              <w:ind w:left="212"/>
              <w:rPr>
                <w:rFonts w:hint="default" w:cs="宋体"/>
                <w:color w:val="auto"/>
                <w:sz w:val="18"/>
                <w:szCs w:val="18"/>
              </w:rPr>
            </w:pPr>
            <w:r>
              <w:rPr>
                <w:rFonts w:cs="宋体"/>
                <w:color w:val="auto"/>
                <w:sz w:val="18"/>
                <w:szCs w:val="18"/>
              </w:rPr>
              <w:t>100≤X＜300</w:t>
            </w:r>
          </w:p>
          <w:p>
            <w:pPr>
              <w:pStyle w:val="21"/>
              <w:kinsoku w:val="0"/>
              <w:overflowPunct w:val="0"/>
              <w:spacing w:before="105"/>
              <w:ind w:left="212"/>
              <w:rPr>
                <w:rFonts w:hint="default" w:ascii="Times New Roman" w:eastAsia="Times New Roman"/>
                <w:color w:val="auto"/>
              </w:rPr>
            </w:pPr>
            <w:r>
              <w:rPr>
                <w:rFonts w:cs="宋体"/>
                <w:color w:val="auto"/>
                <w:sz w:val="18"/>
                <w:szCs w:val="18"/>
              </w:rPr>
              <w:t>500≤Y＜1000</w:t>
            </w:r>
          </w:p>
        </w:tc>
        <w:tc>
          <w:tcPr>
            <w:tcW w:w="992"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19"/>
              <w:ind w:left="221"/>
              <w:rPr>
                <w:rFonts w:hint="default" w:cs="宋体"/>
                <w:color w:val="auto"/>
                <w:sz w:val="18"/>
                <w:szCs w:val="18"/>
              </w:rPr>
            </w:pPr>
            <w:r>
              <w:rPr>
                <w:rFonts w:cs="宋体"/>
                <w:color w:val="auto"/>
                <w:sz w:val="18"/>
                <w:szCs w:val="18"/>
              </w:rPr>
              <w:t>X＜100</w:t>
            </w:r>
          </w:p>
          <w:p>
            <w:pPr>
              <w:pStyle w:val="21"/>
              <w:kinsoku w:val="0"/>
              <w:overflowPunct w:val="0"/>
              <w:spacing w:before="105"/>
              <w:ind w:left="221"/>
              <w:rPr>
                <w:rFonts w:hint="default" w:ascii="Times New Roman" w:eastAsia="Times New Roman"/>
                <w:color w:val="auto"/>
              </w:rPr>
            </w:pPr>
            <w:r>
              <w:rPr>
                <w:rFonts w:cs="宋体"/>
                <w:color w:val="auto"/>
                <w:sz w:val="18"/>
                <w:szCs w:val="18"/>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82"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3"/>
              <w:rPr>
                <w:rFonts w:hint="default" w:cs="宋体"/>
                <w:color w:val="auto"/>
                <w:sz w:val="15"/>
                <w:szCs w:val="15"/>
              </w:rPr>
            </w:pPr>
          </w:p>
          <w:p>
            <w:pPr>
              <w:pStyle w:val="21"/>
              <w:kinsoku w:val="0"/>
              <w:overflowPunct w:val="0"/>
              <w:ind w:left="108"/>
              <w:rPr>
                <w:rFonts w:hint="default" w:ascii="Times New Roman" w:eastAsia="Times New Roman"/>
                <w:color w:val="auto"/>
              </w:rPr>
            </w:pPr>
            <w:r>
              <w:rPr>
                <w:rFonts w:cs="宋体"/>
                <w:color w:val="auto"/>
                <w:sz w:val="18"/>
                <w:szCs w:val="18"/>
              </w:rPr>
              <w:t>租赁和商务服务业</w:t>
            </w:r>
          </w:p>
        </w:tc>
        <w:tc>
          <w:tcPr>
            <w:tcW w:w="1369"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19"/>
              <w:ind w:left="184"/>
              <w:rPr>
                <w:rFonts w:hint="default" w:cs="宋体"/>
                <w:color w:val="auto"/>
                <w:sz w:val="18"/>
                <w:szCs w:val="18"/>
              </w:rPr>
            </w:pPr>
            <w:r>
              <w:rPr>
                <w:rFonts w:cs="宋体"/>
                <w:color w:val="auto"/>
                <w:sz w:val="18"/>
                <w:szCs w:val="18"/>
              </w:rPr>
              <w:t>从业人员(X)</w:t>
            </w:r>
          </w:p>
          <w:p>
            <w:pPr>
              <w:pStyle w:val="21"/>
              <w:kinsoku w:val="0"/>
              <w:overflowPunct w:val="0"/>
              <w:spacing w:before="112"/>
              <w:ind w:left="184"/>
              <w:rPr>
                <w:rFonts w:hint="default" w:ascii="Times New Roman" w:eastAsia="Times New Roman"/>
                <w:color w:val="auto"/>
              </w:rPr>
            </w:pPr>
            <w:r>
              <w:rPr>
                <w:rFonts w:cs="宋体"/>
                <w:color w:val="auto"/>
                <w:sz w:val="18"/>
                <w:szCs w:val="18"/>
              </w:rPr>
              <w:t>资产总额(Z)</w:t>
            </w:r>
          </w:p>
        </w:tc>
        <w:tc>
          <w:tcPr>
            <w:tcW w:w="709"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19"/>
              <w:ind w:left="168" w:firstLine="91"/>
              <w:rPr>
                <w:rFonts w:hint="default" w:cs="宋体"/>
                <w:color w:val="auto"/>
                <w:sz w:val="18"/>
                <w:szCs w:val="18"/>
              </w:rPr>
            </w:pPr>
            <w:r>
              <w:rPr>
                <w:rFonts w:cs="宋体"/>
                <w:color w:val="auto"/>
                <w:sz w:val="18"/>
                <w:szCs w:val="18"/>
              </w:rPr>
              <w:t>人</w:t>
            </w:r>
          </w:p>
          <w:p>
            <w:pPr>
              <w:pStyle w:val="21"/>
              <w:kinsoku w:val="0"/>
              <w:overflowPunct w:val="0"/>
              <w:spacing w:before="105"/>
              <w:ind w:left="168"/>
              <w:rPr>
                <w:rFonts w:hint="default" w:ascii="Times New Roman" w:eastAsia="Times New Roman"/>
                <w:color w:val="auto"/>
              </w:rPr>
            </w:pPr>
            <w:r>
              <w:rPr>
                <w:rFonts w:cs="宋体"/>
                <w:color w:val="auto"/>
                <w:sz w:val="18"/>
                <w:szCs w:val="18"/>
              </w:rPr>
              <w:t>万元</w:t>
            </w:r>
          </w:p>
        </w:tc>
        <w:tc>
          <w:tcPr>
            <w:tcW w:w="1125"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19"/>
              <w:ind w:right="1"/>
              <w:jc w:val="center"/>
              <w:rPr>
                <w:rFonts w:hint="default" w:cs="宋体"/>
                <w:color w:val="auto"/>
                <w:sz w:val="18"/>
                <w:szCs w:val="18"/>
              </w:rPr>
            </w:pPr>
            <w:r>
              <w:rPr>
                <w:rFonts w:cs="宋体"/>
                <w:color w:val="auto"/>
                <w:sz w:val="18"/>
                <w:szCs w:val="18"/>
              </w:rPr>
              <w:t>X≥300</w:t>
            </w:r>
          </w:p>
          <w:p>
            <w:pPr>
              <w:pStyle w:val="21"/>
              <w:kinsoku w:val="0"/>
              <w:overflowPunct w:val="0"/>
              <w:spacing w:before="105"/>
              <w:ind w:right="1"/>
              <w:jc w:val="center"/>
              <w:rPr>
                <w:rFonts w:hint="default" w:ascii="Times New Roman" w:eastAsia="Times New Roman"/>
                <w:color w:val="auto"/>
              </w:rPr>
            </w:pPr>
            <w:r>
              <w:rPr>
                <w:rFonts w:cs="宋体"/>
                <w:color w:val="auto"/>
                <w:sz w:val="18"/>
                <w:szCs w:val="18"/>
              </w:rPr>
              <w:t>Z≥120000</w:t>
            </w:r>
          </w:p>
        </w:tc>
        <w:tc>
          <w:tcPr>
            <w:tcW w:w="1701"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19"/>
              <w:ind w:left="297"/>
              <w:rPr>
                <w:rFonts w:hint="default" w:cs="宋体"/>
                <w:color w:val="auto"/>
                <w:sz w:val="18"/>
                <w:szCs w:val="18"/>
              </w:rPr>
            </w:pPr>
            <w:r>
              <w:rPr>
                <w:rFonts w:cs="宋体"/>
                <w:color w:val="auto"/>
                <w:sz w:val="18"/>
                <w:szCs w:val="18"/>
              </w:rPr>
              <w:t>100≤X＜300</w:t>
            </w:r>
          </w:p>
          <w:p>
            <w:pPr>
              <w:pStyle w:val="21"/>
              <w:kinsoku w:val="0"/>
              <w:overflowPunct w:val="0"/>
              <w:spacing w:before="105"/>
              <w:ind w:left="213"/>
              <w:rPr>
                <w:rFonts w:hint="default" w:ascii="Times New Roman" w:eastAsia="Times New Roman"/>
                <w:color w:val="auto"/>
              </w:rPr>
            </w:pPr>
            <w:r>
              <w:rPr>
                <w:rFonts w:cs="宋体"/>
                <w:color w:val="auto"/>
                <w:sz w:val="18"/>
                <w:szCs w:val="18"/>
              </w:rPr>
              <w:t>8000≤Z＜120000</w:t>
            </w:r>
          </w:p>
        </w:tc>
        <w:tc>
          <w:tcPr>
            <w:tcW w:w="1426"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19"/>
              <w:ind w:left="303"/>
              <w:rPr>
                <w:rFonts w:hint="default" w:cs="宋体"/>
                <w:color w:val="auto"/>
                <w:sz w:val="18"/>
                <w:szCs w:val="18"/>
              </w:rPr>
            </w:pPr>
            <w:r>
              <w:rPr>
                <w:rFonts w:cs="宋体"/>
                <w:color w:val="auto"/>
                <w:sz w:val="18"/>
                <w:szCs w:val="18"/>
              </w:rPr>
              <w:t>10≤X＜100</w:t>
            </w:r>
          </w:p>
          <w:p>
            <w:pPr>
              <w:pStyle w:val="21"/>
              <w:kinsoku w:val="0"/>
              <w:overflowPunct w:val="0"/>
              <w:spacing w:before="105"/>
              <w:ind w:left="212"/>
              <w:rPr>
                <w:rFonts w:hint="default" w:ascii="Times New Roman" w:eastAsia="Times New Roman"/>
                <w:color w:val="auto"/>
              </w:rPr>
            </w:pPr>
            <w:r>
              <w:rPr>
                <w:rFonts w:cs="宋体"/>
                <w:color w:val="auto"/>
                <w:sz w:val="18"/>
                <w:szCs w:val="18"/>
              </w:rPr>
              <w:t>100≤Z＜8000</w:t>
            </w:r>
          </w:p>
        </w:tc>
        <w:tc>
          <w:tcPr>
            <w:tcW w:w="992"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19"/>
              <w:ind w:left="221" w:firstLine="45"/>
              <w:rPr>
                <w:rFonts w:hint="default" w:cs="宋体"/>
                <w:color w:val="auto"/>
                <w:sz w:val="18"/>
                <w:szCs w:val="18"/>
              </w:rPr>
            </w:pPr>
            <w:r>
              <w:rPr>
                <w:rFonts w:cs="宋体"/>
                <w:color w:val="auto"/>
                <w:sz w:val="18"/>
                <w:szCs w:val="18"/>
              </w:rPr>
              <w:t>X＜10</w:t>
            </w:r>
          </w:p>
          <w:p>
            <w:pPr>
              <w:pStyle w:val="21"/>
              <w:kinsoku w:val="0"/>
              <w:overflowPunct w:val="0"/>
              <w:spacing w:before="105"/>
              <w:ind w:left="221"/>
              <w:rPr>
                <w:rFonts w:hint="default" w:ascii="Times New Roman" w:eastAsia="Times New Roman"/>
                <w:color w:val="auto"/>
              </w:rPr>
            </w:pPr>
            <w:r>
              <w:rPr>
                <w:rFonts w:cs="宋体"/>
                <w:color w:val="auto"/>
                <w:sz w:val="18"/>
                <w:szCs w:val="18"/>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782"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56"/>
              <w:ind w:left="108"/>
              <w:rPr>
                <w:rFonts w:hint="default" w:ascii="Times New Roman" w:eastAsia="Times New Roman"/>
                <w:color w:val="auto"/>
              </w:rPr>
            </w:pPr>
            <w:r>
              <w:rPr>
                <w:rFonts w:cs="宋体"/>
                <w:color w:val="auto"/>
                <w:sz w:val="18"/>
                <w:szCs w:val="18"/>
              </w:rPr>
              <w:t>其他未列明行业</w:t>
            </w:r>
            <w:r>
              <w:rPr>
                <w:rFonts w:cs="宋体"/>
                <w:color w:val="auto"/>
                <w:spacing w:val="-2"/>
                <w:sz w:val="18"/>
                <w:szCs w:val="18"/>
              </w:rPr>
              <w:t xml:space="preserve"> </w:t>
            </w:r>
            <w:r>
              <w:rPr>
                <w:rFonts w:cs="宋体"/>
                <w:color w:val="auto"/>
                <w:sz w:val="18"/>
                <w:szCs w:val="18"/>
              </w:rPr>
              <w:t>*</w:t>
            </w:r>
          </w:p>
        </w:tc>
        <w:tc>
          <w:tcPr>
            <w:tcW w:w="1369"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184"/>
              <w:rPr>
                <w:rFonts w:hint="default" w:ascii="Times New Roman" w:eastAsia="Times New Roman"/>
                <w:color w:val="auto"/>
              </w:rPr>
            </w:pPr>
            <w:r>
              <w:rPr>
                <w:rFonts w:cs="宋体"/>
                <w:color w:val="auto"/>
                <w:sz w:val="18"/>
                <w:szCs w:val="18"/>
              </w:rPr>
              <w:t>从业人员(X)</w:t>
            </w:r>
          </w:p>
        </w:tc>
        <w:tc>
          <w:tcPr>
            <w:tcW w:w="709"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jc w:val="center"/>
              <w:rPr>
                <w:rFonts w:hint="default" w:ascii="Times New Roman" w:eastAsia="Times New Roman"/>
                <w:color w:val="auto"/>
              </w:rPr>
            </w:pPr>
            <w:r>
              <w:rPr>
                <w:rFonts w:cs="宋体"/>
                <w:color w:val="auto"/>
                <w:sz w:val="18"/>
                <w:szCs w:val="18"/>
              </w:rPr>
              <w:t>人</w:t>
            </w:r>
          </w:p>
        </w:tc>
        <w:tc>
          <w:tcPr>
            <w:tcW w:w="1125"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287"/>
              <w:rPr>
                <w:rFonts w:hint="default" w:ascii="Times New Roman" w:eastAsia="Times New Roman"/>
                <w:color w:val="auto"/>
              </w:rPr>
            </w:pPr>
            <w:r>
              <w:rPr>
                <w:rFonts w:cs="宋体"/>
                <w:color w:val="auto"/>
                <w:sz w:val="18"/>
                <w:szCs w:val="18"/>
              </w:rPr>
              <w:t>X≥300</w:t>
            </w:r>
          </w:p>
        </w:tc>
        <w:tc>
          <w:tcPr>
            <w:tcW w:w="1701"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297"/>
              <w:rPr>
                <w:rFonts w:hint="default" w:ascii="Times New Roman" w:eastAsia="Times New Roman"/>
                <w:color w:val="auto"/>
              </w:rPr>
            </w:pPr>
            <w:r>
              <w:rPr>
                <w:rFonts w:cs="宋体"/>
                <w:color w:val="auto"/>
                <w:sz w:val="18"/>
                <w:szCs w:val="18"/>
              </w:rPr>
              <w:t>100≤X＜300</w:t>
            </w:r>
          </w:p>
        </w:tc>
        <w:tc>
          <w:tcPr>
            <w:tcW w:w="1426"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303"/>
              <w:rPr>
                <w:rFonts w:hint="default" w:ascii="Times New Roman" w:eastAsia="Times New Roman"/>
                <w:color w:val="auto"/>
              </w:rPr>
            </w:pPr>
            <w:r>
              <w:rPr>
                <w:rFonts w:cs="宋体"/>
                <w:color w:val="auto"/>
                <w:sz w:val="18"/>
                <w:szCs w:val="18"/>
              </w:rPr>
              <w:t>10≤X＜100</w:t>
            </w:r>
          </w:p>
        </w:tc>
        <w:tc>
          <w:tcPr>
            <w:tcW w:w="992" w:type="dxa"/>
            <w:tcBorders>
              <w:top w:val="single" w:color="auto" w:sz="4" w:space="0"/>
              <w:left w:val="single" w:color="auto" w:sz="4" w:space="0"/>
              <w:bottom w:val="single" w:color="auto" w:sz="4" w:space="0"/>
              <w:right w:val="single" w:color="auto" w:sz="4" w:space="0"/>
              <w:tl2br w:val="nil"/>
              <w:tr2bl w:val="nil"/>
            </w:tcBorders>
          </w:tcPr>
          <w:p>
            <w:pPr>
              <w:pStyle w:val="21"/>
              <w:kinsoku w:val="0"/>
              <w:overflowPunct w:val="0"/>
              <w:spacing w:before="47"/>
              <w:ind w:left="267"/>
              <w:rPr>
                <w:rFonts w:hint="default" w:ascii="Times New Roman" w:eastAsia="Times New Roman"/>
                <w:color w:val="auto"/>
              </w:rPr>
            </w:pPr>
            <w:r>
              <w:rPr>
                <w:rFonts w:cs="宋体"/>
                <w:color w:val="auto"/>
                <w:sz w:val="18"/>
                <w:szCs w:val="18"/>
              </w:rPr>
              <w:t>X＜10</w:t>
            </w:r>
          </w:p>
        </w:tc>
      </w:tr>
    </w:tbl>
    <w:p>
      <w:pPr>
        <w:rPr>
          <w:rFonts w:hint="default" w:ascii="Times New Roman" w:eastAsia="Times New Roman"/>
          <w:color w:val="auto"/>
        </w:rPr>
        <w:sectPr>
          <w:pgSz w:w="11910" w:h="16840"/>
          <w:pgMar w:top="1540" w:right="1280" w:bottom="1600" w:left="1280" w:header="0" w:footer="1415" w:gutter="0"/>
          <w:pgNumType w:fmt="decimal"/>
          <w:cols w:space="720" w:num="1"/>
        </w:sectPr>
      </w:pPr>
    </w:p>
    <w:p>
      <w:pPr>
        <w:pStyle w:val="3"/>
        <w:kinsoku w:val="0"/>
        <w:overflowPunct w:val="0"/>
        <w:spacing w:line="395" w:lineRule="exact"/>
        <w:ind w:left="520"/>
        <w:rPr>
          <w:rFonts w:hint="default"/>
          <w:b w:val="0"/>
          <w:color w:val="auto"/>
        </w:rPr>
      </w:pPr>
      <w:bookmarkStart w:id="53" w:name="8、★《中华人民共和国政府采购法》第二十二条应当具备的条件；"/>
      <w:bookmarkEnd w:id="53"/>
      <w:r>
        <w:rPr>
          <w:color w:val="auto"/>
        </w:rPr>
        <w:t>7、供应商认为有必要提供的声明及文件资料</w:t>
      </w:r>
    </w:p>
    <w:p>
      <w:pPr>
        <w:pStyle w:val="8"/>
        <w:kinsoku w:val="0"/>
        <w:overflowPunct w:val="0"/>
        <w:spacing w:before="114" w:line="313" w:lineRule="exact"/>
        <w:ind w:left="520"/>
        <w:rPr>
          <w:rFonts w:hint="default"/>
          <w:color w:val="auto"/>
        </w:rPr>
      </w:pPr>
      <w:r>
        <w:rPr>
          <w:color w:val="auto"/>
        </w:rPr>
        <w:t>①供应商自觉抵制政府采购领域商业贿赂行为承诺书；</w:t>
      </w:r>
    </w:p>
    <w:p>
      <w:pPr>
        <w:pStyle w:val="8"/>
        <w:kinsoku w:val="0"/>
        <w:overflowPunct w:val="0"/>
        <w:spacing w:before="0" w:line="312" w:lineRule="exact"/>
        <w:ind w:left="520"/>
        <w:rPr>
          <w:rFonts w:hint="default"/>
          <w:color w:val="auto"/>
        </w:rPr>
      </w:pPr>
      <w:r>
        <w:rPr>
          <w:color w:val="auto"/>
        </w:rPr>
        <w:t>②节能产品、环境标志产品证明文件；</w:t>
      </w:r>
    </w:p>
    <w:p>
      <w:pPr>
        <w:pStyle w:val="8"/>
        <w:kinsoku w:val="0"/>
        <w:overflowPunct w:val="0"/>
        <w:spacing w:before="0" w:line="374" w:lineRule="auto"/>
        <w:ind w:left="520" w:right="5486"/>
        <w:rPr>
          <w:color w:val="auto"/>
        </w:rPr>
      </w:pPr>
      <w:r>
        <w:rPr>
          <w:rFonts w:hint="default"/>
          <w:color w:val="auto"/>
        </w:rPr>
        <mc:AlternateContent>
          <mc:Choice Requires="wps">
            <w:drawing>
              <wp:anchor distT="0" distB="0" distL="114300" distR="114300" simplePos="0" relativeHeight="251665408" behindDoc="0" locked="0" layoutInCell="0" allowOverlap="1">
                <wp:simplePos x="0" y="0"/>
                <wp:positionH relativeFrom="page">
                  <wp:posOffset>885190</wp:posOffset>
                </wp:positionH>
                <wp:positionV relativeFrom="paragraph">
                  <wp:posOffset>1174115</wp:posOffset>
                </wp:positionV>
                <wp:extent cx="5793105" cy="3704590"/>
                <wp:effectExtent l="0" t="0" r="0" b="0"/>
                <wp:wrapNone/>
                <wp:docPr id="15" name="文本框 147"/>
                <wp:cNvGraphicFramePr/>
                <a:graphic xmlns:a="http://schemas.openxmlformats.org/drawingml/2006/main">
                  <a:graphicData uri="http://schemas.microsoft.com/office/word/2010/wordprocessingShape">
                    <wps:wsp>
                      <wps:cNvSpPr txBox="1"/>
                      <wps:spPr>
                        <a:xfrm>
                          <a:off x="0" y="0"/>
                          <a:ext cx="5793105" cy="3704590"/>
                        </a:xfrm>
                        <a:prstGeom prst="rect">
                          <a:avLst/>
                        </a:prstGeom>
                        <a:noFill/>
                        <a:ln>
                          <a:noFill/>
                        </a:ln>
                      </wps:spPr>
                      <wps:txbx>
                        <w:txbxContent>
                          <w:p>
                            <w:pPr>
                              <w:pStyle w:val="8"/>
                              <w:kinsoku w:val="0"/>
                              <w:overflowPunct w:val="0"/>
                              <w:spacing w:before="0"/>
                              <w:ind w:left="0"/>
                              <w:rPr>
                                <w:rFonts w:hint="default" w:ascii="Times New Roman" w:eastAsia="Times New Roman" w:cs="Times New Roman"/>
                              </w:rPr>
                            </w:pPr>
                          </w:p>
                        </w:txbxContent>
                      </wps:txbx>
                      <wps:bodyPr wrap="square" lIns="0" tIns="0" rIns="0" bIns="0" upright="1"/>
                    </wps:wsp>
                  </a:graphicData>
                </a:graphic>
              </wp:anchor>
            </w:drawing>
          </mc:Choice>
          <mc:Fallback>
            <w:pict>
              <v:shape id="文本框 147" o:spid="_x0000_s1026" o:spt="202" type="#_x0000_t202" style="position:absolute;left:0pt;margin-left:69.7pt;margin-top:92.45pt;height:291.7pt;width:456.15pt;mso-position-horizontal-relative:page;z-index:251665408;mso-width-relative:page;mso-height-relative:page;" filled="f" stroked="f" coordsize="21600,21600" o:allowincell="f" o:gfxdata="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AJJHNoAAAAMAQAADwAAAAAAAAABACAAAAAiAAAAZHJz&#10;L2Rvd25yZXYueG1sUEsBAhQAFAAAAAgAh07iQFzSsY/JAQAAhAMAAA4AAAAAAAAAAQAgAAAAKQEA&#10;AGRycy9lMm9Eb2MueG1sUEsFBgAAAAAGAAYAWQEAAGQFAAAAAA==&#10;">
                <v:fill on="f" focussize="0,0"/>
                <v:stroke on="f"/>
                <v:imagedata o:title=""/>
                <o:lock v:ext="edit" aspectratio="f"/>
                <v:textbox inset="0mm,0mm,0mm,0mm">
                  <w:txbxContent>
                    <w:p>
                      <w:pPr>
                        <w:pStyle w:val="8"/>
                        <w:kinsoku w:val="0"/>
                        <w:overflowPunct w:val="0"/>
                        <w:spacing w:before="0"/>
                        <w:ind w:left="0"/>
                        <w:rPr>
                          <w:rFonts w:hint="default" w:ascii="Times New Roman" w:eastAsia="Times New Roman" w:cs="Times New Roman"/>
                        </w:rPr>
                      </w:pPr>
                    </w:p>
                  </w:txbxContent>
                </v:textbox>
              </v:shape>
            </w:pict>
          </mc:Fallback>
        </mc:AlternateContent>
      </w:r>
      <w:r>
        <w:rPr>
          <w:color w:val="auto"/>
        </w:rPr>
        <w:t>③类似项目业绩表；</w:t>
      </w:r>
    </w:p>
    <w:p>
      <w:pPr>
        <w:pStyle w:val="8"/>
        <w:kinsoku w:val="0"/>
        <w:overflowPunct w:val="0"/>
        <w:spacing w:before="0" w:line="374" w:lineRule="auto"/>
        <w:ind w:left="520" w:right="5486"/>
        <w:rPr>
          <w:rFonts w:hint="default"/>
          <w:color w:val="auto"/>
        </w:rPr>
      </w:pPr>
      <w:r>
        <w:rPr>
          <w:color w:val="auto"/>
        </w:rPr>
        <w:t>附：类似项目业绩表 采购项目编号：</w:t>
      </w:r>
      <w:r>
        <w:rPr>
          <w:rFonts w:hint="eastAsia"/>
          <w:color w:val="auto"/>
          <w:lang w:val="en-US" w:eastAsia="zh-CN"/>
        </w:rPr>
        <w:t xml:space="preserve"> </w:t>
      </w:r>
      <w:r>
        <w:rPr>
          <w:color w:val="auto"/>
        </w:rPr>
        <w:t xml:space="preserve"> 采购项目名称：</w:t>
      </w:r>
    </w:p>
    <w:tbl>
      <w:tblPr>
        <w:tblStyle w:val="17"/>
        <w:tblpPr w:leftFromText="180" w:rightFromText="180" w:vertAnchor="text" w:horzAnchor="page" w:tblpX="1067" w:tblpY="173"/>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72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exact"/>
        </w:trPr>
        <w:tc>
          <w:tcPr>
            <w:tcW w:w="1908" w:type="dxa"/>
            <w:tcBorders>
              <w:top w:val="single" w:color="auto" w:sz="4" w:space="0"/>
              <w:left w:val="single" w:color="auto" w:sz="4" w:space="0"/>
              <w:bottom w:val="single" w:color="000000" w:sz="4" w:space="0"/>
              <w:right w:val="single" w:color="000000" w:sz="4" w:space="0"/>
              <w:tl2br w:val="nil"/>
              <w:tr2bl w:val="nil"/>
            </w:tcBorders>
          </w:tcPr>
          <w:p>
            <w:pPr>
              <w:pStyle w:val="21"/>
              <w:kinsoku w:val="0"/>
              <w:overflowPunct w:val="0"/>
              <w:spacing w:before="52"/>
              <w:ind w:left="468"/>
              <w:rPr>
                <w:rFonts w:hint="default" w:ascii="Times New Roman" w:eastAsia="Times New Roman"/>
                <w:color w:val="auto"/>
              </w:rPr>
            </w:pPr>
            <w:r>
              <w:rPr>
                <w:rFonts w:cs="宋体"/>
                <w:color w:val="auto"/>
              </w:rPr>
              <w:t>项目名称</w:t>
            </w:r>
          </w:p>
        </w:tc>
        <w:tc>
          <w:tcPr>
            <w:tcW w:w="7200" w:type="dxa"/>
            <w:tcBorders>
              <w:top w:val="single" w:color="auto" w:sz="4" w:space="0"/>
              <w:left w:val="single" w:color="000000" w:sz="4" w:space="0"/>
              <w:bottom w:val="single" w:color="000000" w:sz="4" w:space="0"/>
              <w:right w:val="single" w:color="auto" w:sz="4" w:space="0"/>
              <w:tl2br w:val="nil"/>
              <w:tr2bl w:val="nil"/>
            </w:tcBorders>
          </w:tcPr>
          <w:p>
            <w:pPr>
              <w:rPr>
                <w:rFonts w:hint="default" w:ascii="Times New Roman" w:eastAsia="Times New Roman"/>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exact"/>
        </w:trPr>
        <w:tc>
          <w:tcPr>
            <w:tcW w:w="1908" w:type="dxa"/>
            <w:tcBorders>
              <w:top w:val="single" w:color="000000" w:sz="4" w:space="0"/>
              <w:left w:val="single" w:color="auto" w:sz="4" w:space="0"/>
              <w:bottom w:val="single" w:color="000000" w:sz="4" w:space="0"/>
              <w:right w:val="single" w:color="000000" w:sz="4" w:space="0"/>
              <w:tl2br w:val="nil"/>
              <w:tr2bl w:val="nil"/>
            </w:tcBorders>
          </w:tcPr>
          <w:p>
            <w:pPr>
              <w:pStyle w:val="21"/>
              <w:kinsoku w:val="0"/>
              <w:overflowPunct w:val="0"/>
              <w:spacing w:before="40"/>
              <w:ind w:left="228"/>
              <w:rPr>
                <w:rFonts w:hint="default" w:ascii="Times New Roman" w:eastAsia="Times New Roman"/>
                <w:color w:val="auto"/>
              </w:rPr>
            </w:pPr>
            <w:r>
              <w:rPr>
                <w:rFonts w:cs="宋体"/>
                <w:color w:val="auto"/>
              </w:rPr>
              <w:t>项目单位名称</w:t>
            </w:r>
          </w:p>
        </w:tc>
        <w:tc>
          <w:tcPr>
            <w:tcW w:w="7200" w:type="dxa"/>
            <w:tcBorders>
              <w:top w:val="single" w:color="000000" w:sz="4" w:space="0"/>
              <w:left w:val="single" w:color="000000" w:sz="4" w:space="0"/>
              <w:bottom w:val="single" w:color="000000" w:sz="4" w:space="0"/>
              <w:right w:val="single" w:color="auto" w:sz="4" w:space="0"/>
              <w:tl2br w:val="nil"/>
              <w:tr2bl w:val="nil"/>
            </w:tcBorders>
          </w:tcPr>
          <w:p>
            <w:pPr>
              <w:rPr>
                <w:rFonts w:hint="default" w:ascii="Times New Roman" w:eastAsia="Times New Roman"/>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4" w:hRule="exact"/>
        </w:trPr>
        <w:tc>
          <w:tcPr>
            <w:tcW w:w="1908" w:type="dxa"/>
            <w:tcBorders>
              <w:top w:val="single" w:color="000000" w:sz="4" w:space="0"/>
              <w:left w:val="single" w:color="auto" w:sz="4" w:space="0"/>
              <w:bottom w:val="single" w:color="000000" w:sz="4" w:space="0"/>
              <w:right w:val="single" w:color="000000" w:sz="4" w:space="0"/>
              <w:tl2br w:val="nil"/>
              <w:tr2bl w:val="nil"/>
            </w:tcBorders>
          </w:tcPr>
          <w:p>
            <w:pPr>
              <w:pStyle w:val="21"/>
              <w:kinsoku w:val="0"/>
              <w:overflowPunct w:val="0"/>
              <w:spacing w:line="277" w:lineRule="exact"/>
              <w:ind w:left="108"/>
              <w:rPr>
                <w:rFonts w:hint="default" w:cs="宋体"/>
                <w:color w:val="auto"/>
              </w:rPr>
            </w:pPr>
            <w:r>
              <w:rPr>
                <w:rFonts w:cs="宋体"/>
                <w:color w:val="auto"/>
              </w:rPr>
              <w:t>项目单位联系人</w:t>
            </w:r>
          </w:p>
          <w:p>
            <w:pPr>
              <w:pStyle w:val="21"/>
              <w:kinsoku w:val="0"/>
              <w:overflowPunct w:val="0"/>
              <w:spacing w:line="313" w:lineRule="exact"/>
              <w:ind w:left="108"/>
              <w:rPr>
                <w:rFonts w:hint="default" w:ascii="Times New Roman" w:eastAsia="Times New Roman"/>
                <w:color w:val="auto"/>
              </w:rPr>
            </w:pPr>
            <w:r>
              <w:rPr>
                <w:rFonts w:cs="宋体"/>
                <w:color w:val="auto"/>
              </w:rPr>
              <w:t>姓名及联系方式</w:t>
            </w:r>
          </w:p>
        </w:tc>
        <w:tc>
          <w:tcPr>
            <w:tcW w:w="7200" w:type="dxa"/>
            <w:tcBorders>
              <w:top w:val="single" w:color="000000" w:sz="4" w:space="0"/>
              <w:left w:val="single" w:color="000000" w:sz="4" w:space="0"/>
              <w:bottom w:val="nil"/>
              <w:right w:val="single" w:color="auto" w:sz="4" w:space="0"/>
              <w:tl2br w:val="nil"/>
              <w:tr2bl w:val="nil"/>
            </w:tcBorders>
          </w:tcPr>
          <w:p>
            <w:pPr>
              <w:rPr>
                <w:rFonts w:hint="default" w:ascii="Times New Roman" w:eastAsia="Times New Roman"/>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exact"/>
        </w:trPr>
        <w:tc>
          <w:tcPr>
            <w:tcW w:w="1908" w:type="dxa"/>
            <w:tcBorders>
              <w:top w:val="single" w:color="000000" w:sz="4" w:space="0"/>
              <w:left w:val="single" w:color="auto" w:sz="4" w:space="0"/>
              <w:bottom w:val="single" w:color="000000" w:sz="4" w:space="0"/>
              <w:right w:val="nil"/>
              <w:tl2br w:val="nil"/>
              <w:tr2bl w:val="nil"/>
            </w:tcBorders>
          </w:tcPr>
          <w:p>
            <w:pPr>
              <w:pStyle w:val="21"/>
              <w:kinsoku w:val="0"/>
              <w:overflowPunct w:val="0"/>
              <w:spacing w:before="117"/>
              <w:ind w:left="468"/>
              <w:rPr>
                <w:rFonts w:hint="default" w:ascii="Times New Roman" w:eastAsia="Times New Roman"/>
                <w:color w:val="auto"/>
              </w:rPr>
            </w:pPr>
            <w:r>
              <w:rPr>
                <w:rFonts w:cs="宋体"/>
                <w:color w:val="auto"/>
              </w:rPr>
              <w:t>合同金额</w:t>
            </w:r>
          </w:p>
        </w:tc>
        <w:tc>
          <w:tcPr>
            <w:tcW w:w="7200" w:type="dxa"/>
            <w:tcBorders>
              <w:top w:val="nil"/>
              <w:left w:val="nil"/>
              <w:bottom w:val="nil"/>
              <w:right w:val="single" w:color="auto" w:sz="4" w:space="0"/>
              <w:tl2br w:val="nil"/>
              <w:tr2bl w:val="nil"/>
            </w:tcBorders>
          </w:tcPr>
          <w:p>
            <w:pPr>
              <w:rPr>
                <w:rFonts w:hint="default" w:ascii="Times New Roman" w:eastAsia="Times New Roman"/>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 w:hRule="exact"/>
        </w:trPr>
        <w:tc>
          <w:tcPr>
            <w:tcW w:w="1908" w:type="dxa"/>
            <w:tcBorders>
              <w:top w:val="single" w:color="000000" w:sz="4" w:space="0"/>
              <w:left w:val="single" w:color="auto" w:sz="4" w:space="0"/>
              <w:bottom w:val="single" w:color="000000" w:sz="4" w:space="0"/>
              <w:right w:val="single" w:color="000000" w:sz="4" w:space="0"/>
              <w:tl2br w:val="nil"/>
              <w:tr2bl w:val="nil"/>
            </w:tcBorders>
          </w:tcPr>
          <w:p>
            <w:pPr>
              <w:pStyle w:val="21"/>
              <w:kinsoku w:val="0"/>
              <w:overflowPunct w:val="0"/>
              <w:spacing w:line="277" w:lineRule="exact"/>
              <w:ind w:right="1"/>
              <w:jc w:val="center"/>
              <w:rPr>
                <w:rFonts w:hint="default" w:cs="宋体"/>
                <w:color w:val="auto"/>
              </w:rPr>
            </w:pPr>
            <w:r>
              <w:rPr>
                <w:rFonts w:cs="宋体"/>
                <w:color w:val="auto"/>
              </w:rPr>
              <w:t>项目负责人</w:t>
            </w:r>
          </w:p>
          <w:p>
            <w:pPr>
              <w:pStyle w:val="21"/>
              <w:kinsoku w:val="0"/>
              <w:overflowPunct w:val="0"/>
              <w:spacing w:line="313" w:lineRule="exact"/>
              <w:ind w:right="1"/>
              <w:jc w:val="center"/>
              <w:rPr>
                <w:rFonts w:hint="default" w:ascii="Times New Roman" w:eastAsia="Times New Roman"/>
                <w:color w:val="auto"/>
              </w:rPr>
            </w:pPr>
            <w:r>
              <w:rPr>
                <w:rFonts w:cs="宋体"/>
                <w:color w:val="auto"/>
              </w:rPr>
              <w:t>姓名</w:t>
            </w:r>
          </w:p>
        </w:tc>
        <w:tc>
          <w:tcPr>
            <w:tcW w:w="7200" w:type="dxa"/>
            <w:tcBorders>
              <w:top w:val="nil"/>
              <w:left w:val="single" w:color="000000" w:sz="4" w:space="0"/>
              <w:bottom w:val="single" w:color="000000" w:sz="4" w:space="0"/>
              <w:right w:val="single" w:color="auto" w:sz="4" w:space="0"/>
              <w:tl2br w:val="nil"/>
              <w:tr2bl w:val="nil"/>
            </w:tcBorders>
          </w:tcPr>
          <w:p>
            <w:pPr>
              <w:rPr>
                <w:rFonts w:hint="default" w:ascii="Times New Roman" w:eastAsia="Times New Roman"/>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exact"/>
        </w:trPr>
        <w:tc>
          <w:tcPr>
            <w:tcW w:w="1908" w:type="dxa"/>
            <w:tcBorders>
              <w:top w:val="single" w:color="000000" w:sz="4" w:space="0"/>
              <w:left w:val="single" w:color="auto" w:sz="4" w:space="0"/>
              <w:bottom w:val="single" w:color="000000" w:sz="4" w:space="0"/>
              <w:right w:val="single" w:color="000000" w:sz="4" w:space="0"/>
              <w:tl2br w:val="nil"/>
              <w:tr2bl w:val="nil"/>
            </w:tcBorders>
          </w:tcPr>
          <w:p>
            <w:pPr>
              <w:pStyle w:val="21"/>
              <w:kinsoku w:val="0"/>
              <w:overflowPunct w:val="0"/>
              <w:spacing w:before="40"/>
              <w:ind w:left="228"/>
              <w:rPr>
                <w:rFonts w:hint="default" w:ascii="Times New Roman" w:eastAsia="Times New Roman"/>
                <w:color w:val="auto"/>
              </w:rPr>
            </w:pPr>
            <w:r>
              <w:rPr>
                <w:rFonts w:cs="宋体"/>
                <w:color w:val="auto"/>
              </w:rPr>
              <w:t>项目实施时间</w:t>
            </w:r>
          </w:p>
        </w:tc>
        <w:tc>
          <w:tcPr>
            <w:tcW w:w="7200" w:type="dxa"/>
            <w:tcBorders>
              <w:top w:val="single" w:color="000000" w:sz="4" w:space="0"/>
              <w:left w:val="single" w:color="000000" w:sz="4" w:space="0"/>
              <w:bottom w:val="single" w:color="000000" w:sz="4" w:space="0"/>
              <w:right w:val="single" w:color="auto" w:sz="4" w:space="0"/>
              <w:tl2br w:val="nil"/>
              <w:tr2bl w:val="nil"/>
            </w:tcBorders>
          </w:tcPr>
          <w:p>
            <w:pPr>
              <w:rPr>
                <w:rFonts w:hint="default" w:ascii="Times New Roman" w:eastAsia="Times New Roman"/>
                <w:color w:val="auto"/>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68" w:hRule="exact"/>
        </w:trPr>
        <w:tc>
          <w:tcPr>
            <w:tcW w:w="1908" w:type="dxa"/>
            <w:tcBorders>
              <w:top w:val="single" w:color="000000" w:sz="4" w:space="0"/>
              <w:left w:val="single" w:color="auto" w:sz="4" w:space="0"/>
              <w:bottom w:val="single" w:color="auto" w:sz="4" w:space="0"/>
              <w:right w:val="single" w:color="000000" w:sz="4" w:space="0"/>
              <w:tl2br w:val="nil"/>
              <w:tr2bl w:val="nil"/>
            </w:tcBorders>
          </w:tcPr>
          <w:p>
            <w:pPr>
              <w:pStyle w:val="21"/>
              <w:kinsoku w:val="0"/>
              <w:overflowPunct w:val="0"/>
              <w:rPr>
                <w:rFonts w:hint="default" w:cs="宋体"/>
                <w:color w:val="auto"/>
              </w:rPr>
            </w:pPr>
          </w:p>
          <w:p>
            <w:pPr>
              <w:pStyle w:val="21"/>
              <w:kinsoku w:val="0"/>
              <w:overflowPunct w:val="0"/>
              <w:rPr>
                <w:rFonts w:hint="default" w:cs="宋体"/>
                <w:color w:val="auto"/>
              </w:rPr>
            </w:pPr>
          </w:p>
          <w:p>
            <w:pPr>
              <w:pStyle w:val="21"/>
              <w:kinsoku w:val="0"/>
              <w:overflowPunct w:val="0"/>
              <w:spacing w:before="1"/>
              <w:rPr>
                <w:rFonts w:hint="default" w:cs="宋体"/>
                <w:color w:val="auto"/>
                <w:sz w:val="31"/>
                <w:szCs w:val="31"/>
              </w:rPr>
            </w:pPr>
          </w:p>
          <w:p>
            <w:pPr>
              <w:pStyle w:val="21"/>
              <w:kinsoku w:val="0"/>
              <w:overflowPunct w:val="0"/>
              <w:ind w:left="228"/>
              <w:rPr>
                <w:rFonts w:hint="default" w:cs="宋体"/>
                <w:color w:val="auto"/>
              </w:rPr>
            </w:pPr>
          </w:p>
          <w:p>
            <w:pPr>
              <w:pStyle w:val="21"/>
              <w:kinsoku w:val="0"/>
              <w:overflowPunct w:val="0"/>
              <w:ind w:left="228"/>
              <w:rPr>
                <w:rFonts w:hint="default" w:cs="宋体"/>
                <w:color w:val="auto"/>
              </w:rPr>
            </w:pPr>
            <w:r>
              <w:rPr>
                <w:rFonts w:cs="宋体"/>
                <w:color w:val="auto"/>
              </w:rPr>
              <w:t>项目内容说明</w:t>
            </w:r>
          </w:p>
          <w:p>
            <w:pPr>
              <w:pStyle w:val="21"/>
              <w:kinsoku w:val="0"/>
              <w:overflowPunct w:val="0"/>
              <w:ind w:left="228"/>
              <w:rPr>
                <w:rFonts w:hint="default" w:cs="宋体"/>
                <w:color w:val="auto"/>
              </w:rPr>
            </w:pPr>
          </w:p>
          <w:p>
            <w:pPr>
              <w:pStyle w:val="21"/>
              <w:kinsoku w:val="0"/>
              <w:overflowPunct w:val="0"/>
              <w:ind w:left="228"/>
              <w:rPr>
                <w:rFonts w:hint="default" w:cs="宋体"/>
                <w:color w:val="auto"/>
              </w:rPr>
            </w:pPr>
          </w:p>
          <w:p>
            <w:pPr>
              <w:pStyle w:val="21"/>
              <w:kinsoku w:val="0"/>
              <w:overflowPunct w:val="0"/>
              <w:ind w:left="228"/>
              <w:rPr>
                <w:rFonts w:hint="default" w:cs="宋体"/>
                <w:color w:val="auto"/>
              </w:rPr>
            </w:pPr>
          </w:p>
          <w:p>
            <w:pPr>
              <w:pStyle w:val="21"/>
              <w:kinsoku w:val="0"/>
              <w:overflowPunct w:val="0"/>
              <w:ind w:left="228"/>
              <w:rPr>
                <w:rFonts w:hint="default" w:cs="宋体"/>
                <w:color w:val="auto"/>
              </w:rPr>
            </w:pPr>
          </w:p>
          <w:p>
            <w:pPr>
              <w:pStyle w:val="21"/>
              <w:kinsoku w:val="0"/>
              <w:overflowPunct w:val="0"/>
              <w:ind w:left="228"/>
              <w:rPr>
                <w:rFonts w:hint="default" w:cs="宋体"/>
                <w:color w:val="auto"/>
              </w:rPr>
            </w:pPr>
          </w:p>
          <w:p>
            <w:pPr>
              <w:pStyle w:val="21"/>
              <w:kinsoku w:val="0"/>
              <w:overflowPunct w:val="0"/>
              <w:ind w:left="228"/>
              <w:rPr>
                <w:rFonts w:hint="default" w:cs="宋体"/>
                <w:color w:val="auto"/>
              </w:rPr>
            </w:pPr>
          </w:p>
          <w:p>
            <w:pPr>
              <w:pStyle w:val="21"/>
              <w:kinsoku w:val="0"/>
              <w:overflowPunct w:val="0"/>
              <w:ind w:left="228"/>
              <w:rPr>
                <w:rFonts w:hint="default" w:cs="宋体"/>
                <w:color w:val="auto"/>
              </w:rPr>
            </w:pPr>
          </w:p>
          <w:p>
            <w:pPr>
              <w:pStyle w:val="21"/>
              <w:kinsoku w:val="0"/>
              <w:overflowPunct w:val="0"/>
              <w:ind w:left="228"/>
              <w:rPr>
                <w:rFonts w:hint="default" w:cs="宋体"/>
                <w:color w:val="auto"/>
              </w:rPr>
            </w:pPr>
          </w:p>
          <w:p>
            <w:pPr>
              <w:pStyle w:val="21"/>
              <w:kinsoku w:val="0"/>
              <w:overflowPunct w:val="0"/>
              <w:ind w:left="228"/>
              <w:rPr>
                <w:rFonts w:hint="default" w:ascii="Times New Roman" w:eastAsia="Times New Roman"/>
                <w:color w:val="auto"/>
              </w:rPr>
            </w:pPr>
          </w:p>
        </w:tc>
        <w:tc>
          <w:tcPr>
            <w:tcW w:w="7200" w:type="dxa"/>
            <w:tcBorders>
              <w:top w:val="single" w:color="000000" w:sz="4" w:space="0"/>
              <w:left w:val="single" w:color="000000" w:sz="4" w:space="0"/>
              <w:bottom w:val="single" w:color="auto" w:sz="4" w:space="0"/>
              <w:right w:val="single" w:color="auto" w:sz="4" w:space="0"/>
              <w:tl2br w:val="nil"/>
              <w:tr2bl w:val="nil"/>
            </w:tcBorders>
          </w:tcPr>
          <w:p>
            <w:pPr>
              <w:rPr>
                <w:rFonts w:hint="default" w:ascii="Times New Roman" w:eastAsia="Times New Roman"/>
                <w:color w:val="auto"/>
              </w:rPr>
            </w:pPr>
          </w:p>
        </w:tc>
      </w:tr>
    </w:tbl>
    <w:p>
      <w:pPr>
        <w:pStyle w:val="8"/>
        <w:kinsoku w:val="0"/>
        <w:overflowPunct w:val="0"/>
        <w:spacing w:before="0"/>
        <w:ind w:left="0"/>
        <w:rPr>
          <w:rFonts w:hint="default"/>
          <w:color w:val="auto"/>
          <w:sz w:val="20"/>
          <w:szCs w:val="20"/>
        </w:rPr>
      </w:pPr>
    </w:p>
    <w:p>
      <w:pPr>
        <w:pStyle w:val="8"/>
        <w:kinsoku w:val="0"/>
        <w:overflowPunct w:val="0"/>
        <w:spacing w:before="0"/>
        <w:ind w:left="0"/>
        <w:rPr>
          <w:rFonts w:hint="default"/>
          <w:color w:val="auto"/>
          <w:sz w:val="20"/>
          <w:szCs w:val="20"/>
        </w:rPr>
      </w:pPr>
    </w:p>
    <w:p>
      <w:pPr>
        <w:pStyle w:val="8"/>
        <w:kinsoku w:val="0"/>
        <w:overflowPunct w:val="0"/>
        <w:spacing w:before="0"/>
        <w:ind w:left="0"/>
        <w:rPr>
          <w:rFonts w:hint="default"/>
          <w:color w:val="auto"/>
          <w:sz w:val="20"/>
          <w:szCs w:val="20"/>
        </w:rPr>
      </w:pPr>
    </w:p>
    <w:p>
      <w:pPr>
        <w:pStyle w:val="8"/>
        <w:kinsoku w:val="0"/>
        <w:overflowPunct w:val="0"/>
        <w:spacing w:before="0"/>
        <w:ind w:left="0"/>
        <w:rPr>
          <w:rFonts w:hint="default"/>
          <w:color w:val="auto"/>
          <w:sz w:val="20"/>
          <w:szCs w:val="20"/>
        </w:rPr>
      </w:pPr>
    </w:p>
    <w:p>
      <w:pPr>
        <w:pStyle w:val="8"/>
        <w:kinsoku w:val="0"/>
        <w:overflowPunct w:val="0"/>
        <w:spacing w:before="0"/>
        <w:ind w:left="0"/>
        <w:rPr>
          <w:rFonts w:hint="default"/>
          <w:color w:val="auto"/>
          <w:sz w:val="20"/>
          <w:szCs w:val="20"/>
        </w:rPr>
      </w:pPr>
    </w:p>
    <w:p>
      <w:pPr>
        <w:pStyle w:val="8"/>
        <w:kinsoku w:val="0"/>
        <w:overflowPunct w:val="0"/>
        <w:spacing w:before="0"/>
        <w:ind w:left="0"/>
        <w:rPr>
          <w:rFonts w:hint="default"/>
          <w:color w:val="auto"/>
          <w:sz w:val="20"/>
          <w:szCs w:val="20"/>
        </w:rPr>
      </w:pPr>
    </w:p>
    <w:p>
      <w:pPr>
        <w:pStyle w:val="8"/>
        <w:kinsoku w:val="0"/>
        <w:overflowPunct w:val="0"/>
        <w:spacing w:before="0"/>
        <w:ind w:left="0"/>
        <w:rPr>
          <w:rFonts w:hint="default"/>
          <w:color w:val="auto"/>
          <w:sz w:val="20"/>
          <w:szCs w:val="20"/>
        </w:rPr>
      </w:pPr>
    </w:p>
    <w:p>
      <w:pPr>
        <w:pStyle w:val="8"/>
        <w:kinsoku w:val="0"/>
        <w:overflowPunct w:val="0"/>
        <w:spacing w:before="0"/>
        <w:ind w:left="0"/>
        <w:rPr>
          <w:rFonts w:hint="default"/>
          <w:color w:val="auto"/>
          <w:sz w:val="20"/>
          <w:szCs w:val="20"/>
        </w:rPr>
      </w:pPr>
    </w:p>
    <w:p>
      <w:pPr>
        <w:pStyle w:val="8"/>
        <w:kinsoku w:val="0"/>
        <w:overflowPunct w:val="0"/>
        <w:spacing w:before="0"/>
        <w:ind w:left="0"/>
        <w:rPr>
          <w:rFonts w:hint="default"/>
          <w:color w:val="auto"/>
          <w:sz w:val="20"/>
          <w:szCs w:val="20"/>
        </w:rPr>
      </w:pPr>
    </w:p>
    <w:p>
      <w:pPr>
        <w:pStyle w:val="8"/>
        <w:kinsoku w:val="0"/>
        <w:overflowPunct w:val="0"/>
        <w:spacing w:before="0"/>
        <w:ind w:left="0"/>
        <w:rPr>
          <w:rFonts w:hint="default"/>
          <w:color w:val="auto"/>
          <w:sz w:val="20"/>
          <w:szCs w:val="20"/>
        </w:rPr>
      </w:pPr>
    </w:p>
    <w:p>
      <w:pPr>
        <w:pStyle w:val="8"/>
        <w:kinsoku w:val="0"/>
        <w:overflowPunct w:val="0"/>
        <w:spacing w:before="0"/>
        <w:ind w:left="0"/>
        <w:rPr>
          <w:rFonts w:hint="default"/>
          <w:color w:val="auto"/>
          <w:sz w:val="20"/>
          <w:szCs w:val="20"/>
        </w:rPr>
      </w:pPr>
    </w:p>
    <w:p>
      <w:pPr>
        <w:pStyle w:val="8"/>
        <w:kinsoku w:val="0"/>
        <w:overflowPunct w:val="0"/>
        <w:spacing w:before="0"/>
        <w:ind w:left="0"/>
        <w:rPr>
          <w:rFonts w:hint="default"/>
          <w:color w:val="auto"/>
          <w:sz w:val="20"/>
          <w:szCs w:val="20"/>
        </w:rPr>
      </w:pPr>
    </w:p>
    <w:p>
      <w:pPr>
        <w:pStyle w:val="8"/>
        <w:kinsoku w:val="0"/>
        <w:overflowPunct w:val="0"/>
        <w:spacing w:before="0"/>
        <w:ind w:left="0"/>
        <w:rPr>
          <w:rFonts w:hint="default"/>
          <w:color w:val="auto"/>
          <w:sz w:val="20"/>
          <w:szCs w:val="20"/>
        </w:rPr>
      </w:pPr>
    </w:p>
    <w:p>
      <w:pPr>
        <w:pStyle w:val="8"/>
        <w:kinsoku w:val="0"/>
        <w:overflowPunct w:val="0"/>
        <w:spacing w:before="0"/>
        <w:ind w:left="0"/>
        <w:rPr>
          <w:rFonts w:hint="default"/>
          <w:color w:val="auto"/>
          <w:sz w:val="20"/>
          <w:szCs w:val="20"/>
        </w:rPr>
      </w:pPr>
    </w:p>
    <w:p>
      <w:pPr>
        <w:pStyle w:val="8"/>
        <w:kinsoku w:val="0"/>
        <w:overflowPunct w:val="0"/>
        <w:spacing w:before="0"/>
        <w:ind w:left="0"/>
        <w:rPr>
          <w:rFonts w:hint="default"/>
          <w:color w:val="auto"/>
          <w:sz w:val="20"/>
          <w:szCs w:val="20"/>
        </w:rPr>
      </w:pPr>
    </w:p>
    <w:p>
      <w:pPr>
        <w:pStyle w:val="8"/>
        <w:kinsoku w:val="0"/>
        <w:overflowPunct w:val="0"/>
        <w:spacing w:before="0"/>
        <w:ind w:left="0"/>
        <w:rPr>
          <w:rFonts w:hint="default"/>
          <w:color w:val="auto"/>
          <w:sz w:val="20"/>
          <w:szCs w:val="20"/>
        </w:rPr>
      </w:pPr>
    </w:p>
    <w:p>
      <w:pPr>
        <w:pStyle w:val="8"/>
        <w:kinsoku w:val="0"/>
        <w:overflowPunct w:val="0"/>
        <w:spacing w:before="0"/>
        <w:ind w:left="0"/>
        <w:rPr>
          <w:rFonts w:hint="default"/>
          <w:color w:val="auto"/>
          <w:sz w:val="20"/>
          <w:szCs w:val="20"/>
        </w:rPr>
      </w:pPr>
    </w:p>
    <w:p>
      <w:pPr>
        <w:pStyle w:val="8"/>
        <w:kinsoku w:val="0"/>
        <w:overflowPunct w:val="0"/>
        <w:spacing w:before="0"/>
        <w:ind w:left="0"/>
        <w:rPr>
          <w:rFonts w:hint="default"/>
          <w:color w:val="auto"/>
          <w:sz w:val="20"/>
          <w:szCs w:val="20"/>
        </w:rPr>
      </w:pPr>
    </w:p>
    <w:p>
      <w:pPr>
        <w:pStyle w:val="8"/>
        <w:kinsoku w:val="0"/>
        <w:overflowPunct w:val="0"/>
        <w:spacing w:before="0"/>
        <w:ind w:left="0"/>
        <w:rPr>
          <w:rFonts w:hint="default"/>
          <w:color w:val="auto"/>
          <w:sz w:val="20"/>
          <w:szCs w:val="20"/>
        </w:rPr>
      </w:pPr>
    </w:p>
    <w:p>
      <w:pPr>
        <w:pStyle w:val="8"/>
        <w:kinsoku w:val="0"/>
        <w:overflowPunct w:val="0"/>
        <w:spacing w:before="0"/>
        <w:ind w:left="0"/>
        <w:rPr>
          <w:rFonts w:hint="default"/>
          <w:color w:val="auto"/>
          <w:sz w:val="20"/>
          <w:szCs w:val="20"/>
        </w:rPr>
      </w:pPr>
    </w:p>
    <w:p>
      <w:pPr>
        <w:pStyle w:val="8"/>
        <w:kinsoku w:val="0"/>
        <w:overflowPunct w:val="0"/>
        <w:spacing w:before="0"/>
        <w:ind w:left="0"/>
        <w:rPr>
          <w:rFonts w:hint="default"/>
          <w:color w:val="auto"/>
          <w:sz w:val="20"/>
          <w:szCs w:val="20"/>
        </w:rPr>
      </w:pPr>
    </w:p>
    <w:p>
      <w:pPr>
        <w:pStyle w:val="8"/>
        <w:kinsoku w:val="0"/>
        <w:overflowPunct w:val="0"/>
        <w:spacing w:before="9"/>
        <w:ind w:left="0"/>
        <w:rPr>
          <w:rFonts w:hint="default"/>
          <w:color w:val="auto"/>
          <w:sz w:val="21"/>
          <w:szCs w:val="21"/>
        </w:rPr>
      </w:pPr>
    </w:p>
    <w:p>
      <w:pPr>
        <w:pStyle w:val="8"/>
        <w:kinsoku w:val="0"/>
        <w:overflowPunct w:val="0"/>
        <w:spacing w:before="9"/>
        <w:ind w:left="0"/>
        <w:rPr>
          <w:rFonts w:hint="default"/>
          <w:color w:val="auto"/>
          <w:sz w:val="21"/>
          <w:szCs w:val="21"/>
        </w:rPr>
      </w:pPr>
    </w:p>
    <w:p>
      <w:pPr>
        <w:pStyle w:val="8"/>
        <w:kinsoku w:val="0"/>
        <w:overflowPunct w:val="0"/>
        <w:spacing w:before="9"/>
        <w:ind w:left="0"/>
        <w:rPr>
          <w:rFonts w:hint="default"/>
          <w:color w:val="auto"/>
          <w:sz w:val="21"/>
          <w:szCs w:val="21"/>
        </w:rPr>
      </w:pPr>
    </w:p>
    <w:p>
      <w:pPr>
        <w:pStyle w:val="8"/>
        <w:kinsoku w:val="0"/>
        <w:overflowPunct w:val="0"/>
        <w:spacing w:before="9"/>
        <w:ind w:left="0"/>
        <w:rPr>
          <w:rFonts w:hint="default"/>
          <w:color w:val="auto"/>
          <w:sz w:val="21"/>
          <w:szCs w:val="21"/>
        </w:rPr>
      </w:pPr>
    </w:p>
    <w:p>
      <w:pPr>
        <w:pStyle w:val="8"/>
        <w:kinsoku w:val="0"/>
        <w:overflowPunct w:val="0"/>
        <w:spacing w:before="26" w:line="357" w:lineRule="auto"/>
        <w:ind w:left="520"/>
        <w:rPr>
          <w:rFonts w:hint="default"/>
          <w:color w:val="auto"/>
        </w:rPr>
      </w:pPr>
    </w:p>
    <w:p>
      <w:pPr>
        <w:pStyle w:val="8"/>
        <w:kinsoku w:val="0"/>
        <w:overflowPunct w:val="0"/>
        <w:spacing w:before="26" w:line="357" w:lineRule="auto"/>
        <w:ind w:left="520"/>
        <w:rPr>
          <w:rFonts w:hint="default"/>
          <w:color w:val="auto"/>
        </w:rPr>
      </w:pPr>
      <w:r>
        <w:rPr>
          <w:color w:val="auto"/>
        </w:rPr>
        <w:t>说明：1．每个合同须单独附表，并附上相关证明材料，否则专家在评审时将不</w:t>
      </w:r>
      <w:r>
        <w:rPr>
          <w:color w:val="auto"/>
          <w:spacing w:val="-99"/>
        </w:rPr>
        <w:t xml:space="preserve"> </w:t>
      </w:r>
      <w:r>
        <w:rPr>
          <w:color w:val="auto"/>
        </w:rPr>
        <w:t>予采信；</w:t>
      </w:r>
    </w:p>
    <w:p>
      <w:pPr>
        <w:pStyle w:val="8"/>
        <w:kinsoku w:val="0"/>
        <w:overflowPunct w:val="0"/>
        <w:spacing w:line="357" w:lineRule="auto"/>
        <w:ind w:left="520" w:firstLine="720"/>
        <w:rPr>
          <w:rFonts w:hint="default"/>
          <w:color w:val="auto"/>
        </w:rPr>
      </w:pPr>
      <w:r>
        <w:rPr>
          <w:color w:val="auto"/>
        </w:rPr>
        <w:t>2．项目内容请详细说明所承担的具体工作内容</w:t>
      </w:r>
    </w:p>
    <w:p>
      <w:pPr>
        <w:pStyle w:val="8"/>
        <w:kinsoku w:val="0"/>
        <w:overflowPunct w:val="0"/>
        <w:spacing w:before="115" w:line="381" w:lineRule="auto"/>
        <w:ind w:left="520" w:right="4526"/>
        <w:rPr>
          <w:rFonts w:hint="default"/>
          <w:color w:val="auto"/>
        </w:rPr>
      </w:pPr>
      <w:r>
        <w:rPr>
          <w:rFonts w:hint="eastAsia"/>
          <w:color w:val="auto"/>
          <w:lang w:eastAsia="zh-CN"/>
        </w:rPr>
        <w:t>供应商</w:t>
      </w:r>
      <w:r>
        <w:rPr>
          <w:color w:val="auto"/>
        </w:rPr>
        <w:t xml:space="preserve">法定代表人（电子签名）： </w:t>
      </w:r>
    </w:p>
    <w:p>
      <w:pPr>
        <w:pStyle w:val="8"/>
        <w:kinsoku w:val="0"/>
        <w:wordWrap w:val="0"/>
        <w:overflowPunct w:val="0"/>
        <w:spacing w:before="115" w:line="381" w:lineRule="auto"/>
        <w:ind w:right="4526"/>
        <w:jc w:val="right"/>
        <w:rPr>
          <w:rFonts w:hint="default"/>
          <w:color w:val="auto"/>
        </w:rPr>
      </w:pPr>
      <w:r>
        <w:rPr>
          <w:rFonts w:hint="eastAsia"/>
          <w:color w:val="auto"/>
          <w:lang w:eastAsia="zh-CN"/>
        </w:rPr>
        <w:t>供应商</w:t>
      </w:r>
      <w:r>
        <w:rPr>
          <w:color w:val="auto"/>
        </w:rPr>
        <w:t>名称（电子签章）： 日期：年 月 日</w:t>
      </w:r>
    </w:p>
    <w:p>
      <w:pPr>
        <w:pStyle w:val="8"/>
        <w:kinsoku w:val="0"/>
        <w:overflowPunct w:val="0"/>
        <w:spacing w:before="115" w:line="381" w:lineRule="auto"/>
        <w:ind w:left="520" w:right="4526"/>
        <w:rPr>
          <w:rFonts w:hint="default"/>
          <w:color w:val="auto"/>
        </w:rPr>
        <w:sectPr>
          <w:pgSz w:w="11910" w:h="16840"/>
          <w:pgMar w:top="1500" w:right="1280" w:bottom="1600" w:left="1280" w:header="0" w:footer="1415" w:gutter="0"/>
          <w:pgNumType w:fmt="decimal"/>
          <w:cols w:space="720" w:num="1"/>
        </w:sectPr>
      </w:pPr>
    </w:p>
    <w:p>
      <w:pPr>
        <w:pStyle w:val="3"/>
        <w:kinsoku w:val="0"/>
        <w:overflowPunct w:val="0"/>
        <w:spacing w:line="395" w:lineRule="exact"/>
        <w:rPr>
          <w:rFonts w:hint="default"/>
          <w:b w:val="0"/>
          <w:color w:val="auto"/>
        </w:rPr>
      </w:pPr>
      <w:r>
        <w:rPr>
          <w:color w:val="auto"/>
        </w:rPr>
        <w:t>8、★《中华人民共和国政府采购法》第二十二条应当具备</w:t>
      </w:r>
    </w:p>
    <w:p>
      <w:pPr>
        <w:pStyle w:val="8"/>
        <w:kinsoku w:val="0"/>
        <w:overflowPunct w:val="0"/>
        <w:spacing w:before="205"/>
        <w:rPr>
          <w:rFonts w:hint="default" w:ascii="黑体" w:eastAsia="黑体" w:cs="黑体"/>
          <w:color w:val="auto"/>
          <w:sz w:val="32"/>
          <w:szCs w:val="32"/>
        </w:rPr>
      </w:pPr>
      <w:r>
        <w:rPr>
          <w:rFonts w:ascii="黑体" w:eastAsia="黑体" w:cs="黑体"/>
          <w:b/>
          <w:color w:val="auto"/>
          <w:sz w:val="32"/>
          <w:szCs w:val="32"/>
        </w:rPr>
        <w:t>的条件；</w:t>
      </w:r>
    </w:p>
    <w:p>
      <w:pPr>
        <w:pStyle w:val="8"/>
        <w:kinsoku w:val="0"/>
        <w:overflowPunct w:val="0"/>
        <w:spacing w:before="190" w:line="297" w:lineRule="auto"/>
        <w:ind w:left="480" w:hanging="360"/>
        <w:rPr>
          <w:rFonts w:hint="default"/>
          <w:color w:val="auto"/>
        </w:rPr>
      </w:pPr>
      <w:r>
        <w:rPr>
          <w:b/>
          <w:color w:val="auto"/>
        </w:rPr>
        <w:t>（1）具有独立承担民事责任的能力证明材料</w:t>
      </w:r>
      <w:r>
        <w:rPr>
          <w:b/>
          <w:color w:val="auto"/>
          <w:w w:val="99"/>
        </w:rPr>
        <w:t xml:space="preserve"> </w:t>
      </w:r>
      <w:r>
        <w:rPr>
          <w:color w:val="auto"/>
        </w:rPr>
        <w:t>供应商是企业（包括合伙企业）的，应提供其在工商部门注册的有效“企业法人营业执照”或“营业执照”的复印件； 供应商是事业单位的，应提供其有效的“事业单位法人证书”复印件； 供应商是非企业专业服务机构的，应提供其有效的执业许可证复印件； 供应商是个体工商户的，应提供其有效的“个体工商户营业执照”复印件； 供应商是自然人的，应提供其有效的自然人身份证明；</w:t>
      </w:r>
    </w:p>
    <w:p>
      <w:pPr>
        <w:pStyle w:val="8"/>
        <w:kinsoku w:val="0"/>
        <w:overflowPunct w:val="0"/>
        <w:spacing w:before="0"/>
        <w:ind w:left="0"/>
        <w:rPr>
          <w:rFonts w:hint="default"/>
          <w:color w:val="auto"/>
        </w:rPr>
      </w:pPr>
    </w:p>
    <w:p>
      <w:pPr>
        <w:pStyle w:val="8"/>
        <w:kinsoku w:val="0"/>
        <w:overflowPunct w:val="0"/>
        <w:spacing w:before="5"/>
        <w:ind w:left="0"/>
        <w:rPr>
          <w:rFonts w:hint="default"/>
          <w:color w:val="auto"/>
          <w:sz w:val="20"/>
          <w:szCs w:val="20"/>
        </w:rPr>
      </w:pPr>
    </w:p>
    <w:p>
      <w:pPr>
        <w:pStyle w:val="8"/>
        <w:kinsoku w:val="0"/>
        <w:overflowPunct w:val="0"/>
        <w:spacing w:before="0" w:line="357" w:lineRule="auto"/>
        <w:rPr>
          <w:rFonts w:hint="default"/>
          <w:color w:val="auto"/>
        </w:rPr>
      </w:pPr>
      <w:r>
        <w:rPr>
          <w:b/>
          <w:color w:val="auto"/>
        </w:rPr>
        <w:t>（2）具有良好的商业信誉和健全的财务会计制度证明材料</w:t>
      </w:r>
      <w:r>
        <w:rPr>
          <w:b/>
          <w:color w:val="auto"/>
          <w:w w:val="99"/>
        </w:rPr>
        <w:t xml:space="preserve"> </w:t>
      </w:r>
      <w:bookmarkStart w:id="54" w:name="供应商是法人的应提供经审计的上一年度的财务报告。（财务审计报告必须为第三方提供并"/>
      <w:bookmarkEnd w:id="54"/>
      <w:r>
        <w:rPr>
          <w:color w:val="auto"/>
          <w:spacing w:val="-3"/>
        </w:rPr>
        <w:t>供应商是法人的应提供经审计的上一年度的财务报告。（财务审计报告必须为第</w:t>
      </w:r>
      <w:r>
        <w:rPr>
          <w:color w:val="auto"/>
          <w:spacing w:val="-109"/>
        </w:rPr>
        <w:t xml:space="preserve"> </w:t>
      </w:r>
      <w:r>
        <w:rPr>
          <w:color w:val="auto"/>
          <w:spacing w:val="-3"/>
        </w:rPr>
        <w:t>三方提供并加盖第三方公章的完整版）或截止开标前</w:t>
      </w:r>
      <w:r>
        <w:rPr>
          <w:color w:val="auto"/>
          <w:spacing w:val="-61"/>
        </w:rPr>
        <w:t xml:space="preserve"> </w:t>
      </w:r>
      <w:r>
        <w:rPr>
          <w:color w:val="auto"/>
        </w:rPr>
        <w:t>1</w:t>
      </w:r>
      <w:r>
        <w:rPr>
          <w:color w:val="auto"/>
          <w:spacing w:val="-60"/>
        </w:rPr>
        <w:t xml:space="preserve"> </w:t>
      </w:r>
      <w:r>
        <w:rPr>
          <w:color w:val="auto"/>
        </w:rPr>
        <w:t>个月 的基本开户银行出具的资信证明</w:t>
      </w:r>
      <w:r>
        <w:rPr>
          <w:rFonts w:hint="eastAsia"/>
          <w:color w:val="auto"/>
        </w:rPr>
        <w:t>或上一年度财务报表</w:t>
      </w:r>
      <w:r>
        <w:rPr>
          <w:color w:val="auto"/>
        </w:rPr>
        <w:t>；</w:t>
      </w:r>
    </w:p>
    <w:p>
      <w:pPr>
        <w:pStyle w:val="8"/>
        <w:kinsoku w:val="0"/>
        <w:overflowPunct w:val="0"/>
        <w:spacing w:before="0"/>
        <w:ind w:left="0"/>
        <w:rPr>
          <w:rFonts w:hint="default"/>
          <w:color w:val="auto"/>
        </w:rPr>
      </w:pPr>
    </w:p>
    <w:p>
      <w:pPr>
        <w:pStyle w:val="8"/>
        <w:kinsoku w:val="0"/>
        <w:overflowPunct w:val="0"/>
        <w:spacing w:before="4"/>
        <w:ind w:left="0"/>
        <w:rPr>
          <w:rFonts w:hint="default"/>
          <w:color w:val="auto"/>
          <w:sz w:val="26"/>
          <w:szCs w:val="26"/>
        </w:rPr>
      </w:pPr>
    </w:p>
    <w:p>
      <w:pPr>
        <w:pStyle w:val="7"/>
        <w:kinsoku w:val="0"/>
        <w:overflowPunct w:val="0"/>
        <w:spacing w:before="0"/>
        <w:rPr>
          <w:rFonts w:hint="default"/>
          <w:b w:val="0"/>
          <w:color w:val="auto"/>
        </w:rPr>
      </w:pPr>
      <w:r>
        <w:rPr>
          <w:color w:val="auto"/>
        </w:rPr>
        <w:t>（3）具有履行合同所必需的设备和专业技术能力承诺书</w:t>
      </w:r>
    </w:p>
    <w:p>
      <w:pPr>
        <w:pStyle w:val="8"/>
        <w:kinsoku w:val="0"/>
        <w:overflowPunct w:val="0"/>
        <w:spacing w:before="154"/>
        <w:rPr>
          <w:rFonts w:hint="default"/>
          <w:color w:val="auto"/>
        </w:rPr>
      </w:pPr>
      <w:bookmarkStart w:id="55" w:name="（提供具有履行合同所必需的设备和专业技术能力相关证明材料或声明；）"/>
      <w:bookmarkEnd w:id="55"/>
      <w:r>
        <w:rPr>
          <w:color w:val="auto"/>
        </w:rPr>
        <w:t>（提供具有履行合同所必需的设备和专业技术能力相关证明材料或声明；）</w:t>
      </w:r>
    </w:p>
    <w:p>
      <w:pPr>
        <w:pStyle w:val="8"/>
        <w:kinsoku w:val="0"/>
        <w:overflowPunct w:val="0"/>
        <w:spacing w:before="0"/>
        <w:ind w:left="0"/>
        <w:rPr>
          <w:rFonts w:hint="default"/>
          <w:color w:val="auto"/>
        </w:rPr>
      </w:pPr>
    </w:p>
    <w:p>
      <w:pPr>
        <w:pStyle w:val="8"/>
        <w:kinsoku w:val="0"/>
        <w:overflowPunct w:val="0"/>
        <w:spacing w:before="7"/>
        <w:ind w:left="0"/>
        <w:rPr>
          <w:rFonts w:hint="default"/>
          <w:color w:val="auto"/>
          <w:sz w:val="23"/>
          <w:szCs w:val="23"/>
        </w:rPr>
      </w:pPr>
    </w:p>
    <w:p>
      <w:pPr>
        <w:pStyle w:val="8"/>
        <w:kinsoku w:val="0"/>
        <w:overflowPunct w:val="0"/>
        <w:spacing w:before="0" w:line="357" w:lineRule="auto"/>
        <w:ind w:left="355" w:right="1180" w:hanging="236"/>
        <w:rPr>
          <w:rFonts w:hint="default"/>
          <w:b/>
          <w:color w:val="auto"/>
          <w:w w:val="99"/>
        </w:rPr>
      </w:pPr>
      <w:r>
        <w:rPr>
          <w:b/>
          <w:color w:val="auto"/>
        </w:rPr>
        <w:t>（4）有依法缴纳税收和社会保障资金的良好记录证明材料</w:t>
      </w:r>
      <w:r>
        <w:rPr>
          <w:b/>
          <w:color w:val="auto"/>
          <w:w w:val="99"/>
        </w:rPr>
        <w:t xml:space="preserve"> </w:t>
      </w:r>
    </w:p>
    <w:p>
      <w:pPr>
        <w:pStyle w:val="8"/>
        <w:kinsoku w:val="0"/>
        <w:overflowPunct w:val="0"/>
        <w:spacing w:before="0" w:line="357" w:lineRule="auto"/>
        <w:ind w:left="355" w:right="1180" w:hanging="236"/>
        <w:rPr>
          <w:rFonts w:hint="default"/>
          <w:color w:val="auto"/>
        </w:rPr>
      </w:pPr>
      <w:r>
        <w:rPr>
          <w:color w:val="auto"/>
        </w:rPr>
        <w:t>1）有依法缴纳税收</w:t>
      </w:r>
    </w:p>
    <w:p>
      <w:pPr>
        <w:pStyle w:val="8"/>
        <w:kinsoku w:val="0"/>
        <w:overflowPunct w:val="0"/>
        <w:rPr>
          <w:rFonts w:hint="default"/>
          <w:color w:val="auto"/>
        </w:rPr>
      </w:pPr>
      <w:bookmarkStart w:id="56" w:name="提供截止开标前近半年内任三个月税收缴纳完成的证明资料。"/>
      <w:bookmarkEnd w:id="56"/>
      <w:r>
        <w:rPr>
          <w:color w:val="auto"/>
        </w:rPr>
        <w:t>提供截止开标前近半年内任三个月税收缴纳完成的证明资料。</w:t>
      </w:r>
    </w:p>
    <w:p>
      <w:pPr>
        <w:pStyle w:val="8"/>
        <w:kinsoku w:val="0"/>
        <w:overflowPunct w:val="0"/>
        <w:spacing w:before="108" w:line="312" w:lineRule="exact"/>
        <w:rPr>
          <w:rFonts w:hint="default"/>
          <w:color w:val="auto"/>
        </w:rPr>
      </w:pPr>
      <w:r>
        <w:rPr>
          <w:color w:val="auto"/>
          <w:spacing w:val="-3"/>
        </w:rPr>
        <w:t>（提供截止开标前近半年内任三个月税收部门出具的完成税收缴纳证明。其它无</w:t>
      </w:r>
      <w:r>
        <w:rPr>
          <w:color w:val="auto"/>
          <w:spacing w:val="-109"/>
        </w:rPr>
        <w:t xml:space="preserve"> </w:t>
      </w:r>
      <w:r>
        <w:rPr>
          <w:color w:val="auto"/>
        </w:rPr>
        <w:t>需纳税或免税的必须提供相关证明。）</w:t>
      </w:r>
    </w:p>
    <w:p>
      <w:pPr>
        <w:pStyle w:val="8"/>
        <w:kinsoku w:val="0"/>
        <w:overflowPunct w:val="0"/>
        <w:spacing w:before="200" w:line="357" w:lineRule="auto"/>
        <w:rPr>
          <w:rFonts w:hint="default"/>
          <w:color w:val="auto"/>
        </w:rPr>
      </w:pPr>
      <w:r>
        <w:rPr>
          <w:color w:val="auto"/>
        </w:rPr>
        <w:t>2）</w:t>
      </w:r>
      <w:r>
        <w:rPr>
          <w:rFonts w:hint="eastAsia"/>
          <w:color w:val="auto"/>
        </w:rPr>
        <w:t>提供截止开标前近半年内为为授权代理人缴纳任意一个月的社保资金证明或有电子专用章的缴费清单；</w:t>
      </w:r>
    </w:p>
    <w:p>
      <w:pPr>
        <w:pStyle w:val="8"/>
        <w:kinsoku w:val="0"/>
        <w:overflowPunct w:val="0"/>
        <w:spacing w:before="200" w:line="357" w:lineRule="auto"/>
        <w:ind w:firstLine="235"/>
        <w:rPr>
          <w:rFonts w:hint="default"/>
          <w:color w:val="auto"/>
        </w:rPr>
        <w:sectPr>
          <w:pgSz w:w="11910" w:h="16840"/>
          <w:pgMar w:top="1500" w:right="1680" w:bottom="1600" w:left="1680" w:header="0" w:footer="1415" w:gutter="0"/>
          <w:pgNumType w:fmt="decimal"/>
          <w:cols w:space="720" w:num="1"/>
        </w:sectPr>
      </w:pPr>
    </w:p>
    <w:p>
      <w:pPr>
        <w:pStyle w:val="8"/>
        <w:kinsoku w:val="0"/>
        <w:overflowPunct w:val="0"/>
        <w:spacing w:before="10"/>
        <w:ind w:left="0"/>
        <w:rPr>
          <w:rFonts w:hint="default"/>
          <w:color w:val="auto"/>
        </w:rPr>
      </w:pPr>
    </w:p>
    <w:p>
      <w:pPr>
        <w:pStyle w:val="7"/>
        <w:kinsoku w:val="0"/>
        <w:overflowPunct w:val="0"/>
        <w:spacing w:before="26"/>
        <w:rPr>
          <w:rFonts w:hint="default"/>
          <w:b w:val="0"/>
          <w:color w:val="auto"/>
        </w:rPr>
      </w:pPr>
      <w:r>
        <w:rPr>
          <w:color w:val="auto"/>
        </w:rPr>
        <w:t>（5）参加政府采购活动前三年内，在经营活动中没有重大违法记录承诺书</w:t>
      </w:r>
    </w:p>
    <w:p>
      <w:pPr>
        <w:pStyle w:val="8"/>
        <w:kinsoku w:val="0"/>
        <w:overflowPunct w:val="0"/>
        <w:spacing w:before="154" w:line="357" w:lineRule="auto"/>
        <w:ind w:firstLine="480" w:firstLineChars="200"/>
        <w:rPr>
          <w:color w:val="auto"/>
        </w:rPr>
      </w:pPr>
      <w:bookmarkStart w:id="57" w:name="（提供参加政府采购活动近三年无重大违法记录声明书；）"/>
      <w:bookmarkEnd w:id="57"/>
      <w:r>
        <w:rPr>
          <w:color w:val="auto"/>
        </w:rPr>
        <w:t>提供参加政府采购活动近三年无重大违法记录声明书；</w:t>
      </w:r>
    </w:p>
    <w:p>
      <w:pPr>
        <w:pStyle w:val="8"/>
        <w:kinsoku w:val="0"/>
        <w:overflowPunct w:val="0"/>
        <w:spacing w:before="154" w:line="357" w:lineRule="auto"/>
        <w:rPr>
          <w:rFonts w:hint="default"/>
          <w:color w:val="auto"/>
        </w:rPr>
      </w:pPr>
      <w:r>
        <w:rPr>
          <w:color w:val="auto"/>
        </w:rPr>
        <w:t xml:space="preserve"> </w:t>
      </w:r>
      <w:r>
        <w:rPr>
          <w:color w:val="auto"/>
          <w:spacing w:val="-3"/>
        </w:rPr>
        <w:t>注：近三年：成立三年以上的，为提交响应文件截止时间前三年内；成立不足三</w:t>
      </w:r>
      <w:r>
        <w:rPr>
          <w:color w:val="auto"/>
          <w:spacing w:val="-109"/>
        </w:rPr>
        <w:t xml:space="preserve"> </w:t>
      </w:r>
      <w:r>
        <w:rPr>
          <w:color w:val="auto"/>
        </w:rPr>
        <w:t>年的，为实际时间。</w:t>
      </w:r>
    </w:p>
    <w:p>
      <w:pPr>
        <w:pStyle w:val="7"/>
        <w:kinsoku w:val="0"/>
        <w:overflowPunct w:val="0"/>
        <w:spacing w:before="190"/>
        <w:rPr>
          <w:color w:val="auto"/>
        </w:rPr>
      </w:pPr>
    </w:p>
    <w:p>
      <w:pPr>
        <w:pStyle w:val="7"/>
        <w:kinsoku w:val="0"/>
        <w:overflowPunct w:val="0"/>
        <w:spacing w:before="190"/>
        <w:rPr>
          <w:rFonts w:hint="default"/>
          <w:b w:val="0"/>
          <w:color w:val="auto"/>
        </w:rPr>
      </w:pPr>
      <w:r>
        <w:rPr>
          <w:color w:val="auto"/>
        </w:rPr>
        <w:t>（6）法律、行政法规规定的其他条件;</w:t>
      </w:r>
    </w:p>
    <w:p>
      <w:pPr>
        <w:pStyle w:val="7"/>
        <w:kinsoku w:val="0"/>
        <w:overflowPunct w:val="0"/>
        <w:spacing w:before="190"/>
        <w:rPr>
          <w:rFonts w:hint="default"/>
          <w:b w:val="0"/>
          <w:color w:val="auto"/>
        </w:rPr>
      </w:pPr>
    </w:p>
    <w:p>
      <w:pPr>
        <w:adjustRightInd w:val="0"/>
        <w:snapToGrid w:val="0"/>
        <w:spacing w:line="360" w:lineRule="auto"/>
        <w:ind w:firstLine="562" w:firstLineChars="200"/>
        <w:jc w:val="center"/>
        <w:rPr>
          <w:rFonts w:hint="eastAsia" w:ascii="宋体" w:hAnsi="宋体"/>
          <w:b/>
          <w:color w:val="auto"/>
          <w:sz w:val="28"/>
          <w:szCs w:val="28"/>
        </w:rPr>
      </w:pPr>
    </w:p>
    <w:p>
      <w:pPr>
        <w:adjustRightInd w:val="0"/>
        <w:snapToGrid w:val="0"/>
        <w:spacing w:line="360" w:lineRule="auto"/>
        <w:ind w:firstLine="562" w:firstLineChars="200"/>
        <w:jc w:val="center"/>
        <w:rPr>
          <w:rFonts w:hint="eastAsia" w:ascii="宋体" w:hAnsi="宋体"/>
          <w:b/>
          <w:color w:val="auto"/>
          <w:sz w:val="28"/>
          <w:szCs w:val="28"/>
        </w:rPr>
      </w:pPr>
    </w:p>
    <w:p>
      <w:pPr>
        <w:adjustRightInd w:val="0"/>
        <w:snapToGrid w:val="0"/>
        <w:spacing w:line="360" w:lineRule="auto"/>
        <w:ind w:firstLine="562" w:firstLineChars="200"/>
        <w:jc w:val="center"/>
        <w:rPr>
          <w:rFonts w:hint="eastAsia" w:ascii="宋体" w:hAnsi="宋体"/>
          <w:b/>
          <w:color w:val="auto"/>
          <w:sz w:val="28"/>
          <w:szCs w:val="28"/>
        </w:rPr>
      </w:pPr>
    </w:p>
    <w:p>
      <w:pPr>
        <w:adjustRightInd w:val="0"/>
        <w:snapToGrid w:val="0"/>
        <w:spacing w:line="360" w:lineRule="auto"/>
        <w:ind w:firstLine="562" w:firstLineChars="200"/>
        <w:jc w:val="center"/>
        <w:rPr>
          <w:rFonts w:hint="eastAsia" w:ascii="宋体" w:hAnsi="宋体"/>
          <w:b/>
          <w:color w:val="auto"/>
          <w:sz w:val="28"/>
          <w:szCs w:val="28"/>
        </w:rPr>
      </w:pPr>
    </w:p>
    <w:p>
      <w:pPr>
        <w:adjustRightInd w:val="0"/>
        <w:snapToGrid w:val="0"/>
        <w:spacing w:line="360" w:lineRule="auto"/>
        <w:ind w:firstLine="562" w:firstLineChars="200"/>
        <w:jc w:val="center"/>
        <w:rPr>
          <w:rFonts w:hint="eastAsia" w:ascii="宋体" w:hAnsi="宋体"/>
          <w:b/>
          <w:color w:val="auto"/>
          <w:sz w:val="28"/>
          <w:szCs w:val="28"/>
        </w:rPr>
      </w:pPr>
      <w:r>
        <w:rPr>
          <w:rFonts w:hint="eastAsia" w:ascii="宋体" w:hAnsi="宋体"/>
          <w:b/>
          <w:color w:val="auto"/>
          <w:sz w:val="28"/>
          <w:szCs w:val="28"/>
        </w:rPr>
        <w:t>具备履行合同所必需的设备和专业技术能力的承诺</w:t>
      </w:r>
    </w:p>
    <w:p>
      <w:pPr>
        <w:adjustRightInd w:val="0"/>
        <w:snapToGrid w:val="0"/>
        <w:spacing w:line="360" w:lineRule="auto"/>
        <w:ind w:firstLine="560" w:firstLineChars="200"/>
        <w:jc w:val="center"/>
        <w:rPr>
          <w:rFonts w:hint="eastAsia" w:ascii="宋体" w:hAnsi="宋体"/>
          <w:color w:val="auto"/>
          <w:sz w:val="28"/>
          <w:szCs w:val="28"/>
        </w:rPr>
      </w:pPr>
    </w:p>
    <w:p>
      <w:pPr>
        <w:autoSpaceDE w:val="0"/>
        <w:autoSpaceDN w:val="0"/>
        <w:adjustRightInd w:val="0"/>
        <w:spacing w:line="440" w:lineRule="exact"/>
        <w:jc w:val="left"/>
        <w:rPr>
          <w:rFonts w:ascii="宋体" w:cs="宋体"/>
          <w:color w:val="auto"/>
          <w:kern w:val="0"/>
          <w:sz w:val="23"/>
          <w:szCs w:val="23"/>
        </w:rPr>
      </w:pPr>
      <w:r>
        <w:rPr>
          <w:rFonts w:hint="eastAsia" w:ascii="宋体" w:cs="宋体"/>
          <w:color w:val="auto"/>
          <w:kern w:val="0"/>
          <w:sz w:val="23"/>
          <w:szCs w:val="23"/>
        </w:rPr>
        <w:t>本投标单位郑重声明：</w:t>
      </w:r>
      <w:r>
        <w:rPr>
          <w:rFonts w:ascii="宋体" w:cs="宋体"/>
          <w:color w:val="auto"/>
          <w:kern w:val="0"/>
          <w:sz w:val="23"/>
          <w:szCs w:val="23"/>
        </w:rPr>
        <w:t xml:space="preserve"> </w:t>
      </w:r>
    </w:p>
    <w:p>
      <w:pPr>
        <w:autoSpaceDE w:val="0"/>
        <w:autoSpaceDN w:val="0"/>
        <w:adjustRightInd w:val="0"/>
        <w:spacing w:line="440" w:lineRule="exact"/>
        <w:ind w:left="420"/>
        <w:jc w:val="left"/>
        <w:rPr>
          <w:rFonts w:hint="eastAsia" w:ascii="宋体" w:cs="宋体"/>
          <w:color w:val="auto"/>
          <w:kern w:val="0"/>
          <w:sz w:val="23"/>
          <w:szCs w:val="23"/>
        </w:rPr>
      </w:pPr>
    </w:p>
    <w:p>
      <w:pPr>
        <w:autoSpaceDE w:val="0"/>
        <w:autoSpaceDN w:val="0"/>
        <w:adjustRightInd w:val="0"/>
        <w:spacing w:line="440" w:lineRule="exact"/>
        <w:ind w:left="420"/>
        <w:jc w:val="left"/>
        <w:rPr>
          <w:rFonts w:ascii="宋体" w:cs="宋体"/>
          <w:color w:val="auto"/>
          <w:kern w:val="0"/>
          <w:sz w:val="23"/>
          <w:szCs w:val="23"/>
        </w:rPr>
      </w:pPr>
      <w:r>
        <w:rPr>
          <w:rFonts w:hint="eastAsia" w:ascii="宋体" w:cs="宋体"/>
          <w:color w:val="auto"/>
          <w:kern w:val="0"/>
          <w:sz w:val="23"/>
          <w:szCs w:val="23"/>
        </w:rPr>
        <w:t>本公司（或单位）具备本项目履行合同所必需的设备和专业技术能力，特此承诺。</w:t>
      </w:r>
      <w:r>
        <w:rPr>
          <w:rFonts w:ascii="宋体" w:cs="宋体"/>
          <w:color w:val="auto"/>
          <w:kern w:val="0"/>
          <w:sz w:val="23"/>
          <w:szCs w:val="23"/>
        </w:rPr>
        <w:t xml:space="preserve"> </w:t>
      </w:r>
    </w:p>
    <w:p>
      <w:pPr>
        <w:autoSpaceDE w:val="0"/>
        <w:autoSpaceDN w:val="0"/>
        <w:adjustRightInd w:val="0"/>
        <w:spacing w:line="440" w:lineRule="exact"/>
        <w:jc w:val="left"/>
        <w:rPr>
          <w:rFonts w:hint="eastAsia" w:ascii="宋体" w:cs="宋体"/>
          <w:color w:val="auto"/>
          <w:kern w:val="0"/>
          <w:sz w:val="23"/>
          <w:szCs w:val="23"/>
        </w:rPr>
      </w:pPr>
    </w:p>
    <w:p>
      <w:pPr>
        <w:adjustRightInd w:val="0"/>
        <w:snapToGrid w:val="0"/>
        <w:spacing w:line="360" w:lineRule="auto"/>
        <w:rPr>
          <w:rFonts w:hint="eastAsia" w:ascii="宋体" w:hAnsi="宋体"/>
          <w:color w:val="auto"/>
          <w:szCs w:val="21"/>
        </w:rPr>
      </w:pPr>
      <w:r>
        <w:rPr>
          <w:rFonts w:hint="eastAsia" w:ascii="宋体" w:cs="宋体"/>
          <w:color w:val="auto"/>
          <w:kern w:val="0"/>
          <w:sz w:val="23"/>
          <w:szCs w:val="23"/>
        </w:rPr>
        <w:t>投标单位</w:t>
      </w:r>
      <w:r>
        <w:rPr>
          <w:rFonts w:hint="eastAsia" w:ascii="宋体" w:hAnsi="宋体"/>
          <w:color w:val="auto"/>
          <w:szCs w:val="21"/>
        </w:rPr>
        <w:t>（盖单位章）：</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法定代表人或其委托代理人（签字）：</w:t>
      </w:r>
      <w:r>
        <w:rPr>
          <w:rFonts w:hint="eastAsia" w:ascii="宋体" w:hAnsi="宋体"/>
          <w:color w:val="auto"/>
          <w:szCs w:val="21"/>
          <w:u w:val="single"/>
        </w:rPr>
        <w:t xml:space="preserve">               </w:t>
      </w:r>
    </w:p>
    <w:p>
      <w:pPr>
        <w:adjustRightInd w:val="0"/>
        <w:snapToGrid w:val="0"/>
        <w:spacing w:line="360" w:lineRule="auto"/>
        <w:rPr>
          <w:rFonts w:hint="eastAsia" w:ascii="宋体" w:hAnsi="宋体"/>
          <w:bCs/>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bCs/>
          <w:color w:val="auto"/>
          <w:szCs w:val="21"/>
        </w:rPr>
        <w:t>日</w:t>
      </w:r>
    </w:p>
    <w:p>
      <w:pPr>
        <w:adjustRightInd w:val="0"/>
        <w:snapToGrid w:val="0"/>
        <w:spacing w:before="120" w:beforeLines="50" w:line="360" w:lineRule="auto"/>
        <w:rPr>
          <w:rFonts w:hint="eastAsia" w:ascii="宋体"/>
          <w:color w:val="auto"/>
          <w:kern w:val="0"/>
          <w:sz w:val="28"/>
          <w:szCs w:val="28"/>
        </w:rPr>
      </w:pPr>
      <w:r>
        <w:rPr>
          <w:rFonts w:ascii="宋体"/>
          <w:color w:val="auto"/>
          <w:kern w:val="0"/>
          <w:sz w:val="28"/>
          <w:szCs w:val="28"/>
        </w:rPr>
        <w:br w:type="page"/>
      </w:r>
    </w:p>
    <w:p>
      <w:pPr>
        <w:adjustRightInd w:val="0"/>
        <w:snapToGrid w:val="0"/>
        <w:spacing w:before="120" w:beforeLines="50" w:line="360" w:lineRule="auto"/>
        <w:rPr>
          <w:rFonts w:hint="eastAsia" w:ascii="宋体" w:hAnsi="宋体"/>
          <w:b/>
          <w:color w:val="auto"/>
        </w:rPr>
      </w:pPr>
    </w:p>
    <w:p>
      <w:pPr>
        <w:adjustRightInd w:val="0"/>
        <w:snapToGrid w:val="0"/>
        <w:spacing w:line="360" w:lineRule="auto"/>
        <w:ind w:firstLine="562" w:firstLineChars="200"/>
        <w:jc w:val="center"/>
        <w:rPr>
          <w:rFonts w:hint="eastAsia" w:ascii="宋体" w:hAnsi="宋体"/>
          <w:b/>
          <w:color w:val="auto"/>
          <w:sz w:val="28"/>
          <w:szCs w:val="28"/>
        </w:rPr>
      </w:pPr>
      <w:r>
        <w:rPr>
          <w:rFonts w:hint="eastAsia" w:ascii="宋体" w:hAnsi="宋体"/>
          <w:b/>
          <w:color w:val="auto"/>
          <w:sz w:val="28"/>
          <w:szCs w:val="28"/>
        </w:rPr>
        <w:t>无重大违法记录声明书</w:t>
      </w:r>
    </w:p>
    <w:p>
      <w:pPr>
        <w:widowControl/>
        <w:adjustRightInd w:val="0"/>
        <w:snapToGrid w:val="0"/>
        <w:spacing w:line="360" w:lineRule="auto"/>
        <w:jc w:val="center"/>
        <w:rPr>
          <w:rFonts w:hint="eastAsia" w:ascii="宋体" w:hAnsi="宋体"/>
          <w:color w:val="auto"/>
          <w:szCs w:val="21"/>
        </w:rPr>
      </w:pPr>
    </w:p>
    <w:p>
      <w:pPr>
        <w:adjustRightInd w:val="0"/>
        <w:snapToGrid w:val="0"/>
        <w:spacing w:line="360" w:lineRule="auto"/>
        <w:rPr>
          <w:rFonts w:hint="eastAsia" w:ascii="宋体" w:hAnsi="宋体"/>
          <w:color w:val="auto"/>
          <w:szCs w:val="21"/>
        </w:rPr>
      </w:pPr>
      <w:r>
        <w:rPr>
          <w:rFonts w:hint="eastAsia" w:ascii="宋体" w:hAnsi="宋体"/>
          <w:color w:val="auto"/>
          <w:szCs w:val="21"/>
          <w:u w:val="single"/>
        </w:rPr>
        <w:t xml:space="preserve">（采购人）         </w:t>
      </w:r>
      <w:r>
        <w:rPr>
          <w:rFonts w:hint="eastAsia" w:ascii="宋体" w:hAnsi="宋体"/>
          <w:color w:val="auto"/>
          <w:szCs w:val="21"/>
        </w:rPr>
        <w:t>：</w:t>
      </w:r>
    </w:p>
    <w:p>
      <w:pPr>
        <w:adjustRightInd w:val="0"/>
        <w:snapToGrid w:val="0"/>
        <w:spacing w:line="360" w:lineRule="auto"/>
        <w:ind w:firstLine="480" w:firstLineChars="200"/>
        <w:rPr>
          <w:rFonts w:ascii="宋体" w:hAnsi="宋体"/>
          <w:color w:val="auto"/>
          <w:szCs w:val="21"/>
        </w:rPr>
      </w:pPr>
    </w:p>
    <w:p>
      <w:pPr>
        <w:adjustRightInd w:val="0"/>
        <w:snapToGrid w:val="0"/>
        <w:spacing w:line="360" w:lineRule="auto"/>
        <w:ind w:firstLine="480" w:firstLineChars="200"/>
        <w:rPr>
          <w:rFonts w:hint="eastAsia" w:ascii="宋体" w:hAnsi="宋体"/>
          <w:color w:val="auto"/>
          <w:szCs w:val="21"/>
        </w:rPr>
      </w:pPr>
      <w:r>
        <w:rPr>
          <w:rFonts w:hint="eastAsia" w:ascii="宋体" w:hAnsi="宋体"/>
          <w:color w:val="auto"/>
          <w:szCs w:val="21"/>
        </w:rPr>
        <w:t>我公司参与</w:t>
      </w:r>
      <w:r>
        <w:rPr>
          <w:rFonts w:hint="eastAsia" w:ascii="宋体" w:hAnsi="宋体"/>
          <w:color w:val="auto"/>
          <w:szCs w:val="21"/>
          <w:u w:val="single"/>
        </w:rPr>
        <w:t xml:space="preserve">                          （</w:t>
      </w:r>
      <w:r>
        <w:rPr>
          <w:rFonts w:hint="eastAsia" w:ascii="宋体" w:hAnsi="宋体"/>
          <w:color w:val="auto"/>
          <w:szCs w:val="21"/>
        </w:rPr>
        <w:t>项目名称、编号）招标，本公司郑重声明，我方参加本项目政府采购活动前三年内无重大违法记录，符合《政府采购法》规定的投标单位条件。若贵方在本项目采购过程中发现我方政府采购活动前三年内有重大违法记录，我公司将无条件退出本项目的招标，并承担因此引起的一切后果。我方对此声明负全部法律责任。</w:t>
      </w:r>
    </w:p>
    <w:p>
      <w:pPr>
        <w:adjustRightInd w:val="0"/>
        <w:snapToGrid w:val="0"/>
        <w:spacing w:line="360" w:lineRule="auto"/>
        <w:ind w:firstLine="480" w:firstLineChars="200"/>
        <w:rPr>
          <w:rFonts w:hint="eastAsia" w:ascii="宋体" w:hAnsi="宋体"/>
          <w:color w:val="auto"/>
          <w:szCs w:val="21"/>
        </w:rPr>
      </w:pPr>
      <w:r>
        <w:rPr>
          <w:rFonts w:hint="eastAsia" w:ascii="宋体" w:hAnsi="宋体"/>
          <w:color w:val="auto"/>
          <w:szCs w:val="21"/>
        </w:rPr>
        <w:t xml:space="preserve">特此声明  </w:t>
      </w:r>
    </w:p>
    <w:p>
      <w:pPr>
        <w:adjustRightInd w:val="0"/>
        <w:snapToGrid w:val="0"/>
        <w:spacing w:line="360" w:lineRule="auto"/>
        <w:ind w:firstLine="480" w:firstLineChars="200"/>
        <w:rPr>
          <w:rFonts w:ascii="宋体" w:hAnsi="宋体"/>
          <w:color w:val="auto"/>
          <w:szCs w:val="21"/>
        </w:rPr>
      </w:pPr>
    </w:p>
    <w:p>
      <w:pPr>
        <w:adjustRightInd w:val="0"/>
        <w:snapToGrid w:val="0"/>
        <w:spacing w:line="360" w:lineRule="auto"/>
        <w:ind w:firstLine="480" w:firstLineChars="200"/>
        <w:rPr>
          <w:rFonts w:ascii="宋体" w:hAnsi="宋体"/>
          <w:color w:val="auto"/>
          <w:szCs w:val="21"/>
        </w:rPr>
      </w:pPr>
    </w:p>
    <w:p>
      <w:pPr>
        <w:adjustRightInd w:val="0"/>
        <w:snapToGrid w:val="0"/>
        <w:spacing w:line="360" w:lineRule="auto"/>
        <w:ind w:firstLine="480" w:firstLineChars="200"/>
        <w:rPr>
          <w:rFonts w:ascii="宋体" w:hAnsi="宋体"/>
          <w:color w:val="auto"/>
          <w:szCs w:val="21"/>
        </w:rPr>
      </w:pPr>
    </w:p>
    <w:p>
      <w:pPr>
        <w:adjustRightInd w:val="0"/>
        <w:snapToGrid w:val="0"/>
        <w:spacing w:line="360" w:lineRule="auto"/>
        <w:ind w:firstLine="480" w:firstLineChars="200"/>
        <w:rPr>
          <w:rFonts w:ascii="宋体" w:hAnsi="宋体"/>
          <w:color w:val="auto"/>
          <w:szCs w:val="21"/>
        </w:rPr>
      </w:pPr>
    </w:p>
    <w:p>
      <w:pPr>
        <w:adjustRightInd w:val="0"/>
        <w:snapToGrid w:val="0"/>
        <w:spacing w:line="360" w:lineRule="auto"/>
        <w:ind w:firstLine="480" w:firstLineChars="200"/>
        <w:rPr>
          <w:rFonts w:hint="eastAsia" w:ascii="宋体" w:hAnsi="宋体"/>
          <w:bCs/>
          <w:color w:val="auto"/>
          <w:szCs w:val="21"/>
        </w:rPr>
      </w:pPr>
    </w:p>
    <w:p>
      <w:pPr>
        <w:adjustRightInd w:val="0"/>
        <w:snapToGrid w:val="0"/>
        <w:spacing w:line="360" w:lineRule="auto"/>
        <w:ind w:firstLine="3112" w:firstLineChars="1297"/>
        <w:rPr>
          <w:rFonts w:hint="eastAsia" w:ascii="宋体" w:hAnsi="宋体"/>
          <w:color w:val="auto"/>
          <w:szCs w:val="21"/>
        </w:rPr>
      </w:pPr>
    </w:p>
    <w:p>
      <w:pPr>
        <w:adjustRightInd w:val="0"/>
        <w:snapToGrid w:val="0"/>
        <w:spacing w:line="360" w:lineRule="auto"/>
        <w:rPr>
          <w:rFonts w:hint="eastAsia" w:ascii="宋体" w:hAnsi="宋体"/>
          <w:color w:val="auto"/>
          <w:szCs w:val="21"/>
        </w:rPr>
      </w:pPr>
      <w:r>
        <w:rPr>
          <w:rFonts w:hint="eastAsia" w:ascii="宋体" w:hAnsi="宋体"/>
          <w:color w:val="auto"/>
          <w:szCs w:val="21"/>
        </w:rPr>
        <w:t>投标单位（盖单位章）：</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法定代表人或其委托代理人（签字）：</w:t>
      </w:r>
      <w:r>
        <w:rPr>
          <w:rFonts w:hint="eastAsia" w:ascii="宋体" w:hAnsi="宋体"/>
          <w:color w:val="auto"/>
          <w:szCs w:val="21"/>
          <w:u w:val="single"/>
        </w:rPr>
        <w:t xml:space="preserve">               </w:t>
      </w:r>
    </w:p>
    <w:p>
      <w:pPr>
        <w:adjustRightInd w:val="0"/>
        <w:snapToGrid w:val="0"/>
        <w:spacing w:line="360" w:lineRule="auto"/>
        <w:rPr>
          <w:rFonts w:hint="eastAsia" w:ascii="宋体" w:hAnsi="宋体"/>
          <w:bCs/>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bCs/>
          <w:color w:val="auto"/>
          <w:szCs w:val="21"/>
        </w:rPr>
        <w:t>日</w:t>
      </w:r>
    </w:p>
    <w:p>
      <w:pPr>
        <w:spacing w:line="360" w:lineRule="auto"/>
        <w:ind w:firstLine="4003" w:firstLineChars="1668"/>
        <w:rPr>
          <w:rFonts w:hint="eastAsia" w:ascii="宋体" w:hAnsi="宋体"/>
          <w:color w:val="auto"/>
          <w:szCs w:val="21"/>
        </w:rPr>
      </w:pPr>
    </w:p>
    <w:p>
      <w:pPr>
        <w:spacing w:line="360" w:lineRule="auto"/>
        <w:ind w:firstLine="4003" w:firstLineChars="1668"/>
        <w:rPr>
          <w:rFonts w:hint="eastAsia" w:ascii="宋体" w:hAnsi="宋体"/>
          <w:color w:val="auto"/>
          <w:szCs w:val="21"/>
        </w:rPr>
      </w:pPr>
    </w:p>
    <w:p>
      <w:pPr>
        <w:spacing w:line="360" w:lineRule="auto"/>
        <w:rPr>
          <w:rFonts w:hint="eastAsia"/>
          <w:color w:val="auto"/>
          <w:szCs w:val="21"/>
        </w:rPr>
      </w:pPr>
      <w:r>
        <w:rPr>
          <w:rFonts w:hint="eastAsia"/>
          <w:color w:val="auto"/>
        </w:rPr>
        <w:t>附注：近三年：成立三年以上的，为提交首次投标文件截止时间前三年内；成立不足三年的，为实际时间</w:t>
      </w:r>
      <w:r>
        <w:rPr>
          <w:rFonts w:hint="eastAsia"/>
          <w:color w:val="auto"/>
          <w:szCs w:val="21"/>
        </w:rPr>
        <w:t>。</w:t>
      </w:r>
    </w:p>
    <w:p>
      <w:pPr>
        <w:rPr>
          <w:rFonts w:hint="default"/>
          <w:color w:val="auto"/>
        </w:rPr>
        <w:sectPr>
          <w:pgSz w:w="11910" w:h="16840"/>
          <w:pgMar w:top="1580" w:right="1680" w:bottom="1600" w:left="1680" w:header="0" w:footer="1415" w:gutter="0"/>
          <w:pgNumType w:fmt="decimal"/>
          <w:cols w:space="720" w:num="1"/>
        </w:sectPr>
      </w:pPr>
    </w:p>
    <w:p>
      <w:pPr>
        <w:pStyle w:val="3"/>
        <w:kinsoku w:val="0"/>
        <w:overflowPunct w:val="0"/>
        <w:spacing w:line="395" w:lineRule="exact"/>
        <w:rPr>
          <w:rFonts w:hint="default"/>
          <w:b w:val="0"/>
          <w:color w:val="auto"/>
        </w:rPr>
      </w:pPr>
      <w:bookmarkStart w:id="58" w:name="9、★不参与围标串标承诺书"/>
      <w:bookmarkEnd w:id="58"/>
      <w:bookmarkStart w:id="59" w:name="二、商务（响应）文件"/>
      <w:bookmarkEnd w:id="59"/>
      <w:r>
        <w:rPr>
          <w:color w:val="auto"/>
        </w:rPr>
        <w:t>9、★不参与围标串标承诺书</w:t>
      </w:r>
    </w:p>
    <w:p>
      <w:pPr>
        <w:pStyle w:val="8"/>
        <w:kinsoku w:val="0"/>
        <w:overflowPunct w:val="0"/>
        <w:spacing w:before="0" w:line="360" w:lineRule="auto"/>
        <w:ind w:leftChars="50" w:firstLine="480" w:firstLineChars="200"/>
        <w:rPr>
          <w:color w:val="auto"/>
        </w:rPr>
      </w:pPr>
    </w:p>
    <w:p>
      <w:pPr>
        <w:pStyle w:val="8"/>
        <w:kinsoku w:val="0"/>
        <w:overflowPunct w:val="0"/>
        <w:spacing w:before="0" w:line="360" w:lineRule="auto"/>
        <w:ind w:leftChars="50" w:firstLine="480" w:firstLineChars="200"/>
        <w:rPr>
          <w:rFonts w:hint="default"/>
          <w:color w:val="auto"/>
          <w:spacing w:val="11"/>
        </w:rPr>
      </w:pPr>
      <w:r>
        <w:rPr>
          <w:color w:val="auto"/>
        </w:rPr>
        <w:t xml:space="preserve">参与围标串标承诺书 </w:t>
      </w:r>
      <w:r>
        <w:rPr>
          <w:color w:val="auto"/>
          <w:spacing w:val="11"/>
        </w:rPr>
        <w:t>本人作为（单位名称）的法人，清楚知晓我公司本项目投标活动，对以下事项作出承诺：</w:t>
      </w:r>
    </w:p>
    <w:p>
      <w:pPr>
        <w:pStyle w:val="8"/>
        <w:kinsoku w:val="0"/>
        <w:overflowPunct w:val="0"/>
        <w:spacing w:before="154" w:line="360" w:lineRule="auto"/>
        <w:ind w:leftChars="50" w:firstLine="262" w:firstLineChars="100"/>
        <w:rPr>
          <w:rFonts w:hint="default"/>
          <w:color w:val="auto"/>
          <w:spacing w:val="10"/>
        </w:rPr>
      </w:pPr>
      <w:r>
        <w:rPr>
          <w:color w:val="auto"/>
          <w:spacing w:val="11"/>
        </w:rPr>
        <w:t>一、我单位遵循公开、公平、公正、诚实守信的原则，依法依</w:t>
      </w:r>
      <w:r>
        <w:rPr>
          <w:color w:val="auto"/>
          <w:spacing w:val="10"/>
        </w:rPr>
        <w:t>规参与本项目竞标。</w:t>
      </w:r>
    </w:p>
    <w:p>
      <w:pPr>
        <w:pStyle w:val="8"/>
        <w:kinsoku w:val="0"/>
        <w:overflowPunct w:val="0"/>
        <w:spacing w:before="38" w:line="360" w:lineRule="auto"/>
        <w:ind w:firstLine="262" w:firstLineChars="100"/>
        <w:rPr>
          <w:rFonts w:hint="default"/>
          <w:color w:val="auto"/>
          <w:spacing w:val="-108"/>
        </w:rPr>
      </w:pPr>
      <w:r>
        <w:rPr>
          <w:color w:val="auto"/>
          <w:spacing w:val="11"/>
        </w:rPr>
        <w:t>二、我单位在本项目招标投标活动中，未参与围标串标。</w:t>
      </w:r>
      <w:r>
        <w:rPr>
          <w:color w:val="auto"/>
          <w:spacing w:val="-108"/>
        </w:rPr>
        <w:t xml:space="preserve"> </w:t>
      </w:r>
    </w:p>
    <w:p>
      <w:pPr>
        <w:pStyle w:val="8"/>
        <w:kinsoku w:val="0"/>
        <w:overflowPunct w:val="0"/>
        <w:spacing w:before="38" w:line="360" w:lineRule="auto"/>
        <w:ind w:leftChars="50" w:firstLine="262" w:firstLineChars="100"/>
        <w:rPr>
          <w:rFonts w:hint="default"/>
          <w:color w:val="auto"/>
          <w:spacing w:val="11"/>
        </w:rPr>
      </w:pPr>
      <w:r>
        <w:rPr>
          <w:color w:val="auto"/>
          <w:spacing w:val="11"/>
        </w:rPr>
        <w:t>三、我单位如被查实在本项目招标投标活动中存在围标串标的，</w:t>
      </w:r>
    </w:p>
    <w:p>
      <w:pPr>
        <w:pStyle w:val="8"/>
        <w:kinsoku w:val="0"/>
        <w:overflowPunct w:val="0"/>
        <w:spacing w:before="34" w:line="360" w:lineRule="auto"/>
        <w:ind w:firstLine="524" w:firstLineChars="200"/>
        <w:rPr>
          <w:rFonts w:hint="default"/>
          <w:color w:val="auto"/>
          <w:spacing w:val="11"/>
        </w:rPr>
      </w:pPr>
      <w:r>
        <w:rPr>
          <w:color w:val="auto"/>
          <w:spacing w:val="11"/>
        </w:rPr>
        <w:t>递交投标文件行为作为实施串通投标违法行为的关键环节，本人承担直接责</w:t>
      </w:r>
      <w:r>
        <w:rPr>
          <w:color w:val="auto"/>
          <w:spacing w:val="-110"/>
        </w:rPr>
        <w:t xml:space="preserve"> </w:t>
      </w:r>
      <w:r>
        <w:rPr>
          <w:color w:val="auto"/>
          <w:spacing w:val="11"/>
        </w:rPr>
        <w:t>任人员法律责任，接受相应行政处罚和失信惩戒。</w:t>
      </w:r>
    </w:p>
    <w:p>
      <w:pPr>
        <w:pStyle w:val="8"/>
        <w:kinsoku w:val="0"/>
        <w:overflowPunct w:val="0"/>
        <w:spacing w:before="34" w:line="360" w:lineRule="auto"/>
        <w:ind w:right="4921"/>
        <w:rPr>
          <w:color w:val="auto"/>
          <w:spacing w:val="9"/>
        </w:rPr>
      </w:pPr>
      <w:r>
        <w:rPr>
          <w:color w:val="auto"/>
          <w:spacing w:val="9"/>
        </w:rPr>
        <w:t>项目编号：</w:t>
      </w:r>
    </w:p>
    <w:p>
      <w:pPr>
        <w:pStyle w:val="8"/>
        <w:kinsoku w:val="0"/>
        <w:overflowPunct w:val="0"/>
        <w:spacing w:before="34" w:line="360" w:lineRule="auto"/>
        <w:ind w:right="4921"/>
        <w:rPr>
          <w:color w:val="auto"/>
          <w:spacing w:val="9"/>
        </w:rPr>
      </w:pPr>
      <w:r>
        <w:rPr>
          <w:color w:val="auto"/>
          <w:spacing w:val="-118"/>
        </w:rPr>
        <w:t xml:space="preserve"> </w:t>
      </w:r>
      <w:r>
        <w:rPr>
          <w:color w:val="auto"/>
          <w:spacing w:val="9"/>
        </w:rPr>
        <w:t>标段号：</w:t>
      </w:r>
    </w:p>
    <w:p>
      <w:pPr>
        <w:pStyle w:val="8"/>
        <w:kinsoku w:val="0"/>
        <w:overflowPunct w:val="0"/>
        <w:spacing w:before="34" w:line="360" w:lineRule="auto"/>
        <w:ind w:right="4921"/>
        <w:rPr>
          <w:color w:val="auto"/>
          <w:spacing w:val="10"/>
        </w:rPr>
      </w:pPr>
      <w:r>
        <w:rPr>
          <w:color w:val="auto"/>
          <w:spacing w:val="10"/>
        </w:rPr>
        <w:t>供应商单位名称</w:t>
      </w:r>
      <w:r>
        <w:rPr>
          <w:rFonts w:hint="eastAsia"/>
          <w:color w:val="auto"/>
          <w:spacing w:val="10"/>
          <w:lang w:eastAsia="zh-CN"/>
        </w:rPr>
        <w:t>（</w:t>
      </w:r>
      <w:r>
        <w:rPr>
          <w:color w:val="auto"/>
          <w:spacing w:val="10"/>
        </w:rPr>
        <w:t>盖章</w:t>
      </w:r>
      <w:r>
        <w:rPr>
          <w:rFonts w:hint="eastAsia"/>
          <w:color w:val="auto"/>
          <w:spacing w:val="10"/>
          <w:lang w:eastAsia="zh-CN"/>
        </w:rPr>
        <w:t>）</w:t>
      </w:r>
      <w:r>
        <w:rPr>
          <w:color w:val="auto"/>
          <w:spacing w:val="10"/>
        </w:rPr>
        <w:t>：</w:t>
      </w:r>
    </w:p>
    <w:p>
      <w:pPr>
        <w:pStyle w:val="8"/>
        <w:kinsoku w:val="0"/>
        <w:overflowPunct w:val="0"/>
        <w:spacing w:before="34" w:line="360" w:lineRule="auto"/>
        <w:ind w:right="4921"/>
        <w:rPr>
          <w:rFonts w:hint="default"/>
          <w:color w:val="auto"/>
          <w:spacing w:val="10"/>
        </w:rPr>
      </w:pPr>
      <w:r>
        <w:rPr>
          <w:color w:val="auto"/>
          <w:spacing w:val="-117"/>
        </w:rPr>
        <w:t xml:space="preserve"> </w:t>
      </w:r>
      <w:r>
        <w:rPr>
          <w:color w:val="auto"/>
          <w:spacing w:val="10"/>
        </w:rPr>
        <w:t>供应商法人签名：</w:t>
      </w:r>
    </w:p>
    <w:p>
      <w:pPr>
        <w:pStyle w:val="8"/>
        <w:kinsoku w:val="0"/>
        <w:overflowPunct w:val="0"/>
        <w:spacing w:before="0" w:line="360" w:lineRule="auto"/>
        <w:ind w:left="1765" w:leftChars="627" w:right="5926" w:hanging="260" w:hangingChars="100"/>
        <w:rPr>
          <w:rFonts w:hint="default"/>
          <w:color w:val="auto"/>
          <w:spacing w:val="8"/>
        </w:rPr>
        <w:sectPr>
          <w:footerReference r:id="rId16" w:type="default"/>
          <w:pgSz w:w="11910" w:h="16840"/>
          <w:pgMar w:top="1500" w:right="1580" w:bottom="1600" w:left="1680" w:header="0" w:footer="1415" w:gutter="0"/>
          <w:pgNumType w:fmt="decimal"/>
          <w:cols w:space="720" w:num="1"/>
        </w:sectPr>
      </w:pPr>
      <w:r>
        <w:rPr>
          <w:color w:val="auto"/>
          <w:spacing w:val="10"/>
        </w:rPr>
        <w:t xml:space="preserve"> 年</w:t>
      </w:r>
      <w:r>
        <w:rPr>
          <w:rFonts w:hint="eastAsia"/>
          <w:color w:val="auto"/>
          <w:spacing w:val="10"/>
          <w:lang w:val="en-US" w:eastAsia="zh-CN"/>
        </w:rPr>
        <w:t xml:space="preserve"> </w:t>
      </w:r>
      <w:r>
        <w:rPr>
          <w:color w:val="auto"/>
          <w:spacing w:val="10"/>
        </w:rPr>
        <w:t>月</w:t>
      </w:r>
      <w:r>
        <w:rPr>
          <w:rFonts w:hint="eastAsia"/>
          <w:color w:val="auto"/>
          <w:spacing w:val="10"/>
          <w:lang w:val="en-US" w:eastAsia="zh-CN"/>
        </w:rPr>
        <w:t xml:space="preserve"> </w:t>
      </w:r>
      <w:r>
        <w:rPr>
          <w:color w:val="auto"/>
          <w:spacing w:val="10"/>
        </w:rPr>
        <w:t>日</w:t>
      </w:r>
    </w:p>
    <w:p>
      <w:pPr>
        <w:pStyle w:val="3"/>
        <w:kinsoku w:val="0"/>
        <w:overflowPunct w:val="0"/>
        <w:spacing w:line="395" w:lineRule="exact"/>
        <w:rPr>
          <w:rFonts w:hint="default"/>
          <w:b w:val="0"/>
          <w:color w:val="auto"/>
        </w:rPr>
      </w:pPr>
      <w:bookmarkStart w:id="60" w:name="1、★投标函"/>
      <w:bookmarkEnd w:id="60"/>
      <w:r>
        <w:rPr>
          <w:color w:val="auto"/>
        </w:rPr>
        <w:t>二、商务（响应）文件</w:t>
      </w:r>
    </w:p>
    <w:p>
      <w:pPr>
        <w:pStyle w:val="3"/>
        <w:kinsoku w:val="0"/>
        <w:overflowPunct w:val="0"/>
        <w:spacing w:line="395" w:lineRule="exact"/>
        <w:rPr>
          <w:rFonts w:hint="default"/>
          <w:b w:val="0"/>
          <w:color w:val="auto"/>
        </w:rPr>
        <w:sectPr>
          <w:pgSz w:w="11910" w:h="16840"/>
          <w:pgMar w:top="1500" w:right="1680" w:bottom="1600" w:left="1680" w:header="0" w:footer="1415" w:gutter="0"/>
          <w:pgNumType w:fmt="decimal"/>
          <w:cols w:space="720" w:num="1"/>
        </w:sectPr>
      </w:pPr>
    </w:p>
    <w:p>
      <w:pPr>
        <w:pStyle w:val="8"/>
        <w:kinsoku w:val="0"/>
        <w:overflowPunct w:val="0"/>
        <w:spacing w:before="0" w:line="395" w:lineRule="exact"/>
        <w:ind w:right="237"/>
        <w:jc w:val="center"/>
        <w:rPr>
          <w:rFonts w:hint="default" w:ascii="黑体" w:eastAsia="黑体" w:cs="黑体"/>
          <w:color w:val="auto"/>
          <w:sz w:val="32"/>
          <w:szCs w:val="32"/>
        </w:rPr>
      </w:pPr>
      <w:r>
        <w:rPr>
          <w:rFonts w:ascii="黑体" w:eastAsia="黑体" w:cs="黑体"/>
          <w:b/>
          <w:color w:val="auto"/>
          <w:sz w:val="32"/>
          <w:szCs w:val="32"/>
        </w:rPr>
        <w:t>1、★投标函</w:t>
      </w:r>
    </w:p>
    <w:p>
      <w:pPr>
        <w:pStyle w:val="8"/>
        <w:kinsoku w:val="0"/>
        <w:overflowPunct w:val="0"/>
        <w:spacing w:before="190" w:line="357" w:lineRule="auto"/>
        <w:ind w:right="117"/>
        <w:rPr>
          <w:color w:val="auto"/>
        </w:rPr>
      </w:pPr>
      <w:r>
        <w:rPr>
          <w:color w:val="auto"/>
        </w:rPr>
        <w:t xml:space="preserve">（采购人）： </w:t>
      </w:r>
    </w:p>
    <w:p>
      <w:pPr>
        <w:pStyle w:val="8"/>
        <w:kinsoku w:val="0"/>
        <w:overflowPunct w:val="0"/>
        <w:spacing w:before="190" w:line="357" w:lineRule="auto"/>
        <w:ind w:right="117" w:firstLine="480" w:firstLineChars="200"/>
        <w:rPr>
          <w:rFonts w:hint="default"/>
          <w:color w:val="auto"/>
        </w:rPr>
      </w:pPr>
      <w:r>
        <w:rPr>
          <w:color w:val="auto"/>
        </w:rPr>
        <w:t>(</w:t>
      </w:r>
      <w:r>
        <w:rPr>
          <w:rFonts w:hint="eastAsia"/>
          <w:color w:val="auto"/>
          <w:lang w:eastAsia="zh-CN"/>
        </w:rPr>
        <w:t>供应商</w:t>
      </w:r>
      <w:r>
        <w:rPr>
          <w:color w:val="auto"/>
        </w:rPr>
        <w:t>名称)授权(</w:t>
      </w:r>
      <w:r>
        <w:rPr>
          <w:rFonts w:hint="eastAsia"/>
          <w:color w:val="auto"/>
          <w:lang w:eastAsia="zh-CN"/>
        </w:rPr>
        <w:t>供应商</w:t>
      </w:r>
      <w:r>
        <w:rPr>
          <w:color w:val="auto"/>
        </w:rPr>
        <w:t>授权代理人姓名)(职务、职称)为我方代表，参加贵</w:t>
      </w:r>
      <w:r>
        <w:rPr>
          <w:color w:val="auto"/>
          <w:spacing w:val="-101"/>
        </w:rPr>
        <w:t xml:space="preserve"> </w:t>
      </w:r>
      <w:r>
        <w:rPr>
          <w:color w:val="auto"/>
        </w:rPr>
        <w:t xml:space="preserve">方组织的 </w:t>
      </w:r>
      <w:r>
        <w:rPr>
          <w:color w:val="auto"/>
          <w:spacing w:val="-3"/>
        </w:rPr>
        <w:t>(项目名称、项目编号、包号)招标的有关活动，并对此项目进行投标。</w:t>
      </w:r>
      <w:r>
        <w:rPr>
          <w:color w:val="auto"/>
        </w:rPr>
        <w:t xml:space="preserve"> 为此：</w:t>
      </w:r>
    </w:p>
    <w:p>
      <w:pPr>
        <w:pStyle w:val="8"/>
        <w:kinsoku w:val="0"/>
        <w:overflowPunct w:val="0"/>
        <w:spacing w:line="357" w:lineRule="auto"/>
        <w:ind w:right="237" w:firstLine="480"/>
        <w:rPr>
          <w:rFonts w:hint="default"/>
          <w:color w:val="auto"/>
        </w:rPr>
      </w:pPr>
      <w:r>
        <w:rPr>
          <w:color w:val="auto"/>
        </w:rPr>
        <w:t>1、我方同意在本项目招标文件中规定的投标有效期内遵守本投标文件中的 承诺且在此期限期满之前均具有约束力。</w:t>
      </w:r>
    </w:p>
    <w:p>
      <w:pPr>
        <w:pStyle w:val="8"/>
        <w:kinsoku w:val="0"/>
        <w:overflowPunct w:val="0"/>
        <w:spacing w:line="357" w:lineRule="auto"/>
        <w:ind w:right="237" w:firstLine="480"/>
        <w:rPr>
          <w:rFonts w:hint="default"/>
          <w:color w:val="auto"/>
        </w:rPr>
      </w:pPr>
      <w:r>
        <w:rPr>
          <w:color w:val="auto"/>
        </w:rPr>
        <w:t>2、我方承诺已经具备《中华人民共和国政府采购法》中规定的参加政府采 购活动的供应商应当具备的条件：</w:t>
      </w:r>
    </w:p>
    <w:p>
      <w:pPr>
        <w:pStyle w:val="8"/>
        <w:kinsoku w:val="0"/>
        <w:overflowPunct w:val="0"/>
        <w:ind w:left="600" w:right="237"/>
        <w:rPr>
          <w:rFonts w:hint="default"/>
          <w:color w:val="auto"/>
        </w:rPr>
      </w:pPr>
      <w:r>
        <w:rPr>
          <w:color w:val="auto"/>
        </w:rPr>
        <w:t>1）具有独立承担民事责任的能力；</w:t>
      </w:r>
    </w:p>
    <w:p>
      <w:pPr>
        <w:pStyle w:val="8"/>
        <w:kinsoku w:val="0"/>
        <w:overflowPunct w:val="0"/>
        <w:spacing w:before="154"/>
        <w:ind w:left="600" w:right="237"/>
        <w:rPr>
          <w:rFonts w:hint="default"/>
          <w:color w:val="auto"/>
        </w:rPr>
      </w:pPr>
      <w:r>
        <w:rPr>
          <w:color w:val="auto"/>
        </w:rPr>
        <w:t>2）具有良好的商业信誉和健全的财务会计制度；</w:t>
      </w:r>
    </w:p>
    <w:p>
      <w:pPr>
        <w:pStyle w:val="8"/>
        <w:kinsoku w:val="0"/>
        <w:overflowPunct w:val="0"/>
        <w:spacing w:before="154"/>
        <w:ind w:left="600" w:right="237"/>
        <w:rPr>
          <w:rFonts w:hint="default"/>
          <w:color w:val="auto"/>
        </w:rPr>
      </w:pPr>
      <w:r>
        <w:rPr>
          <w:color w:val="auto"/>
        </w:rPr>
        <w:t>3）具有履行合同所必需的设备和专业技术能力；</w:t>
      </w:r>
    </w:p>
    <w:p>
      <w:pPr>
        <w:pStyle w:val="8"/>
        <w:kinsoku w:val="0"/>
        <w:overflowPunct w:val="0"/>
        <w:spacing w:before="154"/>
        <w:ind w:left="600" w:right="237"/>
        <w:rPr>
          <w:rFonts w:hint="default"/>
          <w:color w:val="auto"/>
        </w:rPr>
      </w:pPr>
      <w:r>
        <w:rPr>
          <w:color w:val="auto"/>
        </w:rPr>
        <w:t>4）有依法缴纳税收和社会保障资金的良好记录；</w:t>
      </w:r>
    </w:p>
    <w:p>
      <w:pPr>
        <w:pStyle w:val="8"/>
        <w:kinsoku w:val="0"/>
        <w:overflowPunct w:val="0"/>
        <w:spacing w:before="154"/>
        <w:ind w:left="600" w:right="237"/>
        <w:rPr>
          <w:rFonts w:hint="default"/>
          <w:color w:val="auto"/>
        </w:rPr>
      </w:pPr>
      <w:r>
        <w:rPr>
          <w:color w:val="auto"/>
        </w:rPr>
        <w:t>5）参加此项采购活动前三年内，在经营活动中没有重大违法记录；</w:t>
      </w:r>
    </w:p>
    <w:p>
      <w:pPr>
        <w:pStyle w:val="8"/>
        <w:kinsoku w:val="0"/>
        <w:overflowPunct w:val="0"/>
        <w:spacing w:before="154"/>
        <w:ind w:left="600" w:right="237"/>
        <w:rPr>
          <w:rFonts w:hint="default"/>
          <w:color w:val="auto"/>
        </w:rPr>
      </w:pPr>
      <w:r>
        <w:rPr>
          <w:color w:val="auto"/>
        </w:rPr>
        <w:t>6）法律、行政法规规定的其他条件。</w:t>
      </w:r>
    </w:p>
    <w:p>
      <w:pPr>
        <w:pStyle w:val="8"/>
        <w:kinsoku w:val="0"/>
        <w:overflowPunct w:val="0"/>
        <w:spacing w:before="154" w:line="357" w:lineRule="auto"/>
        <w:ind w:right="237" w:firstLine="480"/>
        <w:rPr>
          <w:rFonts w:hint="default"/>
          <w:color w:val="auto"/>
        </w:rPr>
      </w:pPr>
      <w:r>
        <w:rPr>
          <w:color w:val="auto"/>
        </w:rPr>
        <w:t>3、提供</w:t>
      </w:r>
      <w:r>
        <w:rPr>
          <w:rFonts w:hint="eastAsia"/>
          <w:color w:val="auto"/>
          <w:lang w:eastAsia="zh-CN"/>
        </w:rPr>
        <w:t>供应商</w:t>
      </w:r>
      <w:r>
        <w:rPr>
          <w:color w:val="auto"/>
        </w:rPr>
        <w:t>须知规定的全部投标文件，包括在政采云平台上传加密电子 投标文件一份。</w:t>
      </w:r>
    </w:p>
    <w:p>
      <w:pPr>
        <w:pStyle w:val="8"/>
        <w:kinsoku w:val="0"/>
        <w:overflowPunct w:val="0"/>
        <w:spacing w:line="357" w:lineRule="auto"/>
        <w:ind w:right="237" w:firstLine="480"/>
        <w:rPr>
          <w:rFonts w:hint="default"/>
          <w:color w:val="auto"/>
        </w:rPr>
      </w:pPr>
      <w:r>
        <w:rPr>
          <w:color w:val="auto"/>
        </w:rPr>
        <w:t>4、按招标文件要求提供和交付的货物及相关服务的投标报价详见开标一览 表。</w:t>
      </w:r>
    </w:p>
    <w:p>
      <w:pPr>
        <w:pStyle w:val="8"/>
        <w:kinsoku w:val="0"/>
        <w:overflowPunct w:val="0"/>
        <w:ind w:left="600" w:right="237"/>
        <w:rPr>
          <w:rFonts w:hint="default"/>
          <w:color w:val="auto"/>
        </w:rPr>
      </w:pPr>
      <w:r>
        <w:rPr>
          <w:color w:val="auto"/>
        </w:rPr>
        <w:t>5、保证忠实地执行双方所签订的合同，并承担合同规定的责任和义务。</w:t>
      </w:r>
    </w:p>
    <w:p>
      <w:pPr>
        <w:pStyle w:val="8"/>
        <w:kinsoku w:val="0"/>
        <w:overflowPunct w:val="0"/>
        <w:spacing w:before="154" w:line="357" w:lineRule="auto"/>
        <w:ind w:right="117" w:firstLine="480"/>
        <w:rPr>
          <w:rFonts w:hint="default"/>
          <w:color w:val="auto"/>
        </w:rPr>
      </w:pPr>
      <w:r>
        <w:rPr>
          <w:color w:val="auto"/>
          <w:spacing w:val="-3"/>
        </w:rPr>
        <w:t>6、我方承诺完全满足和响应招标文件中的各项技术和服务要求，若有偏差，</w:t>
      </w:r>
      <w:r>
        <w:rPr>
          <w:color w:val="auto"/>
        </w:rPr>
        <w:t xml:space="preserve"> 已在投标文件偏离表中予以明确特别说明。</w:t>
      </w:r>
    </w:p>
    <w:p>
      <w:pPr>
        <w:pStyle w:val="8"/>
        <w:kinsoku w:val="0"/>
        <w:overflowPunct w:val="0"/>
        <w:ind w:left="600" w:right="237"/>
        <w:rPr>
          <w:rFonts w:hint="default"/>
          <w:color w:val="auto"/>
        </w:rPr>
      </w:pPr>
      <w:r>
        <w:rPr>
          <w:color w:val="auto"/>
        </w:rPr>
        <w:t>7、我方承诺：完全理解投标报价若超过项目预算时，投标将被拒绝。</w:t>
      </w:r>
    </w:p>
    <w:p>
      <w:pPr>
        <w:pStyle w:val="8"/>
        <w:kinsoku w:val="0"/>
        <w:overflowPunct w:val="0"/>
        <w:spacing w:before="154" w:line="357" w:lineRule="auto"/>
        <w:ind w:right="237" w:firstLine="480"/>
        <w:rPr>
          <w:rFonts w:hint="default"/>
          <w:color w:val="auto"/>
        </w:rPr>
      </w:pPr>
      <w:r>
        <w:rPr>
          <w:color w:val="auto"/>
        </w:rPr>
        <w:t>8、我方承诺：与在本项目中设计编制技术规格的机构及其附属机构无任何 直接隶属关系和利益关联。</w:t>
      </w:r>
    </w:p>
    <w:p>
      <w:pPr>
        <w:pStyle w:val="8"/>
        <w:kinsoku w:val="0"/>
        <w:overflowPunct w:val="0"/>
        <w:spacing w:line="357" w:lineRule="auto"/>
        <w:ind w:right="237" w:firstLine="480"/>
        <w:rPr>
          <w:rFonts w:hint="default"/>
          <w:color w:val="auto"/>
        </w:rPr>
      </w:pPr>
      <w:r>
        <w:rPr>
          <w:color w:val="auto"/>
        </w:rPr>
        <w:t>9、如果在开标后规定的投标有效期内撤回投标，我方的投标保证金可被贵 方没收。</w:t>
      </w:r>
    </w:p>
    <w:p>
      <w:pPr>
        <w:pStyle w:val="8"/>
        <w:kinsoku w:val="0"/>
        <w:overflowPunct w:val="0"/>
        <w:ind w:left="600" w:right="237"/>
        <w:rPr>
          <w:rFonts w:hint="default"/>
          <w:color w:val="auto"/>
        </w:rPr>
      </w:pPr>
      <w:r>
        <w:rPr>
          <w:color w:val="auto"/>
        </w:rPr>
        <w:t>10、我方完全理解贵方不一定接受最低价的投标或收到的任何投标。</w:t>
      </w:r>
    </w:p>
    <w:p>
      <w:pPr>
        <w:pStyle w:val="8"/>
        <w:kinsoku w:val="0"/>
        <w:overflowPunct w:val="0"/>
        <w:ind w:left="600" w:right="237"/>
        <w:rPr>
          <w:rFonts w:hint="default"/>
          <w:color w:val="auto"/>
        </w:rPr>
        <w:sectPr>
          <w:pgSz w:w="11910" w:h="16840"/>
          <w:pgMar w:top="1500" w:right="1560" w:bottom="1600" w:left="1680" w:header="0" w:footer="1415" w:gutter="0"/>
          <w:pgNumType w:fmt="decimal"/>
          <w:cols w:space="720" w:num="1"/>
        </w:sectPr>
      </w:pPr>
    </w:p>
    <w:p>
      <w:pPr>
        <w:pStyle w:val="8"/>
        <w:kinsoku w:val="0"/>
        <w:overflowPunct w:val="0"/>
        <w:spacing w:before="2" w:line="357" w:lineRule="auto"/>
        <w:ind w:right="117" w:firstLine="480"/>
        <w:rPr>
          <w:rFonts w:hint="default"/>
          <w:color w:val="auto"/>
        </w:rPr>
      </w:pPr>
      <w:r>
        <w:rPr>
          <w:color w:val="auto"/>
        </w:rPr>
        <w:t xml:space="preserve">11、我方承诺：投标文件所提供的一切资料及政采云平台申报资料均真实、 </w:t>
      </w:r>
      <w:r>
        <w:rPr>
          <w:color w:val="auto"/>
          <w:spacing w:val="-3"/>
        </w:rPr>
        <w:t>及时、有效。由于我方提供资料不实而造成的责任和后果由我方承担。我方同意</w:t>
      </w:r>
      <w:r>
        <w:rPr>
          <w:color w:val="auto"/>
          <w:spacing w:val="-111"/>
        </w:rPr>
        <w:t xml:space="preserve"> </w:t>
      </w:r>
      <w:r>
        <w:rPr>
          <w:color w:val="auto"/>
          <w:spacing w:val="-6"/>
        </w:rPr>
        <w:t>按照贵方提出的要求，向贵方提供任何与本项投标有关的数据、情况和技术资料。</w:t>
      </w:r>
      <w:r>
        <w:rPr>
          <w:color w:val="auto"/>
        </w:rPr>
        <w:t xml:space="preserve"> 若贵方需要，我方愿意提供我方作出的一切承诺的证明材料。</w:t>
      </w:r>
    </w:p>
    <w:p>
      <w:pPr>
        <w:pStyle w:val="8"/>
        <w:kinsoku w:val="0"/>
        <w:overflowPunct w:val="0"/>
        <w:spacing w:line="357" w:lineRule="auto"/>
        <w:ind w:right="237" w:firstLine="480"/>
        <w:rPr>
          <w:rFonts w:hint="default"/>
          <w:color w:val="auto"/>
        </w:rPr>
      </w:pPr>
      <w:r>
        <w:rPr>
          <w:color w:val="auto"/>
          <w:spacing w:val="-3"/>
        </w:rPr>
        <w:t>12、我方已详细审核全部投标文件，包括投标文件修改书（如有的话）、参</w:t>
      </w:r>
      <w:r>
        <w:rPr>
          <w:color w:val="auto"/>
        </w:rPr>
        <w:t xml:space="preserve"> 考资料及有关附件，确认无误。</w:t>
      </w:r>
    </w:p>
    <w:p>
      <w:pPr>
        <w:pStyle w:val="8"/>
        <w:kinsoku w:val="0"/>
        <w:overflowPunct w:val="0"/>
        <w:spacing w:line="357" w:lineRule="auto"/>
        <w:ind w:right="117" w:firstLine="480"/>
        <w:rPr>
          <w:rFonts w:hint="default"/>
          <w:color w:val="auto"/>
        </w:rPr>
      </w:pPr>
      <w:r>
        <w:rPr>
          <w:color w:val="auto"/>
          <w:spacing w:val="-7"/>
        </w:rPr>
        <w:t>13、我方承诺：采购人若需追加采购本项目招标文件所列货物及相关服务的，</w:t>
      </w:r>
      <w:r>
        <w:rPr>
          <w:color w:val="auto"/>
        </w:rPr>
        <w:t xml:space="preserve"> 在不改变合同其他实质性条款的前提下，按相同或更优惠的折扣率保证供货。</w:t>
      </w:r>
    </w:p>
    <w:p>
      <w:pPr>
        <w:pStyle w:val="8"/>
        <w:kinsoku w:val="0"/>
        <w:overflowPunct w:val="0"/>
        <w:spacing w:line="357" w:lineRule="auto"/>
        <w:ind w:right="237" w:firstLine="480"/>
        <w:rPr>
          <w:rFonts w:hint="default"/>
          <w:color w:val="auto"/>
        </w:rPr>
      </w:pPr>
      <w:r>
        <w:rPr>
          <w:color w:val="auto"/>
          <w:spacing w:val="-3"/>
        </w:rPr>
        <w:t>14、我方承诺：如所报货物属国家强制认证产品的，均已通过认证且在有效</w:t>
      </w:r>
      <w:r>
        <w:rPr>
          <w:color w:val="auto"/>
        </w:rPr>
        <w:t xml:space="preserve"> 期内，否则，由此产生的一切法律责任由我方承担。</w:t>
      </w:r>
    </w:p>
    <w:p>
      <w:pPr>
        <w:pStyle w:val="8"/>
        <w:kinsoku w:val="0"/>
        <w:overflowPunct w:val="0"/>
        <w:spacing w:line="357" w:lineRule="auto"/>
        <w:ind w:right="237" w:firstLine="480"/>
        <w:rPr>
          <w:rFonts w:hint="default"/>
          <w:color w:val="auto"/>
        </w:rPr>
      </w:pPr>
      <w:r>
        <w:rPr>
          <w:color w:val="auto"/>
          <w:spacing w:val="-3"/>
        </w:rPr>
        <w:t>15、我方承诺：接受招标文件中的全部条款且无任何异议，保证遵守招标文</w:t>
      </w:r>
      <w:r>
        <w:rPr>
          <w:color w:val="auto"/>
        </w:rPr>
        <w:t xml:space="preserve"> 件的规定。</w:t>
      </w:r>
    </w:p>
    <w:p>
      <w:pPr>
        <w:pStyle w:val="8"/>
        <w:kinsoku w:val="0"/>
        <w:overflowPunct w:val="0"/>
        <w:spacing w:line="357" w:lineRule="auto"/>
        <w:ind w:right="237" w:firstLine="480"/>
        <w:jc w:val="both"/>
        <w:rPr>
          <w:rFonts w:hint="default"/>
          <w:color w:val="auto"/>
        </w:rPr>
      </w:pPr>
      <w:r>
        <w:rPr>
          <w:color w:val="auto"/>
          <w:spacing w:val="-3"/>
        </w:rPr>
        <w:t>16、我方将严格遵守《中华人民共和国政府采购法》的有关规定，若有下列</w:t>
      </w:r>
      <w:r>
        <w:rPr>
          <w:color w:val="auto"/>
        </w:rPr>
        <w:t xml:space="preserve"> </w:t>
      </w:r>
      <w:r>
        <w:rPr>
          <w:color w:val="auto"/>
          <w:spacing w:val="-3"/>
        </w:rPr>
        <w:t>情形之一的，将被处以采购金额千分之五以上千分之十以下的罚款，列入不良行</w:t>
      </w:r>
      <w:r>
        <w:rPr>
          <w:color w:val="auto"/>
          <w:spacing w:val="-109"/>
        </w:rPr>
        <w:t xml:space="preserve"> </w:t>
      </w:r>
      <w:r>
        <w:rPr>
          <w:color w:val="auto"/>
          <w:spacing w:val="-3"/>
        </w:rPr>
        <w:t>为记录名单，在一至三年内禁止参加政府采购活动；有违法所得的，并处没收违</w:t>
      </w:r>
      <w:r>
        <w:rPr>
          <w:color w:val="auto"/>
          <w:spacing w:val="-111"/>
        </w:rPr>
        <w:t xml:space="preserve"> </w:t>
      </w:r>
      <w:r>
        <w:rPr>
          <w:color w:val="auto"/>
          <w:spacing w:val="-3"/>
        </w:rPr>
        <w:t>法所得；情节严重的，由工商行政管理机关吊销营业执照；构成犯罪的，依法追</w:t>
      </w:r>
      <w:r>
        <w:rPr>
          <w:color w:val="auto"/>
          <w:spacing w:val="-109"/>
        </w:rPr>
        <w:t xml:space="preserve"> </w:t>
      </w:r>
      <w:r>
        <w:rPr>
          <w:color w:val="auto"/>
        </w:rPr>
        <w:t>究刑事责任：</w:t>
      </w:r>
    </w:p>
    <w:p>
      <w:pPr>
        <w:pStyle w:val="8"/>
        <w:kinsoku w:val="0"/>
        <w:overflowPunct w:val="0"/>
        <w:ind w:left="600" w:right="237"/>
        <w:rPr>
          <w:rFonts w:hint="default"/>
          <w:color w:val="auto"/>
        </w:rPr>
      </w:pPr>
      <w:r>
        <w:rPr>
          <w:color w:val="auto"/>
        </w:rPr>
        <w:t>1）提供虚假材料谋取中标、成交的；</w:t>
      </w:r>
    </w:p>
    <w:p>
      <w:pPr>
        <w:pStyle w:val="8"/>
        <w:kinsoku w:val="0"/>
        <w:overflowPunct w:val="0"/>
        <w:spacing w:before="154"/>
        <w:ind w:left="600" w:right="237"/>
        <w:rPr>
          <w:rFonts w:hint="default"/>
          <w:color w:val="auto"/>
        </w:rPr>
      </w:pPr>
      <w:r>
        <w:rPr>
          <w:color w:val="auto"/>
        </w:rPr>
        <w:t>2）采取不正当手段诋毁、排挤其他供应商的；</w:t>
      </w:r>
    </w:p>
    <w:p>
      <w:pPr>
        <w:pStyle w:val="8"/>
        <w:kinsoku w:val="0"/>
        <w:overflowPunct w:val="0"/>
        <w:spacing w:before="154"/>
        <w:ind w:left="600" w:right="237"/>
        <w:rPr>
          <w:rFonts w:hint="default"/>
          <w:color w:val="auto"/>
        </w:rPr>
      </w:pPr>
      <w:r>
        <w:rPr>
          <w:color w:val="auto"/>
        </w:rPr>
        <w:t>3）与采购人、其他供应商或者采购代理机构工作人员恶意串通的；</w:t>
      </w:r>
    </w:p>
    <w:p>
      <w:pPr>
        <w:pStyle w:val="8"/>
        <w:kinsoku w:val="0"/>
        <w:overflowPunct w:val="0"/>
        <w:spacing w:before="154"/>
        <w:ind w:left="600" w:right="237"/>
        <w:rPr>
          <w:rFonts w:hint="default"/>
          <w:color w:val="auto"/>
        </w:rPr>
      </w:pPr>
      <w:r>
        <w:rPr>
          <w:color w:val="auto"/>
        </w:rPr>
        <w:t>4）向采购人、采购代理机构工作人员行贿或者提供其他不正当利益的；</w:t>
      </w:r>
    </w:p>
    <w:p>
      <w:pPr>
        <w:pStyle w:val="8"/>
        <w:kinsoku w:val="0"/>
        <w:overflowPunct w:val="0"/>
        <w:spacing w:before="154"/>
        <w:ind w:left="600" w:right="237"/>
        <w:rPr>
          <w:rFonts w:hint="default"/>
          <w:color w:val="auto"/>
        </w:rPr>
      </w:pPr>
      <w:r>
        <w:rPr>
          <w:color w:val="auto"/>
        </w:rPr>
        <w:t>5）在采购过程中与采购人进行协商谈判的；</w:t>
      </w:r>
    </w:p>
    <w:p>
      <w:pPr>
        <w:pStyle w:val="8"/>
        <w:kinsoku w:val="0"/>
        <w:overflowPunct w:val="0"/>
        <w:spacing w:before="154"/>
        <w:ind w:left="600" w:right="237"/>
        <w:rPr>
          <w:rFonts w:hint="default"/>
          <w:color w:val="auto"/>
        </w:rPr>
      </w:pPr>
      <w:r>
        <w:rPr>
          <w:color w:val="auto"/>
        </w:rPr>
        <w:t>6）拒绝有关部门监督检查或提供虚假情况的。</w:t>
      </w:r>
    </w:p>
    <w:p>
      <w:pPr>
        <w:pStyle w:val="8"/>
        <w:kinsoku w:val="0"/>
        <w:overflowPunct w:val="0"/>
        <w:spacing w:before="100"/>
        <w:ind w:left="540" w:right="237"/>
        <w:rPr>
          <w:rFonts w:hint="default"/>
          <w:color w:val="auto"/>
          <w:sz w:val="21"/>
          <w:szCs w:val="21"/>
        </w:rPr>
      </w:pPr>
      <w:r>
        <w:rPr>
          <w:rFonts w:ascii="Times New Roman" w:eastAsia="Times New Roman" w:cs="Times New Roman"/>
          <w:color w:val="auto"/>
          <w:sz w:val="21"/>
          <w:szCs w:val="21"/>
        </w:rPr>
        <w:t>17</w:t>
      </w:r>
      <w:r>
        <w:rPr>
          <w:color w:val="auto"/>
          <w:sz w:val="21"/>
          <w:szCs w:val="21"/>
        </w:rPr>
        <w:t>、</w:t>
      </w:r>
    </w:p>
    <w:p>
      <w:pPr>
        <w:pStyle w:val="8"/>
        <w:kinsoku w:val="0"/>
        <w:overflowPunct w:val="0"/>
        <w:spacing w:before="75"/>
        <w:ind w:left="600" w:right="237"/>
        <w:rPr>
          <w:rFonts w:hint="default"/>
          <w:color w:val="auto"/>
        </w:rPr>
      </w:pPr>
      <w:r>
        <w:rPr>
          <w:color w:val="auto"/>
        </w:rPr>
        <w:t>与本投标有关的一切往来通讯请寄：</w:t>
      </w:r>
    </w:p>
    <w:p>
      <w:pPr>
        <w:pStyle w:val="8"/>
        <w:tabs>
          <w:tab w:val="left" w:pos="2819"/>
          <w:tab w:val="left" w:pos="7602"/>
        </w:tabs>
        <w:kinsoku w:val="0"/>
        <w:overflowPunct w:val="0"/>
        <w:spacing w:before="154" w:line="357" w:lineRule="auto"/>
        <w:ind w:left="600" w:right="1044"/>
        <w:rPr>
          <w:rFonts w:hint="default" w:ascii="Times New Roman" w:eastAsia="Times New Roman" w:cs="Times New Roman"/>
          <w:color w:val="auto"/>
        </w:rPr>
      </w:pPr>
      <w:r>
        <w:rPr>
          <w:color w:val="auto"/>
        </w:rPr>
        <w:t>地址：</w:t>
      </w:r>
      <w:r>
        <w:rPr>
          <w:rFonts w:ascii="Times New Roman" w:eastAsia="Times New Roman" w:cs="Times New Roman"/>
          <w:color w:val="auto"/>
          <w:u w:val="single"/>
        </w:rPr>
        <w:t xml:space="preserve"> </w:t>
      </w:r>
      <w:r>
        <w:rPr>
          <w:rFonts w:ascii="Times New Roman" w:eastAsia="Times New Roman" w:cs="Times New Roman"/>
          <w:color w:val="auto"/>
          <w:u w:val="single"/>
        </w:rPr>
        <w:tab/>
      </w:r>
      <w:r>
        <w:rPr>
          <w:rFonts w:ascii="Times New Roman" w:eastAsia="Times New Roman" w:cs="Times New Roman"/>
          <w:color w:val="auto"/>
          <w:u w:val="single"/>
        </w:rPr>
        <w:tab/>
      </w:r>
      <w:r>
        <w:rPr>
          <w:rFonts w:ascii="Times New Roman" w:eastAsia="Times New Roman" w:cs="Times New Roman"/>
          <w:color w:val="auto"/>
          <w:w w:val="28"/>
          <w:u w:val="single"/>
        </w:rPr>
        <w:t xml:space="preserve"> </w:t>
      </w:r>
      <w:r>
        <w:rPr>
          <w:rFonts w:ascii="Times New Roman" w:eastAsia="Times New Roman" w:cs="Times New Roman"/>
          <w:color w:val="auto"/>
        </w:rPr>
        <w:t xml:space="preserve"> </w:t>
      </w:r>
      <w:r>
        <w:rPr>
          <w:color w:val="auto"/>
        </w:rPr>
        <w:t>邮编：</w:t>
      </w:r>
      <w:r>
        <w:rPr>
          <w:rFonts w:ascii="Times New Roman" w:eastAsia="Times New Roman" w:cs="Times New Roman"/>
          <w:color w:val="auto"/>
          <w:u w:val="single"/>
        </w:rPr>
        <w:t xml:space="preserve"> </w:t>
      </w:r>
      <w:r>
        <w:rPr>
          <w:rFonts w:ascii="Times New Roman" w:eastAsia="Times New Roman" w:cs="Times New Roman"/>
          <w:color w:val="auto"/>
          <w:u w:val="single"/>
        </w:rPr>
        <w:tab/>
      </w:r>
    </w:p>
    <w:p>
      <w:pPr>
        <w:pStyle w:val="8"/>
        <w:tabs>
          <w:tab w:val="left" w:pos="2802"/>
        </w:tabs>
        <w:kinsoku w:val="0"/>
        <w:overflowPunct w:val="0"/>
        <w:spacing w:line="357" w:lineRule="auto"/>
        <w:ind w:left="600" w:right="5844"/>
        <w:rPr>
          <w:rFonts w:hint="default" w:ascii="Times New Roman" w:eastAsia="Times New Roman" w:cs="Times New Roman"/>
          <w:color w:val="auto"/>
        </w:rPr>
      </w:pPr>
      <w:r>
        <w:rPr>
          <w:color w:val="auto"/>
        </w:rPr>
        <w:t>电话：</w:t>
      </w:r>
      <w:r>
        <w:rPr>
          <w:rFonts w:ascii="Times New Roman" w:eastAsia="Times New Roman" w:cs="Times New Roman"/>
          <w:color w:val="auto"/>
          <w:u w:val="single"/>
        </w:rPr>
        <w:t xml:space="preserve"> </w:t>
      </w:r>
      <w:r>
        <w:rPr>
          <w:rFonts w:ascii="Times New Roman" w:eastAsia="Times New Roman" w:cs="Times New Roman"/>
          <w:color w:val="auto"/>
          <w:u w:val="single"/>
        </w:rPr>
        <w:tab/>
      </w:r>
      <w:r>
        <w:rPr>
          <w:rFonts w:ascii="Times New Roman" w:eastAsia="Times New Roman" w:cs="Times New Roman"/>
          <w:color w:val="auto"/>
          <w:w w:val="28"/>
          <w:u w:val="single"/>
        </w:rPr>
        <w:t xml:space="preserve"> </w:t>
      </w:r>
      <w:r>
        <w:rPr>
          <w:rFonts w:ascii="Times New Roman" w:eastAsia="Times New Roman" w:cs="Times New Roman"/>
          <w:color w:val="auto"/>
        </w:rPr>
        <w:t xml:space="preserve"> </w:t>
      </w:r>
      <w:r>
        <w:rPr>
          <w:color w:val="auto"/>
        </w:rPr>
        <w:t>传真：</w:t>
      </w:r>
      <w:r>
        <w:rPr>
          <w:rFonts w:ascii="Times New Roman" w:eastAsia="Times New Roman" w:cs="Times New Roman"/>
          <w:color w:val="auto"/>
          <w:u w:val="single"/>
        </w:rPr>
        <w:t xml:space="preserve"> </w:t>
      </w:r>
      <w:r>
        <w:rPr>
          <w:rFonts w:ascii="Times New Roman" w:eastAsia="Times New Roman" w:cs="Times New Roman"/>
          <w:color w:val="auto"/>
          <w:u w:val="single"/>
        </w:rPr>
        <w:tab/>
      </w:r>
      <w:r>
        <w:rPr>
          <w:rFonts w:ascii="Times New Roman" w:eastAsia="Times New Roman" w:cs="Times New Roman"/>
          <w:color w:val="auto"/>
          <w:w w:val="28"/>
          <w:u w:val="single"/>
        </w:rPr>
        <w:t xml:space="preserve"> </w:t>
      </w:r>
    </w:p>
    <w:p>
      <w:pPr>
        <w:pStyle w:val="8"/>
        <w:tabs>
          <w:tab w:val="left" w:pos="2802"/>
        </w:tabs>
        <w:kinsoku w:val="0"/>
        <w:overflowPunct w:val="0"/>
        <w:spacing w:line="357" w:lineRule="auto"/>
        <w:ind w:left="600" w:right="5844"/>
        <w:rPr>
          <w:rFonts w:hint="default" w:ascii="Times New Roman" w:eastAsia="Times New Roman" w:cs="Times New Roman"/>
          <w:color w:val="auto"/>
        </w:rPr>
        <w:sectPr>
          <w:pgSz w:w="11910" w:h="16840"/>
          <w:pgMar w:top="1460" w:right="1560" w:bottom="1600" w:left="1680" w:header="0" w:footer="1415" w:gutter="0"/>
          <w:pgNumType w:fmt="decimal"/>
          <w:cols w:space="720" w:num="1"/>
        </w:sectPr>
      </w:pPr>
    </w:p>
    <w:p>
      <w:pPr>
        <w:pStyle w:val="8"/>
        <w:kinsoku w:val="0"/>
        <w:overflowPunct w:val="0"/>
        <w:spacing w:before="2" w:line="360" w:lineRule="auto"/>
        <w:ind w:left="580" w:firstLine="19"/>
        <w:rPr>
          <w:rFonts w:hint="default"/>
          <w:color w:val="auto"/>
        </w:rPr>
      </w:pPr>
      <w:bookmarkStart w:id="61" w:name="2、★开标一览表"/>
      <w:bookmarkEnd w:id="61"/>
      <w:r>
        <w:rPr>
          <w:rFonts w:hint="eastAsia"/>
          <w:color w:val="auto"/>
          <w:lang w:eastAsia="zh-CN"/>
        </w:rPr>
        <w:t>供应商</w:t>
      </w:r>
      <w:r>
        <w:rPr>
          <w:color w:val="auto"/>
        </w:rPr>
        <w:t>法定代表人或授权代理人联系电话，e-mail：</w:t>
      </w:r>
    </w:p>
    <w:p>
      <w:pPr>
        <w:pStyle w:val="7"/>
        <w:kinsoku w:val="0"/>
        <w:overflowPunct w:val="0"/>
        <w:spacing w:before="0" w:line="360" w:lineRule="auto"/>
        <w:ind w:firstLine="494" w:firstLineChars="200"/>
        <w:rPr>
          <w:rFonts w:ascii="宋体" w:hAnsi="Times New Roman" w:eastAsia="宋体" w:cs="宋体"/>
          <w:color w:val="auto"/>
          <w:spacing w:val="3"/>
        </w:rPr>
      </w:pPr>
      <w:r>
        <w:rPr>
          <w:rFonts w:hint="eastAsia" w:ascii="宋体" w:hAnsi="Times New Roman" w:eastAsia="宋体" w:cs="宋体"/>
          <w:color w:val="auto"/>
          <w:spacing w:val="3"/>
          <w:lang w:eastAsia="zh-CN"/>
        </w:rPr>
        <w:t>供应商</w:t>
      </w:r>
      <w:r>
        <w:rPr>
          <w:rFonts w:ascii="宋体" w:hAnsi="Times New Roman" w:eastAsia="宋体" w:cs="宋体"/>
          <w:color w:val="auto"/>
          <w:spacing w:val="3"/>
        </w:rPr>
        <w:t xml:space="preserve">法定代表人电子签名： </w:t>
      </w:r>
    </w:p>
    <w:p>
      <w:pPr>
        <w:pStyle w:val="7"/>
        <w:kinsoku w:val="0"/>
        <w:overflowPunct w:val="0"/>
        <w:spacing w:before="0" w:line="360" w:lineRule="auto"/>
        <w:ind w:firstLine="494" w:firstLineChars="200"/>
        <w:rPr>
          <w:rFonts w:hint="default" w:ascii="宋体" w:hAnsi="Times New Roman" w:eastAsia="宋体" w:cs="宋体"/>
          <w:color w:val="auto"/>
          <w:spacing w:val="3"/>
        </w:rPr>
      </w:pPr>
      <w:r>
        <w:rPr>
          <w:rFonts w:hint="eastAsia" w:ascii="宋体" w:hAnsi="Times New Roman" w:eastAsia="宋体" w:cs="宋体"/>
          <w:color w:val="auto"/>
          <w:spacing w:val="3"/>
          <w:lang w:eastAsia="zh-CN"/>
        </w:rPr>
        <w:t>供应商</w:t>
      </w:r>
      <w:r>
        <w:rPr>
          <w:rFonts w:ascii="宋体" w:hAnsi="Times New Roman" w:eastAsia="宋体" w:cs="宋体"/>
          <w:color w:val="auto"/>
          <w:spacing w:val="3"/>
        </w:rPr>
        <w:t>公章：</w:t>
      </w:r>
    </w:p>
    <w:p>
      <w:pPr>
        <w:pStyle w:val="8"/>
        <w:tabs>
          <w:tab w:val="left" w:pos="1019"/>
        </w:tabs>
        <w:kinsoku w:val="0"/>
        <w:overflowPunct w:val="0"/>
        <w:ind w:firstLine="660" w:firstLineChars="275"/>
        <w:rPr>
          <w:rFonts w:hint="default"/>
          <w:color w:val="auto"/>
        </w:rPr>
      </w:pPr>
      <w:r>
        <w:rPr>
          <w:color w:val="auto"/>
        </w:rPr>
        <w:t>日</w:t>
      </w:r>
      <w:r>
        <w:rPr>
          <w:color w:val="auto"/>
        </w:rPr>
        <w:tab/>
      </w:r>
      <w:r>
        <w:rPr>
          <w:color w:val="auto"/>
        </w:rPr>
        <w:t>期：</w:t>
      </w:r>
    </w:p>
    <w:p>
      <w:pPr>
        <w:pStyle w:val="8"/>
        <w:kinsoku w:val="0"/>
        <w:overflowPunct w:val="0"/>
        <w:spacing w:before="0"/>
        <w:ind w:left="0"/>
        <w:rPr>
          <w:rFonts w:hint="default"/>
          <w:color w:val="auto"/>
        </w:rPr>
      </w:pPr>
    </w:p>
    <w:p>
      <w:pPr>
        <w:pStyle w:val="8"/>
        <w:kinsoku w:val="0"/>
        <w:overflowPunct w:val="0"/>
        <w:spacing w:before="7"/>
        <w:ind w:left="0"/>
        <w:rPr>
          <w:rFonts w:hint="default"/>
          <w:color w:val="auto"/>
          <w:sz w:val="23"/>
          <w:szCs w:val="23"/>
        </w:rPr>
      </w:pPr>
    </w:p>
    <w:p>
      <w:pPr>
        <w:pStyle w:val="7"/>
        <w:kinsoku w:val="0"/>
        <w:overflowPunct w:val="0"/>
        <w:spacing w:before="0" w:line="357" w:lineRule="auto"/>
        <w:rPr>
          <w:rFonts w:hint="default"/>
          <w:b w:val="0"/>
          <w:color w:val="auto"/>
        </w:rPr>
      </w:pPr>
      <w:r>
        <w:rPr>
          <w:color w:val="auto"/>
          <w:spacing w:val="3"/>
        </w:rPr>
        <w:t>说明：除可填报项目外，对本投标函的任何修改将被视为非实质性响应投标，</w:t>
      </w:r>
      <w:r>
        <w:rPr>
          <w:color w:val="auto"/>
          <w:w w:val="99"/>
        </w:rPr>
        <w:t xml:space="preserve"> </w:t>
      </w:r>
      <w:r>
        <w:rPr>
          <w:color w:val="auto"/>
        </w:rPr>
        <w:t>从而导致该投标被拒绝。</w:t>
      </w:r>
    </w:p>
    <w:p>
      <w:pPr>
        <w:pStyle w:val="7"/>
        <w:kinsoku w:val="0"/>
        <w:overflowPunct w:val="0"/>
        <w:spacing w:before="0" w:line="357" w:lineRule="auto"/>
        <w:rPr>
          <w:rFonts w:hint="default"/>
          <w:b w:val="0"/>
          <w:color w:val="auto"/>
        </w:rPr>
        <w:sectPr>
          <w:pgSz w:w="11910" w:h="16840"/>
          <w:pgMar w:top="1460" w:right="1680" w:bottom="1600" w:left="1680" w:header="0" w:footer="1415" w:gutter="0"/>
          <w:pgNumType w:fmt="decimal"/>
          <w:cols w:space="720" w:num="1"/>
        </w:sectPr>
      </w:pPr>
    </w:p>
    <w:p>
      <w:pPr>
        <w:pStyle w:val="8"/>
        <w:kinsoku w:val="0"/>
        <w:overflowPunct w:val="0"/>
        <w:spacing w:before="0" w:line="395" w:lineRule="exact"/>
        <w:ind w:left="560"/>
        <w:rPr>
          <w:rFonts w:hint="default" w:ascii="黑体" w:eastAsia="黑体" w:cs="黑体"/>
          <w:color w:val="auto"/>
          <w:sz w:val="32"/>
          <w:szCs w:val="32"/>
        </w:rPr>
      </w:pPr>
      <w:bookmarkStart w:id="62" w:name="3、★投标报价明细表"/>
      <w:bookmarkEnd w:id="62"/>
      <w:r>
        <w:rPr>
          <w:rFonts w:ascii="黑体" w:eastAsia="黑体" w:cs="黑体"/>
          <w:b/>
          <w:color w:val="auto"/>
          <w:sz w:val="32"/>
          <w:szCs w:val="32"/>
        </w:rPr>
        <w:t>2、★开标一览表</w:t>
      </w:r>
    </w:p>
    <w:p>
      <w:pPr>
        <w:pStyle w:val="8"/>
        <w:kinsoku w:val="0"/>
        <w:overflowPunct w:val="0"/>
        <w:spacing w:before="0"/>
        <w:ind w:left="0"/>
        <w:rPr>
          <w:rFonts w:hint="default" w:ascii="黑体" w:eastAsia="黑体" w:cs="黑体"/>
          <w:b/>
          <w:color w:val="auto"/>
          <w:sz w:val="32"/>
          <w:szCs w:val="32"/>
        </w:rPr>
      </w:pPr>
    </w:p>
    <w:p>
      <w:pPr>
        <w:pStyle w:val="8"/>
        <w:kinsoku w:val="0"/>
        <w:overflowPunct w:val="0"/>
        <w:spacing w:before="240"/>
        <w:ind w:left="560"/>
        <w:rPr>
          <w:rFonts w:hint="default"/>
          <w:color w:val="auto"/>
        </w:rPr>
      </w:pPr>
      <w:r>
        <w:rPr>
          <w:color w:val="auto"/>
        </w:rPr>
        <w:t>价格单位：万元</w:t>
      </w:r>
    </w:p>
    <w:p>
      <w:pPr>
        <w:pStyle w:val="8"/>
        <w:kinsoku w:val="0"/>
        <w:overflowPunct w:val="0"/>
        <w:spacing w:before="9"/>
        <w:ind w:left="0"/>
        <w:rPr>
          <w:rFonts w:hint="default"/>
          <w:color w:val="auto"/>
          <w:sz w:val="8"/>
          <w:szCs w:val="8"/>
        </w:rPr>
      </w:pPr>
    </w:p>
    <w:tbl>
      <w:tblPr>
        <w:tblStyle w:val="17"/>
        <w:tblW w:w="0" w:type="auto"/>
        <w:tblInd w:w="226" w:type="dxa"/>
        <w:tblLayout w:type="fixed"/>
        <w:tblCellMar>
          <w:top w:w="0" w:type="dxa"/>
          <w:left w:w="108" w:type="dxa"/>
          <w:bottom w:w="0" w:type="dxa"/>
          <w:right w:w="108" w:type="dxa"/>
        </w:tblCellMar>
      </w:tblPr>
      <w:tblGrid>
        <w:gridCol w:w="2410"/>
        <w:gridCol w:w="6770"/>
      </w:tblGrid>
      <w:tr>
        <w:tblPrEx>
          <w:tblCellMar>
            <w:top w:w="0" w:type="dxa"/>
            <w:left w:w="108" w:type="dxa"/>
            <w:bottom w:w="0" w:type="dxa"/>
            <w:right w:w="108" w:type="dxa"/>
          </w:tblCellMar>
        </w:tblPrEx>
        <w:trPr>
          <w:trHeight w:val="478" w:hRule="exact"/>
        </w:trPr>
        <w:tc>
          <w:tcPr>
            <w:tcW w:w="2410"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720"/>
              <w:rPr>
                <w:rFonts w:hint="default" w:ascii="Times New Roman" w:eastAsia="Times New Roman"/>
                <w:color w:val="auto"/>
              </w:rPr>
            </w:pPr>
            <w:r>
              <w:rPr>
                <w:rFonts w:cs="宋体"/>
                <w:color w:val="auto"/>
              </w:rPr>
              <w:t>项目名称</w:t>
            </w:r>
          </w:p>
        </w:tc>
        <w:tc>
          <w:tcPr>
            <w:tcW w:w="6770"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r>
      <w:tr>
        <w:tblPrEx>
          <w:tblCellMar>
            <w:top w:w="0" w:type="dxa"/>
            <w:left w:w="108" w:type="dxa"/>
            <w:bottom w:w="0" w:type="dxa"/>
            <w:right w:w="108" w:type="dxa"/>
          </w:tblCellMar>
        </w:tblPrEx>
        <w:trPr>
          <w:trHeight w:val="2350" w:hRule="exact"/>
        </w:trPr>
        <w:tc>
          <w:tcPr>
            <w:tcW w:w="2410"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cs="宋体"/>
                <w:color w:val="auto"/>
              </w:rPr>
            </w:pPr>
          </w:p>
          <w:p>
            <w:pPr>
              <w:pStyle w:val="21"/>
              <w:kinsoku w:val="0"/>
              <w:overflowPunct w:val="0"/>
              <w:rPr>
                <w:rFonts w:hint="default" w:cs="宋体"/>
                <w:color w:val="auto"/>
              </w:rPr>
            </w:pPr>
          </w:p>
          <w:p>
            <w:pPr>
              <w:pStyle w:val="21"/>
              <w:kinsoku w:val="0"/>
              <w:overflowPunct w:val="0"/>
              <w:spacing w:before="10"/>
              <w:rPr>
                <w:rFonts w:hint="default" w:cs="宋体"/>
                <w:color w:val="auto"/>
                <w:sz w:val="26"/>
                <w:szCs w:val="26"/>
              </w:rPr>
            </w:pPr>
          </w:p>
          <w:p>
            <w:pPr>
              <w:pStyle w:val="21"/>
              <w:kinsoku w:val="0"/>
              <w:overflowPunct w:val="0"/>
              <w:ind w:left="720"/>
              <w:rPr>
                <w:rFonts w:hint="default" w:ascii="Times New Roman" w:eastAsia="Times New Roman"/>
                <w:color w:val="auto"/>
              </w:rPr>
            </w:pPr>
            <w:r>
              <w:rPr>
                <w:rFonts w:cs="宋体"/>
                <w:color w:val="auto"/>
              </w:rPr>
              <w:t>投标报价</w:t>
            </w:r>
          </w:p>
        </w:tc>
        <w:tc>
          <w:tcPr>
            <w:tcW w:w="6770"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1" w:line="936" w:lineRule="exact"/>
              <w:ind w:left="102" w:right="74" w:rightChars="0"/>
              <w:rPr>
                <w:rFonts w:cs="宋体"/>
                <w:color w:val="auto"/>
              </w:rPr>
            </w:pPr>
            <w:r>
              <w:rPr>
                <w:rFonts w:cs="宋体"/>
                <w:color w:val="auto"/>
              </w:rPr>
              <w:t>小写：万</w:t>
            </w:r>
            <w:r>
              <w:rPr>
                <w:rFonts w:hint="eastAsia" w:cs="宋体"/>
                <w:color w:val="auto"/>
                <w:lang w:val="en-US" w:eastAsia="zh-CN"/>
              </w:rPr>
              <w:t>元</w:t>
            </w:r>
            <w:r>
              <w:rPr>
                <w:rFonts w:cs="宋体"/>
                <w:color w:val="auto"/>
              </w:rPr>
              <w:t xml:space="preserve"> </w:t>
            </w:r>
          </w:p>
          <w:p>
            <w:pPr>
              <w:pStyle w:val="21"/>
              <w:kinsoku w:val="0"/>
              <w:overflowPunct w:val="0"/>
              <w:spacing w:before="41" w:line="936" w:lineRule="exact"/>
              <w:ind w:left="102" w:right="74" w:rightChars="0"/>
              <w:rPr>
                <w:rFonts w:hint="default" w:ascii="Times New Roman" w:eastAsia="Times New Roman"/>
                <w:color w:val="auto"/>
              </w:rPr>
            </w:pPr>
            <w:r>
              <w:rPr>
                <w:rFonts w:cs="宋体"/>
                <w:color w:val="auto"/>
              </w:rPr>
              <w:t>大写：</w:t>
            </w:r>
          </w:p>
        </w:tc>
      </w:tr>
      <w:tr>
        <w:tblPrEx>
          <w:tblCellMar>
            <w:top w:w="0" w:type="dxa"/>
            <w:left w:w="108" w:type="dxa"/>
            <w:bottom w:w="0" w:type="dxa"/>
            <w:right w:w="108" w:type="dxa"/>
          </w:tblCellMar>
        </w:tblPrEx>
        <w:trPr>
          <w:trHeight w:val="478" w:hRule="exact"/>
        </w:trPr>
        <w:tc>
          <w:tcPr>
            <w:tcW w:w="2410"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1"/>
              <w:ind w:firstLine="480" w:firstLineChars="200"/>
              <w:rPr>
                <w:rFonts w:hint="default" w:ascii="Times New Roman" w:eastAsia="Times New Roman"/>
                <w:color w:val="auto"/>
                <w:lang w:val="en-US"/>
              </w:rPr>
            </w:pPr>
            <w:r>
              <w:rPr>
                <w:rFonts w:hint="eastAsia" w:cs="宋体"/>
                <w:color w:val="auto"/>
                <w:lang w:val="en-US" w:eastAsia="zh-CN"/>
              </w:rPr>
              <w:t>合同履行期限</w:t>
            </w:r>
          </w:p>
        </w:tc>
        <w:tc>
          <w:tcPr>
            <w:tcW w:w="6770"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r>
      <w:tr>
        <w:tblPrEx>
          <w:tblCellMar>
            <w:top w:w="0" w:type="dxa"/>
            <w:left w:w="108" w:type="dxa"/>
            <w:bottom w:w="0" w:type="dxa"/>
            <w:right w:w="108" w:type="dxa"/>
          </w:tblCellMar>
        </w:tblPrEx>
        <w:trPr>
          <w:trHeight w:val="478" w:hRule="exact"/>
        </w:trPr>
        <w:tc>
          <w:tcPr>
            <w:tcW w:w="2410"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1"/>
              <w:ind w:left="600"/>
              <w:rPr>
                <w:rFonts w:hint="default" w:ascii="Times New Roman" w:eastAsia="Times New Roman"/>
                <w:color w:val="auto"/>
              </w:rPr>
            </w:pPr>
            <w:r>
              <w:rPr>
                <w:rFonts w:cs="宋体"/>
                <w:color w:val="auto"/>
              </w:rPr>
              <w:t>项目负责人</w:t>
            </w:r>
          </w:p>
        </w:tc>
        <w:tc>
          <w:tcPr>
            <w:tcW w:w="6770"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r>
      <w:tr>
        <w:tblPrEx>
          <w:tblCellMar>
            <w:top w:w="0" w:type="dxa"/>
            <w:left w:w="108" w:type="dxa"/>
            <w:bottom w:w="0" w:type="dxa"/>
            <w:right w:w="108" w:type="dxa"/>
          </w:tblCellMar>
        </w:tblPrEx>
        <w:trPr>
          <w:trHeight w:val="478" w:hRule="exact"/>
        </w:trPr>
        <w:tc>
          <w:tcPr>
            <w:tcW w:w="2410"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703"/>
              <w:rPr>
                <w:rFonts w:hint="default" w:ascii="Times New Roman" w:eastAsia="Times New Roman"/>
                <w:color w:val="auto"/>
              </w:rPr>
            </w:pPr>
            <w:r>
              <w:rPr>
                <w:rFonts w:cs="宋体"/>
                <w:color w:val="auto"/>
              </w:rPr>
              <w:t>联系方式</w:t>
            </w:r>
          </w:p>
        </w:tc>
        <w:tc>
          <w:tcPr>
            <w:tcW w:w="6770"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r>
      <w:tr>
        <w:tblPrEx>
          <w:tblCellMar>
            <w:top w:w="0" w:type="dxa"/>
            <w:left w:w="108" w:type="dxa"/>
            <w:bottom w:w="0" w:type="dxa"/>
            <w:right w:w="108" w:type="dxa"/>
          </w:tblCellMar>
        </w:tblPrEx>
        <w:trPr>
          <w:trHeight w:val="1144" w:hRule="exact"/>
        </w:trPr>
        <w:tc>
          <w:tcPr>
            <w:tcW w:w="9180" w:type="dxa"/>
            <w:gridSpan w:val="2"/>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03"/>
              <w:rPr>
                <w:rFonts w:hint="default" w:ascii="Times New Roman" w:eastAsia="Times New Roman"/>
                <w:color w:val="auto"/>
              </w:rPr>
            </w:pPr>
            <w:r>
              <w:rPr>
                <w:rFonts w:cs="宋体"/>
                <w:color w:val="auto"/>
              </w:rPr>
              <w:t>备注：</w:t>
            </w:r>
          </w:p>
        </w:tc>
      </w:tr>
    </w:tbl>
    <w:p>
      <w:pPr>
        <w:pStyle w:val="8"/>
        <w:kinsoku w:val="0"/>
        <w:overflowPunct w:val="0"/>
        <w:spacing w:before="41" w:line="357" w:lineRule="auto"/>
        <w:ind w:left="560"/>
        <w:rPr>
          <w:rFonts w:hint="default"/>
          <w:color w:val="auto"/>
        </w:rPr>
      </w:pPr>
      <w:r>
        <w:rPr>
          <w:color w:val="auto"/>
        </w:rPr>
        <w:t>说明：1、</w:t>
      </w:r>
      <w:r>
        <w:rPr>
          <w:rFonts w:hint="eastAsia"/>
          <w:color w:val="auto"/>
          <w:lang w:eastAsia="zh-CN"/>
        </w:rPr>
        <w:t>供应商</w:t>
      </w:r>
      <w:r>
        <w:rPr>
          <w:color w:val="auto"/>
        </w:rPr>
        <w:t>严格按照规定的格式填写。投标总价为优惠后报价，并作为评</w:t>
      </w:r>
      <w:r>
        <w:rPr>
          <w:color w:val="auto"/>
          <w:spacing w:val="-99"/>
        </w:rPr>
        <w:t xml:space="preserve"> </w:t>
      </w:r>
      <w:r>
        <w:rPr>
          <w:color w:val="auto"/>
        </w:rPr>
        <w:t>审及定标的依据。</w:t>
      </w:r>
    </w:p>
    <w:p>
      <w:pPr>
        <w:pStyle w:val="8"/>
        <w:kinsoku w:val="0"/>
        <w:overflowPunct w:val="0"/>
        <w:spacing w:line="357" w:lineRule="auto"/>
        <w:ind w:left="965" w:firstLine="600"/>
        <w:rPr>
          <w:rFonts w:hint="default"/>
          <w:color w:val="auto"/>
        </w:rPr>
      </w:pPr>
      <w:r>
        <w:rPr>
          <w:color w:val="auto"/>
          <w:spacing w:val="2"/>
        </w:rPr>
        <w:t>任何有选择或有条件的投标总价或表中某一包填写多个报价，均将导</w:t>
      </w:r>
      <w:r>
        <w:rPr>
          <w:color w:val="auto"/>
        </w:rPr>
        <w:t xml:space="preserve"> 致投标被拒绝。</w:t>
      </w:r>
    </w:p>
    <w:p>
      <w:pPr>
        <w:pStyle w:val="8"/>
        <w:kinsoku w:val="0"/>
        <w:overflowPunct w:val="0"/>
        <w:spacing w:line="357" w:lineRule="auto"/>
        <w:ind w:left="965" w:firstLine="600"/>
        <w:rPr>
          <w:rFonts w:hint="default"/>
          <w:color w:val="auto"/>
        </w:rPr>
        <w:sectPr>
          <w:pgSz w:w="11910" w:h="16840"/>
          <w:pgMar w:top="1500" w:right="1240" w:bottom="1600" w:left="1240" w:header="0" w:footer="1415" w:gutter="0"/>
          <w:pgNumType w:fmt="decimal"/>
          <w:cols w:space="720" w:num="1"/>
        </w:sectPr>
      </w:pPr>
    </w:p>
    <w:p>
      <w:pPr>
        <w:pStyle w:val="3"/>
        <w:kinsoku w:val="0"/>
        <w:overflowPunct w:val="0"/>
        <w:spacing w:line="395" w:lineRule="exact"/>
        <w:ind w:left="1260"/>
        <w:rPr>
          <w:rFonts w:hint="default"/>
          <w:b w:val="0"/>
          <w:color w:val="auto"/>
        </w:rPr>
      </w:pPr>
      <w:bookmarkStart w:id="63" w:name="4、★商务条款偏离说明表"/>
      <w:bookmarkEnd w:id="63"/>
      <w:r>
        <w:rPr>
          <w:color w:val="auto"/>
        </w:rPr>
        <w:t>3、★投标报价明细表</w:t>
      </w:r>
    </w:p>
    <w:p>
      <w:pPr>
        <w:pStyle w:val="8"/>
        <w:kinsoku w:val="0"/>
        <w:overflowPunct w:val="0"/>
        <w:spacing w:before="190"/>
        <w:ind w:left="1260"/>
        <w:rPr>
          <w:rFonts w:hint="default"/>
          <w:color w:val="auto"/>
        </w:rPr>
      </w:pPr>
      <w:r>
        <w:rPr>
          <w:color w:val="auto"/>
        </w:rPr>
        <w:t>项目编号、包号：价格单位：元</w:t>
      </w:r>
    </w:p>
    <w:p>
      <w:pPr>
        <w:pStyle w:val="8"/>
        <w:kinsoku w:val="0"/>
        <w:overflowPunct w:val="0"/>
        <w:spacing w:before="9"/>
        <w:ind w:left="0"/>
        <w:rPr>
          <w:rFonts w:hint="default"/>
          <w:color w:val="auto"/>
          <w:sz w:val="8"/>
          <w:szCs w:val="8"/>
        </w:rPr>
      </w:pPr>
    </w:p>
    <w:tbl>
      <w:tblPr>
        <w:tblStyle w:val="17"/>
        <w:tblW w:w="10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773"/>
        <w:gridCol w:w="1287"/>
        <w:gridCol w:w="1213"/>
        <w:gridCol w:w="990"/>
        <w:gridCol w:w="1600"/>
        <w:gridCol w:w="1262"/>
        <w:gridCol w:w="1050"/>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750" w:type="dxa"/>
            <w:noWrap w:val="0"/>
            <w:vAlign w:val="center"/>
          </w:tcPr>
          <w:p>
            <w:pPr>
              <w:rPr>
                <w:rFonts w:hint="eastAsia" w:ascii="仿宋" w:hAnsi="仿宋" w:cs="仿宋"/>
                <w:color w:val="auto"/>
                <w:sz w:val="24"/>
                <w:szCs w:val="24"/>
              </w:rPr>
            </w:pPr>
            <w:r>
              <w:rPr>
                <w:rFonts w:hint="eastAsia" w:ascii="仿宋" w:hAnsi="仿宋" w:cs="仿宋"/>
                <w:color w:val="auto"/>
                <w:sz w:val="24"/>
                <w:szCs w:val="24"/>
              </w:rPr>
              <w:t>序号</w:t>
            </w:r>
          </w:p>
        </w:tc>
        <w:tc>
          <w:tcPr>
            <w:tcW w:w="1773" w:type="dxa"/>
            <w:noWrap w:val="0"/>
            <w:vAlign w:val="center"/>
          </w:tcPr>
          <w:p>
            <w:pPr>
              <w:jc w:val="center"/>
              <w:rPr>
                <w:rFonts w:hint="eastAsia" w:ascii="仿宋" w:hAnsi="仿宋" w:cs="仿宋"/>
                <w:color w:val="auto"/>
                <w:sz w:val="24"/>
                <w:szCs w:val="24"/>
              </w:rPr>
            </w:pPr>
            <w:r>
              <w:rPr>
                <w:rFonts w:hint="eastAsia" w:ascii="仿宋" w:hAnsi="仿宋" w:cs="仿宋"/>
                <w:color w:val="auto"/>
                <w:sz w:val="24"/>
                <w:szCs w:val="24"/>
              </w:rPr>
              <w:t>标的名称</w:t>
            </w:r>
          </w:p>
        </w:tc>
        <w:tc>
          <w:tcPr>
            <w:tcW w:w="1287" w:type="dxa"/>
            <w:noWrap w:val="0"/>
            <w:vAlign w:val="center"/>
          </w:tcPr>
          <w:p>
            <w:pPr>
              <w:jc w:val="center"/>
              <w:rPr>
                <w:rFonts w:hint="eastAsia" w:ascii="仿宋" w:hAnsi="仿宋" w:cs="仿宋"/>
                <w:color w:val="auto"/>
                <w:sz w:val="24"/>
                <w:szCs w:val="24"/>
              </w:rPr>
            </w:pPr>
            <w:r>
              <w:rPr>
                <w:rFonts w:hint="eastAsia" w:ascii="仿宋" w:hAnsi="仿宋" w:cs="仿宋"/>
                <w:color w:val="auto"/>
                <w:sz w:val="24"/>
                <w:szCs w:val="24"/>
              </w:rPr>
              <w:t>品牌</w:t>
            </w:r>
          </w:p>
        </w:tc>
        <w:tc>
          <w:tcPr>
            <w:tcW w:w="1213" w:type="dxa"/>
            <w:noWrap w:val="0"/>
            <w:vAlign w:val="center"/>
          </w:tcPr>
          <w:p>
            <w:pPr>
              <w:jc w:val="center"/>
              <w:rPr>
                <w:rFonts w:ascii="仿宋" w:hAnsi="仿宋" w:cs="仿宋"/>
                <w:color w:val="auto"/>
                <w:sz w:val="24"/>
                <w:szCs w:val="24"/>
              </w:rPr>
            </w:pPr>
            <w:r>
              <w:rPr>
                <w:rFonts w:hint="eastAsia" w:ascii="仿宋" w:hAnsi="仿宋" w:cs="仿宋"/>
                <w:color w:val="auto"/>
                <w:sz w:val="24"/>
                <w:szCs w:val="24"/>
              </w:rPr>
              <w:t>规格型号</w:t>
            </w:r>
          </w:p>
        </w:tc>
        <w:tc>
          <w:tcPr>
            <w:tcW w:w="990" w:type="dxa"/>
            <w:noWrap w:val="0"/>
            <w:vAlign w:val="center"/>
          </w:tcPr>
          <w:p>
            <w:pPr>
              <w:jc w:val="center"/>
              <w:rPr>
                <w:rFonts w:hint="eastAsia" w:ascii="仿宋" w:hAnsi="仿宋" w:cs="仿宋"/>
                <w:color w:val="auto"/>
                <w:sz w:val="24"/>
                <w:szCs w:val="24"/>
              </w:rPr>
            </w:pPr>
            <w:r>
              <w:rPr>
                <w:rFonts w:hint="eastAsia" w:ascii="仿宋" w:hAnsi="仿宋" w:cs="仿宋"/>
                <w:color w:val="auto"/>
                <w:sz w:val="24"/>
                <w:szCs w:val="24"/>
              </w:rPr>
              <w:t>数量</w:t>
            </w:r>
          </w:p>
        </w:tc>
        <w:tc>
          <w:tcPr>
            <w:tcW w:w="1600" w:type="dxa"/>
            <w:noWrap w:val="0"/>
            <w:vAlign w:val="center"/>
          </w:tcPr>
          <w:p>
            <w:pPr>
              <w:jc w:val="center"/>
              <w:rPr>
                <w:rFonts w:hint="eastAsia" w:ascii="仿宋" w:hAnsi="仿宋" w:cs="仿宋"/>
                <w:color w:val="auto"/>
                <w:sz w:val="24"/>
                <w:szCs w:val="24"/>
              </w:rPr>
            </w:pPr>
            <w:r>
              <w:rPr>
                <w:rFonts w:hint="eastAsia" w:ascii="仿宋" w:hAnsi="仿宋" w:cs="仿宋"/>
                <w:color w:val="auto"/>
                <w:sz w:val="24"/>
                <w:szCs w:val="24"/>
              </w:rPr>
              <w:t>质保期</w:t>
            </w:r>
          </w:p>
        </w:tc>
        <w:tc>
          <w:tcPr>
            <w:tcW w:w="1262" w:type="dxa"/>
            <w:noWrap w:val="0"/>
            <w:vAlign w:val="center"/>
          </w:tcPr>
          <w:p>
            <w:pPr>
              <w:jc w:val="center"/>
              <w:rPr>
                <w:rFonts w:hint="eastAsia" w:ascii="仿宋" w:hAnsi="仿宋" w:cs="仿宋"/>
                <w:color w:val="auto"/>
                <w:sz w:val="24"/>
                <w:szCs w:val="24"/>
              </w:rPr>
            </w:pPr>
            <w:r>
              <w:rPr>
                <w:rFonts w:hint="eastAsia" w:ascii="仿宋" w:hAnsi="仿宋" w:cs="仿宋"/>
                <w:color w:val="auto"/>
                <w:sz w:val="24"/>
                <w:szCs w:val="24"/>
              </w:rPr>
              <w:t>单价</w:t>
            </w:r>
          </w:p>
        </w:tc>
        <w:tc>
          <w:tcPr>
            <w:tcW w:w="1050" w:type="dxa"/>
            <w:noWrap w:val="0"/>
            <w:vAlign w:val="center"/>
          </w:tcPr>
          <w:p>
            <w:pPr>
              <w:jc w:val="center"/>
              <w:rPr>
                <w:rFonts w:ascii="仿宋" w:hAnsi="仿宋" w:cs="仿宋"/>
                <w:color w:val="auto"/>
                <w:sz w:val="24"/>
                <w:szCs w:val="24"/>
              </w:rPr>
            </w:pPr>
            <w:r>
              <w:rPr>
                <w:rFonts w:hint="eastAsia" w:ascii="仿宋" w:hAnsi="仿宋" w:cs="仿宋"/>
                <w:color w:val="auto"/>
                <w:sz w:val="24"/>
                <w:szCs w:val="24"/>
              </w:rPr>
              <w:t>总价</w:t>
            </w:r>
          </w:p>
        </w:tc>
        <w:tc>
          <w:tcPr>
            <w:tcW w:w="1063" w:type="dxa"/>
            <w:noWrap w:val="0"/>
            <w:vAlign w:val="center"/>
          </w:tcPr>
          <w:p>
            <w:pPr>
              <w:jc w:val="center"/>
              <w:rPr>
                <w:rFonts w:hint="eastAsia" w:ascii="仿宋" w:hAnsi="仿宋" w:cs="仿宋"/>
                <w:color w:val="auto"/>
                <w:sz w:val="24"/>
                <w:szCs w:val="24"/>
              </w:rPr>
            </w:pPr>
            <w:r>
              <w:rPr>
                <w:rFonts w:hint="eastAsia" w:ascii="仿宋" w:hAnsi="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750" w:type="dxa"/>
            <w:noWrap w:val="0"/>
            <w:vAlign w:val="center"/>
          </w:tcPr>
          <w:p>
            <w:pPr>
              <w:jc w:val="center"/>
              <w:rPr>
                <w:rFonts w:hint="eastAsia" w:ascii="仿宋" w:hAnsi="仿宋" w:cs="仿宋"/>
                <w:color w:val="auto"/>
                <w:sz w:val="24"/>
                <w:szCs w:val="24"/>
                <w:highlight w:val="yellow"/>
              </w:rPr>
            </w:pPr>
          </w:p>
        </w:tc>
        <w:tc>
          <w:tcPr>
            <w:tcW w:w="1773" w:type="dxa"/>
            <w:noWrap w:val="0"/>
            <w:vAlign w:val="center"/>
          </w:tcPr>
          <w:p>
            <w:pPr>
              <w:rPr>
                <w:rFonts w:hint="eastAsia" w:ascii="仿宋" w:hAnsi="仿宋" w:cs="仿宋"/>
                <w:color w:val="auto"/>
                <w:sz w:val="24"/>
                <w:szCs w:val="24"/>
                <w:highlight w:val="yellow"/>
              </w:rPr>
            </w:pPr>
          </w:p>
        </w:tc>
        <w:tc>
          <w:tcPr>
            <w:tcW w:w="1287" w:type="dxa"/>
            <w:noWrap w:val="0"/>
            <w:vAlign w:val="center"/>
          </w:tcPr>
          <w:p>
            <w:pPr>
              <w:jc w:val="center"/>
              <w:rPr>
                <w:rFonts w:hint="eastAsia" w:ascii="仿宋" w:hAnsi="仿宋" w:cs="仿宋"/>
                <w:color w:val="auto"/>
                <w:sz w:val="24"/>
                <w:szCs w:val="24"/>
                <w:highlight w:val="yellow"/>
              </w:rPr>
            </w:pPr>
          </w:p>
        </w:tc>
        <w:tc>
          <w:tcPr>
            <w:tcW w:w="1213" w:type="dxa"/>
            <w:noWrap w:val="0"/>
            <w:vAlign w:val="center"/>
          </w:tcPr>
          <w:p>
            <w:pPr>
              <w:jc w:val="center"/>
              <w:rPr>
                <w:rFonts w:hint="eastAsia" w:ascii="仿宋" w:hAnsi="仿宋" w:cs="仿宋"/>
                <w:color w:val="auto"/>
                <w:sz w:val="24"/>
                <w:szCs w:val="24"/>
                <w:highlight w:val="yellow"/>
              </w:rPr>
            </w:pPr>
          </w:p>
        </w:tc>
        <w:tc>
          <w:tcPr>
            <w:tcW w:w="990" w:type="dxa"/>
            <w:noWrap w:val="0"/>
            <w:vAlign w:val="center"/>
          </w:tcPr>
          <w:p>
            <w:pPr>
              <w:jc w:val="center"/>
              <w:rPr>
                <w:rFonts w:hint="eastAsia" w:ascii="仿宋" w:hAnsi="仿宋" w:cs="仿宋"/>
                <w:color w:val="auto"/>
                <w:sz w:val="24"/>
                <w:szCs w:val="24"/>
                <w:highlight w:val="yellow"/>
              </w:rPr>
            </w:pPr>
          </w:p>
        </w:tc>
        <w:tc>
          <w:tcPr>
            <w:tcW w:w="1600" w:type="dxa"/>
            <w:noWrap w:val="0"/>
            <w:vAlign w:val="center"/>
          </w:tcPr>
          <w:p>
            <w:pPr>
              <w:jc w:val="center"/>
              <w:rPr>
                <w:rFonts w:hint="eastAsia" w:ascii="仿宋" w:hAnsi="仿宋" w:cs="仿宋"/>
                <w:color w:val="auto"/>
                <w:sz w:val="24"/>
                <w:szCs w:val="24"/>
                <w:highlight w:val="yellow"/>
              </w:rPr>
            </w:pPr>
          </w:p>
        </w:tc>
        <w:tc>
          <w:tcPr>
            <w:tcW w:w="1262" w:type="dxa"/>
            <w:noWrap w:val="0"/>
            <w:vAlign w:val="center"/>
          </w:tcPr>
          <w:p>
            <w:pPr>
              <w:jc w:val="center"/>
              <w:rPr>
                <w:rFonts w:hint="eastAsia" w:ascii="仿宋" w:hAnsi="仿宋" w:cs="仿宋"/>
                <w:color w:val="auto"/>
                <w:sz w:val="24"/>
                <w:szCs w:val="24"/>
                <w:highlight w:val="yellow"/>
              </w:rPr>
            </w:pPr>
          </w:p>
        </w:tc>
        <w:tc>
          <w:tcPr>
            <w:tcW w:w="1050" w:type="dxa"/>
            <w:noWrap w:val="0"/>
            <w:vAlign w:val="center"/>
          </w:tcPr>
          <w:p>
            <w:pPr>
              <w:jc w:val="center"/>
              <w:rPr>
                <w:rFonts w:hint="eastAsia" w:ascii="仿宋" w:hAnsi="仿宋" w:cs="仿宋"/>
                <w:color w:val="auto"/>
                <w:sz w:val="24"/>
                <w:szCs w:val="24"/>
                <w:highlight w:val="yellow"/>
              </w:rPr>
            </w:pPr>
          </w:p>
        </w:tc>
        <w:tc>
          <w:tcPr>
            <w:tcW w:w="1063" w:type="dxa"/>
            <w:noWrap w:val="0"/>
            <w:vAlign w:val="center"/>
          </w:tcPr>
          <w:p>
            <w:pPr>
              <w:jc w:val="center"/>
              <w:rPr>
                <w:rFonts w:hint="eastAsia" w:ascii="仿宋" w:hAnsi="仿宋" w:cs="仿宋"/>
                <w:color w:val="auto"/>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750" w:type="dxa"/>
            <w:noWrap w:val="0"/>
            <w:vAlign w:val="center"/>
          </w:tcPr>
          <w:p>
            <w:pPr>
              <w:jc w:val="center"/>
              <w:rPr>
                <w:rFonts w:hint="eastAsia" w:ascii="仿宋" w:hAnsi="仿宋" w:cs="仿宋"/>
                <w:color w:val="auto"/>
                <w:sz w:val="24"/>
                <w:szCs w:val="24"/>
                <w:highlight w:val="yellow"/>
              </w:rPr>
            </w:pPr>
          </w:p>
        </w:tc>
        <w:tc>
          <w:tcPr>
            <w:tcW w:w="1773" w:type="dxa"/>
            <w:noWrap w:val="0"/>
            <w:vAlign w:val="center"/>
          </w:tcPr>
          <w:p>
            <w:pPr>
              <w:rPr>
                <w:rFonts w:hint="eastAsia" w:ascii="仿宋" w:hAnsi="仿宋" w:cs="仿宋"/>
                <w:color w:val="auto"/>
                <w:sz w:val="24"/>
                <w:szCs w:val="24"/>
                <w:highlight w:val="yellow"/>
              </w:rPr>
            </w:pPr>
          </w:p>
        </w:tc>
        <w:tc>
          <w:tcPr>
            <w:tcW w:w="1287" w:type="dxa"/>
            <w:noWrap w:val="0"/>
            <w:vAlign w:val="center"/>
          </w:tcPr>
          <w:p>
            <w:pPr>
              <w:jc w:val="center"/>
              <w:rPr>
                <w:rFonts w:hint="eastAsia" w:ascii="仿宋" w:hAnsi="仿宋" w:cs="仿宋"/>
                <w:color w:val="auto"/>
                <w:sz w:val="24"/>
                <w:szCs w:val="24"/>
                <w:highlight w:val="yellow"/>
              </w:rPr>
            </w:pPr>
          </w:p>
        </w:tc>
        <w:tc>
          <w:tcPr>
            <w:tcW w:w="1213" w:type="dxa"/>
            <w:noWrap w:val="0"/>
            <w:vAlign w:val="center"/>
          </w:tcPr>
          <w:p>
            <w:pPr>
              <w:jc w:val="center"/>
              <w:rPr>
                <w:rFonts w:hint="eastAsia" w:ascii="仿宋" w:hAnsi="仿宋" w:cs="仿宋"/>
                <w:color w:val="auto"/>
                <w:sz w:val="24"/>
                <w:szCs w:val="24"/>
                <w:highlight w:val="yellow"/>
              </w:rPr>
            </w:pPr>
          </w:p>
        </w:tc>
        <w:tc>
          <w:tcPr>
            <w:tcW w:w="990" w:type="dxa"/>
            <w:noWrap w:val="0"/>
            <w:vAlign w:val="center"/>
          </w:tcPr>
          <w:p>
            <w:pPr>
              <w:jc w:val="center"/>
              <w:rPr>
                <w:rFonts w:hint="eastAsia" w:ascii="仿宋" w:hAnsi="仿宋" w:cs="仿宋"/>
                <w:color w:val="auto"/>
                <w:sz w:val="24"/>
                <w:szCs w:val="24"/>
                <w:highlight w:val="yellow"/>
              </w:rPr>
            </w:pPr>
          </w:p>
        </w:tc>
        <w:tc>
          <w:tcPr>
            <w:tcW w:w="1600" w:type="dxa"/>
            <w:noWrap w:val="0"/>
            <w:vAlign w:val="center"/>
          </w:tcPr>
          <w:p>
            <w:pPr>
              <w:jc w:val="center"/>
              <w:rPr>
                <w:rFonts w:hint="eastAsia" w:ascii="仿宋" w:hAnsi="仿宋" w:cs="仿宋"/>
                <w:color w:val="auto"/>
                <w:sz w:val="24"/>
                <w:szCs w:val="24"/>
                <w:highlight w:val="yellow"/>
              </w:rPr>
            </w:pPr>
          </w:p>
        </w:tc>
        <w:tc>
          <w:tcPr>
            <w:tcW w:w="1262" w:type="dxa"/>
            <w:noWrap w:val="0"/>
            <w:vAlign w:val="center"/>
          </w:tcPr>
          <w:p>
            <w:pPr>
              <w:jc w:val="center"/>
              <w:rPr>
                <w:rFonts w:hint="eastAsia" w:ascii="仿宋" w:hAnsi="仿宋" w:cs="仿宋"/>
                <w:color w:val="auto"/>
                <w:sz w:val="24"/>
                <w:szCs w:val="24"/>
                <w:highlight w:val="yellow"/>
              </w:rPr>
            </w:pPr>
          </w:p>
        </w:tc>
        <w:tc>
          <w:tcPr>
            <w:tcW w:w="1050" w:type="dxa"/>
            <w:noWrap w:val="0"/>
            <w:vAlign w:val="center"/>
          </w:tcPr>
          <w:p>
            <w:pPr>
              <w:jc w:val="center"/>
              <w:rPr>
                <w:rFonts w:hint="eastAsia" w:ascii="仿宋" w:hAnsi="仿宋" w:cs="仿宋"/>
                <w:color w:val="auto"/>
                <w:sz w:val="24"/>
                <w:szCs w:val="24"/>
                <w:highlight w:val="yellow"/>
              </w:rPr>
            </w:pPr>
          </w:p>
        </w:tc>
        <w:tc>
          <w:tcPr>
            <w:tcW w:w="1063" w:type="dxa"/>
            <w:noWrap w:val="0"/>
            <w:vAlign w:val="center"/>
          </w:tcPr>
          <w:p>
            <w:pPr>
              <w:jc w:val="center"/>
              <w:rPr>
                <w:rFonts w:hint="eastAsia" w:ascii="仿宋" w:hAnsi="仿宋" w:cs="仿宋"/>
                <w:color w:val="auto"/>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jc w:val="center"/>
        </w:trPr>
        <w:tc>
          <w:tcPr>
            <w:tcW w:w="750" w:type="dxa"/>
            <w:noWrap w:val="0"/>
            <w:vAlign w:val="center"/>
          </w:tcPr>
          <w:p>
            <w:pPr>
              <w:jc w:val="center"/>
              <w:rPr>
                <w:rFonts w:hint="eastAsia" w:ascii="仿宋" w:hAnsi="仿宋" w:cs="仿宋"/>
                <w:color w:val="auto"/>
                <w:sz w:val="24"/>
                <w:szCs w:val="24"/>
                <w:highlight w:val="yellow"/>
              </w:rPr>
            </w:pPr>
          </w:p>
        </w:tc>
        <w:tc>
          <w:tcPr>
            <w:tcW w:w="1773" w:type="dxa"/>
            <w:noWrap w:val="0"/>
            <w:vAlign w:val="center"/>
          </w:tcPr>
          <w:p>
            <w:pPr>
              <w:rPr>
                <w:rFonts w:hint="eastAsia" w:ascii="仿宋" w:hAnsi="仿宋" w:cs="仿宋"/>
                <w:color w:val="auto"/>
                <w:sz w:val="24"/>
                <w:szCs w:val="24"/>
                <w:highlight w:val="yellow"/>
              </w:rPr>
            </w:pPr>
          </w:p>
        </w:tc>
        <w:tc>
          <w:tcPr>
            <w:tcW w:w="1287" w:type="dxa"/>
            <w:noWrap w:val="0"/>
            <w:vAlign w:val="center"/>
          </w:tcPr>
          <w:p>
            <w:pPr>
              <w:jc w:val="center"/>
              <w:rPr>
                <w:rFonts w:hint="eastAsia" w:ascii="仿宋" w:hAnsi="仿宋" w:cs="仿宋"/>
                <w:color w:val="auto"/>
                <w:sz w:val="24"/>
                <w:szCs w:val="24"/>
                <w:highlight w:val="yellow"/>
              </w:rPr>
            </w:pPr>
          </w:p>
        </w:tc>
        <w:tc>
          <w:tcPr>
            <w:tcW w:w="1213" w:type="dxa"/>
            <w:noWrap w:val="0"/>
            <w:vAlign w:val="center"/>
          </w:tcPr>
          <w:p>
            <w:pPr>
              <w:jc w:val="center"/>
              <w:rPr>
                <w:rFonts w:hint="eastAsia" w:ascii="仿宋" w:hAnsi="仿宋" w:cs="仿宋"/>
                <w:color w:val="auto"/>
                <w:sz w:val="24"/>
                <w:szCs w:val="24"/>
                <w:highlight w:val="yellow"/>
              </w:rPr>
            </w:pPr>
          </w:p>
        </w:tc>
        <w:tc>
          <w:tcPr>
            <w:tcW w:w="990" w:type="dxa"/>
            <w:noWrap w:val="0"/>
            <w:vAlign w:val="center"/>
          </w:tcPr>
          <w:p>
            <w:pPr>
              <w:jc w:val="center"/>
              <w:rPr>
                <w:rFonts w:hint="eastAsia" w:ascii="仿宋" w:hAnsi="仿宋" w:cs="仿宋"/>
                <w:color w:val="auto"/>
                <w:sz w:val="24"/>
                <w:szCs w:val="24"/>
                <w:highlight w:val="yellow"/>
              </w:rPr>
            </w:pPr>
          </w:p>
        </w:tc>
        <w:tc>
          <w:tcPr>
            <w:tcW w:w="1600" w:type="dxa"/>
            <w:noWrap w:val="0"/>
            <w:vAlign w:val="center"/>
          </w:tcPr>
          <w:p>
            <w:pPr>
              <w:jc w:val="center"/>
              <w:rPr>
                <w:rFonts w:hint="eastAsia" w:ascii="仿宋" w:hAnsi="仿宋" w:cs="仿宋"/>
                <w:color w:val="auto"/>
                <w:sz w:val="24"/>
                <w:szCs w:val="24"/>
                <w:highlight w:val="yellow"/>
              </w:rPr>
            </w:pPr>
          </w:p>
        </w:tc>
        <w:tc>
          <w:tcPr>
            <w:tcW w:w="1262" w:type="dxa"/>
            <w:noWrap w:val="0"/>
            <w:vAlign w:val="center"/>
          </w:tcPr>
          <w:p>
            <w:pPr>
              <w:jc w:val="center"/>
              <w:rPr>
                <w:rFonts w:hint="eastAsia" w:ascii="仿宋" w:hAnsi="仿宋" w:cs="仿宋"/>
                <w:color w:val="auto"/>
                <w:sz w:val="24"/>
                <w:szCs w:val="24"/>
                <w:highlight w:val="yellow"/>
              </w:rPr>
            </w:pPr>
          </w:p>
        </w:tc>
        <w:tc>
          <w:tcPr>
            <w:tcW w:w="1050" w:type="dxa"/>
            <w:noWrap w:val="0"/>
            <w:vAlign w:val="center"/>
          </w:tcPr>
          <w:p>
            <w:pPr>
              <w:jc w:val="center"/>
              <w:rPr>
                <w:rFonts w:hint="eastAsia" w:ascii="仿宋" w:hAnsi="仿宋" w:cs="仿宋"/>
                <w:color w:val="auto"/>
                <w:sz w:val="24"/>
                <w:szCs w:val="24"/>
                <w:highlight w:val="yellow"/>
              </w:rPr>
            </w:pPr>
          </w:p>
        </w:tc>
        <w:tc>
          <w:tcPr>
            <w:tcW w:w="1063" w:type="dxa"/>
            <w:noWrap w:val="0"/>
            <w:vAlign w:val="center"/>
          </w:tcPr>
          <w:p>
            <w:pPr>
              <w:jc w:val="center"/>
              <w:rPr>
                <w:rFonts w:hint="eastAsia" w:ascii="仿宋" w:hAnsi="仿宋" w:cs="仿宋"/>
                <w:color w:val="auto"/>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750" w:type="dxa"/>
            <w:noWrap w:val="0"/>
            <w:vAlign w:val="center"/>
          </w:tcPr>
          <w:p>
            <w:pPr>
              <w:jc w:val="center"/>
              <w:rPr>
                <w:rFonts w:hint="eastAsia" w:ascii="仿宋" w:hAnsi="仿宋" w:cs="仿宋"/>
                <w:color w:val="auto"/>
                <w:sz w:val="24"/>
                <w:szCs w:val="24"/>
                <w:highlight w:val="yellow"/>
              </w:rPr>
            </w:pPr>
          </w:p>
        </w:tc>
        <w:tc>
          <w:tcPr>
            <w:tcW w:w="1773" w:type="dxa"/>
            <w:noWrap w:val="0"/>
            <w:vAlign w:val="center"/>
          </w:tcPr>
          <w:p>
            <w:pPr>
              <w:jc w:val="center"/>
              <w:rPr>
                <w:rFonts w:hint="eastAsia" w:ascii="仿宋" w:hAnsi="仿宋" w:cs="仿宋"/>
                <w:color w:val="auto"/>
                <w:sz w:val="24"/>
                <w:szCs w:val="24"/>
                <w:highlight w:val="yellow"/>
              </w:rPr>
            </w:pPr>
          </w:p>
        </w:tc>
        <w:tc>
          <w:tcPr>
            <w:tcW w:w="1287" w:type="dxa"/>
            <w:noWrap w:val="0"/>
            <w:vAlign w:val="center"/>
          </w:tcPr>
          <w:p>
            <w:pPr>
              <w:jc w:val="center"/>
              <w:rPr>
                <w:rFonts w:hint="eastAsia" w:ascii="仿宋" w:hAnsi="仿宋" w:cs="仿宋"/>
                <w:color w:val="auto"/>
                <w:sz w:val="24"/>
                <w:szCs w:val="24"/>
                <w:highlight w:val="yellow"/>
              </w:rPr>
            </w:pPr>
          </w:p>
        </w:tc>
        <w:tc>
          <w:tcPr>
            <w:tcW w:w="1213" w:type="dxa"/>
            <w:noWrap w:val="0"/>
            <w:vAlign w:val="center"/>
          </w:tcPr>
          <w:p>
            <w:pPr>
              <w:jc w:val="center"/>
              <w:rPr>
                <w:rFonts w:hint="eastAsia" w:ascii="仿宋" w:hAnsi="仿宋" w:cs="仿宋"/>
                <w:color w:val="auto"/>
                <w:sz w:val="24"/>
                <w:szCs w:val="24"/>
                <w:highlight w:val="yellow"/>
              </w:rPr>
            </w:pPr>
          </w:p>
        </w:tc>
        <w:tc>
          <w:tcPr>
            <w:tcW w:w="990" w:type="dxa"/>
            <w:noWrap w:val="0"/>
            <w:vAlign w:val="center"/>
          </w:tcPr>
          <w:p>
            <w:pPr>
              <w:jc w:val="center"/>
              <w:rPr>
                <w:rFonts w:hint="eastAsia" w:ascii="仿宋" w:hAnsi="仿宋" w:cs="仿宋"/>
                <w:color w:val="auto"/>
                <w:sz w:val="24"/>
                <w:szCs w:val="24"/>
                <w:highlight w:val="yellow"/>
              </w:rPr>
            </w:pPr>
          </w:p>
        </w:tc>
        <w:tc>
          <w:tcPr>
            <w:tcW w:w="1600" w:type="dxa"/>
            <w:noWrap w:val="0"/>
            <w:vAlign w:val="center"/>
          </w:tcPr>
          <w:p>
            <w:pPr>
              <w:jc w:val="center"/>
              <w:rPr>
                <w:rFonts w:hint="eastAsia" w:ascii="仿宋" w:hAnsi="仿宋" w:cs="仿宋"/>
                <w:color w:val="auto"/>
                <w:sz w:val="24"/>
                <w:szCs w:val="24"/>
                <w:highlight w:val="yellow"/>
              </w:rPr>
            </w:pPr>
          </w:p>
        </w:tc>
        <w:tc>
          <w:tcPr>
            <w:tcW w:w="1262" w:type="dxa"/>
            <w:noWrap w:val="0"/>
            <w:vAlign w:val="center"/>
          </w:tcPr>
          <w:p>
            <w:pPr>
              <w:jc w:val="center"/>
              <w:rPr>
                <w:rFonts w:hint="eastAsia" w:ascii="仿宋" w:hAnsi="仿宋" w:cs="仿宋"/>
                <w:color w:val="auto"/>
                <w:sz w:val="24"/>
                <w:szCs w:val="24"/>
                <w:highlight w:val="yellow"/>
              </w:rPr>
            </w:pPr>
          </w:p>
        </w:tc>
        <w:tc>
          <w:tcPr>
            <w:tcW w:w="1050" w:type="dxa"/>
            <w:noWrap w:val="0"/>
            <w:vAlign w:val="center"/>
          </w:tcPr>
          <w:p>
            <w:pPr>
              <w:jc w:val="center"/>
              <w:rPr>
                <w:rFonts w:hint="eastAsia" w:ascii="仿宋" w:hAnsi="仿宋" w:cs="仿宋"/>
                <w:color w:val="auto"/>
                <w:sz w:val="24"/>
                <w:szCs w:val="24"/>
                <w:highlight w:val="yellow"/>
              </w:rPr>
            </w:pPr>
          </w:p>
        </w:tc>
        <w:tc>
          <w:tcPr>
            <w:tcW w:w="1063" w:type="dxa"/>
            <w:noWrap w:val="0"/>
            <w:vAlign w:val="center"/>
          </w:tcPr>
          <w:p>
            <w:pPr>
              <w:jc w:val="center"/>
              <w:rPr>
                <w:rFonts w:hint="eastAsia" w:ascii="仿宋" w:hAnsi="仿宋" w:cs="仿宋"/>
                <w:color w:val="auto"/>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jc w:val="center"/>
        </w:trPr>
        <w:tc>
          <w:tcPr>
            <w:tcW w:w="750" w:type="dxa"/>
            <w:noWrap w:val="0"/>
            <w:vAlign w:val="center"/>
          </w:tcPr>
          <w:p>
            <w:pPr>
              <w:jc w:val="center"/>
              <w:rPr>
                <w:rFonts w:hint="eastAsia" w:ascii="仿宋" w:hAnsi="仿宋" w:cs="仿宋"/>
                <w:color w:val="auto"/>
                <w:sz w:val="24"/>
                <w:szCs w:val="24"/>
                <w:highlight w:val="yellow"/>
              </w:rPr>
            </w:pPr>
          </w:p>
        </w:tc>
        <w:tc>
          <w:tcPr>
            <w:tcW w:w="1773" w:type="dxa"/>
            <w:noWrap w:val="0"/>
            <w:vAlign w:val="center"/>
          </w:tcPr>
          <w:p>
            <w:pPr>
              <w:jc w:val="center"/>
              <w:rPr>
                <w:rFonts w:hint="eastAsia" w:ascii="仿宋" w:hAnsi="仿宋" w:cs="仿宋"/>
                <w:color w:val="auto"/>
                <w:sz w:val="24"/>
                <w:szCs w:val="24"/>
                <w:highlight w:val="yellow"/>
              </w:rPr>
            </w:pPr>
          </w:p>
        </w:tc>
        <w:tc>
          <w:tcPr>
            <w:tcW w:w="1287" w:type="dxa"/>
            <w:noWrap w:val="0"/>
            <w:vAlign w:val="center"/>
          </w:tcPr>
          <w:p>
            <w:pPr>
              <w:jc w:val="center"/>
              <w:rPr>
                <w:rFonts w:hint="eastAsia" w:ascii="仿宋" w:hAnsi="仿宋" w:cs="仿宋"/>
                <w:color w:val="auto"/>
                <w:sz w:val="24"/>
                <w:szCs w:val="24"/>
                <w:highlight w:val="yellow"/>
              </w:rPr>
            </w:pPr>
          </w:p>
        </w:tc>
        <w:tc>
          <w:tcPr>
            <w:tcW w:w="1213" w:type="dxa"/>
            <w:noWrap w:val="0"/>
            <w:vAlign w:val="center"/>
          </w:tcPr>
          <w:p>
            <w:pPr>
              <w:jc w:val="center"/>
              <w:rPr>
                <w:rFonts w:hint="eastAsia" w:ascii="仿宋" w:hAnsi="仿宋" w:cs="仿宋"/>
                <w:color w:val="auto"/>
                <w:sz w:val="24"/>
                <w:szCs w:val="24"/>
                <w:highlight w:val="yellow"/>
              </w:rPr>
            </w:pPr>
          </w:p>
        </w:tc>
        <w:tc>
          <w:tcPr>
            <w:tcW w:w="990" w:type="dxa"/>
            <w:noWrap w:val="0"/>
            <w:vAlign w:val="center"/>
          </w:tcPr>
          <w:p>
            <w:pPr>
              <w:jc w:val="center"/>
              <w:rPr>
                <w:rFonts w:hint="eastAsia" w:ascii="仿宋" w:hAnsi="仿宋" w:cs="仿宋"/>
                <w:color w:val="auto"/>
                <w:sz w:val="24"/>
                <w:szCs w:val="24"/>
                <w:highlight w:val="yellow"/>
              </w:rPr>
            </w:pPr>
          </w:p>
        </w:tc>
        <w:tc>
          <w:tcPr>
            <w:tcW w:w="1600" w:type="dxa"/>
            <w:noWrap w:val="0"/>
            <w:vAlign w:val="center"/>
          </w:tcPr>
          <w:p>
            <w:pPr>
              <w:jc w:val="center"/>
              <w:rPr>
                <w:rFonts w:hint="eastAsia" w:ascii="仿宋" w:hAnsi="仿宋" w:cs="仿宋"/>
                <w:color w:val="auto"/>
                <w:sz w:val="24"/>
                <w:szCs w:val="24"/>
                <w:highlight w:val="yellow"/>
              </w:rPr>
            </w:pPr>
          </w:p>
        </w:tc>
        <w:tc>
          <w:tcPr>
            <w:tcW w:w="1262" w:type="dxa"/>
            <w:noWrap w:val="0"/>
            <w:vAlign w:val="center"/>
          </w:tcPr>
          <w:p>
            <w:pPr>
              <w:jc w:val="center"/>
              <w:rPr>
                <w:rFonts w:hint="eastAsia" w:ascii="仿宋" w:hAnsi="仿宋" w:cs="仿宋"/>
                <w:color w:val="auto"/>
                <w:sz w:val="24"/>
                <w:szCs w:val="24"/>
                <w:highlight w:val="yellow"/>
              </w:rPr>
            </w:pPr>
          </w:p>
        </w:tc>
        <w:tc>
          <w:tcPr>
            <w:tcW w:w="1050" w:type="dxa"/>
            <w:noWrap w:val="0"/>
            <w:vAlign w:val="center"/>
          </w:tcPr>
          <w:p>
            <w:pPr>
              <w:jc w:val="center"/>
              <w:rPr>
                <w:rFonts w:hint="eastAsia" w:ascii="仿宋" w:hAnsi="仿宋" w:cs="仿宋"/>
                <w:color w:val="auto"/>
                <w:sz w:val="24"/>
                <w:szCs w:val="24"/>
                <w:highlight w:val="yellow"/>
              </w:rPr>
            </w:pPr>
          </w:p>
        </w:tc>
        <w:tc>
          <w:tcPr>
            <w:tcW w:w="1063" w:type="dxa"/>
            <w:noWrap w:val="0"/>
            <w:vAlign w:val="center"/>
          </w:tcPr>
          <w:p>
            <w:pPr>
              <w:jc w:val="center"/>
              <w:rPr>
                <w:rFonts w:hint="eastAsia" w:ascii="仿宋" w:hAnsi="仿宋" w:cs="仿宋"/>
                <w:color w:val="auto"/>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2523" w:type="dxa"/>
            <w:gridSpan w:val="2"/>
            <w:noWrap w:val="0"/>
            <w:vAlign w:val="center"/>
          </w:tcPr>
          <w:p>
            <w:pPr>
              <w:jc w:val="center"/>
              <w:rPr>
                <w:rFonts w:hint="eastAsia" w:ascii="仿宋" w:hAnsi="仿宋" w:cs="仿宋"/>
                <w:color w:val="auto"/>
                <w:sz w:val="24"/>
                <w:szCs w:val="24"/>
                <w:highlight w:val="yellow"/>
              </w:rPr>
            </w:pPr>
            <w:r>
              <w:rPr>
                <w:rFonts w:hint="eastAsia" w:ascii="仿宋" w:hAnsi="仿宋" w:cs="仿宋"/>
                <w:color w:val="auto"/>
                <w:sz w:val="24"/>
                <w:szCs w:val="24"/>
              </w:rPr>
              <w:t>总报价</w:t>
            </w:r>
          </w:p>
        </w:tc>
        <w:tc>
          <w:tcPr>
            <w:tcW w:w="6352" w:type="dxa"/>
            <w:gridSpan w:val="5"/>
            <w:noWrap w:val="0"/>
            <w:vAlign w:val="center"/>
          </w:tcPr>
          <w:p>
            <w:pPr>
              <w:jc w:val="center"/>
              <w:rPr>
                <w:rFonts w:hint="eastAsia" w:ascii="仿宋" w:hAnsi="仿宋" w:cs="仿宋"/>
                <w:color w:val="auto"/>
                <w:sz w:val="24"/>
                <w:szCs w:val="24"/>
                <w:highlight w:val="yellow"/>
              </w:rPr>
            </w:pPr>
          </w:p>
        </w:tc>
        <w:tc>
          <w:tcPr>
            <w:tcW w:w="1050" w:type="dxa"/>
            <w:noWrap w:val="0"/>
            <w:vAlign w:val="center"/>
          </w:tcPr>
          <w:p>
            <w:pPr>
              <w:jc w:val="center"/>
              <w:rPr>
                <w:rFonts w:hint="eastAsia" w:ascii="仿宋" w:hAnsi="仿宋" w:cs="仿宋"/>
                <w:color w:val="auto"/>
                <w:sz w:val="24"/>
                <w:szCs w:val="24"/>
                <w:highlight w:val="yellow"/>
              </w:rPr>
            </w:pPr>
          </w:p>
        </w:tc>
        <w:tc>
          <w:tcPr>
            <w:tcW w:w="1063" w:type="dxa"/>
            <w:noWrap w:val="0"/>
            <w:vAlign w:val="center"/>
          </w:tcPr>
          <w:p>
            <w:pPr>
              <w:jc w:val="center"/>
              <w:rPr>
                <w:rFonts w:hint="eastAsia" w:ascii="仿宋" w:hAnsi="仿宋" w:cs="仿宋"/>
                <w:color w:val="auto"/>
                <w:sz w:val="24"/>
                <w:szCs w:val="24"/>
                <w:highlight w:val="yellow"/>
              </w:rPr>
            </w:pPr>
          </w:p>
        </w:tc>
      </w:tr>
    </w:tbl>
    <w:p>
      <w:pPr>
        <w:pStyle w:val="8"/>
        <w:kinsoku w:val="0"/>
        <w:overflowPunct w:val="0"/>
        <w:spacing w:before="41" w:line="357" w:lineRule="auto"/>
        <w:ind w:left="1260"/>
        <w:rPr>
          <w:rFonts w:hint="default"/>
          <w:color w:val="auto"/>
        </w:rPr>
      </w:pPr>
      <w:r>
        <w:rPr>
          <w:color w:val="auto"/>
          <w:spacing w:val="-3"/>
        </w:rPr>
        <w:t>说明：</w:t>
      </w:r>
      <w:r>
        <w:rPr>
          <w:rFonts w:hint="eastAsia"/>
          <w:color w:val="auto"/>
          <w:spacing w:val="-3"/>
          <w:lang w:eastAsia="zh-CN"/>
        </w:rPr>
        <w:t>供应商</w:t>
      </w:r>
      <w:r>
        <w:rPr>
          <w:color w:val="auto"/>
          <w:spacing w:val="-3"/>
        </w:rPr>
        <w:t>必须按规定要求完整填写报价明细表，如有缺失或变动表格相关内</w:t>
      </w:r>
      <w:r>
        <w:rPr>
          <w:color w:val="auto"/>
          <w:spacing w:val="-109"/>
        </w:rPr>
        <w:t xml:space="preserve"> </w:t>
      </w:r>
      <w:r>
        <w:rPr>
          <w:color w:val="auto"/>
        </w:rPr>
        <w:t>容，将导致投标被拒绝。</w:t>
      </w:r>
    </w:p>
    <w:p>
      <w:pPr>
        <w:pStyle w:val="8"/>
        <w:kinsoku w:val="0"/>
        <w:overflowPunct w:val="0"/>
        <w:spacing w:before="0"/>
        <w:ind w:left="0"/>
        <w:rPr>
          <w:rFonts w:hint="default"/>
          <w:color w:val="auto"/>
        </w:rPr>
      </w:pPr>
    </w:p>
    <w:p>
      <w:pPr>
        <w:pStyle w:val="8"/>
        <w:kinsoku w:val="0"/>
        <w:overflowPunct w:val="0"/>
        <w:spacing w:before="190"/>
        <w:ind w:left="0" w:right="2485"/>
        <w:jc w:val="right"/>
        <w:rPr>
          <w:rFonts w:hint="default"/>
          <w:color w:val="auto"/>
        </w:rPr>
      </w:pPr>
      <w:r>
        <w:rPr>
          <w:color w:val="auto"/>
        </w:rPr>
        <w:t>年月日</w:t>
      </w:r>
    </w:p>
    <w:p>
      <w:pPr>
        <w:pStyle w:val="3"/>
        <w:kinsoku w:val="0"/>
        <w:overflowPunct w:val="0"/>
        <w:spacing w:line="395" w:lineRule="exact"/>
        <w:ind w:left="460"/>
        <w:rPr>
          <w:color w:val="auto"/>
        </w:rPr>
      </w:pPr>
    </w:p>
    <w:p>
      <w:pPr>
        <w:pStyle w:val="3"/>
        <w:kinsoku w:val="0"/>
        <w:overflowPunct w:val="0"/>
        <w:spacing w:line="395" w:lineRule="exact"/>
        <w:ind w:left="460"/>
        <w:rPr>
          <w:color w:val="auto"/>
        </w:rPr>
      </w:pPr>
    </w:p>
    <w:p>
      <w:pPr>
        <w:pStyle w:val="3"/>
        <w:kinsoku w:val="0"/>
        <w:overflowPunct w:val="0"/>
        <w:spacing w:line="395" w:lineRule="exact"/>
        <w:ind w:left="460"/>
        <w:rPr>
          <w:color w:val="auto"/>
        </w:rPr>
      </w:pPr>
    </w:p>
    <w:p>
      <w:pPr>
        <w:pStyle w:val="4"/>
        <w:rPr>
          <w:color w:val="auto"/>
        </w:rPr>
      </w:pPr>
    </w:p>
    <w:p>
      <w:pPr>
        <w:rPr>
          <w:color w:val="auto"/>
        </w:rPr>
      </w:pPr>
    </w:p>
    <w:p>
      <w:pPr>
        <w:pStyle w:val="8"/>
        <w:rPr>
          <w:color w:val="auto"/>
        </w:rPr>
      </w:pPr>
    </w:p>
    <w:p>
      <w:pPr>
        <w:pStyle w:val="9"/>
        <w:rPr>
          <w:color w:val="auto"/>
        </w:rPr>
      </w:pPr>
    </w:p>
    <w:p>
      <w:pPr>
        <w:rPr>
          <w:color w:val="auto"/>
        </w:rPr>
      </w:pPr>
    </w:p>
    <w:p>
      <w:pPr>
        <w:pStyle w:val="8"/>
        <w:rPr>
          <w:color w:val="auto"/>
        </w:rPr>
      </w:pPr>
    </w:p>
    <w:p>
      <w:pPr>
        <w:pStyle w:val="9"/>
        <w:rPr>
          <w:color w:val="auto"/>
        </w:rPr>
      </w:pPr>
    </w:p>
    <w:p>
      <w:pPr>
        <w:rPr>
          <w:color w:val="auto"/>
        </w:rPr>
      </w:pPr>
    </w:p>
    <w:p>
      <w:pPr>
        <w:pStyle w:val="8"/>
        <w:rPr>
          <w:color w:val="auto"/>
        </w:rPr>
      </w:pPr>
    </w:p>
    <w:p>
      <w:pPr>
        <w:pStyle w:val="9"/>
        <w:rPr>
          <w:color w:val="auto"/>
        </w:rPr>
      </w:pPr>
    </w:p>
    <w:p>
      <w:pPr>
        <w:rPr>
          <w:color w:val="auto"/>
        </w:rPr>
      </w:pPr>
    </w:p>
    <w:p>
      <w:pPr>
        <w:pStyle w:val="8"/>
        <w:rPr>
          <w:color w:val="auto"/>
        </w:rPr>
      </w:pPr>
    </w:p>
    <w:p>
      <w:pPr>
        <w:pStyle w:val="9"/>
        <w:rPr>
          <w:color w:val="auto"/>
        </w:rPr>
      </w:pPr>
    </w:p>
    <w:p>
      <w:pPr>
        <w:pStyle w:val="3"/>
        <w:kinsoku w:val="0"/>
        <w:overflowPunct w:val="0"/>
        <w:spacing w:line="395" w:lineRule="exact"/>
        <w:ind w:left="460"/>
        <w:rPr>
          <w:color w:val="auto"/>
        </w:rPr>
      </w:pPr>
    </w:p>
    <w:p>
      <w:pPr>
        <w:pStyle w:val="3"/>
        <w:kinsoku w:val="0"/>
        <w:overflowPunct w:val="0"/>
        <w:spacing w:line="395" w:lineRule="exact"/>
        <w:ind w:left="460"/>
        <w:rPr>
          <w:rFonts w:hint="default"/>
          <w:b w:val="0"/>
          <w:color w:val="auto"/>
        </w:rPr>
      </w:pPr>
      <w:r>
        <w:rPr>
          <w:color w:val="auto"/>
        </w:rPr>
        <w:t>4、★商务条款偏离说明表</w:t>
      </w:r>
    </w:p>
    <w:p>
      <w:pPr>
        <w:pStyle w:val="8"/>
        <w:kinsoku w:val="0"/>
        <w:overflowPunct w:val="0"/>
        <w:spacing w:before="190"/>
        <w:ind w:left="460"/>
        <w:rPr>
          <w:rFonts w:hint="default"/>
          <w:color w:val="auto"/>
        </w:rPr>
      </w:pPr>
      <w:r>
        <w:rPr>
          <w:color w:val="auto"/>
        </w:rPr>
        <w:t>项目编号、包号：</w:t>
      </w:r>
    </w:p>
    <w:p>
      <w:pPr>
        <w:pStyle w:val="8"/>
        <w:kinsoku w:val="0"/>
        <w:overflowPunct w:val="0"/>
        <w:spacing w:before="9"/>
        <w:ind w:left="0"/>
        <w:rPr>
          <w:rFonts w:hint="default"/>
          <w:color w:val="auto"/>
          <w:sz w:val="8"/>
          <w:szCs w:val="8"/>
        </w:rPr>
      </w:pPr>
    </w:p>
    <w:tbl>
      <w:tblPr>
        <w:tblStyle w:val="17"/>
        <w:tblW w:w="9380" w:type="dxa"/>
        <w:tblInd w:w="219" w:type="dxa"/>
        <w:tblLayout w:type="fixed"/>
        <w:tblCellMar>
          <w:top w:w="0" w:type="dxa"/>
          <w:left w:w="108" w:type="dxa"/>
          <w:bottom w:w="0" w:type="dxa"/>
          <w:right w:w="108" w:type="dxa"/>
        </w:tblCellMar>
      </w:tblPr>
      <w:tblGrid>
        <w:gridCol w:w="1002"/>
        <w:gridCol w:w="1260"/>
        <w:gridCol w:w="2795"/>
        <w:gridCol w:w="2509"/>
        <w:gridCol w:w="1009"/>
        <w:gridCol w:w="805"/>
      </w:tblGrid>
      <w:tr>
        <w:tblPrEx>
          <w:tblCellMar>
            <w:top w:w="0" w:type="dxa"/>
            <w:left w:w="108" w:type="dxa"/>
            <w:bottom w:w="0" w:type="dxa"/>
            <w:right w:w="108" w:type="dxa"/>
          </w:tblCellMar>
        </w:tblPrEx>
        <w:trPr>
          <w:trHeight w:val="956" w:hRule="exact"/>
        </w:trPr>
        <w:tc>
          <w:tcPr>
            <w:tcW w:w="1002" w:type="dxa"/>
            <w:tcBorders>
              <w:top w:val="single" w:color="000000" w:sz="10" w:space="0"/>
              <w:left w:val="single" w:color="000000" w:sz="10" w:space="0"/>
              <w:bottom w:val="single" w:color="000000" w:sz="4" w:space="0"/>
              <w:right w:val="single" w:color="000000" w:sz="4" w:space="0"/>
              <w:tl2br w:val="nil"/>
              <w:tr2bl w:val="nil"/>
            </w:tcBorders>
          </w:tcPr>
          <w:p>
            <w:pPr>
              <w:pStyle w:val="21"/>
              <w:kinsoku w:val="0"/>
              <w:overflowPunct w:val="0"/>
              <w:rPr>
                <w:rFonts w:hint="default" w:cs="宋体"/>
                <w:color w:val="auto"/>
                <w:sz w:val="21"/>
                <w:szCs w:val="21"/>
              </w:rPr>
            </w:pPr>
          </w:p>
          <w:p>
            <w:pPr>
              <w:pStyle w:val="21"/>
              <w:kinsoku w:val="0"/>
              <w:overflowPunct w:val="0"/>
              <w:ind w:left="247"/>
              <w:rPr>
                <w:rFonts w:hint="default" w:ascii="Times New Roman" w:eastAsia="Times New Roman"/>
                <w:color w:val="auto"/>
              </w:rPr>
            </w:pPr>
            <w:r>
              <w:rPr>
                <w:rFonts w:cs="宋体"/>
                <w:color w:val="auto"/>
              </w:rPr>
              <w:t>序号</w:t>
            </w:r>
          </w:p>
        </w:tc>
        <w:tc>
          <w:tcPr>
            <w:tcW w:w="1260" w:type="dxa"/>
            <w:tcBorders>
              <w:top w:val="single" w:color="000000" w:sz="10" w:space="0"/>
              <w:left w:val="single" w:color="000000" w:sz="4" w:space="0"/>
              <w:bottom w:val="single" w:color="000000" w:sz="4" w:space="0"/>
              <w:right w:val="single" w:color="000000" w:sz="4" w:space="0"/>
              <w:tl2br w:val="nil"/>
              <w:tr2bl w:val="nil"/>
            </w:tcBorders>
          </w:tcPr>
          <w:p>
            <w:pPr>
              <w:pStyle w:val="21"/>
              <w:kinsoku w:val="0"/>
              <w:overflowPunct w:val="0"/>
              <w:spacing w:before="42"/>
              <w:jc w:val="center"/>
              <w:rPr>
                <w:rFonts w:hint="default" w:cs="宋体"/>
                <w:color w:val="auto"/>
              </w:rPr>
            </w:pPr>
            <w:r>
              <w:rPr>
                <w:rFonts w:cs="宋体"/>
                <w:color w:val="auto"/>
              </w:rPr>
              <w:t>招标文件</w:t>
            </w:r>
          </w:p>
          <w:p>
            <w:pPr>
              <w:pStyle w:val="21"/>
              <w:kinsoku w:val="0"/>
              <w:overflowPunct w:val="0"/>
              <w:spacing w:before="154"/>
              <w:jc w:val="center"/>
              <w:rPr>
                <w:rFonts w:hint="default" w:ascii="Times New Roman" w:eastAsia="Times New Roman"/>
                <w:color w:val="auto"/>
              </w:rPr>
            </w:pPr>
            <w:r>
              <w:rPr>
                <w:rFonts w:cs="宋体"/>
                <w:color w:val="auto"/>
              </w:rPr>
              <w:t>条款号</w:t>
            </w:r>
          </w:p>
        </w:tc>
        <w:tc>
          <w:tcPr>
            <w:tcW w:w="2795" w:type="dxa"/>
            <w:tcBorders>
              <w:top w:val="single" w:color="000000" w:sz="10" w:space="0"/>
              <w:left w:val="single" w:color="000000" w:sz="4" w:space="0"/>
              <w:bottom w:val="single" w:color="000000" w:sz="4" w:space="0"/>
              <w:right w:val="single" w:color="000000" w:sz="4" w:space="0"/>
              <w:tl2br w:val="nil"/>
              <w:tr2bl w:val="nil"/>
            </w:tcBorders>
          </w:tcPr>
          <w:p>
            <w:pPr>
              <w:pStyle w:val="21"/>
              <w:kinsoku w:val="0"/>
              <w:overflowPunct w:val="0"/>
              <w:rPr>
                <w:rFonts w:hint="default" w:cs="宋体"/>
                <w:color w:val="auto"/>
                <w:sz w:val="21"/>
                <w:szCs w:val="21"/>
              </w:rPr>
            </w:pPr>
          </w:p>
          <w:p>
            <w:pPr>
              <w:pStyle w:val="21"/>
              <w:kinsoku w:val="0"/>
              <w:overflowPunct w:val="0"/>
              <w:ind w:left="197"/>
              <w:rPr>
                <w:rFonts w:hint="default" w:ascii="Times New Roman" w:eastAsia="Times New Roman"/>
                <w:color w:val="auto"/>
              </w:rPr>
            </w:pPr>
            <w:r>
              <w:rPr>
                <w:rFonts w:cs="宋体"/>
                <w:color w:val="auto"/>
              </w:rPr>
              <w:t>招标文件的商务条款</w:t>
            </w:r>
          </w:p>
        </w:tc>
        <w:tc>
          <w:tcPr>
            <w:tcW w:w="2509" w:type="dxa"/>
            <w:tcBorders>
              <w:top w:val="single" w:color="000000" w:sz="10" w:space="0"/>
              <w:left w:val="single" w:color="000000" w:sz="4" w:space="0"/>
              <w:bottom w:val="single" w:color="000000" w:sz="4" w:space="0"/>
              <w:right w:val="single" w:color="000000" w:sz="4" w:space="0"/>
              <w:tl2br w:val="nil"/>
              <w:tr2bl w:val="nil"/>
            </w:tcBorders>
          </w:tcPr>
          <w:p>
            <w:pPr>
              <w:pStyle w:val="21"/>
              <w:kinsoku w:val="0"/>
              <w:overflowPunct w:val="0"/>
              <w:rPr>
                <w:rFonts w:hint="default" w:cs="宋体"/>
                <w:color w:val="auto"/>
                <w:sz w:val="21"/>
                <w:szCs w:val="21"/>
              </w:rPr>
            </w:pPr>
          </w:p>
          <w:p>
            <w:pPr>
              <w:pStyle w:val="21"/>
              <w:kinsoku w:val="0"/>
              <w:overflowPunct w:val="0"/>
              <w:ind w:left="114"/>
              <w:rPr>
                <w:rFonts w:hint="default" w:ascii="Times New Roman" w:eastAsia="Times New Roman"/>
                <w:color w:val="auto"/>
              </w:rPr>
            </w:pPr>
            <w:r>
              <w:rPr>
                <w:rFonts w:cs="宋体"/>
                <w:color w:val="auto"/>
              </w:rPr>
              <w:t>投标文件的商务条款</w:t>
            </w:r>
          </w:p>
        </w:tc>
        <w:tc>
          <w:tcPr>
            <w:tcW w:w="1009" w:type="dxa"/>
            <w:tcBorders>
              <w:top w:val="single" w:color="000000" w:sz="10" w:space="0"/>
              <w:left w:val="single" w:color="000000" w:sz="4" w:space="0"/>
              <w:bottom w:val="single" w:color="000000" w:sz="4" w:space="0"/>
              <w:right w:val="single" w:color="000000" w:sz="4" w:space="0"/>
              <w:tl2br w:val="nil"/>
              <w:tr2bl w:val="nil"/>
            </w:tcBorders>
          </w:tcPr>
          <w:p>
            <w:pPr>
              <w:pStyle w:val="21"/>
              <w:kinsoku w:val="0"/>
              <w:overflowPunct w:val="0"/>
              <w:rPr>
                <w:rFonts w:hint="default" w:cs="宋体"/>
                <w:color w:val="auto"/>
                <w:sz w:val="21"/>
                <w:szCs w:val="21"/>
              </w:rPr>
            </w:pPr>
          </w:p>
          <w:p>
            <w:pPr>
              <w:pStyle w:val="21"/>
              <w:kinsoku w:val="0"/>
              <w:overflowPunct w:val="0"/>
              <w:rPr>
                <w:rFonts w:hint="default" w:ascii="Times New Roman" w:eastAsia="Times New Roman"/>
                <w:color w:val="auto"/>
              </w:rPr>
            </w:pPr>
            <w:r>
              <w:rPr>
                <w:rFonts w:cs="宋体"/>
                <w:color w:val="auto"/>
              </w:rPr>
              <w:t>偏离</w:t>
            </w:r>
          </w:p>
        </w:tc>
        <w:tc>
          <w:tcPr>
            <w:tcW w:w="805" w:type="dxa"/>
            <w:tcBorders>
              <w:top w:val="single" w:color="000000" w:sz="10" w:space="0"/>
              <w:left w:val="single" w:color="000000" w:sz="4" w:space="0"/>
              <w:bottom w:val="single" w:color="000000" w:sz="4" w:space="0"/>
              <w:right w:val="single" w:color="000000" w:sz="10" w:space="0"/>
              <w:tl2br w:val="nil"/>
              <w:tr2bl w:val="nil"/>
            </w:tcBorders>
          </w:tcPr>
          <w:p>
            <w:pPr>
              <w:pStyle w:val="21"/>
              <w:kinsoku w:val="0"/>
              <w:overflowPunct w:val="0"/>
              <w:ind w:left="272"/>
              <w:rPr>
                <w:rFonts w:hint="default" w:ascii="宋体" w:hAnsi="Times New Roman" w:eastAsia="宋体" w:cs="宋体"/>
                <w:color w:val="auto"/>
              </w:rPr>
            </w:pPr>
          </w:p>
          <w:p>
            <w:pPr>
              <w:pStyle w:val="21"/>
              <w:kinsoku w:val="0"/>
              <w:overflowPunct w:val="0"/>
              <w:rPr>
                <w:rFonts w:hint="default" w:ascii="宋体" w:hAnsi="Times New Roman" w:eastAsia="宋体" w:cs="宋体"/>
                <w:color w:val="auto"/>
              </w:rPr>
            </w:pPr>
            <w:r>
              <w:rPr>
                <w:rFonts w:hint="eastAsia" w:ascii="宋体" w:hAnsi="Times New Roman" w:eastAsia="宋体" w:cs="宋体"/>
                <w:color w:val="auto"/>
                <w:lang w:val="en-US" w:eastAsia="zh-CN"/>
              </w:rPr>
              <w:t>备注</w:t>
            </w:r>
          </w:p>
        </w:tc>
      </w:tr>
      <w:tr>
        <w:tblPrEx>
          <w:tblCellMar>
            <w:top w:w="0" w:type="dxa"/>
            <w:left w:w="108" w:type="dxa"/>
            <w:bottom w:w="0" w:type="dxa"/>
            <w:right w:w="108" w:type="dxa"/>
          </w:tblCellMar>
        </w:tblPrEx>
        <w:trPr>
          <w:trHeight w:val="780" w:hRule="exact"/>
        </w:trPr>
        <w:tc>
          <w:tcPr>
            <w:tcW w:w="1002" w:type="dxa"/>
            <w:tcBorders>
              <w:top w:val="single" w:color="000000" w:sz="4" w:space="0"/>
              <w:left w:val="single" w:color="000000" w:sz="10" w:space="0"/>
              <w:bottom w:val="single" w:color="000000" w:sz="4" w:space="0"/>
              <w:right w:val="single" w:color="000000" w:sz="4" w:space="0"/>
              <w:tl2br w:val="nil"/>
              <w:tr2bl w:val="nil"/>
            </w:tcBorders>
          </w:tcPr>
          <w:p>
            <w:pPr>
              <w:rPr>
                <w:rFonts w:hint="default" w:ascii="Times New Roman" w:eastAsia="Times New Roman"/>
                <w:color w:val="auto"/>
              </w:rPr>
            </w:pPr>
          </w:p>
        </w:tc>
        <w:tc>
          <w:tcPr>
            <w:tcW w:w="1260"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2795"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25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10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805" w:type="dxa"/>
            <w:tcBorders>
              <w:top w:val="single" w:color="000000" w:sz="4" w:space="0"/>
              <w:left w:val="single" w:color="000000" w:sz="4" w:space="0"/>
              <w:bottom w:val="single" w:color="000000" w:sz="4" w:space="0"/>
              <w:right w:val="single" w:color="000000" w:sz="10" w:space="0"/>
              <w:tl2br w:val="nil"/>
              <w:tr2bl w:val="nil"/>
            </w:tcBorders>
          </w:tcPr>
          <w:p>
            <w:pPr>
              <w:rPr>
                <w:rFonts w:hint="default" w:ascii="Times New Roman" w:eastAsia="Times New Roman"/>
                <w:color w:val="auto"/>
              </w:rPr>
            </w:pPr>
          </w:p>
        </w:tc>
      </w:tr>
      <w:tr>
        <w:tblPrEx>
          <w:tblCellMar>
            <w:top w:w="0" w:type="dxa"/>
            <w:left w:w="108" w:type="dxa"/>
            <w:bottom w:w="0" w:type="dxa"/>
            <w:right w:w="108" w:type="dxa"/>
          </w:tblCellMar>
        </w:tblPrEx>
        <w:trPr>
          <w:trHeight w:val="780" w:hRule="exact"/>
        </w:trPr>
        <w:tc>
          <w:tcPr>
            <w:tcW w:w="1002" w:type="dxa"/>
            <w:tcBorders>
              <w:top w:val="single" w:color="000000" w:sz="4" w:space="0"/>
              <w:left w:val="single" w:color="000000" w:sz="10" w:space="0"/>
              <w:bottom w:val="single" w:color="000000" w:sz="4" w:space="0"/>
              <w:right w:val="single" w:color="000000" w:sz="4" w:space="0"/>
              <w:tl2br w:val="nil"/>
              <w:tr2bl w:val="nil"/>
            </w:tcBorders>
          </w:tcPr>
          <w:p>
            <w:pPr>
              <w:rPr>
                <w:rFonts w:hint="default" w:ascii="Times New Roman" w:eastAsia="Times New Roman"/>
                <w:color w:val="auto"/>
              </w:rPr>
            </w:pPr>
          </w:p>
        </w:tc>
        <w:tc>
          <w:tcPr>
            <w:tcW w:w="1260"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2795"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25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10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805" w:type="dxa"/>
            <w:tcBorders>
              <w:top w:val="single" w:color="000000" w:sz="4" w:space="0"/>
              <w:left w:val="single" w:color="000000" w:sz="4" w:space="0"/>
              <w:bottom w:val="single" w:color="000000" w:sz="4" w:space="0"/>
              <w:right w:val="single" w:color="000000" w:sz="10" w:space="0"/>
              <w:tl2br w:val="nil"/>
              <w:tr2bl w:val="nil"/>
            </w:tcBorders>
          </w:tcPr>
          <w:p>
            <w:pPr>
              <w:rPr>
                <w:rFonts w:hint="default" w:ascii="Times New Roman" w:eastAsia="Times New Roman"/>
                <w:color w:val="auto"/>
              </w:rPr>
            </w:pPr>
          </w:p>
        </w:tc>
      </w:tr>
      <w:tr>
        <w:tblPrEx>
          <w:tblCellMar>
            <w:top w:w="0" w:type="dxa"/>
            <w:left w:w="108" w:type="dxa"/>
            <w:bottom w:w="0" w:type="dxa"/>
            <w:right w:w="108" w:type="dxa"/>
          </w:tblCellMar>
        </w:tblPrEx>
        <w:trPr>
          <w:trHeight w:val="780" w:hRule="exact"/>
        </w:trPr>
        <w:tc>
          <w:tcPr>
            <w:tcW w:w="1002" w:type="dxa"/>
            <w:tcBorders>
              <w:top w:val="single" w:color="000000" w:sz="4" w:space="0"/>
              <w:left w:val="single" w:color="000000" w:sz="10" w:space="0"/>
              <w:bottom w:val="single" w:color="000000" w:sz="4" w:space="0"/>
              <w:right w:val="single" w:color="000000" w:sz="4" w:space="0"/>
              <w:tl2br w:val="nil"/>
              <w:tr2bl w:val="nil"/>
            </w:tcBorders>
          </w:tcPr>
          <w:p>
            <w:pPr>
              <w:rPr>
                <w:rFonts w:hint="default" w:ascii="Times New Roman" w:eastAsia="Times New Roman"/>
                <w:color w:val="auto"/>
              </w:rPr>
            </w:pPr>
          </w:p>
        </w:tc>
        <w:tc>
          <w:tcPr>
            <w:tcW w:w="1260"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2795"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25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1009"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805" w:type="dxa"/>
            <w:tcBorders>
              <w:top w:val="single" w:color="000000" w:sz="4" w:space="0"/>
              <w:left w:val="single" w:color="000000" w:sz="4" w:space="0"/>
              <w:bottom w:val="single" w:color="000000" w:sz="4" w:space="0"/>
              <w:right w:val="single" w:color="000000" w:sz="10" w:space="0"/>
              <w:tl2br w:val="nil"/>
              <w:tr2bl w:val="nil"/>
            </w:tcBorders>
          </w:tcPr>
          <w:p>
            <w:pPr>
              <w:rPr>
                <w:rFonts w:hint="default" w:ascii="Times New Roman" w:eastAsia="Times New Roman"/>
                <w:color w:val="auto"/>
              </w:rPr>
            </w:pPr>
          </w:p>
        </w:tc>
      </w:tr>
      <w:tr>
        <w:tblPrEx>
          <w:tblCellMar>
            <w:top w:w="0" w:type="dxa"/>
            <w:left w:w="108" w:type="dxa"/>
            <w:bottom w:w="0" w:type="dxa"/>
            <w:right w:w="108" w:type="dxa"/>
          </w:tblCellMar>
        </w:tblPrEx>
        <w:trPr>
          <w:trHeight w:val="872" w:hRule="exact"/>
        </w:trPr>
        <w:tc>
          <w:tcPr>
            <w:tcW w:w="1002" w:type="dxa"/>
            <w:tcBorders>
              <w:top w:val="single" w:color="000000" w:sz="4" w:space="0"/>
              <w:left w:val="single" w:color="000000" w:sz="10" w:space="0"/>
              <w:bottom w:val="single" w:color="000000" w:sz="10" w:space="0"/>
              <w:right w:val="single" w:color="000000" w:sz="4" w:space="0"/>
              <w:tl2br w:val="nil"/>
              <w:tr2bl w:val="nil"/>
            </w:tcBorders>
          </w:tcPr>
          <w:p>
            <w:pPr>
              <w:rPr>
                <w:rFonts w:hint="default" w:ascii="Times New Roman" w:eastAsia="Times New Roman"/>
                <w:color w:val="auto"/>
              </w:rPr>
            </w:pPr>
          </w:p>
        </w:tc>
        <w:tc>
          <w:tcPr>
            <w:tcW w:w="1260" w:type="dxa"/>
            <w:tcBorders>
              <w:top w:val="single" w:color="000000" w:sz="4" w:space="0"/>
              <w:left w:val="single" w:color="000000" w:sz="4" w:space="0"/>
              <w:bottom w:val="single" w:color="000000" w:sz="10" w:space="0"/>
              <w:right w:val="single" w:color="000000" w:sz="4" w:space="0"/>
              <w:tl2br w:val="nil"/>
              <w:tr2bl w:val="nil"/>
            </w:tcBorders>
          </w:tcPr>
          <w:p>
            <w:pPr>
              <w:rPr>
                <w:rFonts w:hint="default" w:ascii="Times New Roman" w:eastAsia="Times New Roman"/>
                <w:color w:val="auto"/>
              </w:rPr>
            </w:pPr>
          </w:p>
        </w:tc>
        <w:tc>
          <w:tcPr>
            <w:tcW w:w="2795" w:type="dxa"/>
            <w:tcBorders>
              <w:top w:val="single" w:color="000000" w:sz="4" w:space="0"/>
              <w:left w:val="single" w:color="000000" w:sz="4" w:space="0"/>
              <w:bottom w:val="single" w:color="000000" w:sz="10" w:space="0"/>
              <w:right w:val="single" w:color="000000" w:sz="4" w:space="0"/>
              <w:tl2br w:val="nil"/>
              <w:tr2bl w:val="nil"/>
            </w:tcBorders>
          </w:tcPr>
          <w:p>
            <w:pPr>
              <w:rPr>
                <w:rFonts w:hint="default" w:ascii="Times New Roman" w:eastAsia="Times New Roman"/>
                <w:color w:val="auto"/>
              </w:rPr>
            </w:pPr>
          </w:p>
        </w:tc>
        <w:tc>
          <w:tcPr>
            <w:tcW w:w="2509" w:type="dxa"/>
            <w:tcBorders>
              <w:top w:val="single" w:color="000000" w:sz="4" w:space="0"/>
              <w:left w:val="single" w:color="000000" w:sz="4" w:space="0"/>
              <w:bottom w:val="single" w:color="000000" w:sz="10" w:space="0"/>
              <w:right w:val="single" w:color="000000" w:sz="4" w:space="0"/>
              <w:tl2br w:val="nil"/>
              <w:tr2bl w:val="nil"/>
            </w:tcBorders>
          </w:tcPr>
          <w:p>
            <w:pPr>
              <w:rPr>
                <w:rFonts w:hint="default" w:ascii="Times New Roman" w:eastAsia="Times New Roman"/>
                <w:color w:val="auto"/>
              </w:rPr>
            </w:pPr>
          </w:p>
        </w:tc>
        <w:tc>
          <w:tcPr>
            <w:tcW w:w="1009" w:type="dxa"/>
            <w:tcBorders>
              <w:top w:val="single" w:color="000000" w:sz="4" w:space="0"/>
              <w:left w:val="single" w:color="000000" w:sz="4" w:space="0"/>
              <w:bottom w:val="single" w:color="000000" w:sz="10" w:space="0"/>
              <w:right w:val="single" w:color="000000" w:sz="4" w:space="0"/>
              <w:tl2br w:val="nil"/>
              <w:tr2bl w:val="nil"/>
            </w:tcBorders>
          </w:tcPr>
          <w:p>
            <w:pPr>
              <w:rPr>
                <w:rFonts w:hint="default" w:ascii="Times New Roman" w:eastAsia="Times New Roman"/>
                <w:color w:val="auto"/>
              </w:rPr>
            </w:pPr>
          </w:p>
        </w:tc>
        <w:tc>
          <w:tcPr>
            <w:tcW w:w="805" w:type="dxa"/>
            <w:tcBorders>
              <w:top w:val="single" w:color="000000" w:sz="4" w:space="0"/>
              <w:left w:val="single" w:color="000000" w:sz="4" w:space="0"/>
              <w:bottom w:val="single" w:color="000000" w:sz="10" w:space="0"/>
              <w:right w:val="single" w:color="000000" w:sz="10" w:space="0"/>
              <w:tl2br w:val="nil"/>
              <w:tr2bl w:val="nil"/>
            </w:tcBorders>
          </w:tcPr>
          <w:p>
            <w:pPr>
              <w:rPr>
                <w:rFonts w:hint="default" w:ascii="Times New Roman" w:eastAsia="Times New Roman"/>
                <w:color w:val="auto"/>
              </w:rPr>
            </w:pPr>
          </w:p>
        </w:tc>
      </w:tr>
    </w:tbl>
    <w:p>
      <w:pPr>
        <w:pStyle w:val="8"/>
        <w:kinsoku w:val="0"/>
        <w:overflowPunct w:val="0"/>
        <w:spacing w:before="40"/>
        <w:ind w:left="462"/>
        <w:rPr>
          <w:rFonts w:hint="default"/>
          <w:color w:val="auto"/>
        </w:rPr>
      </w:pPr>
      <w:r>
        <w:rPr>
          <w:color w:val="auto"/>
        </w:rPr>
        <w:t>说明：如</w:t>
      </w:r>
      <w:r>
        <w:rPr>
          <w:rFonts w:hint="eastAsia"/>
          <w:color w:val="auto"/>
          <w:lang w:eastAsia="zh-CN"/>
        </w:rPr>
        <w:t>供应商</w:t>
      </w:r>
      <w:r>
        <w:rPr>
          <w:color w:val="auto"/>
        </w:rPr>
        <w:t>需逐项填写《商务条款偏离表》。</w:t>
      </w:r>
    </w:p>
    <w:p>
      <w:pPr>
        <w:pStyle w:val="8"/>
        <w:kinsoku w:val="0"/>
        <w:overflowPunct w:val="0"/>
        <w:spacing w:before="40"/>
        <w:ind w:left="462"/>
        <w:rPr>
          <w:rFonts w:hint="default"/>
          <w:color w:val="auto"/>
        </w:rPr>
        <w:sectPr>
          <w:pgSz w:w="11910" w:h="16840"/>
          <w:pgMar w:top="1500" w:right="1320" w:bottom="1600" w:left="1340" w:header="0" w:footer="1415" w:gutter="0"/>
          <w:pgNumType w:fmt="decimal"/>
          <w:cols w:space="720" w:num="1"/>
        </w:sectPr>
      </w:pPr>
    </w:p>
    <w:p>
      <w:pPr>
        <w:pStyle w:val="3"/>
        <w:kinsoku w:val="0"/>
        <w:overflowPunct w:val="0"/>
        <w:spacing w:line="395" w:lineRule="exact"/>
        <w:rPr>
          <w:rFonts w:hint="default"/>
          <w:b w:val="0"/>
          <w:color w:val="auto"/>
        </w:rPr>
      </w:pPr>
      <w:bookmarkStart w:id="64" w:name="5、商务响应文件"/>
      <w:bookmarkEnd w:id="64"/>
      <w:r>
        <w:rPr>
          <w:color w:val="auto"/>
        </w:rPr>
        <w:t>5、商务响应文件</w:t>
      </w:r>
    </w:p>
    <w:p>
      <w:pPr>
        <w:pStyle w:val="8"/>
        <w:kinsoku w:val="0"/>
        <w:overflowPunct w:val="0"/>
        <w:spacing w:before="114"/>
        <w:rPr>
          <w:rFonts w:hint="default"/>
          <w:color w:val="auto"/>
        </w:rPr>
      </w:pPr>
      <w:bookmarkStart w:id="65" w:name="根据招标文件采购需求部分逐条列举，一一对应。"/>
      <w:bookmarkEnd w:id="65"/>
      <w:r>
        <w:rPr>
          <w:color w:val="auto"/>
        </w:rPr>
        <w:t>根据招标文件采购需求部分逐条列举，一一对应。</w:t>
      </w:r>
    </w:p>
    <w:p>
      <w:pPr>
        <w:pStyle w:val="8"/>
        <w:kinsoku w:val="0"/>
        <w:overflowPunct w:val="0"/>
        <w:spacing w:before="114"/>
        <w:rPr>
          <w:rFonts w:hint="default"/>
          <w:color w:val="auto"/>
        </w:rPr>
        <w:sectPr>
          <w:pgSz w:w="11910" w:h="16840"/>
          <w:pgMar w:top="1500" w:right="1680" w:bottom="1600" w:left="1680" w:header="0" w:footer="1415" w:gutter="0"/>
          <w:pgNumType w:fmt="decimal"/>
          <w:cols w:space="720" w:num="1"/>
        </w:sectPr>
      </w:pPr>
    </w:p>
    <w:p>
      <w:pPr>
        <w:pStyle w:val="3"/>
        <w:kinsoku w:val="0"/>
        <w:overflowPunct w:val="0"/>
        <w:spacing w:line="395" w:lineRule="exact"/>
        <w:ind w:left="1300"/>
        <w:rPr>
          <w:rFonts w:hint="default"/>
          <w:b w:val="0"/>
          <w:color w:val="auto"/>
        </w:rPr>
      </w:pPr>
      <w:bookmarkStart w:id="66" w:name="6、供应商认为有必要提供的其他资料"/>
      <w:bookmarkEnd w:id="66"/>
      <w:r>
        <w:rPr>
          <w:color w:val="auto"/>
        </w:rPr>
        <w:t>6、供应商认为有必要提供的其他资料</w:t>
      </w:r>
    </w:p>
    <w:p>
      <w:pPr>
        <w:pStyle w:val="8"/>
        <w:kinsoku w:val="0"/>
        <w:overflowPunct w:val="0"/>
        <w:spacing w:before="205"/>
        <w:ind w:left="1300"/>
        <w:rPr>
          <w:rFonts w:hint="default" w:ascii="黑体" w:eastAsia="黑体" w:cs="黑体"/>
          <w:color w:val="auto"/>
        </w:rPr>
      </w:pPr>
      <w:bookmarkStart w:id="67" w:name="1）环境标志产品明细表"/>
      <w:bookmarkEnd w:id="67"/>
      <w:r>
        <w:rPr>
          <w:rFonts w:ascii="黑体" w:eastAsia="黑体" w:cs="黑体"/>
          <w:color w:val="auto"/>
          <w:sz w:val="32"/>
          <w:szCs w:val="32"/>
        </w:rPr>
        <w:t>1）</w:t>
      </w:r>
      <w:r>
        <w:rPr>
          <w:rFonts w:ascii="黑体" w:eastAsia="黑体" w:cs="黑体"/>
          <w:color w:val="auto"/>
        </w:rPr>
        <w:t>环境标志产品明细表</w:t>
      </w:r>
    </w:p>
    <w:p>
      <w:pPr>
        <w:pStyle w:val="8"/>
        <w:kinsoku w:val="0"/>
        <w:overflowPunct w:val="0"/>
        <w:spacing w:before="190"/>
        <w:ind w:left="1300"/>
        <w:rPr>
          <w:rFonts w:hint="default"/>
          <w:color w:val="auto"/>
        </w:rPr>
      </w:pPr>
      <w:r>
        <w:rPr>
          <w:color w:val="auto"/>
        </w:rPr>
        <w:t>项目编号、包号：价格单位：元</w:t>
      </w:r>
    </w:p>
    <w:p>
      <w:pPr>
        <w:pStyle w:val="8"/>
        <w:kinsoku w:val="0"/>
        <w:overflowPunct w:val="0"/>
        <w:spacing w:before="9"/>
        <w:ind w:left="0"/>
        <w:rPr>
          <w:rFonts w:hint="default"/>
          <w:color w:val="auto"/>
          <w:sz w:val="8"/>
          <w:szCs w:val="8"/>
        </w:rPr>
      </w:pPr>
    </w:p>
    <w:tbl>
      <w:tblPr>
        <w:tblStyle w:val="17"/>
        <w:tblW w:w="0" w:type="auto"/>
        <w:tblInd w:w="219" w:type="dxa"/>
        <w:tblLayout w:type="fixed"/>
        <w:tblCellMar>
          <w:top w:w="0" w:type="dxa"/>
          <w:left w:w="108" w:type="dxa"/>
          <w:bottom w:w="0" w:type="dxa"/>
          <w:right w:w="108" w:type="dxa"/>
        </w:tblCellMar>
      </w:tblPr>
      <w:tblGrid>
        <w:gridCol w:w="758"/>
        <w:gridCol w:w="1331"/>
        <w:gridCol w:w="1331"/>
        <w:gridCol w:w="1331"/>
        <w:gridCol w:w="1331"/>
        <w:gridCol w:w="1791"/>
        <w:gridCol w:w="1830"/>
        <w:gridCol w:w="955"/>
      </w:tblGrid>
      <w:tr>
        <w:tblPrEx>
          <w:tblCellMar>
            <w:top w:w="0" w:type="dxa"/>
            <w:left w:w="108" w:type="dxa"/>
            <w:bottom w:w="0" w:type="dxa"/>
            <w:right w:w="108" w:type="dxa"/>
          </w:tblCellMar>
        </w:tblPrEx>
        <w:trPr>
          <w:trHeight w:val="956" w:hRule="exact"/>
        </w:trPr>
        <w:tc>
          <w:tcPr>
            <w:tcW w:w="758" w:type="dxa"/>
            <w:tcBorders>
              <w:top w:val="single" w:color="000000" w:sz="10" w:space="0"/>
              <w:left w:val="single" w:color="000000" w:sz="10" w:space="0"/>
              <w:bottom w:val="single" w:color="000000" w:sz="4" w:space="0"/>
              <w:right w:val="single" w:color="000000" w:sz="4" w:space="0"/>
              <w:tl2br w:val="nil"/>
              <w:tr2bl w:val="nil"/>
            </w:tcBorders>
          </w:tcPr>
          <w:p>
            <w:pPr>
              <w:pStyle w:val="21"/>
              <w:kinsoku w:val="0"/>
              <w:overflowPunct w:val="0"/>
              <w:spacing w:before="42"/>
              <w:ind w:left="124"/>
              <w:rPr>
                <w:rFonts w:hint="default" w:ascii="Times New Roman" w:eastAsia="Times New Roman"/>
                <w:color w:val="auto"/>
              </w:rPr>
            </w:pPr>
            <w:r>
              <w:rPr>
                <w:rFonts w:cs="宋体"/>
                <w:color w:val="auto"/>
              </w:rPr>
              <w:t>序号</w:t>
            </w:r>
          </w:p>
        </w:tc>
        <w:tc>
          <w:tcPr>
            <w:tcW w:w="1331" w:type="dxa"/>
            <w:tcBorders>
              <w:top w:val="single" w:color="000000" w:sz="10" w:space="0"/>
              <w:left w:val="single" w:color="000000" w:sz="4" w:space="0"/>
              <w:bottom w:val="single" w:color="000000" w:sz="4" w:space="0"/>
              <w:right w:val="single" w:color="000000" w:sz="4" w:space="0"/>
              <w:tl2br w:val="nil"/>
              <w:tr2bl w:val="nil"/>
            </w:tcBorders>
          </w:tcPr>
          <w:p>
            <w:pPr>
              <w:pStyle w:val="21"/>
              <w:kinsoku w:val="0"/>
              <w:overflowPunct w:val="0"/>
              <w:spacing w:before="42"/>
              <w:ind w:left="163"/>
              <w:rPr>
                <w:rFonts w:hint="default" w:ascii="Times New Roman" w:eastAsia="Times New Roman"/>
                <w:color w:val="auto"/>
              </w:rPr>
            </w:pPr>
            <w:r>
              <w:rPr>
                <w:rFonts w:cs="宋体"/>
                <w:color w:val="auto"/>
              </w:rPr>
              <w:t>产品名称</w:t>
            </w:r>
          </w:p>
        </w:tc>
        <w:tc>
          <w:tcPr>
            <w:tcW w:w="1331" w:type="dxa"/>
            <w:tcBorders>
              <w:top w:val="single" w:color="000000" w:sz="10" w:space="0"/>
              <w:left w:val="single" w:color="000000" w:sz="4" w:space="0"/>
              <w:bottom w:val="single" w:color="000000" w:sz="4" w:space="0"/>
              <w:right w:val="single" w:color="000000" w:sz="4" w:space="0"/>
              <w:tl2br w:val="nil"/>
              <w:tr2bl w:val="nil"/>
            </w:tcBorders>
          </w:tcPr>
          <w:p>
            <w:pPr>
              <w:pStyle w:val="21"/>
              <w:kinsoku w:val="0"/>
              <w:overflowPunct w:val="0"/>
              <w:spacing w:before="42"/>
              <w:ind w:left="178"/>
              <w:rPr>
                <w:rFonts w:hint="default" w:ascii="Times New Roman" w:eastAsia="Times New Roman"/>
                <w:color w:val="auto"/>
              </w:rPr>
            </w:pPr>
            <w:r>
              <w:rPr>
                <w:rFonts w:cs="宋体"/>
                <w:color w:val="auto"/>
              </w:rPr>
              <w:t>企业名称</w:t>
            </w:r>
          </w:p>
        </w:tc>
        <w:tc>
          <w:tcPr>
            <w:tcW w:w="1331" w:type="dxa"/>
            <w:tcBorders>
              <w:top w:val="single" w:color="000000" w:sz="10" w:space="0"/>
              <w:left w:val="single" w:color="000000" w:sz="4" w:space="0"/>
              <w:bottom w:val="single" w:color="000000" w:sz="4" w:space="0"/>
              <w:right w:val="single" w:color="000000" w:sz="4" w:space="0"/>
              <w:tl2br w:val="nil"/>
              <w:tr2bl w:val="nil"/>
            </w:tcBorders>
          </w:tcPr>
          <w:p>
            <w:pPr>
              <w:pStyle w:val="21"/>
              <w:kinsoku w:val="0"/>
              <w:overflowPunct w:val="0"/>
              <w:spacing w:before="42"/>
              <w:ind w:left="180"/>
              <w:rPr>
                <w:rFonts w:hint="default" w:ascii="Times New Roman" w:eastAsia="Times New Roman"/>
                <w:color w:val="auto"/>
              </w:rPr>
            </w:pPr>
            <w:r>
              <w:rPr>
                <w:rFonts w:cs="宋体"/>
                <w:color w:val="auto"/>
              </w:rPr>
              <w:t>注册商标</w:t>
            </w:r>
          </w:p>
        </w:tc>
        <w:tc>
          <w:tcPr>
            <w:tcW w:w="1331" w:type="dxa"/>
            <w:tcBorders>
              <w:top w:val="single" w:color="000000" w:sz="10" w:space="0"/>
              <w:left w:val="single" w:color="000000" w:sz="4" w:space="0"/>
              <w:bottom w:val="single" w:color="000000" w:sz="4" w:space="0"/>
              <w:right w:val="single" w:color="000000" w:sz="4" w:space="0"/>
              <w:tl2br w:val="nil"/>
              <w:tr2bl w:val="nil"/>
            </w:tcBorders>
          </w:tcPr>
          <w:p>
            <w:pPr>
              <w:pStyle w:val="21"/>
              <w:kinsoku w:val="0"/>
              <w:overflowPunct w:val="0"/>
              <w:spacing w:before="42"/>
              <w:ind w:left="181"/>
              <w:rPr>
                <w:rFonts w:hint="default" w:ascii="Times New Roman" w:eastAsia="Times New Roman"/>
                <w:color w:val="auto"/>
              </w:rPr>
            </w:pPr>
            <w:r>
              <w:rPr>
                <w:rFonts w:cs="宋体"/>
                <w:color w:val="auto"/>
              </w:rPr>
              <w:t>规格型号</w:t>
            </w:r>
          </w:p>
        </w:tc>
        <w:tc>
          <w:tcPr>
            <w:tcW w:w="1791" w:type="dxa"/>
            <w:tcBorders>
              <w:top w:val="single" w:color="000000" w:sz="10" w:space="0"/>
              <w:left w:val="single" w:color="000000" w:sz="4" w:space="0"/>
              <w:bottom w:val="single" w:color="000000" w:sz="4" w:space="0"/>
              <w:right w:val="single" w:color="000000" w:sz="4" w:space="0"/>
              <w:tl2br w:val="nil"/>
              <w:tr2bl w:val="nil"/>
            </w:tcBorders>
          </w:tcPr>
          <w:p>
            <w:pPr>
              <w:pStyle w:val="21"/>
              <w:kinsoku w:val="0"/>
              <w:overflowPunct w:val="0"/>
              <w:spacing w:before="42"/>
              <w:ind w:left="170"/>
              <w:rPr>
                <w:rFonts w:hint="default" w:ascii="Times New Roman" w:eastAsia="Times New Roman"/>
                <w:color w:val="auto"/>
              </w:rPr>
            </w:pPr>
            <w:r>
              <w:rPr>
                <w:rFonts w:cs="宋体"/>
                <w:color w:val="auto"/>
              </w:rPr>
              <w:t>中国环境标志认证证书编号</w:t>
            </w:r>
          </w:p>
        </w:tc>
        <w:tc>
          <w:tcPr>
            <w:tcW w:w="1830" w:type="dxa"/>
            <w:tcBorders>
              <w:top w:val="single" w:color="000000" w:sz="10" w:space="0"/>
              <w:left w:val="single" w:color="000000" w:sz="4" w:space="0"/>
              <w:bottom w:val="single" w:color="000000" w:sz="4" w:space="0"/>
              <w:right w:val="single" w:color="000000" w:sz="4" w:space="0"/>
              <w:tl2br w:val="nil"/>
              <w:tr2bl w:val="nil"/>
            </w:tcBorders>
          </w:tcPr>
          <w:p>
            <w:pPr>
              <w:pStyle w:val="21"/>
              <w:kinsoku w:val="0"/>
              <w:overflowPunct w:val="0"/>
              <w:spacing w:before="42"/>
              <w:ind w:left="1"/>
              <w:jc w:val="center"/>
              <w:rPr>
                <w:rFonts w:hint="default" w:cs="宋体"/>
                <w:color w:val="auto"/>
              </w:rPr>
            </w:pPr>
            <w:r>
              <w:rPr>
                <w:rFonts w:cs="宋体"/>
                <w:color w:val="auto"/>
              </w:rPr>
              <w:t>认证证书有效</w:t>
            </w:r>
          </w:p>
          <w:p>
            <w:pPr>
              <w:pStyle w:val="21"/>
              <w:kinsoku w:val="0"/>
              <w:overflowPunct w:val="0"/>
              <w:spacing w:before="154"/>
              <w:ind w:left="1"/>
              <w:jc w:val="center"/>
              <w:rPr>
                <w:rFonts w:hint="default" w:ascii="Times New Roman" w:eastAsia="Times New Roman"/>
                <w:color w:val="auto"/>
              </w:rPr>
            </w:pPr>
            <w:r>
              <w:rPr>
                <w:rFonts w:cs="宋体"/>
                <w:color w:val="auto"/>
              </w:rPr>
              <w:t>截止日期</w:t>
            </w:r>
          </w:p>
        </w:tc>
        <w:tc>
          <w:tcPr>
            <w:tcW w:w="955" w:type="dxa"/>
            <w:tcBorders>
              <w:top w:val="single" w:color="000000" w:sz="10" w:space="0"/>
              <w:left w:val="single" w:color="000000" w:sz="4" w:space="0"/>
              <w:bottom w:val="single" w:color="000000" w:sz="4" w:space="0"/>
              <w:right w:val="single" w:color="000000" w:sz="10" w:space="0"/>
              <w:tl2br w:val="nil"/>
              <w:tr2bl w:val="nil"/>
            </w:tcBorders>
          </w:tcPr>
          <w:p>
            <w:pPr>
              <w:pStyle w:val="21"/>
              <w:kinsoku w:val="0"/>
              <w:overflowPunct w:val="0"/>
              <w:spacing w:before="42"/>
              <w:ind w:left="232"/>
              <w:rPr>
                <w:rFonts w:hint="default" w:ascii="Times New Roman" w:eastAsia="Times New Roman"/>
                <w:color w:val="auto"/>
              </w:rPr>
            </w:pPr>
            <w:r>
              <w:rPr>
                <w:rFonts w:cs="宋体"/>
                <w:color w:val="auto"/>
              </w:rPr>
              <w:t>价格</w:t>
            </w:r>
          </w:p>
        </w:tc>
      </w:tr>
      <w:tr>
        <w:tblPrEx>
          <w:tblCellMar>
            <w:top w:w="0" w:type="dxa"/>
            <w:left w:w="108" w:type="dxa"/>
            <w:bottom w:w="0" w:type="dxa"/>
            <w:right w:w="108" w:type="dxa"/>
          </w:tblCellMar>
        </w:tblPrEx>
        <w:trPr>
          <w:trHeight w:val="946" w:hRule="exact"/>
        </w:trPr>
        <w:tc>
          <w:tcPr>
            <w:tcW w:w="758" w:type="dxa"/>
            <w:tcBorders>
              <w:top w:val="single" w:color="000000" w:sz="4" w:space="0"/>
              <w:left w:val="single" w:color="000000" w:sz="10" w:space="0"/>
              <w:bottom w:val="single" w:color="000000" w:sz="4" w:space="0"/>
              <w:right w:val="single" w:color="000000" w:sz="4" w:space="0"/>
              <w:tl2br w:val="nil"/>
              <w:tr2bl w:val="nil"/>
            </w:tcBorders>
          </w:tcPr>
          <w:p>
            <w:pPr>
              <w:pStyle w:val="21"/>
              <w:kinsoku w:val="0"/>
              <w:overflowPunct w:val="0"/>
              <w:rPr>
                <w:rFonts w:hint="default" w:cs="宋体"/>
                <w:color w:val="auto"/>
              </w:rPr>
            </w:pPr>
          </w:p>
          <w:p>
            <w:pPr>
              <w:pStyle w:val="21"/>
              <w:kinsoku w:val="0"/>
              <w:overflowPunct w:val="0"/>
              <w:spacing w:before="195"/>
              <w:ind w:left="48"/>
              <w:jc w:val="center"/>
              <w:rPr>
                <w:rFonts w:hint="default" w:ascii="Times New Roman" w:eastAsia="Times New Roman"/>
                <w:color w:val="auto"/>
              </w:rPr>
            </w:pPr>
            <w:r>
              <w:rPr>
                <w:rFonts w:cs="宋体"/>
                <w:color w:val="auto"/>
              </w:rPr>
              <w:t>1</w:t>
            </w:r>
          </w:p>
        </w:tc>
        <w:tc>
          <w:tcPr>
            <w:tcW w:w="1331"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1331"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1331"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1331"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1791"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1830"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955" w:type="dxa"/>
            <w:tcBorders>
              <w:top w:val="single" w:color="000000" w:sz="4" w:space="0"/>
              <w:left w:val="single" w:color="000000" w:sz="4" w:space="0"/>
              <w:bottom w:val="single" w:color="000000" w:sz="4" w:space="0"/>
              <w:right w:val="single" w:color="000000" w:sz="10" w:space="0"/>
              <w:tl2br w:val="nil"/>
              <w:tr2bl w:val="nil"/>
            </w:tcBorders>
          </w:tcPr>
          <w:p>
            <w:pPr>
              <w:rPr>
                <w:rFonts w:hint="default" w:ascii="Times New Roman" w:eastAsia="Times New Roman"/>
                <w:color w:val="auto"/>
              </w:rPr>
            </w:pPr>
          </w:p>
        </w:tc>
      </w:tr>
      <w:tr>
        <w:tblPrEx>
          <w:tblCellMar>
            <w:top w:w="0" w:type="dxa"/>
            <w:left w:w="108" w:type="dxa"/>
            <w:bottom w:w="0" w:type="dxa"/>
            <w:right w:w="108" w:type="dxa"/>
          </w:tblCellMar>
        </w:tblPrEx>
        <w:trPr>
          <w:trHeight w:val="946" w:hRule="exact"/>
        </w:trPr>
        <w:tc>
          <w:tcPr>
            <w:tcW w:w="758" w:type="dxa"/>
            <w:tcBorders>
              <w:top w:val="single" w:color="000000" w:sz="4" w:space="0"/>
              <w:left w:val="single" w:color="000000" w:sz="10" w:space="0"/>
              <w:bottom w:val="single" w:color="000000" w:sz="4" w:space="0"/>
              <w:right w:val="single" w:color="000000" w:sz="4" w:space="0"/>
              <w:tl2br w:val="nil"/>
              <w:tr2bl w:val="nil"/>
            </w:tcBorders>
          </w:tcPr>
          <w:p>
            <w:pPr>
              <w:pStyle w:val="21"/>
              <w:kinsoku w:val="0"/>
              <w:overflowPunct w:val="0"/>
              <w:rPr>
                <w:rFonts w:hint="default" w:cs="宋体"/>
                <w:color w:val="auto"/>
              </w:rPr>
            </w:pPr>
          </w:p>
          <w:p>
            <w:pPr>
              <w:pStyle w:val="21"/>
              <w:kinsoku w:val="0"/>
              <w:overflowPunct w:val="0"/>
              <w:spacing w:before="194"/>
              <w:ind w:left="48"/>
              <w:jc w:val="center"/>
              <w:rPr>
                <w:rFonts w:hint="default" w:ascii="Times New Roman" w:eastAsia="Times New Roman"/>
                <w:color w:val="auto"/>
              </w:rPr>
            </w:pPr>
            <w:r>
              <w:rPr>
                <w:rFonts w:cs="宋体"/>
                <w:color w:val="auto"/>
              </w:rPr>
              <w:t>2</w:t>
            </w:r>
          </w:p>
        </w:tc>
        <w:tc>
          <w:tcPr>
            <w:tcW w:w="1331"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1331"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1331"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1331"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1791"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1830"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955" w:type="dxa"/>
            <w:tcBorders>
              <w:top w:val="single" w:color="000000" w:sz="4" w:space="0"/>
              <w:left w:val="single" w:color="000000" w:sz="4" w:space="0"/>
              <w:bottom w:val="single" w:color="000000" w:sz="4" w:space="0"/>
              <w:right w:val="single" w:color="000000" w:sz="10" w:space="0"/>
              <w:tl2br w:val="nil"/>
              <w:tr2bl w:val="nil"/>
            </w:tcBorders>
          </w:tcPr>
          <w:p>
            <w:pPr>
              <w:rPr>
                <w:rFonts w:hint="default" w:ascii="Times New Roman" w:eastAsia="Times New Roman"/>
                <w:color w:val="auto"/>
              </w:rPr>
            </w:pPr>
          </w:p>
        </w:tc>
      </w:tr>
      <w:tr>
        <w:tblPrEx>
          <w:tblCellMar>
            <w:top w:w="0" w:type="dxa"/>
            <w:left w:w="108" w:type="dxa"/>
            <w:bottom w:w="0" w:type="dxa"/>
            <w:right w:w="108" w:type="dxa"/>
          </w:tblCellMar>
        </w:tblPrEx>
        <w:trPr>
          <w:trHeight w:val="946" w:hRule="exact"/>
        </w:trPr>
        <w:tc>
          <w:tcPr>
            <w:tcW w:w="758" w:type="dxa"/>
            <w:tcBorders>
              <w:top w:val="single" w:color="000000" w:sz="4" w:space="0"/>
              <w:left w:val="single" w:color="000000" w:sz="10" w:space="0"/>
              <w:bottom w:val="single" w:color="000000" w:sz="4" w:space="0"/>
              <w:right w:val="single" w:color="000000" w:sz="4" w:space="0"/>
              <w:tl2br w:val="nil"/>
              <w:tr2bl w:val="nil"/>
            </w:tcBorders>
          </w:tcPr>
          <w:p>
            <w:pPr>
              <w:pStyle w:val="21"/>
              <w:kinsoku w:val="0"/>
              <w:overflowPunct w:val="0"/>
              <w:rPr>
                <w:rFonts w:hint="default" w:cs="宋体"/>
                <w:color w:val="auto"/>
              </w:rPr>
            </w:pPr>
          </w:p>
          <w:p>
            <w:pPr>
              <w:pStyle w:val="21"/>
              <w:kinsoku w:val="0"/>
              <w:overflowPunct w:val="0"/>
              <w:spacing w:before="194"/>
              <w:ind w:left="48"/>
              <w:jc w:val="center"/>
              <w:rPr>
                <w:rFonts w:hint="default" w:ascii="Times New Roman" w:eastAsia="Times New Roman"/>
                <w:color w:val="auto"/>
              </w:rPr>
            </w:pPr>
            <w:r>
              <w:rPr>
                <w:rFonts w:cs="宋体"/>
                <w:color w:val="auto"/>
              </w:rPr>
              <w:t>3</w:t>
            </w:r>
          </w:p>
        </w:tc>
        <w:tc>
          <w:tcPr>
            <w:tcW w:w="1331"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rPr>
                <w:rFonts w:hint="default" w:cs="宋体"/>
                <w:color w:val="auto"/>
              </w:rPr>
            </w:pPr>
          </w:p>
          <w:p>
            <w:pPr>
              <w:pStyle w:val="21"/>
              <w:kinsoku w:val="0"/>
              <w:overflowPunct w:val="0"/>
              <w:spacing w:before="194"/>
              <w:ind w:left="103"/>
              <w:rPr>
                <w:rFonts w:hint="default" w:ascii="Times New Roman" w:eastAsia="Times New Roman"/>
                <w:color w:val="auto"/>
              </w:rPr>
            </w:pPr>
            <w:r>
              <w:rPr>
                <w:rFonts w:cs="宋体"/>
                <w:color w:val="auto"/>
              </w:rPr>
              <w:t>…</w:t>
            </w:r>
          </w:p>
        </w:tc>
        <w:tc>
          <w:tcPr>
            <w:tcW w:w="1331"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1331"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1331"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1791"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1830"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955" w:type="dxa"/>
            <w:tcBorders>
              <w:top w:val="single" w:color="000000" w:sz="4" w:space="0"/>
              <w:left w:val="single" w:color="000000" w:sz="4" w:space="0"/>
              <w:bottom w:val="single" w:color="000000" w:sz="4" w:space="0"/>
              <w:right w:val="single" w:color="000000" w:sz="10" w:space="0"/>
              <w:tl2br w:val="nil"/>
              <w:tr2bl w:val="nil"/>
            </w:tcBorders>
          </w:tcPr>
          <w:p>
            <w:pPr>
              <w:rPr>
                <w:rFonts w:hint="default" w:ascii="Times New Roman" w:eastAsia="Times New Roman"/>
                <w:color w:val="auto"/>
              </w:rPr>
            </w:pPr>
          </w:p>
        </w:tc>
      </w:tr>
      <w:tr>
        <w:tblPrEx>
          <w:tblCellMar>
            <w:top w:w="0" w:type="dxa"/>
            <w:left w:w="108" w:type="dxa"/>
            <w:bottom w:w="0" w:type="dxa"/>
            <w:right w:w="108" w:type="dxa"/>
          </w:tblCellMar>
        </w:tblPrEx>
        <w:trPr>
          <w:trHeight w:val="956" w:hRule="exact"/>
        </w:trPr>
        <w:tc>
          <w:tcPr>
            <w:tcW w:w="758" w:type="dxa"/>
            <w:tcBorders>
              <w:top w:val="single" w:color="000000" w:sz="4" w:space="0"/>
              <w:left w:val="single" w:color="000000" w:sz="10" w:space="0"/>
              <w:bottom w:val="single" w:color="000000" w:sz="10" w:space="0"/>
              <w:right w:val="single" w:color="000000" w:sz="4" w:space="0"/>
              <w:tl2br w:val="nil"/>
              <w:tr2bl w:val="nil"/>
            </w:tcBorders>
          </w:tcPr>
          <w:p>
            <w:pPr>
              <w:pStyle w:val="21"/>
              <w:kinsoku w:val="0"/>
              <w:overflowPunct w:val="0"/>
              <w:rPr>
                <w:rFonts w:hint="default" w:cs="宋体"/>
                <w:color w:val="auto"/>
              </w:rPr>
            </w:pPr>
          </w:p>
          <w:p>
            <w:pPr>
              <w:pStyle w:val="21"/>
              <w:kinsoku w:val="0"/>
              <w:overflowPunct w:val="0"/>
              <w:spacing w:before="194"/>
              <w:ind w:left="48"/>
              <w:jc w:val="center"/>
              <w:rPr>
                <w:rFonts w:hint="default" w:ascii="Times New Roman" w:eastAsia="Times New Roman"/>
                <w:color w:val="auto"/>
              </w:rPr>
            </w:pPr>
            <w:r>
              <w:rPr>
                <w:rFonts w:cs="宋体"/>
                <w:color w:val="auto"/>
              </w:rPr>
              <w:t>4</w:t>
            </w:r>
          </w:p>
        </w:tc>
        <w:tc>
          <w:tcPr>
            <w:tcW w:w="1331" w:type="dxa"/>
            <w:tcBorders>
              <w:top w:val="single" w:color="000000" w:sz="4" w:space="0"/>
              <w:left w:val="single" w:color="000000" w:sz="4" w:space="0"/>
              <w:bottom w:val="single" w:color="000000" w:sz="10" w:space="0"/>
              <w:right w:val="single" w:color="000000" w:sz="4" w:space="0"/>
              <w:tl2br w:val="nil"/>
              <w:tr2bl w:val="nil"/>
            </w:tcBorders>
          </w:tcPr>
          <w:p>
            <w:pPr>
              <w:pStyle w:val="21"/>
              <w:kinsoku w:val="0"/>
              <w:overflowPunct w:val="0"/>
              <w:rPr>
                <w:rFonts w:hint="default" w:cs="宋体"/>
                <w:color w:val="auto"/>
                <w:sz w:val="21"/>
                <w:szCs w:val="21"/>
              </w:rPr>
            </w:pPr>
          </w:p>
          <w:p>
            <w:pPr>
              <w:pStyle w:val="21"/>
              <w:kinsoku w:val="0"/>
              <w:overflowPunct w:val="0"/>
              <w:ind w:left="403"/>
              <w:rPr>
                <w:rFonts w:hint="default" w:ascii="Times New Roman" w:eastAsia="Times New Roman"/>
                <w:color w:val="auto"/>
              </w:rPr>
            </w:pPr>
            <w:r>
              <w:rPr>
                <w:rFonts w:cs="宋体"/>
                <w:color w:val="auto"/>
              </w:rPr>
              <w:t>合计</w:t>
            </w:r>
          </w:p>
        </w:tc>
        <w:tc>
          <w:tcPr>
            <w:tcW w:w="1331" w:type="dxa"/>
            <w:tcBorders>
              <w:top w:val="single" w:color="000000" w:sz="4" w:space="0"/>
              <w:left w:val="single" w:color="000000" w:sz="4" w:space="0"/>
              <w:bottom w:val="single" w:color="000000" w:sz="10" w:space="0"/>
              <w:right w:val="single" w:color="000000" w:sz="4" w:space="0"/>
              <w:tl2br w:val="nil"/>
              <w:tr2bl w:val="nil"/>
            </w:tcBorders>
          </w:tcPr>
          <w:p>
            <w:pPr>
              <w:rPr>
                <w:rFonts w:hint="default" w:ascii="Times New Roman" w:eastAsia="Times New Roman"/>
                <w:color w:val="auto"/>
              </w:rPr>
            </w:pPr>
          </w:p>
        </w:tc>
        <w:tc>
          <w:tcPr>
            <w:tcW w:w="1331" w:type="dxa"/>
            <w:tcBorders>
              <w:top w:val="single" w:color="000000" w:sz="4" w:space="0"/>
              <w:left w:val="single" w:color="000000" w:sz="4" w:space="0"/>
              <w:bottom w:val="single" w:color="000000" w:sz="10" w:space="0"/>
              <w:right w:val="single" w:color="000000" w:sz="4" w:space="0"/>
              <w:tl2br w:val="nil"/>
              <w:tr2bl w:val="nil"/>
            </w:tcBorders>
          </w:tcPr>
          <w:p>
            <w:pPr>
              <w:rPr>
                <w:rFonts w:hint="default" w:ascii="Times New Roman" w:eastAsia="Times New Roman"/>
                <w:color w:val="auto"/>
              </w:rPr>
            </w:pPr>
          </w:p>
        </w:tc>
        <w:tc>
          <w:tcPr>
            <w:tcW w:w="1331" w:type="dxa"/>
            <w:tcBorders>
              <w:top w:val="single" w:color="000000" w:sz="4" w:space="0"/>
              <w:left w:val="single" w:color="000000" w:sz="4" w:space="0"/>
              <w:bottom w:val="single" w:color="000000" w:sz="10" w:space="0"/>
              <w:right w:val="single" w:color="000000" w:sz="4" w:space="0"/>
              <w:tl2br w:val="nil"/>
              <w:tr2bl w:val="nil"/>
            </w:tcBorders>
          </w:tcPr>
          <w:p>
            <w:pPr>
              <w:rPr>
                <w:rFonts w:hint="default" w:ascii="Times New Roman" w:eastAsia="Times New Roman"/>
                <w:color w:val="auto"/>
              </w:rPr>
            </w:pPr>
          </w:p>
        </w:tc>
        <w:tc>
          <w:tcPr>
            <w:tcW w:w="1791" w:type="dxa"/>
            <w:tcBorders>
              <w:top w:val="single" w:color="000000" w:sz="4" w:space="0"/>
              <w:left w:val="single" w:color="000000" w:sz="4" w:space="0"/>
              <w:bottom w:val="single" w:color="000000" w:sz="10" w:space="0"/>
              <w:right w:val="single" w:color="000000" w:sz="4" w:space="0"/>
              <w:tl2br w:val="nil"/>
              <w:tr2bl w:val="nil"/>
            </w:tcBorders>
          </w:tcPr>
          <w:p>
            <w:pPr>
              <w:rPr>
                <w:rFonts w:hint="default" w:ascii="Times New Roman" w:eastAsia="Times New Roman"/>
                <w:color w:val="auto"/>
              </w:rPr>
            </w:pPr>
          </w:p>
        </w:tc>
        <w:tc>
          <w:tcPr>
            <w:tcW w:w="1830" w:type="dxa"/>
            <w:tcBorders>
              <w:top w:val="single" w:color="000000" w:sz="4" w:space="0"/>
              <w:left w:val="single" w:color="000000" w:sz="4" w:space="0"/>
              <w:bottom w:val="single" w:color="000000" w:sz="10" w:space="0"/>
              <w:right w:val="single" w:color="000000" w:sz="4" w:space="0"/>
              <w:tl2br w:val="nil"/>
              <w:tr2bl w:val="nil"/>
            </w:tcBorders>
          </w:tcPr>
          <w:p>
            <w:pPr>
              <w:rPr>
                <w:rFonts w:hint="default" w:ascii="Times New Roman" w:eastAsia="Times New Roman"/>
                <w:color w:val="auto"/>
              </w:rPr>
            </w:pPr>
          </w:p>
        </w:tc>
        <w:tc>
          <w:tcPr>
            <w:tcW w:w="955" w:type="dxa"/>
            <w:tcBorders>
              <w:top w:val="single" w:color="000000" w:sz="4" w:space="0"/>
              <w:left w:val="single" w:color="000000" w:sz="4" w:space="0"/>
              <w:bottom w:val="single" w:color="000000" w:sz="10" w:space="0"/>
              <w:right w:val="single" w:color="000000" w:sz="10" w:space="0"/>
              <w:tl2br w:val="nil"/>
              <w:tr2bl w:val="nil"/>
            </w:tcBorders>
          </w:tcPr>
          <w:p>
            <w:pPr>
              <w:rPr>
                <w:rFonts w:hint="default" w:ascii="Times New Roman" w:eastAsia="Times New Roman"/>
                <w:color w:val="auto"/>
              </w:rPr>
            </w:pPr>
          </w:p>
        </w:tc>
      </w:tr>
    </w:tbl>
    <w:p>
      <w:pPr>
        <w:pStyle w:val="8"/>
        <w:kinsoku w:val="0"/>
        <w:overflowPunct w:val="0"/>
        <w:spacing w:before="42" w:line="357" w:lineRule="auto"/>
        <w:rPr>
          <w:rFonts w:hint="default"/>
          <w:color w:val="auto"/>
          <w:spacing w:val="-6"/>
        </w:rPr>
      </w:pPr>
      <w:r>
        <w:rPr>
          <w:color w:val="auto"/>
        </w:rPr>
        <w:t xml:space="preserve">说明： </w:t>
      </w:r>
      <w:r>
        <w:rPr>
          <w:color w:val="auto"/>
          <w:spacing w:val="-6"/>
        </w:rPr>
        <w:t>1、环境标志产品根据财政部、环境保护部最新公布的环境标志产品政府采购清单确定。</w:t>
      </w:r>
    </w:p>
    <w:p>
      <w:pPr>
        <w:pStyle w:val="8"/>
        <w:kinsoku w:val="0"/>
        <w:overflowPunct w:val="0"/>
        <w:spacing w:line="357" w:lineRule="auto"/>
        <w:rPr>
          <w:rFonts w:hint="default"/>
          <w:color w:val="auto"/>
        </w:rPr>
      </w:pPr>
      <w:r>
        <w:rPr>
          <w:color w:val="auto"/>
          <w:spacing w:val="-4"/>
        </w:rPr>
        <w:t>2、如所投产品为环保产品，须提供所投产品在最新公布的环境标志产品政府采购</w:t>
      </w:r>
      <w:r>
        <w:rPr>
          <w:color w:val="auto"/>
          <w:spacing w:val="-94"/>
        </w:rPr>
        <w:t xml:space="preserve"> </w:t>
      </w:r>
      <w:r>
        <w:rPr>
          <w:color w:val="auto"/>
        </w:rPr>
        <w:t xml:space="preserve">清单所在页扫描件或相关网页截图，否则评审时不予认可。 </w:t>
      </w:r>
      <w:r>
        <w:rPr>
          <w:color w:val="auto"/>
          <w:spacing w:val="2"/>
        </w:rPr>
        <w:t>3、如所投产品为环保产品，须按规定格式逐项填写，否则评审时不予认可。如</w:t>
      </w:r>
      <w:r>
        <w:rPr>
          <w:color w:val="auto"/>
          <w:spacing w:val="-97"/>
        </w:rPr>
        <w:t xml:space="preserve"> </w:t>
      </w:r>
      <w:r>
        <w:rPr>
          <w:color w:val="auto"/>
        </w:rPr>
        <w:t>所投产品不是环保产品，可不填此表。</w:t>
      </w:r>
    </w:p>
    <w:p>
      <w:pPr>
        <w:pStyle w:val="8"/>
        <w:kinsoku w:val="0"/>
        <w:overflowPunct w:val="0"/>
        <w:spacing w:before="0"/>
        <w:ind w:left="0"/>
        <w:rPr>
          <w:rFonts w:hint="default"/>
          <w:color w:val="auto"/>
        </w:rPr>
      </w:pPr>
    </w:p>
    <w:p>
      <w:pPr>
        <w:pStyle w:val="8"/>
        <w:kinsoku w:val="0"/>
        <w:overflowPunct w:val="0"/>
        <w:spacing w:before="190"/>
        <w:ind w:left="0" w:right="1221"/>
        <w:jc w:val="right"/>
        <w:rPr>
          <w:rFonts w:hint="default"/>
          <w:color w:val="auto"/>
        </w:rPr>
      </w:pPr>
      <w:r>
        <w:rPr>
          <w:color w:val="auto"/>
        </w:rPr>
        <w:t>年月日</w:t>
      </w:r>
    </w:p>
    <w:p>
      <w:pPr>
        <w:pStyle w:val="8"/>
        <w:kinsoku w:val="0"/>
        <w:overflowPunct w:val="0"/>
        <w:spacing w:before="190"/>
        <w:ind w:left="0" w:right="1221"/>
        <w:jc w:val="right"/>
        <w:rPr>
          <w:rFonts w:hint="default"/>
          <w:color w:val="auto"/>
        </w:rPr>
        <w:sectPr>
          <w:pgSz w:w="11910" w:h="16840"/>
          <w:pgMar w:top="1500" w:right="480" w:bottom="1600" w:left="500" w:header="0" w:footer="1415" w:gutter="0"/>
          <w:pgNumType w:fmt="decimal"/>
          <w:cols w:space="720" w:num="1"/>
        </w:sectPr>
      </w:pPr>
    </w:p>
    <w:p>
      <w:pPr>
        <w:pStyle w:val="8"/>
        <w:kinsoku w:val="0"/>
        <w:overflowPunct w:val="0"/>
        <w:spacing w:before="5" w:line="280" w:lineRule="auto"/>
        <w:ind w:left="1280" w:right="4219"/>
        <w:rPr>
          <w:rFonts w:hint="default"/>
          <w:color w:val="auto"/>
        </w:rPr>
      </w:pPr>
      <w:r>
        <w:rPr>
          <w:rFonts w:ascii="Times New Roman" w:eastAsia="Times New Roman" w:cs="Times New Roman"/>
          <w:color w:val="auto"/>
        </w:rPr>
        <w:t>2</w:t>
      </w:r>
      <w:r>
        <w:rPr>
          <w:color w:val="auto"/>
        </w:rPr>
        <w:t>）</w:t>
      </w:r>
      <w:r>
        <w:rPr>
          <w:b/>
          <w:color w:val="auto"/>
        </w:rPr>
        <w:t>节能产品明细表</w:t>
      </w:r>
      <w:r>
        <w:rPr>
          <w:b/>
          <w:color w:val="auto"/>
          <w:w w:val="99"/>
        </w:rPr>
        <w:t xml:space="preserve"> </w:t>
      </w:r>
      <w:r>
        <w:rPr>
          <w:color w:val="auto"/>
        </w:rPr>
        <w:t>项目编号、包号：价格单位：元</w:t>
      </w:r>
    </w:p>
    <w:p>
      <w:pPr>
        <w:pStyle w:val="8"/>
        <w:kinsoku w:val="0"/>
        <w:overflowPunct w:val="0"/>
        <w:spacing w:before="8"/>
        <w:ind w:left="0"/>
        <w:rPr>
          <w:rFonts w:hint="default"/>
          <w:color w:val="auto"/>
          <w:sz w:val="5"/>
          <w:szCs w:val="5"/>
        </w:rPr>
      </w:pPr>
    </w:p>
    <w:tbl>
      <w:tblPr>
        <w:tblStyle w:val="17"/>
        <w:tblW w:w="10613" w:type="dxa"/>
        <w:jc w:val="center"/>
        <w:tblLayout w:type="fixed"/>
        <w:tblCellMar>
          <w:top w:w="0" w:type="dxa"/>
          <w:left w:w="108" w:type="dxa"/>
          <w:bottom w:w="0" w:type="dxa"/>
          <w:right w:w="108" w:type="dxa"/>
        </w:tblCellMar>
      </w:tblPr>
      <w:tblGrid>
        <w:gridCol w:w="876"/>
        <w:gridCol w:w="1524"/>
        <w:gridCol w:w="1337"/>
        <w:gridCol w:w="1483"/>
        <w:gridCol w:w="1791"/>
        <w:gridCol w:w="2265"/>
        <w:gridCol w:w="1337"/>
      </w:tblGrid>
      <w:tr>
        <w:tblPrEx>
          <w:tblCellMar>
            <w:top w:w="0" w:type="dxa"/>
            <w:left w:w="108" w:type="dxa"/>
            <w:bottom w:w="0" w:type="dxa"/>
            <w:right w:w="108" w:type="dxa"/>
          </w:tblCellMar>
        </w:tblPrEx>
        <w:trPr>
          <w:trHeight w:val="956" w:hRule="exact"/>
          <w:jc w:val="center"/>
        </w:trPr>
        <w:tc>
          <w:tcPr>
            <w:tcW w:w="876" w:type="dxa"/>
            <w:tcBorders>
              <w:top w:val="single" w:color="000000" w:sz="10" w:space="0"/>
              <w:left w:val="single" w:color="000000" w:sz="10" w:space="0"/>
              <w:bottom w:val="single" w:color="000000" w:sz="4" w:space="0"/>
              <w:right w:val="single" w:color="000000" w:sz="4" w:space="0"/>
              <w:tl2br w:val="nil"/>
              <w:tr2bl w:val="nil"/>
            </w:tcBorders>
            <w:vAlign w:val="top"/>
          </w:tcPr>
          <w:p>
            <w:pPr>
              <w:pStyle w:val="21"/>
              <w:kinsoku w:val="0"/>
              <w:overflowPunct w:val="0"/>
              <w:spacing w:before="42"/>
              <w:ind w:left="184"/>
              <w:rPr>
                <w:rFonts w:hint="default" w:ascii="Times New Roman" w:eastAsia="Times New Roman"/>
                <w:color w:val="auto"/>
              </w:rPr>
            </w:pPr>
            <w:r>
              <w:rPr>
                <w:rFonts w:cs="宋体"/>
                <w:color w:val="auto"/>
              </w:rPr>
              <w:t>序号</w:t>
            </w:r>
          </w:p>
        </w:tc>
        <w:tc>
          <w:tcPr>
            <w:tcW w:w="1524" w:type="dxa"/>
            <w:tcBorders>
              <w:top w:val="single" w:color="000000" w:sz="10" w:space="0"/>
              <w:left w:val="single" w:color="000000" w:sz="4" w:space="0"/>
              <w:bottom w:val="single" w:color="000000" w:sz="4" w:space="0"/>
              <w:right w:val="single" w:color="000000" w:sz="4" w:space="0"/>
              <w:tl2br w:val="nil"/>
              <w:tr2bl w:val="nil"/>
            </w:tcBorders>
            <w:vAlign w:val="top"/>
          </w:tcPr>
          <w:p>
            <w:pPr>
              <w:pStyle w:val="21"/>
              <w:kinsoku w:val="0"/>
              <w:overflowPunct w:val="0"/>
              <w:spacing w:before="42"/>
              <w:ind w:left="278"/>
              <w:rPr>
                <w:rFonts w:hint="default" w:ascii="Times New Roman" w:eastAsia="Times New Roman"/>
                <w:color w:val="auto"/>
              </w:rPr>
            </w:pPr>
            <w:r>
              <w:rPr>
                <w:rFonts w:cs="宋体"/>
                <w:color w:val="auto"/>
              </w:rPr>
              <w:t>产品名称</w:t>
            </w:r>
          </w:p>
        </w:tc>
        <w:tc>
          <w:tcPr>
            <w:tcW w:w="1337" w:type="dxa"/>
            <w:tcBorders>
              <w:top w:val="single" w:color="000000" w:sz="10" w:space="0"/>
              <w:left w:val="single" w:color="000000" w:sz="4" w:space="0"/>
              <w:bottom w:val="single" w:color="000000" w:sz="4" w:space="0"/>
              <w:right w:val="single" w:color="000000" w:sz="4" w:space="0"/>
              <w:tl2br w:val="nil"/>
              <w:tr2bl w:val="nil"/>
            </w:tcBorders>
            <w:vAlign w:val="top"/>
          </w:tcPr>
          <w:p>
            <w:pPr>
              <w:pStyle w:val="21"/>
              <w:kinsoku w:val="0"/>
              <w:overflowPunct w:val="0"/>
              <w:spacing w:before="42"/>
              <w:ind w:left="301"/>
              <w:rPr>
                <w:rFonts w:hint="default" w:ascii="Times New Roman" w:eastAsia="Times New Roman"/>
                <w:color w:val="auto"/>
              </w:rPr>
            </w:pPr>
            <w:r>
              <w:rPr>
                <w:rFonts w:cs="宋体"/>
                <w:color w:val="auto"/>
              </w:rPr>
              <w:t>制造商</w:t>
            </w:r>
          </w:p>
        </w:tc>
        <w:tc>
          <w:tcPr>
            <w:tcW w:w="1483" w:type="dxa"/>
            <w:tcBorders>
              <w:top w:val="single" w:color="000000" w:sz="10" w:space="0"/>
              <w:left w:val="single" w:color="000000" w:sz="4" w:space="0"/>
              <w:bottom w:val="single" w:color="000000" w:sz="4" w:space="0"/>
              <w:right w:val="single" w:color="000000" w:sz="4" w:space="0"/>
              <w:tl2br w:val="nil"/>
              <w:tr2bl w:val="nil"/>
            </w:tcBorders>
            <w:vAlign w:val="top"/>
          </w:tcPr>
          <w:p>
            <w:pPr>
              <w:pStyle w:val="21"/>
              <w:kinsoku w:val="0"/>
              <w:overflowPunct w:val="0"/>
              <w:spacing w:before="42"/>
              <w:ind w:left="256"/>
              <w:rPr>
                <w:rFonts w:hint="default" w:ascii="Times New Roman" w:eastAsia="Times New Roman"/>
                <w:color w:val="auto"/>
              </w:rPr>
            </w:pPr>
            <w:r>
              <w:rPr>
                <w:rFonts w:cs="宋体"/>
                <w:color w:val="auto"/>
              </w:rPr>
              <w:t>产品型号</w:t>
            </w:r>
          </w:p>
        </w:tc>
        <w:tc>
          <w:tcPr>
            <w:tcW w:w="1791" w:type="dxa"/>
            <w:tcBorders>
              <w:top w:val="single" w:color="000000" w:sz="10" w:space="0"/>
              <w:left w:val="single" w:color="000000" w:sz="4" w:space="0"/>
              <w:bottom w:val="single" w:color="000000" w:sz="4" w:space="0"/>
              <w:right w:val="single" w:color="000000" w:sz="4" w:space="0"/>
              <w:tl2br w:val="nil"/>
              <w:tr2bl w:val="nil"/>
            </w:tcBorders>
            <w:vAlign w:val="top"/>
          </w:tcPr>
          <w:p>
            <w:pPr>
              <w:pStyle w:val="21"/>
              <w:kinsoku w:val="0"/>
              <w:overflowPunct w:val="0"/>
              <w:spacing w:before="42"/>
              <w:ind w:right="1"/>
              <w:jc w:val="center"/>
              <w:rPr>
                <w:rFonts w:hint="default" w:cs="宋体"/>
                <w:color w:val="auto"/>
              </w:rPr>
            </w:pPr>
            <w:r>
              <w:rPr>
                <w:rFonts w:cs="宋体"/>
                <w:color w:val="auto"/>
              </w:rPr>
              <w:t>节能标志认证</w:t>
            </w:r>
          </w:p>
          <w:p>
            <w:pPr>
              <w:pStyle w:val="21"/>
              <w:kinsoku w:val="0"/>
              <w:overflowPunct w:val="0"/>
              <w:spacing w:before="154"/>
              <w:ind w:right="1"/>
              <w:jc w:val="center"/>
              <w:rPr>
                <w:rFonts w:hint="default" w:ascii="Times New Roman" w:eastAsia="Times New Roman"/>
                <w:color w:val="auto"/>
              </w:rPr>
            </w:pPr>
            <w:r>
              <w:rPr>
                <w:rFonts w:cs="宋体"/>
                <w:color w:val="auto"/>
              </w:rPr>
              <w:t>证书号</w:t>
            </w:r>
          </w:p>
        </w:tc>
        <w:tc>
          <w:tcPr>
            <w:tcW w:w="2265" w:type="dxa"/>
            <w:tcBorders>
              <w:top w:val="single" w:color="000000" w:sz="10" w:space="0"/>
              <w:left w:val="single" w:color="000000" w:sz="4" w:space="0"/>
              <w:bottom w:val="single" w:color="000000" w:sz="4" w:space="0"/>
              <w:right w:val="single" w:color="000000" w:sz="4" w:space="0"/>
              <w:tl2br w:val="nil"/>
              <w:tr2bl w:val="nil"/>
            </w:tcBorders>
            <w:vAlign w:val="top"/>
          </w:tcPr>
          <w:p>
            <w:pPr>
              <w:pStyle w:val="21"/>
              <w:kinsoku w:val="0"/>
              <w:overflowPunct w:val="0"/>
              <w:spacing w:before="42"/>
              <w:ind w:right="1"/>
              <w:jc w:val="center"/>
              <w:rPr>
                <w:rFonts w:hint="default" w:cs="宋体"/>
                <w:color w:val="auto"/>
              </w:rPr>
            </w:pPr>
            <w:r>
              <w:rPr>
                <w:rFonts w:cs="宋体"/>
                <w:color w:val="auto"/>
              </w:rPr>
              <w:t>节能产品认证证书</w:t>
            </w:r>
          </w:p>
          <w:p>
            <w:pPr>
              <w:pStyle w:val="21"/>
              <w:kinsoku w:val="0"/>
              <w:overflowPunct w:val="0"/>
              <w:spacing w:before="154"/>
              <w:ind w:right="1"/>
              <w:jc w:val="center"/>
              <w:rPr>
                <w:rFonts w:hint="default" w:ascii="Times New Roman" w:eastAsia="Times New Roman"/>
                <w:color w:val="auto"/>
              </w:rPr>
            </w:pPr>
            <w:r>
              <w:rPr>
                <w:rFonts w:cs="宋体"/>
                <w:color w:val="auto"/>
              </w:rPr>
              <w:t>有效截止日期</w:t>
            </w:r>
          </w:p>
        </w:tc>
        <w:tc>
          <w:tcPr>
            <w:tcW w:w="1337" w:type="dxa"/>
            <w:tcBorders>
              <w:top w:val="single" w:color="000000" w:sz="10" w:space="0"/>
              <w:left w:val="single" w:color="000000" w:sz="4" w:space="0"/>
              <w:bottom w:val="single" w:color="000000" w:sz="4" w:space="0"/>
              <w:right w:val="single" w:color="000000" w:sz="10" w:space="0"/>
              <w:tl2br w:val="nil"/>
              <w:tr2bl w:val="nil"/>
            </w:tcBorders>
            <w:vAlign w:val="top"/>
          </w:tcPr>
          <w:p>
            <w:pPr>
              <w:pStyle w:val="21"/>
              <w:kinsoku w:val="0"/>
              <w:overflowPunct w:val="0"/>
              <w:spacing w:before="42"/>
              <w:ind w:left="422"/>
              <w:rPr>
                <w:rFonts w:hint="default" w:ascii="Times New Roman" w:eastAsia="Times New Roman"/>
                <w:color w:val="auto"/>
              </w:rPr>
            </w:pPr>
            <w:r>
              <w:rPr>
                <w:rFonts w:cs="宋体"/>
                <w:color w:val="auto"/>
              </w:rPr>
              <w:t>价格</w:t>
            </w:r>
          </w:p>
        </w:tc>
      </w:tr>
      <w:tr>
        <w:tblPrEx>
          <w:tblCellMar>
            <w:top w:w="0" w:type="dxa"/>
            <w:left w:w="108" w:type="dxa"/>
            <w:bottom w:w="0" w:type="dxa"/>
            <w:right w:w="108" w:type="dxa"/>
          </w:tblCellMar>
        </w:tblPrEx>
        <w:trPr>
          <w:trHeight w:val="946" w:hRule="exact"/>
          <w:jc w:val="center"/>
        </w:trPr>
        <w:tc>
          <w:tcPr>
            <w:tcW w:w="876" w:type="dxa"/>
            <w:tcBorders>
              <w:top w:val="single" w:color="000000" w:sz="4" w:space="0"/>
              <w:left w:val="single" w:color="000000" w:sz="10" w:space="0"/>
              <w:bottom w:val="single" w:color="000000" w:sz="4" w:space="0"/>
              <w:right w:val="single" w:color="000000" w:sz="4" w:space="0"/>
              <w:tl2br w:val="nil"/>
              <w:tr2bl w:val="nil"/>
            </w:tcBorders>
            <w:vAlign w:val="top"/>
          </w:tcPr>
          <w:p>
            <w:pPr>
              <w:pStyle w:val="21"/>
              <w:kinsoku w:val="0"/>
              <w:overflowPunct w:val="0"/>
              <w:rPr>
                <w:rFonts w:hint="default" w:cs="宋体"/>
                <w:color w:val="auto"/>
              </w:rPr>
            </w:pPr>
          </w:p>
          <w:p>
            <w:pPr>
              <w:pStyle w:val="21"/>
              <w:kinsoku w:val="0"/>
              <w:overflowPunct w:val="0"/>
              <w:spacing w:before="195"/>
              <w:ind w:right="68"/>
              <w:jc w:val="center"/>
              <w:rPr>
                <w:rFonts w:hint="default" w:ascii="Times New Roman" w:eastAsia="Times New Roman"/>
                <w:color w:val="auto"/>
              </w:rPr>
            </w:pPr>
            <w:r>
              <w:rPr>
                <w:rFonts w:cs="宋体"/>
                <w:color w:val="auto"/>
              </w:rPr>
              <w:t>1</w:t>
            </w:r>
          </w:p>
        </w:tc>
        <w:tc>
          <w:tcPr>
            <w:tcW w:w="1524"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default" w:ascii="Times New Roman" w:eastAsia="Times New Roman"/>
                <w:color w:val="auto"/>
              </w:rPr>
            </w:pPr>
          </w:p>
        </w:tc>
        <w:tc>
          <w:tcPr>
            <w:tcW w:w="1337"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default" w:ascii="Times New Roman" w:eastAsia="Times New Roman"/>
                <w:color w:val="auto"/>
              </w:rPr>
            </w:pPr>
          </w:p>
        </w:tc>
        <w:tc>
          <w:tcPr>
            <w:tcW w:w="1483"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default" w:ascii="Times New Roman" w:eastAsia="Times New Roman"/>
                <w:color w:val="auto"/>
              </w:rPr>
            </w:pPr>
          </w:p>
        </w:tc>
        <w:tc>
          <w:tcPr>
            <w:tcW w:w="1791"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default" w:ascii="Times New Roman" w:eastAsia="Times New Roman"/>
                <w:color w:val="auto"/>
              </w:rPr>
            </w:pPr>
          </w:p>
        </w:tc>
        <w:tc>
          <w:tcPr>
            <w:tcW w:w="2265"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default" w:ascii="Times New Roman" w:eastAsia="Times New Roman"/>
                <w:color w:val="auto"/>
              </w:rPr>
            </w:pPr>
          </w:p>
        </w:tc>
        <w:tc>
          <w:tcPr>
            <w:tcW w:w="1337" w:type="dxa"/>
            <w:tcBorders>
              <w:top w:val="single" w:color="000000" w:sz="4" w:space="0"/>
              <w:left w:val="single" w:color="000000" w:sz="4" w:space="0"/>
              <w:bottom w:val="single" w:color="000000" w:sz="4" w:space="0"/>
              <w:right w:val="single" w:color="000000" w:sz="10" w:space="0"/>
              <w:tl2br w:val="nil"/>
              <w:tr2bl w:val="nil"/>
            </w:tcBorders>
            <w:vAlign w:val="top"/>
          </w:tcPr>
          <w:p>
            <w:pPr>
              <w:rPr>
                <w:rFonts w:hint="default" w:ascii="Times New Roman" w:eastAsia="Times New Roman"/>
                <w:color w:val="auto"/>
              </w:rPr>
            </w:pPr>
          </w:p>
        </w:tc>
      </w:tr>
      <w:tr>
        <w:tblPrEx>
          <w:tblCellMar>
            <w:top w:w="0" w:type="dxa"/>
            <w:left w:w="108" w:type="dxa"/>
            <w:bottom w:w="0" w:type="dxa"/>
            <w:right w:w="108" w:type="dxa"/>
          </w:tblCellMar>
        </w:tblPrEx>
        <w:trPr>
          <w:trHeight w:val="946" w:hRule="exact"/>
          <w:jc w:val="center"/>
        </w:trPr>
        <w:tc>
          <w:tcPr>
            <w:tcW w:w="876" w:type="dxa"/>
            <w:tcBorders>
              <w:top w:val="single" w:color="000000" w:sz="4" w:space="0"/>
              <w:left w:val="single" w:color="000000" w:sz="10" w:space="0"/>
              <w:bottom w:val="single" w:color="000000" w:sz="4" w:space="0"/>
              <w:right w:val="single" w:color="000000" w:sz="4" w:space="0"/>
              <w:tl2br w:val="nil"/>
              <w:tr2bl w:val="nil"/>
            </w:tcBorders>
            <w:vAlign w:val="top"/>
          </w:tcPr>
          <w:p>
            <w:pPr>
              <w:pStyle w:val="21"/>
              <w:kinsoku w:val="0"/>
              <w:overflowPunct w:val="0"/>
              <w:rPr>
                <w:rFonts w:hint="default" w:cs="宋体"/>
                <w:color w:val="auto"/>
              </w:rPr>
            </w:pPr>
          </w:p>
          <w:p>
            <w:pPr>
              <w:pStyle w:val="21"/>
              <w:kinsoku w:val="0"/>
              <w:overflowPunct w:val="0"/>
              <w:spacing w:before="194"/>
              <w:ind w:right="68"/>
              <w:jc w:val="center"/>
              <w:rPr>
                <w:rFonts w:hint="default" w:ascii="Times New Roman" w:eastAsia="Times New Roman"/>
                <w:color w:val="auto"/>
              </w:rPr>
            </w:pPr>
            <w:r>
              <w:rPr>
                <w:rFonts w:cs="宋体"/>
                <w:color w:val="auto"/>
              </w:rPr>
              <w:t>2</w:t>
            </w:r>
          </w:p>
        </w:tc>
        <w:tc>
          <w:tcPr>
            <w:tcW w:w="1524"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default" w:ascii="Times New Roman" w:eastAsia="Times New Roman"/>
                <w:color w:val="auto"/>
              </w:rPr>
            </w:pPr>
          </w:p>
        </w:tc>
        <w:tc>
          <w:tcPr>
            <w:tcW w:w="1337"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default" w:ascii="Times New Roman" w:eastAsia="Times New Roman"/>
                <w:color w:val="auto"/>
              </w:rPr>
            </w:pPr>
          </w:p>
        </w:tc>
        <w:tc>
          <w:tcPr>
            <w:tcW w:w="1483"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default" w:ascii="Times New Roman" w:eastAsia="Times New Roman"/>
                <w:color w:val="auto"/>
              </w:rPr>
            </w:pPr>
          </w:p>
        </w:tc>
        <w:tc>
          <w:tcPr>
            <w:tcW w:w="1791"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default" w:ascii="Times New Roman" w:eastAsia="Times New Roman"/>
                <w:color w:val="auto"/>
              </w:rPr>
            </w:pPr>
          </w:p>
        </w:tc>
        <w:tc>
          <w:tcPr>
            <w:tcW w:w="2265"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default" w:ascii="Times New Roman" w:eastAsia="Times New Roman"/>
                <w:color w:val="auto"/>
              </w:rPr>
            </w:pPr>
          </w:p>
        </w:tc>
        <w:tc>
          <w:tcPr>
            <w:tcW w:w="1337" w:type="dxa"/>
            <w:tcBorders>
              <w:top w:val="single" w:color="000000" w:sz="4" w:space="0"/>
              <w:left w:val="single" w:color="000000" w:sz="4" w:space="0"/>
              <w:bottom w:val="single" w:color="000000" w:sz="4" w:space="0"/>
              <w:right w:val="single" w:color="000000" w:sz="10" w:space="0"/>
              <w:tl2br w:val="nil"/>
              <w:tr2bl w:val="nil"/>
            </w:tcBorders>
            <w:vAlign w:val="top"/>
          </w:tcPr>
          <w:p>
            <w:pPr>
              <w:rPr>
                <w:rFonts w:hint="default" w:ascii="Times New Roman" w:eastAsia="Times New Roman"/>
                <w:color w:val="auto"/>
              </w:rPr>
            </w:pPr>
          </w:p>
        </w:tc>
      </w:tr>
      <w:tr>
        <w:tblPrEx>
          <w:tblCellMar>
            <w:top w:w="0" w:type="dxa"/>
            <w:left w:w="108" w:type="dxa"/>
            <w:bottom w:w="0" w:type="dxa"/>
            <w:right w:w="108" w:type="dxa"/>
          </w:tblCellMar>
        </w:tblPrEx>
        <w:trPr>
          <w:trHeight w:val="946" w:hRule="exact"/>
          <w:jc w:val="center"/>
        </w:trPr>
        <w:tc>
          <w:tcPr>
            <w:tcW w:w="876" w:type="dxa"/>
            <w:tcBorders>
              <w:top w:val="single" w:color="000000" w:sz="4" w:space="0"/>
              <w:left w:val="single" w:color="000000" w:sz="10" w:space="0"/>
              <w:bottom w:val="single" w:color="000000" w:sz="4" w:space="0"/>
              <w:right w:val="single" w:color="000000" w:sz="4" w:space="0"/>
              <w:tl2br w:val="nil"/>
              <w:tr2bl w:val="nil"/>
            </w:tcBorders>
            <w:vAlign w:val="top"/>
          </w:tcPr>
          <w:p>
            <w:pPr>
              <w:pStyle w:val="21"/>
              <w:kinsoku w:val="0"/>
              <w:overflowPunct w:val="0"/>
              <w:rPr>
                <w:rFonts w:hint="default" w:cs="宋体"/>
                <w:color w:val="auto"/>
              </w:rPr>
            </w:pPr>
          </w:p>
          <w:p>
            <w:pPr>
              <w:pStyle w:val="21"/>
              <w:kinsoku w:val="0"/>
              <w:overflowPunct w:val="0"/>
              <w:spacing w:before="194"/>
              <w:ind w:right="68"/>
              <w:jc w:val="center"/>
              <w:rPr>
                <w:rFonts w:hint="default" w:ascii="Times New Roman" w:eastAsia="Times New Roman"/>
                <w:color w:val="auto"/>
              </w:rPr>
            </w:pPr>
            <w:r>
              <w:rPr>
                <w:rFonts w:cs="宋体"/>
                <w:color w:val="auto"/>
              </w:rPr>
              <w:t>3</w:t>
            </w:r>
          </w:p>
        </w:tc>
        <w:tc>
          <w:tcPr>
            <w:tcW w:w="1524" w:type="dxa"/>
            <w:tcBorders>
              <w:top w:val="single" w:color="000000" w:sz="4" w:space="0"/>
              <w:left w:val="single" w:color="000000" w:sz="4" w:space="0"/>
              <w:bottom w:val="single" w:color="000000" w:sz="4" w:space="0"/>
              <w:right w:val="single" w:color="000000" w:sz="4" w:space="0"/>
              <w:tl2br w:val="nil"/>
              <w:tr2bl w:val="nil"/>
            </w:tcBorders>
            <w:vAlign w:val="top"/>
          </w:tcPr>
          <w:p>
            <w:pPr>
              <w:pStyle w:val="21"/>
              <w:kinsoku w:val="0"/>
              <w:overflowPunct w:val="0"/>
              <w:rPr>
                <w:rFonts w:hint="default" w:cs="宋体"/>
                <w:color w:val="auto"/>
              </w:rPr>
            </w:pPr>
          </w:p>
          <w:p>
            <w:pPr>
              <w:pStyle w:val="21"/>
              <w:kinsoku w:val="0"/>
              <w:overflowPunct w:val="0"/>
              <w:spacing w:before="194"/>
              <w:ind w:left="131"/>
              <w:jc w:val="center"/>
              <w:rPr>
                <w:rFonts w:hint="default" w:ascii="Times New Roman" w:eastAsia="Times New Roman"/>
                <w:color w:val="auto"/>
              </w:rPr>
            </w:pPr>
            <w:r>
              <w:rPr>
                <w:rFonts w:cs="宋体"/>
                <w:color w:val="auto"/>
              </w:rPr>
              <w:t>…</w:t>
            </w:r>
          </w:p>
        </w:tc>
        <w:tc>
          <w:tcPr>
            <w:tcW w:w="1337"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default" w:ascii="Times New Roman" w:eastAsia="Times New Roman"/>
                <w:color w:val="auto"/>
              </w:rPr>
            </w:pPr>
          </w:p>
        </w:tc>
        <w:tc>
          <w:tcPr>
            <w:tcW w:w="1483"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default" w:ascii="Times New Roman" w:eastAsia="Times New Roman"/>
                <w:color w:val="auto"/>
              </w:rPr>
            </w:pPr>
          </w:p>
        </w:tc>
        <w:tc>
          <w:tcPr>
            <w:tcW w:w="1791"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default" w:ascii="Times New Roman" w:eastAsia="Times New Roman"/>
                <w:color w:val="auto"/>
              </w:rPr>
            </w:pPr>
          </w:p>
        </w:tc>
        <w:tc>
          <w:tcPr>
            <w:tcW w:w="2265" w:type="dxa"/>
            <w:tcBorders>
              <w:top w:val="single" w:color="000000" w:sz="4" w:space="0"/>
              <w:left w:val="single" w:color="000000" w:sz="4" w:space="0"/>
              <w:bottom w:val="single" w:color="000000" w:sz="4" w:space="0"/>
              <w:right w:val="single" w:color="000000" w:sz="4" w:space="0"/>
              <w:tl2br w:val="nil"/>
              <w:tr2bl w:val="nil"/>
            </w:tcBorders>
            <w:vAlign w:val="top"/>
          </w:tcPr>
          <w:p>
            <w:pPr>
              <w:rPr>
                <w:rFonts w:hint="default" w:ascii="Times New Roman" w:eastAsia="Times New Roman"/>
                <w:color w:val="auto"/>
              </w:rPr>
            </w:pPr>
          </w:p>
        </w:tc>
        <w:tc>
          <w:tcPr>
            <w:tcW w:w="1337" w:type="dxa"/>
            <w:tcBorders>
              <w:top w:val="single" w:color="000000" w:sz="4" w:space="0"/>
              <w:left w:val="single" w:color="000000" w:sz="4" w:space="0"/>
              <w:bottom w:val="single" w:color="000000" w:sz="4" w:space="0"/>
              <w:right w:val="single" w:color="000000" w:sz="10" w:space="0"/>
              <w:tl2br w:val="nil"/>
              <w:tr2bl w:val="nil"/>
            </w:tcBorders>
            <w:vAlign w:val="top"/>
          </w:tcPr>
          <w:p>
            <w:pPr>
              <w:rPr>
                <w:rFonts w:hint="default" w:ascii="Times New Roman" w:eastAsia="Times New Roman"/>
                <w:color w:val="auto"/>
              </w:rPr>
            </w:pPr>
          </w:p>
        </w:tc>
      </w:tr>
      <w:tr>
        <w:tblPrEx>
          <w:tblCellMar>
            <w:top w:w="0" w:type="dxa"/>
            <w:left w:w="108" w:type="dxa"/>
            <w:bottom w:w="0" w:type="dxa"/>
            <w:right w:w="108" w:type="dxa"/>
          </w:tblCellMar>
        </w:tblPrEx>
        <w:trPr>
          <w:trHeight w:val="956" w:hRule="exact"/>
          <w:jc w:val="center"/>
        </w:trPr>
        <w:tc>
          <w:tcPr>
            <w:tcW w:w="876" w:type="dxa"/>
            <w:tcBorders>
              <w:top w:val="single" w:color="000000" w:sz="4" w:space="0"/>
              <w:left w:val="single" w:color="000000" w:sz="10" w:space="0"/>
              <w:bottom w:val="single" w:color="000000" w:sz="10" w:space="0"/>
              <w:right w:val="single" w:color="000000" w:sz="4" w:space="0"/>
              <w:tl2br w:val="nil"/>
              <w:tr2bl w:val="nil"/>
            </w:tcBorders>
            <w:vAlign w:val="top"/>
          </w:tcPr>
          <w:p>
            <w:pPr>
              <w:pStyle w:val="21"/>
              <w:kinsoku w:val="0"/>
              <w:overflowPunct w:val="0"/>
              <w:rPr>
                <w:rFonts w:hint="default" w:cs="宋体"/>
                <w:color w:val="auto"/>
              </w:rPr>
            </w:pPr>
          </w:p>
          <w:p>
            <w:pPr>
              <w:pStyle w:val="21"/>
              <w:kinsoku w:val="0"/>
              <w:overflowPunct w:val="0"/>
              <w:spacing w:before="194"/>
              <w:ind w:right="68"/>
              <w:jc w:val="center"/>
              <w:rPr>
                <w:rFonts w:hint="default" w:ascii="Times New Roman" w:eastAsia="Times New Roman"/>
                <w:color w:val="auto"/>
              </w:rPr>
            </w:pPr>
            <w:r>
              <w:rPr>
                <w:rFonts w:cs="宋体"/>
                <w:color w:val="auto"/>
              </w:rPr>
              <w:t>4</w:t>
            </w:r>
          </w:p>
        </w:tc>
        <w:tc>
          <w:tcPr>
            <w:tcW w:w="1524" w:type="dxa"/>
            <w:tcBorders>
              <w:top w:val="single" w:color="000000" w:sz="4" w:space="0"/>
              <w:left w:val="single" w:color="000000" w:sz="4" w:space="0"/>
              <w:bottom w:val="single" w:color="000000" w:sz="10" w:space="0"/>
              <w:right w:val="single" w:color="000000" w:sz="4" w:space="0"/>
              <w:tl2br w:val="nil"/>
              <w:tr2bl w:val="nil"/>
            </w:tcBorders>
            <w:vAlign w:val="top"/>
          </w:tcPr>
          <w:p>
            <w:pPr>
              <w:pStyle w:val="21"/>
              <w:kinsoku w:val="0"/>
              <w:overflowPunct w:val="0"/>
              <w:rPr>
                <w:rFonts w:hint="default" w:cs="宋体"/>
                <w:color w:val="auto"/>
                <w:sz w:val="21"/>
                <w:szCs w:val="21"/>
              </w:rPr>
            </w:pPr>
          </w:p>
          <w:p>
            <w:pPr>
              <w:pStyle w:val="21"/>
              <w:kinsoku w:val="0"/>
              <w:overflowPunct w:val="0"/>
              <w:ind w:left="534"/>
              <w:rPr>
                <w:rFonts w:hint="default" w:ascii="Times New Roman" w:eastAsia="Times New Roman"/>
                <w:color w:val="auto"/>
              </w:rPr>
            </w:pPr>
            <w:r>
              <w:rPr>
                <w:rFonts w:cs="宋体"/>
                <w:color w:val="auto"/>
              </w:rPr>
              <w:t>合计</w:t>
            </w:r>
          </w:p>
        </w:tc>
        <w:tc>
          <w:tcPr>
            <w:tcW w:w="1337" w:type="dxa"/>
            <w:tcBorders>
              <w:top w:val="single" w:color="000000" w:sz="4" w:space="0"/>
              <w:left w:val="single" w:color="000000" w:sz="4" w:space="0"/>
              <w:bottom w:val="single" w:color="000000" w:sz="10" w:space="0"/>
              <w:right w:val="single" w:color="000000" w:sz="4" w:space="0"/>
              <w:tl2br w:val="nil"/>
              <w:tr2bl w:val="nil"/>
            </w:tcBorders>
            <w:vAlign w:val="top"/>
          </w:tcPr>
          <w:p>
            <w:pPr>
              <w:rPr>
                <w:rFonts w:hint="default" w:ascii="Times New Roman" w:eastAsia="Times New Roman"/>
                <w:color w:val="auto"/>
              </w:rPr>
            </w:pPr>
          </w:p>
        </w:tc>
        <w:tc>
          <w:tcPr>
            <w:tcW w:w="1483" w:type="dxa"/>
            <w:tcBorders>
              <w:top w:val="single" w:color="000000" w:sz="4" w:space="0"/>
              <w:left w:val="single" w:color="000000" w:sz="4" w:space="0"/>
              <w:bottom w:val="single" w:color="000000" w:sz="10" w:space="0"/>
              <w:right w:val="single" w:color="000000" w:sz="4" w:space="0"/>
              <w:tl2br w:val="nil"/>
              <w:tr2bl w:val="nil"/>
            </w:tcBorders>
            <w:vAlign w:val="top"/>
          </w:tcPr>
          <w:p>
            <w:pPr>
              <w:rPr>
                <w:rFonts w:hint="default" w:ascii="Times New Roman" w:eastAsia="Times New Roman"/>
                <w:color w:val="auto"/>
              </w:rPr>
            </w:pPr>
          </w:p>
        </w:tc>
        <w:tc>
          <w:tcPr>
            <w:tcW w:w="1791" w:type="dxa"/>
            <w:tcBorders>
              <w:top w:val="single" w:color="000000" w:sz="4" w:space="0"/>
              <w:left w:val="single" w:color="000000" w:sz="4" w:space="0"/>
              <w:bottom w:val="single" w:color="000000" w:sz="10" w:space="0"/>
              <w:right w:val="single" w:color="000000" w:sz="4" w:space="0"/>
              <w:tl2br w:val="nil"/>
              <w:tr2bl w:val="nil"/>
            </w:tcBorders>
            <w:vAlign w:val="top"/>
          </w:tcPr>
          <w:p>
            <w:pPr>
              <w:rPr>
                <w:rFonts w:hint="default" w:ascii="Times New Roman" w:eastAsia="Times New Roman"/>
                <w:color w:val="auto"/>
              </w:rPr>
            </w:pPr>
          </w:p>
        </w:tc>
        <w:tc>
          <w:tcPr>
            <w:tcW w:w="2265" w:type="dxa"/>
            <w:tcBorders>
              <w:top w:val="single" w:color="000000" w:sz="4" w:space="0"/>
              <w:left w:val="single" w:color="000000" w:sz="4" w:space="0"/>
              <w:bottom w:val="single" w:color="000000" w:sz="10" w:space="0"/>
              <w:right w:val="single" w:color="000000" w:sz="4" w:space="0"/>
              <w:tl2br w:val="nil"/>
              <w:tr2bl w:val="nil"/>
            </w:tcBorders>
            <w:vAlign w:val="top"/>
          </w:tcPr>
          <w:p>
            <w:pPr>
              <w:rPr>
                <w:rFonts w:hint="default" w:ascii="Times New Roman" w:eastAsia="Times New Roman"/>
                <w:color w:val="auto"/>
              </w:rPr>
            </w:pPr>
          </w:p>
        </w:tc>
        <w:tc>
          <w:tcPr>
            <w:tcW w:w="1337" w:type="dxa"/>
            <w:tcBorders>
              <w:top w:val="single" w:color="000000" w:sz="4" w:space="0"/>
              <w:left w:val="single" w:color="000000" w:sz="4" w:space="0"/>
              <w:bottom w:val="single" w:color="000000" w:sz="10" w:space="0"/>
              <w:right w:val="single" w:color="000000" w:sz="10" w:space="0"/>
              <w:tl2br w:val="nil"/>
              <w:tr2bl w:val="nil"/>
            </w:tcBorders>
            <w:vAlign w:val="top"/>
          </w:tcPr>
          <w:p>
            <w:pPr>
              <w:rPr>
                <w:rFonts w:hint="default" w:ascii="Times New Roman" w:eastAsia="Times New Roman"/>
                <w:color w:val="auto"/>
              </w:rPr>
            </w:pPr>
          </w:p>
        </w:tc>
      </w:tr>
    </w:tbl>
    <w:p>
      <w:pPr>
        <w:pStyle w:val="8"/>
        <w:kinsoku w:val="0"/>
        <w:overflowPunct w:val="0"/>
        <w:spacing w:before="42" w:line="357" w:lineRule="auto"/>
        <w:ind w:right="405"/>
        <w:rPr>
          <w:rFonts w:hint="default"/>
          <w:color w:val="auto"/>
          <w:spacing w:val="-7"/>
        </w:rPr>
      </w:pPr>
      <w:r>
        <w:rPr>
          <w:color w:val="auto"/>
        </w:rPr>
        <w:t xml:space="preserve">说明： </w:t>
      </w:r>
      <w:r>
        <w:rPr>
          <w:color w:val="auto"/>
          <w:spacing w:val="-7"/>
        </w:rPr>
        <w:t>1、节能产品根据财政部、国家发展改革委最新公布的节能产品政府采购清单确定。</w:t>
      </w:r>
    </w:p>
    <w:p>
      <w:pPr>
        <w:pStyle w:val="8"/>
        <w:kinsoku w:val="0"/>
        <w:overflowPunct w:val="0"/>
        <w:spacing w:line="350" w:lineRule="auto"/>
        <w:ind w:right="405"/>
        <w:rPr>
          <w:rFonts w:hint="default"/>
          <w:color w:val="auto"/>
        </w:rPr>
      </w:pPr>
      <w:r>
        <w:rPr>
          <w:rFonts w:ascii="Times New Roman" w:eastAsia="Times New Roman" w:cs="Times New Roman"/>
          <w:color w:val="auto"/>
          <w:spacing w:val="-4"/>
        </w:rPr>
        <w:t>2</w:t>
      </w:r>
      <w:r>
        <w:rPr>
          <w:color w:val="auto"/>
          <w:spacing w:val="-4"/>
        </w:rPr>
        <w:t>、如所投产品为节能产品，须提供所投产品在最新公布的节能产品政府采购清单</w:t>
      </w:r>
      <w:r>
        <w:rPr>
          <w:color w:val="auto"/>
          <w:spacing w:val="-94"/>
        </w:rPr>
        <w:t xml:space="preserve"> </w:t>
      </w:r>
      <w:r>
        <w:rPr>
          <w:color w:val="auto"/>
        </w:rPr>
        <w:t xml:space="preserve">所在页扫描件或相关网页截图，否则评审时不予认可。 </w:t>
      </w:r>
      <w:r>
        <w:rPr>
          <w:color w:val="auto"/>
          <w:spacing w:val="-4"/>
        </w:rPr>
        <w:t>3、如所投产品为节能产品，须按规定格式逐项填写，否则评审时不予认可。如所</w:t>
      </w:r>
      <w:r>
        <w:rPr>
          <w:color w:val="auto"/>
          <w:spacing w:val="-95"/>
        </w:rPr>
        <w:t xml:space="preserve"> </w:t>
      </w:r>
      <w:r>
        <w:rPr>
          <w:color w:val="auto"/>
        </w:rPr>
        <w:t>投产品不是节能产品，可不填此表。</w:t>
      </w:r>
    </w:p>
    <w:p>
      <w:pPr>
        <w:pStyle w:val="8"/>
        <w:kinsoku w:val="0"/>
        <w:overflowPunct w:val="0"/>
        <w:spacing w:before="0"/>
        <w:ind w:left="0"/>
        <w:rPr>
          <w:rFonts w:hint="default"/>
          <w:color w:val="auto"/>
        </w:rPr>
      </w:pPr>
    </w:p>
    <w:p>
      <w:pPr>
        <w:pStyle w:val="8"/>
        <w:kinsoku w:val="0"/>
        <w:overflowPunct w:val="0"/>
        <w:spacing w:before="197"/>
        <w:ind w:left="0" w:right="1314"/>
        <w:jc w:val="right"/>
        <w:rPr>
          <w:rFonts w:hint="default"/>
          <w:color w:val="auto"/>
        </w:rPr>
      </w:pPr>
      <w:r>
        <w:rPr>
          <w:color w:val="auto"/>
        </w:rPr>
        <w:t>年月日</w:t>
      </w:r>
    </w:p>
    <w:p>
      <w:pPr>
        <w:pStyle w:val="8"/>
        <w:kinsoku w:val="0"/>
        <w:overflowPunct w:val="0"/>
        <w:spacing w:before="26"/>
        <w:ind w:left="0" w:right="191"/>
        <w:jc w:val="right"/>
        <w:rPr>
          <w:rFonts w:hint="default"/>
          <w:color w:val="auto"/>
        </w:rPr>
        <w:sectPr>
          <w:footerReference r:id="rId17" w:type="default"/>
          <w:pgSz w:w="11910" w:h="16840"/>
          <w:pgMar w:top="1380" w:right="1520" w:bottom="1600" w:left="1540" w:header="0" w:footer="1395" w:gutter="0"/>
          <w:pgNumType w:fmt="decimal"/>
          <w:cols w:space="720" w:num="1"/>
        </w:sectPr>
      </w:pPr>
    </w:p>
    <w:p>
      <w:pPr>
        <w:pStyle w:val="3"/>
        <w:kinsoku w:val="0"/>
        <w:overflowPunct w:val="0"/>
        <w:spacing w:line="395" w:lineRule="exact"/>
        <w:rPr>
          <w:rFonts w:hint="default"/>
          <w:b w:val="0"/>
          <w:color w:val="auto"/>
        </w:rPr>
      </w:pPr>
      <w:bookmarkStart w:id="68" w:name="1、投标人自行编写的技术文件"/>
      <w:bookmarkEnd w:id="68"/>
      <w:bookmarkStart w:id="69" w:name="三、技术（响应）文件"/>
      <w:bookmarkEnd w:id="69"/>
      <w:r>
        <w:rPr>
          <w:color w:val="auto"/>
        </w:rPr>
        <w:t>三、技术（响应）文件</w:t>
      </w:r>
    </w:p>
    <w:p>
      <w:pPr>
        <w:pStyle w:val="3"/>
        <w:kinsoku w:val="0"/>
        <w:overflowPunct w:val="0"/>
        <w:spacing w:line="395" w:lineRule="exact"/>
        <w:rPr>
          <w:rFonts w:hint="default"/>
          <w:b w:val="0"/>
          <w:color w:val="auto"/>
        </w:rPr>
        <w:sectPr>
          <w:pgSz w:w="11910" w:h="16840"/>
          <w:pgMar w:top="1500" w:right="1680" w:bottom="1600" w:left="1680" w:header="0" w:footer="1395" w:gutter="0"/>
          <w:pgNumType w:fmt="decimal"/>
          <w:cols w:space="720" w:num="1"/>
        </w:sectPr>
      </w:pPr>
    </w:p>
    <w:p>
      <w:pPr>
        <w:pStyle w:val="8"/>
        <w:kinsoku w:val="0"/>
        <w:overflowPunct w:val="0"/>
        <w:spacing w:before="0" w:line="395" w:lineRule="exact"/>
        <w:ind w:left="700"/>
        <w:rPr>
          <w:rFonts w:hint="default" w:ascii="黑体" w:eastAsia="黑体" w:cs="黑体"/>
          <w:color w:val="auto"/>
          <w:sz w:val="32"/>
          <w:szCs w:val="32"/>
        </w:rPr>
      </w:pPr>
      <w:r>
        <w:rPr>
          <w:rFonts w:ascii="黑体" w:eastAsia="黑体" w:cs="黑体"/>
          <w:b/>
          <w:color w:val="auto"/>
          <w:sz w:val="32"/>
          <w:szCs w:val="32"/>
        </w:rPr>
        <w:t>1、</w:t>
      </w:r>
      <w:r>
        <w:rPr>
          <w:rFonts w:hint="eastAsia" w:ascii="黑体" w:eastAsia="黑体" w:cs="黑体"/>
          <w:b/>
          <w:color w:val="auto"/>
          <w:sz w:val="32"/>
          <w:szCs w:val="32"/>
          <w:lang w:eastAsia="zh-CN"/>
        </w:rPr>
        <w:t>供应商</w:t>
      </w:r>
      <w:r>
        <w:rPr>
          <w:rFonts w:ascii="黑体" w:eastAsia="黑体" w:cs="黑体"/>
          <w:b/>
          <w:color w:val="auto"/>
          <w:sz w:val="32"/>
          <w:szCs w:val="32"/>
        </w:rPr>
        <w:t>自行编写的技术文件</w:t>
      </w:r>
    </w:p>
    <w:p>
      <w:pPr>
        <w:pStyle w:val="8"/>
        <w:kinsoku w:val="0"/>
        <w:overflowPunct w:val="0"/>
        <w:spacing w:before="190"/>
        <w:ind w:left="769"/>
        <w:rPr>
          <w:rFonts w:hint="default"/>
          <w:color w:val="auto"/>
        </w:rPr>
      </w:pPr>
      <w:r>
        <w:rPr>
          <w:rFonts w:hint="default"/>
          <w:color w:val="auto"/>
        </w:rPr>
        <mc:AlternateContent>
          <mc:Choice Requires="wps">
            <w:drawing>
              <wp:anchor distT="0" distB="0" distL="114300" distR="114300" simplePos="0" relativeHeight="251667456" behindDoc="1" locked="0" layoutInCell="0" allowOverlap="1">
                <wp:simplePos x="0" y="0"/>
                <wp:positionH relativeFrom="page">
                  <wp:posOffset>1143635</wp:posOffset>
                </wp:positionH>
                <wp:positionV relativeFrom="paragraph">
                  <wp:posOffset>170180</wp:posOffset>
                </wp:positionV>
                <wp:extent cx="151765" cy="152400"/>
                <wp:effectExtent l="4445" t="4445" r="8890" b="8255"/>
                <wp:wrapNone/>
                <wp:docPr id="16" name="任意多边形 148"/>
                <wp:cNvGraphicFramePr/>
                <a:graphic xmlns:a="http://schemas.openxmlformats.org/drawingml/2006/main">
                  <a:graphicData uri="http://schemas.microsoft.com/office/word/2010/wordprocessingShape">
                    <wps:wsp>
                      <wps:cNvSpPr/>
                      <wps:spPr>
                        <a:xfrm>
                          <a:off x="0" y="0"/>
                          <a:ext cx="151765" cy="152400"/>
                        </a:xfrm>
                        <a:custGeom>
                          <a:avLst/>
                          <a:gdLst/>
                          <a:ahLst/>
                          <a:cxnLst/>
                          <a:rect l="0" t="0" r="0" b="0"/>
                          <a:pathLst>
                            <a:path w="239" h="240">
                              <a:moveTo>
                                <a:pt x="238" y="119"/>
                              </a:moveTo>
                              <a:lnTo>
                                <a:pt x="236" y="142"/>
                              </a:lnTo>
                              <a:lnTo>
                                <a:pt x="229" y="164"/>
                              </a:lnTo>
                              <a:lnTo>
                                <a:pt x="220" y="183"/>
                              </a:lnTo>
                              <a:lnTo>
                                <a:pt x="206" y="200"/>
                              </a:lnTo>
                              <a:lnTo>
                                <a:pt x="190" y="215"/>
                              </a:lnTo>
                              <a:lnTo>
                                <a:pt x="172" y="227"/>
                              </a:lnTo>
                              <a:lnTo>
                                <a:pt x="151" y="235"/>
                              </a:lnTo>
                              <a:lnTo>
                                <a:pt x="129" y="239"/>
                              </a:lnTo>
                              <a:lnTo>
                                <a:pt x="104" y="237"/>
                              </a:lnTo>
                              <a:lnTo>
                                <a:pt x="81" y="231"/>
                              </a:lnTo>
                              <a:lnTo>
                                <a:pt x="60" y="223"/>
                              </a:lnTo>
                              <a:lnTo>
                                <a:pt x="42" y="211"/>
                              </a:lnTo>
                              <a:lnTo>
                                <a:pt x="26" y="196"/>
                              </a:lnTo>
                              <a:lnTo>
                                <a:pt x="14" y="179"/>
                              </a:lnTo>
                              <a:lnTo>
                                <a:pt x="5" y="160"/>
                              </a:lnTo>
                              <a:lnTo>
                                <a:pt x="0" y="139"/>
                              </a:lnTo>
                              <a:lnTo>
                                <a:pt x="1" y="112"/>
                              </a:lnTo>
                              <a:lnTo>
                                <a:pt x="6" y="88"/>
                              </a:lnTo>
                              <a:lnTo>
                                <a:pt x="14" y="66"/>
                              </a:lnTo>
                              <a:lnTo>
                                <a:pt x="25" y="48"/>
                              </a:lnTo>
                              <a:lnTo>
                                <a:pt x="38" y="31"/>
                              </a:lnTo>
                              <a:lnTo>
                                <a:pt x="54" y="18"/>
                              </a:lnTo>
                              <a:lnTo>
                                <a:pt x="72" y="9"/>
                              </a:lnTo>
                              <a:lnTo>
                                <a:pt x="91" y="2"/>
                              </a:lnTo>
                              <a:lnTo>
                                <a:pt x="112" y="0"/>
                              </a:lnTo>
                              <a:lnTo>
                                <a:pt x="136" y="2"/>
                              </a:lnTo>
                              <a:lnTo>
                                <a:pt x="158" y="7"/>
                              </a:lnTo>
                              <a:lnTo>
                                <a:pt x="179" y="17"/>
                              </a:lnTo>
                              <a:lnTo>
                                <a:pt x="196" y="29"/>
                              </a:lnTo>
                              <a:lnTo>
                                <a:pt x="211" y="45"/>
                              </a:lnTo>
                              <a:lnTo>
                                <a:pt x="223" y="63"/>
                              </a:lnTo>
                              <a:lnTo>
                                <a:pt x="232" y="82"/>
                              </a:lnTo>
                              <a:lnTo>
                                <a:pt x="237" y="104"/>
                              </a:lnTo>
                            </a:path>
                          </a:pathLst>
                        </a:custGeom>
                        <a:noFill/>
                        <a:ln w="635" cap="flat" cmpd="sng">
                          <a:solidFill>
                            <a:srgbClr val="000000"/>
                          </a:solidFill>
                          <a:prstDash val="solid"/>
                          <a:headEnd type="none" w="med" len="med"/>
                          <a:tailEnd type="none" w="med" len="med"/>
                        </a:ln>
                      </wps:spPr>
                      <wps:bodyPr wrap="square" upright="1"/>
                    </wps:wsp>
                  </a:graphicData>
                </a:graphic>
              </wp:anchor>
            </w:drawing>
          </mc:Choice>
          <mc:Fallback>
            <w:pict>
              <v:shape id="任意多边形 148" o:spid="_x0000_s1026" o:spt="100" style="position:absolute;left:0pt;margin-left:90.05pt;margin-top:13.4pt;height:12pt;width:11.95pt;mso-position-horizontal-relative:page;z-index:-251649024;mso-width-relative:page;mso-height-relative:page;" filled="f" stroked="t" coordsize="239,240" o:allowincell="f" o:gfxdata="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" path="m238,119l236,142,229,164,220,183,206,200,190,215,172,227,151,235,129,239,104,237,81,231,60,223,42,211,26,196,14,179,5,160,0,139,1,112,6,88,14,66,25,48,38,31,54,18,72,9,91,2,112,0,136,2,158,7,179,17,196,29,211,45,223,63,232,82,237,104e">
                <v:fill on="f" focussize="0,0"/>
                <v:stroke weight="0.05pt" color="#000000" joinstyle="round"/>
                <v:imagedata o:title=""/>
                <o:lock v:ext="edit" aspectratio="f"/>
              </v:shape>
            </w:pict>
          </mc:Fallback>
        </mc:AlternateContent>
      </w:r>
      <w:r>
        <w:rPr>
          <w:color w:val="auto"/>
          <w:sz w:val="20"/>
          <w:szCs w:val="20"/>
        </w:rPr>
        <w:t>1</w:t>
      </w:r>
      <w:r>
        <w:rPr>
          <w:color w:val="auto"/>
          <w:spacing w:val="89"/>
          <w:sz w:val="20"/>
          <w:szCs w:val="20"/>
        </w:rPr>
        <w:t xml:space="preserve"> </w:t>
      </w:r>
      <w:r>
        <w:rPr>
          <w:color w:val="auto"/>
        </w:rPr>
        <w:t>主要技术指标和运行性能：</w:t>
      </w:r>
    </w:p>
    <w:p>
      <w:pPr>
        <w:pStyle w:val="8"/>
        <w:kinsoku w:val="0"/>
        <w:overflowPunct w:val="0"/>
        <w:spacing w:before="154"/>
        <w:ind w:left="700"/>
        <w:rPr>
          <w:rFonts w:hint="default"/>
          <w:color w:val="auto"/>
        </w:rPr>
      </w:pPr>
      <w:r>
        <w:rPr>
          <w:color w:val="auto"/>
        </w:rPr>
        <w:t>&lt;1&gt;</w:t>
      </w:r>
      <w:r>
        <w:rPr>
          <w:color w:val="auto"/>
          <w:sz w:val="21"/>
          <w:szCs w:val="21"/>
        </w:rPr>
        <w:t>★</w:t>
      </w:r>
      <w:r>
        <w:rPr>
          <w:color w:val="auto"/>
        </w:rPr>
        <w:t>工具表、车辆配置情况说明、人员表和备用工具及特殊工具清单说明；</w:t>
      </w:r>
    </w:p>
    <w:p>
      <w:pPr>
        <w:pStyle w:val="8"/>
        <w:kinsoku w:val="0"/>
        <w:overflowPunct w:val="0"/>
        <w:spacing w:before="154"/>
        <w:ind w:left="700"/>
        <w:rPr>
          <w:rFonts w:hint="default"/>
          <w:color w:val="auto"/>
          <w:sz w:val="21"/>
          <w:szCs w:val="21"/>
        </w:rPr>
      </w:pPr>
      <w:r>
        <w:rPr>
          <w:color w:val="auto"/>
        </w:rPr>
        <w:t>&lt;2&gt;</w:t>
      </w:r>
      <w:r>
        <w:rPr>
          <w:color w:val="auto"/>
          <w:sz w:val="21"/>
          <w:szCs w:val="21"/>
        </w:rPr>
        <w:t>★方案及验收标准；</w:t>
      </w:r>
    </w:p>
    <w:p>
      <w:pPr>
        <w:pStyle w:val="8"/>
        <w:kinsoku w:val="0"/>
        <w:overflowPunct w:val="0"/>
        <w:spacing w:before="154" w:line="357" w:lineRule="auto"/>
        <w:ind w:left="700" w:right="6986"/>
        <w:rPr>
          <w:rFonts w:hint="default"/>
          <w:color w:val="auto"/>
        </w:rPr>
      </w:pPr>
      <w:r>
        <w:rPr>
          <w:color w:val="auto"/>
        </w:rPr>
        <w:t>&lt;3&gt;</w:t>
      </w:r>
      <w:r>
        <w:rPr>
          <w:color w:val="auto"/>
          <w:sz w:val="21"/>
          <w:szCs w:val="21"/>
        </w:rPr>
        <w:t>★保证服务期措施</w:t>
      </w:r>
      <w:r>
        <w:rPr>
          <w:color w:val="auto"/>
          <w:w w:val="99"/>
          <w:sz w:val="21"/>
          <w:szCs w:val="21"/>
        </w:rPr>
        <w:t xml:space="preserve"> </w:t>
      </w:r>
      <w:r>
        <w:rPr>
          <w:color w:val="auto"/>
        </w:rPr>
        <w:t>项目编号、包号：</w:t>
      </w:r>
    </w:p>
    <w:tbl>
      <w:tblPr>
        <w:tblStyle w:val="17"/>
        <w:tblW w:w="0" w:type="auto"/>
        <w:tblInd w:w="214" w:type="dxa"/>
        <w:tblLayout w:type="fixed"/>
        <w:tblCellMar>
          <w:top w:w="0" w:type="dxa"/>
          <w:left w:w="108" w:type="dxa"/>
          <w:bottom w:w="0" w:type="dxa"/>
          <w:right w:w="108" w:type="dxa"/>
        </w:tblCellMar>
      </w:tblPr>
      <w:tblGrid>
        <w:gridCol w:w="552"/>
        <w:gridCol w:w="2441"/>
        <w:gridCol w:w="4725"/>
        <w:gridCol w:w="1749"/>
      </w:tblGrid>
      <w:tr>
        <w:tblPrEx>
          <w:tblCellMar>
            <w:top w:w="0" w:type="dxa"/>
            <w:left w:w="108" w:type="dxa"/>
            <w:bottom w:w="0" w:type="dxa"/>
            <w:right w:w="108" w:type="dxa"/>
          </w:tblCellMar>
        </w:tblPrEx>
        <w:trPr>
          <w:trHeight w:val="488" w:hRule="exact"/>
        </w:trPr>
        <w:tc>
          <w:tcPr>
            <w:tcW w:w="552" w:type="dxa"/>
            <w:tcBorders>
              <w:top w:val="single" w:color="000000" w:sz="10" w:space="0"/>
              <w:left w:val="single" w:color="000000" w:sz="10" w:space="0"/>
              <w:bottom w:val="single" w:color="000000" w:sz="4" w:space="0"/>
              <w:right w:val="single" w:color="000000" w:sz="4" w:space="0"/>
              <w:tl2br w:val="nil"/>
              <w:tr2bl w:val="nil"/>
            </w:tcBorders>
          </w:tcPr>
          <w:p>
            <w:pPr>
              <w:pStyle w:val="21"/>
              <w:kinsoku w:val="0"/>
              <w:overflowPunct w:val="0"/>
              <w:spacing w:before="38"/>
              <w:ind w:left="141"/>
              <w:rPr>
                <w:rFonts w:hint="default" w:ascii="Times New Roman" w:eastAsia="Times New Roman"/>
                <w:color w:val="auto"/>
              </w:rPr>
            </w:pPr>
            <w:r>
              <w:rPr>
                <w:rFonts w:cs="宋体"/>
                <w:color w:val="auto"/>
              </w:rPr>
              <w:t>项</w:t>
            </w:r>
          </w:p>
        </w:tc>
        <w:tc>
          <w:tcPr>
            <w:tcW w:w="2441" w:type="dxa"/>
            <w:tcBorders>
              <w:top w:val="single" w:color="000000" w:sz="10" w:space="0"/>
              <w:left w:val="single" w:color="000000" w:sz="4" w:space="0"/>
              <w:bottom w:val="single" w:color="000000" w:sz="4" w:space="0"/>
              <w:right w:val="single" w:color="000000" w:sz="4" w:space="0"/>
              <w:tl2br w:val="nil"/>
              <w:tr2bl w:val="nil"/>
            </w:tcBorders>
          </w:tcPr>
          <w:p>
            <w:pPr>
              <w:pStyle w:val="21"/>
              <w:kinsoku w:val="0"/>
              <w:overflowPunct w:val="0"/>
              <w:spacing w:before="38"/>
              <w:jc w:val="center"/>
              <w:rPr>
                <w:rFonts w:hint="default" w:ascii="Times New Roman" w:eastAsia="Times New Roman"/>
                <w:color w:val="auto"/>
              </w:rPr>
            </w:pPr>
            <w:r>
              <w:rPr>
                <w:rFonts w:cs="宋体"/>
                <w:color w:val="auto"/>
              </w:rPr>
              <w:t>1</w:t>
            </w:r>
          </w:p>
        </w:tc>
        <w:tc>
          <w:tcPr>
            <w:tcW w:w="4725" w:type="dxa"/>
            <w:tcBorders>
              <w:top w:val="single" w:color="000000" w:sz="10" w:space="0"/>
              <w:left w:val="single" w:color="000000" w:sz="4" w:space="0"/>
              <w:bottom w:val="single" w:color="000000" w:sz="4" w:space="0"/>
              <w:right w:val="single" w:color="000000" w:sz="4" w:space="0"/>
              <w:tl2br w:val="nil"/>
              <w:tr2bl w:val="nil"/>
            </w:tcBorders>
          </w:tcPr>
          <w:p>
            <w:pPr>
              <w:pStyle w:val="21"/>
              <w:kinsoku w:val="0"/>
              <w:overflowPunct w:val="0"/>
              <w:spacing w:before="38"/>
              <w:ind w:left="41"/>
              <w:jc w:val="center"/>
              <w:rPr>
                <w:rFonts w:hint="default" w:ascii="Times New Roman" w:eastAsia="Times New Roman"/>
                <w:color w:val="auto"/>
              </w:rPr>
            </w:pPr>
            <w:r>
              <w:rPr>
                <w:rFonts w:cs="宋体"/>
                <w:color w:val="auto"/>
              </w:rPr>
              <w:t>2</w:t>
            </w:r>
          </w:p>
        </w:tc>
        <w:tc>
          <w:tcPr>
            <w:tcW w:w="1749" w:type="dxa"/>
            <w:tcBorders>
              <w:top w:val="single" w:color="000000" w:sz="10" w:space="0"/>
              <w:left w:val="single" w:color="000000" w:sz="4" w:space="0"/>
              <w:bottom w:val="single" w:color="000000" w:sz="4" w:space="0"/>
              <w:right w:val="single" w:color="000000" w:sz="10" w:space="0"/>
              <w:tl2br w:val="nil"/>
              <w:tr2bl w:val="nil"/>
            </w:tcBorders>
          </w:tcPr>
          <w:p>
            <w:pPr>
              <w:pStyle w:val="21"/>
              <w:kinsoku w:val="0"/>
              <w:overflowPunct w:val="0"/>
              <w:spacing w:before="38"/>
              <w:ind w:left="8"/>
              <w:jc w:val="center"/>
              <w:rPr>
                <w:rFonts w:hint="default" w:ascii="Times New Roman" w:eastAsia="Times New Roman"/>
                <w:color w:val="auto"/>
              </w:rPr>
            </w:pPr>
            <w:r>
              <w:rPr>
                <w:rFonts w:cs="宋体"/>
                <w:color w:val="auto"/>
              </w:rPr>
              <w:t>3</w:t>
            </w:r>
          </w:p>
        </w:tc>
      </w:tr>
      <w:tr>
        <w:tblPrEx>
          <w:tblCellMar>
            <w:top w:w="0" w:type="dxa"/>
            <w:left w:w="108" w:type="dxa"/>
            <w:bottom w:w="0" w:type="dxa"/>
            <w:right w:w="108" w:type="dxa"/>
          </w:tblCellMar>
        </w:tblPrEx>
        <w:trPr>
          <w:trHeight w:val="965" w:hRule="exact"/>
        </w:trPr>
        <w:tc>
          <w:tcPr>
            <w:tcW w:w="552" w:type="dxa"/>
            <w:tcBorders>
              <w:top w:val="single" w:color="000000" w:sz="4" w:space="0"/>
              <w:left w:val="single" w:color="000000" w:sz="10" w:space="0"/>
              <w:bottom w:val="single" w:color="000000" w:sz="4" w:space="0"/>
              <w:right w:val="single" w:color="000000" w:sz="4" w:space="0"/>
              <w:tl2br w:val="nil"/>
              <w:tr2bl w:val="nil"/>
            </w:tcBorders>
          </w:tcPr>
          <w:p>
            <w:pPr>
              <w:pStyle w:val="21"/>
              <w:kinsoku w:val="0"/>
              <w:overflowPunct w:val="0"/>
              <w:spacing w:before="47"/>
              <w:ind w:left="141"/>
              <w:rPr>
                <w:rFonts w:hint="default" w:cs="宋体"/>
                <w:color w:val="auto"/>
              </w:rPr>
            </w:pPr>
            <w:r>
              <w:rPr>
                <w:rFonts w:cs="宋体"/>
                <w:color w:val="auto"/>
              </w:rPr>
              <w:t>序</w:t>
            </w:r>
          </w:p>
          <w:p>
            <w:pPr>
              <w:pStyle w:val="21"/>
              <w:kinsoku w:val="0"/>
              <w:overflowPunct w:val="0"/>
              <w:spacing w:before="154"/>
              <w:ind w:left="141"/>
              <w:rPr>
                <w:rFonts w:hint="default" w:ascii="Times New Roman" w:eastAsia="Times New Roman"/>
                <w:color w:val="auto"/>
              </w:rPr>
            </w:pPr>
            <w:r>
              <w:rPr>
                <w:rFonts w:cs="宋体"/>
                <w:color w:val="auto"/>
              </w:rPr>
              <w:t>号</w:t>
            </w:r>
          </w:p>
        </w:tc>
        <w:tc>
          <w:tcPr>
            <w:tcW w:w="2441"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5"/>
              <w:rPr>
                <w:rFonts w:hint="default" w:cs="宋体"/>
                <w:color w:val="auto"/>
                <w:sz w:val="21"/>
                <w:szCs w:val="21"/>
              </w:rPr>
            </w:pPr>
          </w:p>
          <w:p>
            <w:pPr>
              <w:pStyle w:val="21"/>
              <w:kinsoku w:val="0"/>
              <w:overflowPunct w:val="0"/>
              <w:ind w:left="734"/>
              <w:rPr>
                <w:rFonts w:hint="default" w:ascii="Times New Roman" w:eastAsia="Times New Roman"/>
                <w:color w:val="auto"/>
              </w:rPr>
            </w:pPr>
            <w:r>
              <w:rPr>
                <w:rFonts w:cs="宋体"/>
                <w:color w:val="auto"/>
              </w:rPr>
              <w:t>内容名称</w:t>
            </w:r>
          </w:p>
        </w:tc>
        <w:tc>
          <w:tcPr>
            <w:tcW w:w="4725"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5"/>
              <w:rPr>
                <w:rFonts w:hint="default" w:cs="宋体"/>
                <w:color w:val="auto"/>
                <w:sz w:val="21"/>
                <w:szCs w:val="21"/>
              </w:rPr>
            </w:pPr>
          </w:p>
          <w:p>
            <w:pPr>
              <w:pStyle w:val="21"/>
              <w:kinsoku w:val="0"/>
              <w:overflowPunct w:val="0"/>
              <w:ind w:right="1"/>
              <w:jc w:val="center"/>
              <w:rPr>
                <w:rFonts w:hint="default" w:ascii="Times New Roman" w:eastAsia="Times New Roman"/>
                <w:color w:val="auto"/>
              </w:rPr>
            </w:pPr>
            <w:r>
              <w:rPr>
                <w:rFonts w:cs="宋体"/>
                <w:color w:val="auto"/>
              </w:rPr>
              <w:t>简要描述</w:t>
            </w:r>
          </w:p>
        </w:tc>
        <w:tc>
          <w:tcPr>
            <w:tcW w:w="1749" w:type="dxa"/>
            <w:tcBorders>
              <w:top w:val="single" w:color="000000" w:sz="4" w:space="0"/>
              <w:left w:val="single" w:color="000000" w:sz="4" w:space="0"/>
              <w:bottom w:val="single" w:color="000000" w:sz="4" w:space="0"/>
              <w:right w:val="single" w:color="000000" w:sz="10" w:space="0"/>
              <w:tl2br w:val="nil"/>
              <w:tr2bl w:val="nil"/>
            </w:tcBorders>
          </w:tcPr>
          <w:p>
            <w:pPr>
              <w:pStyle w:val="21"/>
              <w:kinsoku w:val="0"/>
              <w:overflowPunct w:val="0"/>
              <w:spacing w:before="5"/>
              <w:rPr>
                <w:rFonts w:hint="default" w:cs="宋体"/>
                <w:color w:val="auto"/>
                <w:sz w:val="21"/>
                <w:szCs w:val="21"/>
              </w:rPr>
            </w:pPr>
          </w:p>
          <w:p>
            <w:pPr>
              <w:pStyle w:val="21"/>
              <w:kinsoku w:val="0"/>
              <w:overflowPunct w:val="0"/>
              <w:ind w:left="8"/>
              <w:jc w:val="center"/>
              <w:rPr>
                <w:rFonts w:hint="default" w:ascii="Times New Roman" w:eastAsia="Times New Roman"/>
                <w:color w:val="auto"/>
              </w:rPr>
            </w:pPr>
            <w:r>
              <w:rPr>
                <w:rFonts w:cs="宋体"/>
                <w:color w:val="auto"/>
              </w:rPr>
              <w:t>备注</w:t>
            </w:r>
          </w:p>
        </w:tc>
      </w:tr>
      <w:tr>
        <w:tblPrEx>
          <w:tblCellMar>
            <w:top w:w="0" w:type="dxa"/>
            <w:left w:w="108" w:type="dxa"/>
            <w:bottom w:w="0" w:type="dxa"/>
            <w:right w:w="108" w:type="dxa"/>
          </w:tblCellMar>
        </w:tblPrEx>
        <w:trPr>
          <w:trHeight w:val="577" w:hRule="exact"/>
        </w:trPr>
        <w:tc>
          <w:tcPr>
            <w:tcW w:w="552" w:type="dxa"/>
            <w:tcBorders>
              <w:top w:val="single" w:color="000000" w:sz="4" w:space="0"/>
              <w:left w:val="single" w:color="000000" w:sz="10" w:space="0"/>
              <w:bottom w:val="single" w:color="000000" w:sz="4" w:space="0"/>
              <w:right w:val="single" w:color="000000" w:sz="4" w:space="0"/>
              <w:tl2br w:val="nil"/>
              <w:tr2bl w:val="nil"/>
            </w:tcBorders>
          </w:tcPr>
          <w:p>
            <w:pPr>
              <w:pStyle w:val="21"/>
              <w:kinsoku w:val="0"/>
              <w:overflowPunct w:val="0"/>
              <w:spacing w:before="85"/>
              <w:ind w:right="7"/>
              <w:jc w:val="center"/>
              <w:rPr>
                <w:rFonts w:hint="default" w:ascii="Times New Roman" w:eastAsia="Times New Roman"/>
                <w:color w:val="auto"/>
              </w:rPr>
            </w:pPr>
            <w:r>
              <w:rPr>
                <w:rFonts w:cs="宋体"/>
                <w:color w:val="auto"/>
              </w:rPr>
              <w:t>1</w:t>
            </w:r>
          </w:p>
        </w:tc>
        <w:tc>
          <w:tcPr>
            <w:tcW w:w="2441"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4725"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1749" w:type="dxa"/>
            <w:tcBorders>
              <w:top w:val="single" w:color="000000" w:sz="4" w:space="0"/>
              <w:left w:val="single" w:color="000000" w:sz="4" w:space="0"/>
              <w:bottom w:val="single" w:color="000000" w:sz="4" w:space="0"/>
              <w:right w:val="single" w:color="000000" w:sz="10" w:space="0"/>
              <w:tl2br w:val="nil"/>
              <w:tr2bl w:val="nil"/>
            </w:tcBorders>
          </w:tcPr>
          <w:p>
            <w:pPr>
              <w:rPr>
                <w:rFonts w:hint="default" w:ascii="Times New Roman" w:eastAsia="Times New Roman"/>
                <w:color w:val="auto"/>
              </w:rPr>
            </w:pPr>
          </w:p>
        </w:tc>
      </w:tr>
      <w:tr>
        <w:tblPrEx>
          <w:tblCellMar>
            <w:top w:w="0" w:type="dxa"/>
            <w:left w:w="108" w:type="dxa"/>
            <w:bottom w:w="0" w:type="dxa"/>
            <w:right w:w="108" w:type="dxa"/>
          </w:tblCellMar>
        </w:tblPrEx>
        <w:trPr>
          <w:trHeight w:val="577" w:hRule="exact"/>
        </w:trPr>
        <w:tc>
          <w:tcPr>
            <w:tcW w:w="552" w:type="dxa"/>
            <w:tcBorders>
              <w:top w:val="single" w:color="000000" w:sz="4" w:space="0"/>
              <w:left w:val="single" w:color="000000" w:sz="10" w:space="0"/>
              <w:bottom w:val="single" w:color="000000" w:sz="4" w:space="0"/>
              <w:right w:val="single" w:color="000000" w:sz="4" w:space="0"/>
              <w:tl2br w:val="nil"/>
              <w:tr2bl w:val="nil"/>
            </w:tcBorders>
          </w:tcPr>
          <w:p>
            <w:pPr>
              <w:pStyle w:val="21"/>
              <w:kinsoku w:val="0"/>
              <w:overflowPunct w:val="0"/>
              <w:spacing w:before="86"/>
              <w:ind w:right="7"/>
              <w:jc w:val="center"/>
              <w:rPr>
                <w:rFonts w:hint="default" w:ascii="Times New Roman" w:eastAsia="Times New Roman"/>
                <w:color w:val="auto"/>
              </w:rPr>
            </w:pPr>
            <w:r>
              <w:rPr>
                <w:rFonts w:cs="宋体"/>
                <w:color w:val="auto"/>
              </w:rPr>
              <w:t>2</w:t>
            </w:r>
          </w:p>
        </w:tc>
        <w:tc>
          <w:tcPr>
            <w:tcW w:w="2441"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4725"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1749" w:type="dxa"/>
            <w:tcBorders>
              <w:top w:val="single" w:color="000000" w:sz="4" w:space="0"/>
              <w:left w:val="single" w:color="000000" w:sz="4" w:space="0"/>
              <w:bottom w:val="single" w:color="000000" w:sz="4" w:space="0"/>
              <w:right w:val="single" w:color="000000" w:sz="10" w:space="0"/>
              <w:tl2br w:val="nil"/>
              <w:tr2bl w:val="nil"/>
            </w:tcBorders>
          </w:tcPr>
          <w:p>
            <w:pPr>
              <w:rPr>
                <w:rFonts w:hint="default" w:ascii="Times New Roman" w:eastAsia="Times New Roman"/>
                <w:color w:val="auto"/>
              </w:rPr>
            </w:pPr>
          </w:p>
        </w:tc>
      </w:tr>
      <w:tr>
        <w:tblPrEx>
          <w:tblCellMar>
            <w:top w:w="0" w:type="dxa"/>
            <w:left w:w="108" w:type="dxa"/>
            <w:bottom w:w="0" w:type="dxa"/>
            <w:right w:w="108" w:type="dxa"/>
          </w:tblCellMar>
        </w:tblPrEx>
        <w:trPr>
          <w:trHeight w:val="577" w:hRule="exact"/>
        </w:trPr>
        <w:tc>
          <w:tcPr>
            <w:tcW w:w="552" w:type="dxa"/>
            <w:tcBorders>
              <w:top w:val="single" w:color="000000" w:sz="4" w:space="0"/>
              <w:left w:val="single" w:color="000000" w:sz="10" w:space="0"/>
              <w:bottom w:val="single" w:color="000000" w:sz="4" w:space="0"/>
              <w:right w:val="single" w:color="000000" w:sz="4" w:space="0"/>
              <w:tl2br w:val="nil"/>
              <w:tr2bl w:val="nil"/>
            </w:tcBorders>
          </w:tcPr>
          <w:p>
            <w:pPr>
              <w:pStyle w:val="21"/>
              <w:kinsoku w:val="0"/>
              <w:overflowPunct w:val="0"/>
              <w:spacing w:before="85"/>
              <w:ind w:right="7"/>
              <w:jc w:val="center"/>
              <w:rPr>
                <w:rFonts w:hint="default" w:ascii="Times New Roman" w:eastAsia="Times New Roman"/>
                <w:color w:val="auto"/>
              </w:rPr>
            </w:pPr>
            <w:r>
              <w:rPr>
                <w:rFonts w:cs="宋体"/>
                <w:color w:val="auto"/>
              </w:rPr>
              <w:t>3</w:t>
            </w:r>
          </w:p>
        </w:tc>
        <w:tc>
          <w:tcPr>
            <w:tcW w:w="2441"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4725"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1749" w:type="dxa"/>
            <w:tcBorders>
              <w:top w:val="single" w:color="000000" w:sz="4" w:space="0"/>
              <w:left w:val="single" w:color="000000" w:sz="4" w:space="0"/>
              <w:bottom w:val="single" w:color="000000" w:sz="4" w:space="0"/>
              <w:right w:val="single" w:color="000000" w:sz="10" w:space="0"/>
              <w:tl2br w:val="nil"/>
              <w:tr2bl w:val="nil"/>
            </w:tcBorders>
          </w:tcPr>
          <w:p>
            <w:pPr>
              <w:rPr>
                <w:rFonts w:hint="default" w:ascii="Times New Roman" w:eastAsia="Times New Roman"/>
                <w:color w:val="auto"/>
              </w:rPr>
            </w:pPr>
          </w:p>
        </w:tc>
      </w:tr>
      <w:tr>
        <w:tblPrEx>
          <w:tblCellMar>
            <w:top w:w="0" w:type="dxa"/>
            <w:left w:w="108" w:type="dxa"/>
            <w:bottom w:w="0" w:type="dxa"/>
            <w:right w:w="108" w:type="dxa"/>
          </w:tblCellMar>
        </w:tblPrEx>
        <w:trPr>
          <w:trHeight w:val="577" w:hRule="exact"/>
        </w:trPr>
        <w:tc>
          <w:tcPr>
            <w:tcW w:w="552" w:type="dxa"/>
            <w:tcBorders>
              <w:top w:val="single" w:color="000000" w:sz="4" w:space="0"/>
              <w:left w:val="single" w:color="000000" w:sz="10" w:space="0"/>
              <w:bottom w:val="single" w:color="000000" w:sz="4" w:space="0"/>
              <w:right w:val="single" w:color="000000" w:sz="4" w:space="0"/>
              <w:tl2br w:val="nil"/>
              <w:tr2bl w:val="nil"/>
            </w:tcBorders>
          </w:tcPr>
          <w:p>
            <w:pPr>
              <w:pStyle w:val="21"/>
              <w:kinsoku w:val="0"/>
              <w:overflowPunct w:val="0"/>
              <w:spacing w:before="87"/>
              <w:ind w:right="7"/>
              <w:jc w:val="center"/>
              <w:rPr>
                <w:rFonts w:hint="default" w:ascii="Times New Roman" w:eastAsia="Times New Roman"/>
                <w:color w:val="auto"/>
              </w:rPr>
            </w:pPr>
            <w:r>
              <w:rPr>
                <w:rFonts w:cs="宋体"/>
                <w:color w:val="auto"/>
              </w:rPr>
              <w:t>4</w:t>
            </w:r>
          </w:p>
        </w:tc>
        <w:tc>
          <w:tcPr>
            <w:tcW w:w="2441"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4725"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1749" w:type="dxa"/>
            <w:tcBorders>
              <w:top w:val="single" w:color="000000" w:sz="4" w:space="0"/>
              <w:left w:val="single" w:color="000000" w:sz="4" w:space="0"/>
              <w:bottom w:val="single" w:color="000000" w:sz="4" w:space="0"/>
              <w:right w:val="single" w:color="000000" w:sz="10" w:space="0"/>
              <w:tl2br w:val="nil"/>
              <w:tr2bl w:val="nil"/>
            </w:tcBorders>
          </w:tcPr>
          <w:p>
            <w:pPr>
              <w:rPr>
                <w:rFonts w:hint="default" w:ascii="Times New Roman" w:eastAsia="Times New Roman"/>
                <w:color w:val="auto"/>
              </w:rPr>
            </w:pPr>
          </w:p>
        </w:tc>
      </w:tr>
      <w:tr>
        <w:tblPrEx>
          <w:tblCellMar>
            <w:top w:w="0" w:type="dxa"/>
            <w:left w:w="108" w:type="dxa"/>
            <w:bottom w:w="0" w:type="dxa"/>
            <w:right w:w="108" w:type="dxa"/>
          </w:tblCellMar>
        </w:tblPrEx>
        <w:trPr>
          <w:trHeight w:val="577" w:hRule="exact"/>
        </w:trPr>
        <w:tc>
          <w:tcPr>
            <w:tcW w:w="552" w:type="dxa"/>
            <w:tcBorders>
              <w:top w:val="single" w:color="000000" w:sz="4" w:space="0"/>
              <w:left w:val="single" w:color="000000" w:sz="10" w:space="0"/>
              <w:bottom w:val="single" w:color="000000" w:sz="4" w:space="0"/>
              <w:right w:val="single" w:color="000000" w:sz="4" w:space="0"/>
              <w:tl2br w:val="nil"/>
              <w:tr2bl w:val="nil"/>
            </w:tcBorders>
          </w:tcPr>
          <w:p>
            <w:pPr>
              <w:pStyle w:val="21"/>
              <w:kinsoku w:val="0"/>
              <w:overflowPunct w:val="0"/>
              <w:spacing w:before="86"/>
              <w:ind w:right="7"/>
              <w:jc w:val="center"/>
              <w:rPr>
                <w:rFonts w:hint="default" w:ascii="Times New Roman" w:eastAsia="Times New Roman"/>
                <w:color w:val="auto"/>
              </w:rPr>
            </w:pPr>
            <w:r>
              <w:rPr>
                <w:rFonts w:cs="宋体"/>
                <w:color w:val="auto"/>
              </w:rPr>
              <w:t>5</w:t>
            </w:r>
          </w:p>
        </w:tc>
        <w:tc>
          <w:tcPr>
            <w:tcW w:w="2441"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4725"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1749" w:type="dxa"/>
            <w:tcBorders>
              <w:top w:val="single" w:color="000000" w:sz="4" w:space="0"/>
              <w:left w:val="single" w:color="000000" w:sz="4" w:space="0"/>
              <w:bottom w:val="single" w:color="000000" w:sz="4" w:space="0"/>
              <w:right w:val="single" w:color="000000" w:sz="10" w:space="0"/>
              <w:tl2br w:val="nil"/>
              <w:tr2bl w:val="nil"/>
            </w:tcBorders>
          </w:tcPr>
          <w:p>
            <w:pPr>
              <w:rPr>
                <w:rFonts w:hint="default" w:ascii="Times New Roman" w:eastAsia="Times New Roman"/>
                <w:color w:val="auto"/>
              </w:rPr>
            </w:pPr>
          </w:p>
        </w:tc>
      </w:tr>
      <w:tr>
        <w:tblPrEx>
          <w:tblCellMar>
            <w:top w:w="0" w:type="dxa"/>
            <w:left w:w="108" w:type="dxa"/>
            <w:bottom w:w="0" w:type="dxa"/>
            <w:right w:w="108" w:type="dxa"/>
          </w:tblCellMar>
        </w:tblPrEx>
        <w:trPr>
          <w:trHeight w:val="587" w:hRule="exact"/>
        </w:trPr>
        <w:tc>
          <w:tcPr>
            <w:tcW w:w="552" w:type="dxa"/>
            <w:tcBorders>
              <w:top w:val="single" w:color="000000" w:sz="4" w:space="0"/>
              <w:left w:val="single" w:color="000000" w:sz="10" w:space="0"/>
              <w:bottom w:val="single" w:color="000000" w:sz="10" w:space="0"/>
              <w:right w:val="single" w:color="000000" w:sz="4" w:space="0"/>
              <w:tl2br w:val="nil"/>
              <w:tr2bl w:val="nil"/>
            </w:tcBorders>
          </w:tcPr>
          <w:p>
            <w:pPr>
              <w:pStyle w:val="21"/>
              <w:kinsoku w:val="0"/>
              <w:overflowPunct w:val="0"/>
              <w:spacing w:before="87"/>
              <w:ind w:right="7"/>
              <w:jc w:val="center"/>
              <w:rPr>
                <w:rFonts w:hint="default" w:ascii="Times New Roman" w:eastAsia="Times New Roman"/>
                <w:color w:val="auto"/>
              </w:rPr>
            </w:pPr>
            <w:r>
              <w:rPr>
                <w:rFonts w:cs="宋体"/>
                <w:color w:val="auto"/>
              </w:rPr>
              <w:t>6</w:t>
            </w:r>
          </w:p>
        </w:tc>
        <w:tc>
          <w:tcPr>
            <w:tcW w:w="2441" w:type="dxa"/>
            <w:tcBorders>
              <w:top w:val="single" w:color="000000" w:sz="4" w:space="0"/>
              <w:left w:val="single" w:color="000000" w:sz="4" w:space="0"/>
              <w:bottom w:val="single" w:color="000000" w:sz="10" w:space="0"/>
              <w:right w:val="single" w:color="000000" w:sz="4" w:space="0"/>
              <w:tl2br w:val="nil"/>
              <w:tr2bl w:val="nil"/>
            </w:tcBorders>
          </w:tcPr>
          <w:p>
            <w:pPr>
              <w:pStyle w:val="21"/>
              <w:kinsoku w:val="0"/>
              <w:overflowPunct w:val="0"/>
              <w:spacing w:before="87"/>
              <w:jc w:val="center"/>
              <w:rPr>
                <w:rFonts w:hint="default" w:ascii="Times New Roman" w:eastAsia="Times New Roman"/>
                <w:color w:val="auto"/>
              </w:rPr>
            </w:pPr>
            <w:r>
              <w:rPr>
                <w:rFonts w:cs="宋体"/>
                <w:color w:val="auto"/>
              </w:rPr>
              <w:t>…</w:t>
            </w:r>
          </w:p>
        </w:tc>
        <w:tc>
          <w:tcPr>
            <w:tcW w:w="4725" w:type="dxa"/>
            <w:tcBorders>
              <w:top w:val="single" w:color="000000" w:sz="4" w:space="0"/>
              <w:left w:val="single" w:color="000000" w:sz="4" w:space="0"/>
              <w:bottom w:val="single" w:color="000000" w:sz="10" w:space="0"/>
              <w:right w:val="single" w:color="000000" w:sz="4" w:space="0"/>
              <w:tl2br w:val="nil"/>
              <w:tr2bl w:val="nil"/>
            </w:tcBorders>
          </w:tcPr>
          <w:p>
            <w:pPr>
              <w:rPr>
                <w:rFonts w:hint="default" w:ascii="Times New Roman" w:eastAsia="Times New Roman"/>
                <w:color w:val="auto"/>
              </w:rPr>
            </w:pPr>
          </w:p>
        </w:tc>
        <w:tc>
          <w:tcPr>
            <w:tcW w:w="1749" w:type="dxa"/>
            <w:tcBorders>
              <w:top w:val="single" w:color="000000" w:sz="4" w:space="0"/>
              <w:left w:val="single" w:color="000000" w:sz="4" w:space="0"/>
              <w:bottom w:val="single" w:color="000000" w:sz="10" w:space="0"/>
              <w:right w:val="single" w:color="000000" w:sz="10" w:space="0"/>
              <w:tl2br w:val="nil"/>
              <w:tr2bl w:val="nil"/>
            </w:tcBorders>
          </w:tcPr>
          <w:p>
            <w:pPr>
              <w:rPr>
                <w:rFonts w:hint="default" w:ascii="Times New Roman" w:eastAsia="Times New Roman"/>
                <w:color w:val="auto"/>
              </w:rPr>
            </w:pPr>
          </w:p>
        </w:tc>
      </w:tr>
    </w:tbl>
    <w:p>
      <w:pPr>
        <w:pStyle w:val="8"/>
        <w:kinsoku w:val="0"/>
        <w:overflowPunct w:val="0"/>
        <w:spacing w:before="7"/>
        <w:ind w:left="0"/>
        <w:rPr>
          <w:rFonts w:hint="default"/>
          <w:color w:val="auto"/>
          <w:sz w:val="7"/>
          <w:szCs w:val="7"/>
        </w:rPr>
      </w:pPr>
    </w:p>
    <w:p>
      <w:pPr>
        <w:pStyle w:val="8"/>
        <w:kinsoku w:val="0"/>
        <w:overflowPunct w:val="0"/>
        <w:spacing w:before="26" w:line="367" w:lineRule="auto"/>
        <w:ind w:left="700" w:right="717"/>
        <w:jc w:val="both"/>
        <w:rPr>
          <w:rFonts w:hint="default" w:hAnsi="Segoe UI"/>
          <w:color w:val="auto"/>
        </w:rPr>
      </w:pPr>
      <w:r>
        <w:rPr>
          <w:color w:val="auto"/>
          <w:spacing w:val="-2"/>
        </w:rPr>
        <w:t>说明：</w:t>
      </w:r>
      <w:r>
        <w:rPr>
          <w:rFonts w:hint="default" w:ascii="Segoe UI" w:hAnsi="Segoe UI" w:cs="Segoe UI"/>
          <w:color w:val="auto"/>
          <w:spacing w:val="-2"/>
        </w:rPr>
        <w:t>1.</w:t>
      </w:r>
      <w:r>
        <w:rPr>
          <w:rFonts w:hAnsi="Segoe UI"/>
          <w:color w:val="auto"/>
          <w:spacing w:val="-2"/>
        </w:rPr>
        <w:t>投标供应商必须填写技术明细表。如果此表中所列内容无法满足招标文</w:t>
      </w:r>
      <w:r>
        <w:rPr>
          <w:rFonts w:hAnsi="Segoe UI"/>
          <w:color w:val="auto"/>
          <w:spacing w:val="-86"/>
        </w:rPr>
        <w:t xml:space="preserve"> </w:t>
      </w:r>
      <w:r>
        <w:rPr>
          <w:rFonts w:hAnsi="Segoe UI"/>
          <w:color w:val="auto"/>
          <w:spacing w:val="-3"/>
        </w:rPr>
        <w:t>件中提出的要求或者与投标供应商在技术文件中提供的内容不一致，投标有可能</w:t>
      </w:r>
      <w:r>
        <w:rPr>
          <w:rFonts w:hAnsi="Segoe UI"/>
          <w:color w:val="auto"/>
          <w:spacing w:val="-109"/>
        </w:rPr>
        <w:t xml:space="preserve"> </w:t>
      </w:r>
      <w:r>
        <w:rPr>
          <w:rFonts w:hAnsi="Segoe UI"/>
          <w:color w:val="auto"/>
        </w:rPr>
        <w:t>被拒绝。</w:t>
      </w:r>
    </w:p>
    <w:p>
      <w:pPr>
        <w:pStyle w:val="8"/>
        <w:kinsoku w:val="0"/>
        <w:overflowPunct w:val="0"/>
        <w:spacing w:before="113"/>
        <w:ind w:left="1420"/>
        <w:rPr>
          <w:rFonts w:hint="default" w:hAnsi="Segoe UI"/>
          <w:color w:val="auto"/>
        </w:rPr>
      </w:pPr>
      <w:r>
        <w:rPr>
          <w:rFonts w:hint="default" w:ascii="Segoe UI" w:hAnsi="Segoe UI" w:cs="Segoe UI"/>
          <w:color w:val="auto"/>
        </w:rPr>
        <w:t>2.</w:t>
      </w:r>
      <w:r>
        <w:rPr>
          <w:rFonts w:hAnsi="Segoe UI"/>
          <w:color w:val="auto"/>
        </w:rPr>
        <w:t>描述部分不得完全复制招标文件内容，否则按无效投标处理。</w:t>
      </w:r>
    </w:p>
    <w:p>
      <w:pPr>
        <w:pStyle w:val="8"/>
        <w:kinsoku w:val="0"/>
        <w:overflowPunct w:val="0"/>
        <w:spacing w:before="0"/>
        <w:ind w:left="0"/>
        <w:rPr>
          <w:rFonts w:hint="default"/>
          <w:color w:val="auto"/>
        </w:rPr>
      </w:pPr>
    </w:p>
    <w:p>
      <w:pPr>
        <w:pStyle w:val="8"/>
        <w:kinsoku w:val="0"/>
        <w:overflowPunct w:val="0"/>
        <w:spacing w:before="11"/>
        <w:ind w:left="0"/>
        <w:rPr>
          <w:rFonts w:hint="default"/>
          <w:color w:val="auto"/>
          <w:sz w:val="26"/>
          <w:szCs w:val="26"/>
        </w:rPr>
      </w:pPr>
    </w:p>
    <w:p>
      <w:pPr>
        <w:pStyle w:val="8"/>
        <w:tabs>
          <w:tab w:val="left" w:pos="479"/>
          <w:tab w:val="left" w:pos="959"/>
        </w:tabs>
        <w:kinsoku w:val="0"/>
        <w:overflowPunct w:val="0"/>
        <w:spacing w:before="0"/>
        <w:ind w:left="0" w:right="734"/>
        <w:jc w:val="right"/>
        <w:rPr>
          <w:rFonts w:hint="default"/>
          <w:color w:val="auto"/>
        </w:rPr>
      </w:pPr>
      <w:r>
        <w:rPr>
          <w:color w:val="auto"/>
        </w:rPr>
        <w:t>年</w:t>
      </w:r>
      <w:r>
        <w:rPr>
          <w:color w:val="auto"/>
        </w:rPr>
        <w:tab/>
      </w:r>
      <w:r>
        <w:rPr>
          <w:color w:val="auto"/>
        </w:rPr>
        <w:t>月</w:t>
      </w:r>
      <w:r>
        <w:rPr>
          <w:color w:val="auto"/>
        </w:rPr>
        <w:tab/>
      </w:r>
      <w:r>
        <w:rPr>
          <w:color w:val="auto"/>
        </w:rPr>
        <w:t>日</w:t>
      </w:r>
    </w:p>
    <w:p>
      <w:pPr>
        <w:pStyle w:val="8"/>
        <w:tabs>
          <w:tab w:val="left" w:pos="479"/>
          <w:tab w:val="left" w:pos="959"/>
        </w:tabs>
        <w:kinsoku w:val="0"/>
        <w:overflowPunct w:val="0"/>
        <w:spacing w:before="0"/>
        <w:ind w:left="0" w:right="734"/>
        <w:jc w:val="right"/>
        <w:rPr>
          <w:rFonts w:hint="default"/>
          <w:color w:val="auto"/>
        </w:rPr>
        <w:sectPr>
          <w:pgSz w:w="11910" w:h="16840"/>
          <w:pgMar w:top="1500" w:right="1080" w:bottom="1600" w:left="1100" w:header="0" w:footer="1395" w:gutter="0"/>
          <w:pgNumType w:fmt="decimal"/>
          <w:cols w:space="720" w:num="1"/>
        </w:sectPr>
      </w:pPr>
    </w:p>
    <w:p>
      <w:pPr>
        <w:pStyle w:val="8"/>
        <w:kinsoku w:val="0"/>
        <w:overflowPunct w:val="0"/>
        <w:spacing w:before="2" w:line="357" w:lineRule="auto"/>
        <w:ind w:left="180" w:right="6290"/>
        <w:rPr>
          <w:rFonts w:hint="default"/>
          <w:color w:val="auto"/>
        </w:rPr>
      </w:pPr>
      <w:bookmarkStart w:id="70" w:name="四、服务（响应）文件"/>
      <w:bookmarkEnd w:id="70"/>
      <w:r>
        <w:rPr>
          <w:color w:val="auto"/>
        </w:rPr>
        <w:t>&lt;2&gt;</w:t>
      </w:r>
      <w:r>
        <w:rPr>
          <w:color w:val="auto"/>
          <w:sz w:val="21"/>
          <w:szCs w:val="21"/>
        </w:rPr>
        <w:t>★</w:t>
      </w:r>
      <w:r>
        <w:rPr>
          <w:b/>
          <w:color w:val="auto"/>
        </w:rPr>
        <w:t>技术规范偏离表</w:t>
      </w:r>
      <w:r>
        <w:rPr>
          <w:b/>
          <w:color w:val="auto"/>
          <w:w w:val="99"/>
        </w:rPr>
        <w:t xml:space="preserve"> </w:t>
      </w:r>
      <w:r>
        <w:rPr>
          <w:color w:val="auto"/>
        </w:rPr>
        <w:t>项目编号、包号：</w:t>
      </w:r>
    </w:p>
    <w:tbl>
      <w:tblPr>
        <w:tblStyle w:val="17"/>
        <w:tblW w:w="0" w:type="auto"/>
        <w:tblInd w:w="221" w:type="dxa"/>
        <w:tblLayout w:type="fixed"/>
        <w:tblCellMar>
          <w:top w:w="0" w:type="dxa"/>
          <w:left w:w="108" w:type="dxa"/>
          <w:bottom w:w="0" w:type="dxa"/>
          <w:right w:w="108" w:type="dxa"/>
        </w:tblCellMar>
      </w:tblPr>
      <w:tblGrid>
        <w:gridCol w:w="955"/>
        <w:gridCol w:w="2101"/>
        <w:gridCol w:w="1707"/>
        <w:gridCol w:w="1337"/>
        <w:gridCol w:w="1337"/>
        <w:gridCol w:w="977"/>
      </w:tblGrid>
      <w:tr>
        <w:tblPrEx>
          <w:tblCellMar>
            <w:top w:w="0" w:type="dxa"/>
            <w:left w:w="108" w:type="dxa"/>
            <w:bottom w:w="0" w:type="dxa"/>
            <w:right w:w="108" w:type="dxa"/>
          </w:tblCellMar>
        </w:tblPrEx>
        <w:trPr>
          <w:trHeight w:val="956" w:hRule="exact"/>
        </w:trPr>
        <w:tc>
          <w:tcPr>
            <w:tcW w:w="955" w:type="dxa"/>
            <w:tcBorders>
              <w:top w:val="single" w:color="000000" w:sz="10" w:space="0"/>
              <w:left w:val="single" w:color="000000" w:sz="10" w:space="0"/>
              <w:bottom w:val="single" w:color="000000" w:sz="4" w:space="0"/>
              <w:right w:val="single" w:color="000000" w:sz="4" w:space="0"/>
              <w:tl2br w:val="nil"/>
              <w:tr2bl w:val="nil"/>
            </w:tcBorders>
          </w:tcPr>
          <w:p>
            <w:pPr>
              <w:pStyle w:val="21"/>
              <w:kinsoku w:val="0"/>
              <w:overflowPunct w:val="0"/>
              <w:spacing w:before="10"/>
              <w:rPr>
                <w:rFonts w:hint="default" w:cs="宋体"/>
                <w:color w:val="auto"/>
                <w:sz w:val="20"/>
                <w:szCs w:val="20"/>
              </w:rPr>
            </w:pPr>
          </w:p>
          <w:p>
            <w:pPr>
              <w:pStyle w:val="21"/>
              <w:kinsoku w:val="0"/>
              <w:overflowPunct w:val="0"/>
              <w:ind w:left="222"/>
              <w:rPr>
                <w:rFonts w:hint="default" w:ascii="Times New Roman" w:eastAsia="Times New Roman"/>
                <w:color w:val="auto"/>
              </w:rPr>
            </w:pPr>
            <w:r>
              <w:rPr>
                <w:rFonts w:cs="宋体"/>
                <w:color w:val="auto"/>
              </w:rPr>
              <w:t>序号</w:t>
            </w:r>
          </w:p>
        </w:tc>
        <w:tc>
          <w:tcPr>
            <w:tcW w:w="2101" w:type="dxa"/>
            <w:tcBorders>
              <w:top w:val="single" w:color="000000" w:sz="10" w:space="0"/>
              <w:left w:val="single" w:color="000000" w:sz="4" w:space="0"/>
              <w:bottom w:val="single" w:color="000000" w:sz="4" w:space="0"/>
              <w:right w:val="single" w:color="000000" w:sz="4" w:space="0"/>
              <w:tl2br w:val="nil"/>
              <w:tr2bl w:val="nil"/>
            </w:tcBorders>
          </w:tcPr>
          <w:p>
            <w:pPr>
              <w:pStyle w:val="21"/>
              <w:kinsoku w:val="0"/>
              <w:overflowPunct w:val="0"/>
              <w:spacing w:before="38"/>
              <w:jc w:val="center"/>
              <w:rPr>
                <w:rFonts w:hint="default" w:cs="宋体"/>
                <w:color w:val="auto"/>
              </w:rPr>
            </w:pPr>
            <w:r>
              <w:rPr>
                <w:rFonts w:cs="宋体"/>
                <w:color w:val="auto"/>
              </w:rPr>
              <w:t>采购文件技术条</w:t>
            </w:r>
          </w:p>
          <w:p>
            <w:pPr>
              <w:pStyle w:val="21"/>
              <w:kinsoku w:val="0"/>
              <w:overflowPunct w:val="0"/>
              <w:spacing w:before="154"/>
              <w:jc w:val="center"/>
              <w:rPr>
                <w:rFonts w:hint="default" w:ascii="Times New Roman" w:eastAsia="Times New Roman"/>
                <w:color w:val="auto"/>
              </w:rPr>
            </w:pPr>
            <w:r>
              <w:rPr>
                <w:rFonts w:cs="宋体"/>
                <w:color w:val="auto"/>
              </w:rPr>
              <w:t>款条目号</w:t>
            </w:r>
          </w:p>
        </w:tc>
        <w:tc>
          <w:tcPr>
            <w:tcW w:w="1707" w:type="dxa"/>
            <w:tcBorders>
              <w:top w:val="single" w:color="000000" w:sz="10" w:space="0"/>
              <w:left w:val="single" w:color="000000" w:sz="4" w:space="0"/>
              <w:bottom w:val="single" w:color="000000" w:sz="4" w:space="0"/>
              <w:right w:val="single" w:color="000000" w:sz="4" w:space="0"/>
              <w:tl2br w:val="nil"/>
              <w:tr2bl w:val="nil"/>
            </w:tcBorders>
          </w:tcPr>
          <w:p>
            <w:pPr>
              <w:pStyle w:val="21"/>
              <w:kinsoku w:val="0"/>
              <w:overflowPunct w:val="0"/>
              <w:spacing w:before="38"/>
              <w:jc w:val="center"/>
              <w:rPr>
                <w:rFonts w:hint="default" w:cs="宋体"/>
                <w:color w:val="auto"/>
              </w:rPr>
            </w:pPr>
            <w:r>
              <w:rPr>
                <w:rFonts w:cs="宋体"/>
                <w:color w:val="auto"/>
              </w:rPr>
              <w:t>采购文件技术</w:t>
            </w:r>
          </w:p>
          <w:p>
            <w:pPr>
              <w:pStyle w:val="21"/>
              <w:kinsoku w:val="0"/>
              <w:overflowPunct w:val="0"/>
              <w:spacing w:before="154"/>
              <w:jc w:val="center"/>
              <w:rPr>
                <w:rFonts w:hint="default" w:ascii="Times New Roman" w:eastAsia="Times New Roman"/>
                <w:color w:val="auto"/>
              </w:rPr>
            </w:pPr>
            <w:r>
              <w:rPr>
                <w:rFonts w:cs="宋体"/>
                <w:color w:val="auto"/>
              </w:rPr>
              <w:t>条款内容</w:t>
            </w:r>
          </w:p>
        </w:tc>
        <w:tc>
          <w:tcPr>
            <w:tcW w:w="1337" w:type="dxa"/>
            <w:tcBorders>
              <w:top w:val="single" w:color="000000" w:sz="10" w:space="0"/>
              <w:left w:val="single" w:color="000000" w:sz="4" w:space="0"/>
              <w:bottom w:val="single" w:color="000000" w:sz="4" w:space="0"/>
              <w:right w:val="single" w:color="000000" w:sz="4" w:space="0"/>
              <w:tl2br w:val="nil"/>
              <w:tr2bl w:val="nil"/>
            </w:tcBorders>
          </w:tcPr>
          <w:p>
            <w:pPr>
              <w:pStyle w:val="21"/>
              <w:kinsoku w:val="0"/>
              <w:overflowPunct w:val="0"/>
              <w:spacing w:before="38"/>
              <w:ind w:left="182"/>
              <w:rPr>
                <w:rFonts w:hint="default" w:cs="宋体"/>
                <w:color w:val="auto"/>
              </w:rPr>
            </w:pPr>
            <w:r>
              <w:rPr>
                <w:rFonts w:cs="宋体"/>
                <w:color w:val="auto"/>
              </w:rPr>
              <w:t>投标文件对应内容</w:t>
            </w:r>
          </w:p>
        </w:tc>
        <w:tc>
          <w:tcPr>
            <w:tcW w:w="1337" w:type="dxa"/>
            <w:tcBorders>
              <w:top w:val="single" w:color="000000" w:sz="10" w:space="0"/>
              <w:left w:val="single" w:color="000000" w:sz="4" w:space="0"/>
              <w:bottom w:val="single" w:color="000000" w:sz="4" w:space="0"/>
              <w:right w:val="single" w:color="000000" w:sz="4" w:space="0"/>
              <w:tl2br w:val="nil"/>
              <w:tr2bl w:val="nil"/>
            </w:tcBorders>
          </w:tcPr>
          <w:p>
            <w:pPr>
              <w:pStyle w:val="21"/>
              <w:kinsoku w:val="0"/>
              <w:overflowPunct w:val="0"/>
              <w:spacing w:before="10"/>
              <w:rPr>
                <w:rFonts w:hint="default" w:cs="宋体"/>
                <w:color w:val="auto"/>
                <w:sz w:val="20"/>
                <w:szCs w:val="20"/>
              </w:rPr>
            </w:pPr>
          </w:p>
          <w:p>
            <w:pPr>
              <w:pStyle w:val="21"/>
              <w:kinsoku w:val="0"/>
              <w:overflowPunct w:val="0"/>
              <w:rPr>
                <w:rFonts w:hint="default" w:ascii="Times New Roman" w:eastAsia="Times New Roman"/>
                <w:color w:val="auto"/>
              </w:rPr>
            </w:pPr>
            <w:r>
              <w:rPr>
                <w:rFonts w:cs="宋体"/>
                <w:color w:val="auto"/>
              </w:rPr>
              <w:t>是否偏离</w:t>
            </w:r>
          </w:p>
        </w:tc>
        <w:tc>
          <w:tcPr>
            <w:tcW w:w="977" w:type="dxa"/>
            <w:tcBorders>
              <w:top w:val="single" w:color="000000" w:sz="10" w:space="0"/>
              <w:left w:val="single" w:color="000000" w:sz="4" w:space="0"/>
              <w:bottom w:val="single" w:color="000000" w:sz="4" w:space="0"/>
              <w:right w:val="single" w:color="000000" w:sz="10" w:space="0"/>
              <w:tl2br w:val="nil"/>
              <w:tr2bl w:val="nil"/>
            </w:tcBorders>
          </w:tcPr>
          <w:p>
            <w:pPr>
              <w:pStyle w:val="21"/>
              <w:kinsoku w:val="0"/>
              <w:overflowPunct w:val="0"/>
              <w:spacing w:before="38"/>
              <w:ind w:left="244"/>
              <w:rPr>
                <w:rFonts w:hint="default" w:cs="宋体"/>
                <w:color w:val="auto"/>
              </w:rPr>
            </w:pPr>
            <w:r>
              <w:rPr>
                <w:rFonts w:cs="宋体"/>
                <w:color w:val="auto"/>
              </w:rPr>
              <w:t>偏离</w:t>
            </w:r>
          </w:p>
          <w:p>
            <w:pPr>
              <w:pStyle w:val="21"/>
              <w:kinsoku w:val="0"/>
              <w:overflowPunct w:val="0"/>
              <w:spacing w:before="154"/>
              <w:ind w:left="244"/>
              <w:rPr>
                <w:rFonts w:hint="default" w:ascii="Times New Roman" w:eastAsia="Times New Roman"/>
                <w:color w:val="auto"/>
              </w:rPr>
            </w:pPr>
            <w:r>
              <w:rPr>
                <w:rFonts w:cs="宋体"/>
                <w:color w:val="auto"/>
              </w:rPr>
              <w:t>说明</w:t>
            </w:r>
          </w:p>
        </w:tc>
      </w:tr>
      <w:tr>
        <w:tblPrEx>
          <w:tblCellMar>
            <w:top w:w="0" w:type="dxa"/>
            <w:left w:w="108" w:type="dxa"/>
            <w:bottom w:w="0" w:type="dxa"/>
            <w:right w:w="108" w:type="dxa"/>
          </w:tblCellMar>
        </w:tblPrEx>
        <w:trPr>
          <w:trHeight w:val="780" w:hRule="exact"/>
        </w:trPr>
        <w:tc>
          <w:tcPr>
            <w:tcW w:w="955" w:type="dxa"/>
            <w:tcBorders>
              <w:top w:val="single" w:color="000000" w:sz="4" w:space="0"/>
              <w:left w:val="single" w:color="000000" w:sz="10" w:space="0"/>
              <w:bottom w:val="single" w:color="000000" w:sz="4" w:space="0"/>
              <w:right w:val="single" w:color="000000" w:sz="4" w:space="0"/>
              <w:tl2br w:val="nil"/>
              <w:tr2bl w:val="nil"/>
            </w:tcBorders>
          </w:tcPr>
          <w:p>
            <w:pPr>
              <w:rPr>
                <w:rFonts w:hint="default" w:ascii="Times New Roman" w:eastAsia="Times New Roman"/>
                <w:color w:val="auto"/>
              </w:rPr>
            </w:pPr>
          </w:p>
        </w:tc>
        <w:tc>
          <w:tcPr>
            <w:tcW w:w="2101"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170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133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133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977" w:type="dxa"/>
            <w:tcBorders>
              <w:top w:val="single" w:color="000000" w:sz="4" w:space="0"/>
              <w:left w:val="single" w:color="000000" w:sz="4" w:space="0"/>
              <w:bottom w:val="single" w:color="000000" w:sz="4" w:space="0"/>
              <w:right w:val="single" w:color="000000" w:sz="10" w:space="0"/>
              <w:tl2br w:val="nil"/>
              <w:tr2bl w:val="nil"/>
            </w:tcBorders>
          </w:tcPr>
          <w:p>
            <w:pPr>
              <w:rPr>
                <w:rFonts w:hint="default" w:ascii="Times New Roman" w:eastAsia="Times New Roman"/>
                <w:color w:val="auto"/>
              </w:rPr>
            </w:pPr>
          </w:p>
        </w:tc>
      </w:tr>
      <w:tr>
        <w:tblPrEx>
          <w:tblCellMar>
            <w:top w:w="0" w:type="dxa"/>
            <w:left w:w="108" w:type="dxa"/>
            <w:bottom w:w="0" w:type="dxa"/>
            <w:right w:w="108" w:type="dxa"/>
          </w:tblCellMar>
        </w:tblPrEx>
        <w:trPr>
          <w:trHeight w:val="780" w:hRule="exact"/>
        </w:trPr>
        <w:tc>
          <w:tcPr>
            <w:tcW w:w="955" w:type="dxa"/>
            <w:tcBorders>
              <w:top w:val="single" w:color="000000" w:sz="4" w:space="0"/>
              <w:left w:val="single" w:color="000000" w:sz="10" w:space="0"/>
              <w:bottom w:val="single" w:color="000000" w:sz="4" w:space="0"/>
              <w:right w:val="single" w:color="000000" w:sz="4" w:space="0"/>
              <w:tl2br w:val="nil"/>
              <w:tr2bl w:val="nil"/>
            </w:tcBorders>
          </w:tcPr>
          <w:p>
            <w:pPr>
              <w:rPr>
                <w:rFonts w:hint="default" w:ascii="Times New Roman" w:eastAsia="Times New Roman"/>
                <w:color w:val="auto"/>
              </w:rPr>
            </w:pPr>
          </w:p>
        </w:tc>
        <w:tc>
          <w:tcPr>
            <w:tcW w:w="2101"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170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133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133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977" w:type="dxa"/>
            <w:tcBorders>
              <w:top w:val="single" w:color="000000" w:sz="4" w:space="0"/>
              <w:left w:val="single" w:color="000000" w:sz="4" w:space="0"/>
              <w:bottom w:val="single" w:color="000000" w:sz="4" w:space="0"/>
              <w:right w:val="single" w:color="000000" w:sz="10" w:space="0"/>
              <w:tl2br w:val="nil"/>
              <w:tr2bl w:val="nil"/>
            </w:tcBorders>
          </w:tcPr>
          <w:p>
            <w:pPr>
              <w:rPr>
                <w:rFonts w:hint="default" w:ascii="Times New Roman" w:eastAsia="Times New Roman"/>
                <w:color w:val="auto"/>
              </w:rPr>
            </w:pPr>
          </w:p>
        </w:tc>
      </w:tr>
      <w:tr>
        <w:tblPrEx>
          <w:tblCellMar>
            <w:top w:w="0" w:type="dxa"/>
            <w:left w:w="108" w:type="dxa"/>
            <w:bottom w:w="0" w:type="dxa"/>
            <w:right w:w="108" w:type="dxa"/>
          </w:tblCellMar>
        </w:tblPrEx>
        <w:trPr>
          <w:trHeight w:val="780" w:hRule="exact"/>
        </w:trPr>
        <w:tc>
          <w:tcPr>
            <w:tcW w:w="955" w:type="dxa"/>
            <w:tcBorders>
              <w:top w:val="single" w:color="000000" w:sz="4" w:space="0"/>
              <w:left w:val="single" w:color="000000" w:sz="10" w:space="0"/>
              <w:bottom w:val="single" w:color="000000" w:sz="4" w:space="0"/>
              <w:right w:val="single" w:color="000000" w:sz="4" w:space="0"/>
              <w:tl2br w:val="nil"/>
              <w:tr2bl w:val="nil"/>
            </w:tcBorders>
          </w:tcPr>
          <w:p>
            <w:pPr>
              <w:rPr>
                <w:rFonts w:hint="default" w:ascii="Times New Roman" w:eastAsia="Times New Roman"/>
                <w:color w:val="auto"/>
              </w:rPr>
            </w:pPr>
          </w:p>
        </w:tc>
        <w:tc>
          <w:tcPr>
            <w:tcW w:w="2101"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170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133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1337"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977" w:type="dxa"/>
            <w:tcBorders>
              <w:top w:val="single" w:color="000000" w:sz="4" w:space="0"/>
              <w:left w:val="single" w:color="000000" w:sz="4" w:space="0"/>
              <w:bottom w:val="single" w:color="000000" w:sz="4" w:space="0"/>
              <w:right w:val="single" w:color="000000" w:sz="10" w:space="0"/>
              <w:tl2br w:val="nil"/>
              <w:tr2bl w:val="nil"/>
            </w:tcBorders>
          </w:tcPr>
          <w:p>
            <w:pPr>
              <w:rPr>
                <w:rFonts w:hint="default" w:ascii="Times New Roman" w:eastAsia="Times New Roman"/>
                <w:color w:val="auto"/>
              </w:rPr>
            </w:pPr>
          </w:p>
        </w:tc>
      </w:tr>
      <w:tr>
        <w:tblPrEx>
          <w:tblCellMar>
            <w:top w:w="0" w:type="dxa"/>
            <w:left w:w="108" w:type="dxa"/>
            <w:bottom w:w="0" w:type="dxa"/>
            <w:right w:w="108" w:type="dxa"/>
          </w:tblCellMar>
        </w:tblPrEx>
        <w:trPr>
          <w:trHeight w:val="872" w:hRule="exact"/>
        </w:trPr>
        <w:tc>
          <w:tcPr>
            <w:tcW w:w="955" w:type="dxa"/>
            <w:tcBorders>
              <w:top w:val="single" w:color="000000" w:sz="4" w:space="0"/>
              <w:left w:val="single" w:color="000000" w:sz="10" w:space="0"/>
              <w:bottom w:val="single" w:color="000000" w:sz="10" w:space="0"/>
              <w:right w:val="single" w:color="000000" w:sz="4" w:space="0"/>
              <w:tl2br w:val="nil"/>
              <w:tr2bl w:val="nil"/>
            </w:tcBorders>
          </w:tcPr>
          <w:p>
            <w:pPr>
              <w:rPr>
                <w:rFonts w:hint="default" w:ascii="Times New Roman" w:eastAsia="Times New Roman"/>
                <w:color w:val="auto"/>
              </w:rPr>
            </w:pPr>
          </w:p>
        </w:tc>
        <w:tc>
          <w:tcPr>
            <w:tcW w:w="2101" w:type="dxa"/>
            <w:tcBorders>
              <w:top w:val="single" w:color="000000" w:sz="4" w:space="0"/>
              <w:left w:val="single" w:color="000000" w:sz="4" w:space="0"/>
              <w:bottom w:val="single" w:color="000000" w:sz="10" w:space="0"/>
              <w:right w:val="single" w:color="000000" w:sz="4" w:space="0"/>
              <w:tl2br w:val="nil"/>
              <w:tr2bl w:val="nil"/>
            </w:tcBorders>
          </w:tcPr>
          <w:p>
            <w:pPr>
              <w:rPr>
                <w:rFonts w:hint="default" w:ascii="Times New Roman" w:eastAsia="Times New Roman"/>
                <w:color w:val="auto"/>
              </w:rPr>
            </w:pPr>
          </w:p>
        </w:tc>
        <w:tc>
          <w:tcPr>
            <w:tcW w:w="1707" w:type="dxa"/>
            <w:tcBorders>
              <w:top w:val="single" w:color="000000" w:sz="4" w:space="0"/>
              <w:left w:val="single" w:color="000000" w:sz="4" w:space="0"/>
              <w:bottom w:val="single" w:color="000000" w:sz="10" w:space="0"/>
              <w:right w:val="single" w:color="000000" w:sz="4" w:space="0"/>
              <w:tl2br w:val="nil"/>
              <w:tr2bl w:val="nil"/>
            </w:tcBorders>
          </w:tcPr>
          <w:p>
            <w:pPr>
              <w:rPr>
                <w:rFonts w:hint="default" w:ascii="Times New Roman" w:eastAsia="Times New Roman"/>
                <w:color w:val="auto"/>
              </w:rPr>
            </w:pPr>
          </w:p>
        </w:tc>
        <w:tc>
          <w:tcPr>
            <w:tcW w:w="1337" w:type="dxa"/>
            <w:tcBorders>
              <w:top w:val="single" w:color="000000" w:sz="4" w:space="0"/>
              <w:left w:val="single" w:color="000000" w:sz="4" w:space="0"/>
              <w:bottom w:val="single" w:color="000000" w:sz="10" w:space="0"/>
              <w:right w:val="single" w:color="000000" w:sz="4" w:space="0"/>
              <w:tl2br w:val="nil"/>
              <w:tr2bl w:val="nil"/>
            </w:tcBorders>
          </w:tcPr>
          <w:p>
            <w:pPr>
              <w:rPr>
                <w:rFonts w:hint="default" w:ascii="Times New Roman" w:eastAsia="Times New Roman"/>
                <w:color w:val="auto"/>
              </w:rPr>
            </w:pPr>
          </w:p>
        </w:tc>
        <w:tc>
          <w:tcPr>
            <w:tcW w:w="1337" w:type="dxa"/>
            <w:tcBorders>
              <w:top w:val="single" w:color="000000" w:sz="4" w:space="0"/>
              <w:left w:val="single" w:color="000000" w:sz="4" w:space="0"/>
              <w:bottom w:val="single" w:color="000000" w:sz="10" w:space="0"/>
              <w:right w:val="single" w:color="000000" w:sz="4" w:space="0"/>
              <w:tl2br w:val="nil"/>
              <w:tr2bl w:val="nil"/>
            </w:tcBorders>
          </w:tcPr>
          <w:p>
            <w:pPr>
              <w:rPr>
                <w:rFonts w:hint="default" w:ascii="Times New Roman" w:eastAsia="Times New Roman"/>
                <w:color w:val="auto"/>
              </w:rPr>
            </w:pPr>
          </w:p>
        </w:tc>
        <w:tc>
          <w:tcPr>
            <w:tcW w:w="977" w:type="dxa"/>
            <w:tcBorders>
              <w:top w:val="single" w:color="000000" w:sz="4" w:space="0"/>
              <w:left w:val="single" w:color="000000" w:sz="4" w:space="0"/>
              <w:bottom w:val="single" w:color="000000" w:sz="10" w:space="0"/>
              <w:right w:val="single" w:color="000000" w:sz="10" w:space="0"/>
              <w:tl2br w:val="nil"/>
              <w:tr2bl w:val="nil"/>
            </w:tcBorders>
          </w:tcPr>
          <w:p>
            <w:pPr>
              <w:rPr>
                <w:rFonts w:hint="default" w:ascii="Times New Roman" w:eastAsia="Times New Roman"/>
                <w:color w:val="auto"/>
              </w:rPr>
            </w:pPr>
          </w:p>
        </w:tc>
      </w:tr>
    </w:tbl>
    <w:p>
      <w:pPr>
        <w:rPr>
          <w:rFonts w:hint="default" w:ascii="Times New Roman" w:eastAsia="Times New Roman"/>
          <w:color w:val="auto"/>
        </w:rPr>
        <w:sectPr>
          <w:pgSz w:w="11910" w:h="16840"/>
          <w:pgMar w:top="1460" w:right="1560" w:bottom="1600" w:left="1620" w:header="0" w:footer="1395" w:gutter="0"/>
          <w:pgNumType w:fmt="decimal"/>
          <w:cols w:space="720" w:num="1"/>
        </w:sectPr>
      </w:pPr>
    </w:p>
    <w:p>
      <w:pPr>
        <w:pStyle w:val="8"/>
        <w:kinsoku w:val="0"/>
        <w:overflowPunct w:val="0"/>
        <w:spacing w:before="0"/>
        <w:ind w:left="0"/>
        <w:rPr>
          <w:rFonts w:hint="default"/>
          <w:color w:val="auto"/>
        </w:rPr>
      </w:pPr>
    </w:p>
    <w:p>
      <w:pPr>
        <w:pStyle w:val="8"/>
        <w:kinsoku w:val="0"/>
        <w:overflowPunct w:val="0"/>
        <w:spacing w:before="191"/>
        <w:ind w:left="180"/>
        <w:rPr>
          <w:rFonts w:hint="default"/>
          <w:color w:val="auto"/>
        </w:rPr>
      </w:pPr>
      <w:r>
        <w:rPr>
          <w:color w:val="auto"/>
        </w:rPr>
        <w:t>说明：</w:t>
      </w:r>
    </w:p>
    <w:p>
      <w:pPr>
        <w:pStyle w:val="8"/>
        <w:kinsoku w:val="0"/>
        <w:overflowPunct w:val="0"/>
        <w:spacing w:before="37"/>
        <w:ind w:left="180"/>
        <w:rPr>
          <w:rFonts w:hint="default"/>
          <w:color w:val="auto"/>
        </w:rPr>
      </w:pPr>
      <w:r>
        <w:rPr>
          <w:rFonts w:ascii="Times New Roman" w:eastAsia="Times New Roman" w:cs="Times New Roman"/>
          <w:color w:val="auto"/>
        </w:rPr>
        <w:br w:type="column"/>
      </w:r>
      <w:r>
        <w:rPr>
          <w:color w:val="auto"/>
        </w:rPr>
        <w:t>年月日</w:t>
      </w:r>
    </w:p>
    <w:p>
      <w:pPr>
        <w:pStyle w:val="8"/>
        <w:kinsoku w:val="0"/>
        <w:overflowPunct w:val="0"/>
        <w:spacing w:before="37"/>
        <w:ind w:left="180"/>
        <w:rPr>
          <w:rFonts w:hint="default"/>
          <w:color w:val="auto"/>
        </w:rPr>
        <w:sectPr>
          <w:type w:val="continuous"/>
          <w:pgSz w:w="11910" w:h="16840"/>
          <w:pgMar w:top="1580" w:right="1560" w:bottom="1600" w:left="1620" w:header="720" w:footer="720" w:gutter="0"/>
          <w:pgNumType w:fmt="decimal"/>
          <w:cols w:equalWidth="0" w:num="2">
            <w:col w:w="901" w:space="5099"/>
            <w:col w:w="2730"/>
          </w:cols>
        </w:sectPr>
      </w:pPr>
    </w:p>
    <w:p>
      <w:pPr>
        <w:pStyle w:val="8"/>
        <w:kinsoku w:val="0"/>
        <w:overflowPunct w:val="0"/>
        <w:spacing w:before="10"/>
        <w:ind w:left="0"/>
        <w:rPr>
          <w:rFonts w:hint="default"/>
          <w:color w:val="auto"/>
          <w:sz w:val="9"/>
          <w:szCs w:val="9"/>
        </w:rPr>
      </w:pPr>
    </w:p>
    <w:p>
      <w:pPr>
        <w:pStyle w:val="8"/>
        <w:kinsoku w:val="0"/>
        <w:overflowPunct w:val="0"/>
        <w:spacing w:before="26" w:line="357" w:lineRule="auto"/>
        <w:ind w:left="180"/>
        <w:rPr>
          <w:rFonts w:hint="default"/>
          <w:color w:val="auto"/>
        </w:rPr>
      </w:pPr>
      <w:r>
        <w:rPr>
          <w:color w:val="auto"/>
          <w:spacing w:val="-3"/>
        </w:rPr>
        <w:t>1.</w:t>
      </w:r>
      <w:r>
        <w:rPr>
          <w:rFonts w:hint="eastAsia"/>
          <w:color w:val="auto"/>
          <w:spacing w:val="-3"/>
          <w:lang w:eastAsia="zh-CN"/>
        </w:rPr>
        <w:t>供应商</w:t>
      </w:r>
      <w:r>
        <w:rPr>
          <w:color w:val="auto"/>
          <w:spacing w:val="-3"/>
        </w:rPr>
        <w:t>必须填写《技术明细表》。如果表中所列内容无法满足招标文件中提出</w:t>
      </w:r>
      <w:r>
        <w:rPr>
          <w:color w:val="auto"/>
          <w:spacing w:val="-108"/>
        </w:rPr>
        <w:t xml:space="preserve"> </w:t>
      </w:r>
      <w:r>
        <w:rPr>
          <w:color w:val="auto"/>
        </w:rPr>
        <w:t>的要求或者与</w:t>
      </w:r>
      <w:r>
        <w:rPr>
          <w:rFonts w:hint="eastAsia"/>
          <w:color w:val="auto"/>
          <w:lang w:eastAsia="zh-CN"/>
        </w:rPr>
        <w:t>供应商</w:t>
      </w:r>
      <w:r>
        <w:rPr>
          <w:color w:val="auto"/>
        </w:rPr>
        <w:t>在技术文件中提供的内容不一致，投标有可能被拒绝；</w:t>
      </w:r>
    </w:p>
    <w:p>
      <w:pPr>
        <w:pStyle w:val="8"/>
        <w:kinsoku w:val="0"/>
        <w:overflowPunct w:val="0"/>
        <w:ind w:left="180"/>
        <w:rPr>
          <w:rFonts w:hint="default"/>
          <w:color w:val="auto"/>
        </w:rPr>
      </w:pPr>
      <w:r>
        <w:rPr>
          <w:color w:val="auto"/>
        </w:rPr>
        <w:t>2</w:t>
      </w:r>
      <w:r>
        <w:rPr>
          <w:color w:val="auto"/>
          <w:spacing w:val="-60"/>
        </w:rPr>
        <w:t xml:space="preserve"> </w:t>
      </w:r>
      <w:r>
        <w:rPr>
          <w:rFonts w:hint="eastAsia"/>
          <w:color w:val="auto"/>
          <w:lang w:eastAsia="zh-CN"/>
        </w:rPr>
        <w:t>供应商</w:t>
      </w:r>
      <w:r>
        <w:rPr>
          <w:color w:val="auto"/>
        </w:rPr>
        <w:t>需根据所投产品的实际参数逐项填写《技术规范偏离表》；</w:t>
      </w:r>
    </w:p>
    <w:p>
      <w:pPr>
        <w:pStyle w:val="8"/>
        <w:kinsoku w:val="0"/>
        <w:overflowPunct w:val="0"/>
        <w:spacing w:before="154"/>
        <w:ind w:left="180"/>
        <w:rPr>
          <w:rFonts w:hint="default"/>
          <w:color w:val="auto"/>
        </w:rPr>
      </w:pPr>
      <w:r>
        <w:rPr>
          <w:color w:val="auto"/>
        </w:rPr>
        <w:t>3.经评审委员会认定技术规格复制招标文件内容的，按无效投标处理；</w:t>
      </w:r>
    </w:p>
    <w:p>
      <w:pPr>
        <w:pStyle w:val="8"/>
        <w:kinsoku w:val="0"/>
        <w:overflowPunct w:val="0"/>
        <w:spacing w:before="187" w:line="336" w:lineRule="auto"/>
        <w:ind w:left="180"/>
        <w:rPr>
          <w:rFonts w:hint="default"/>
          <w:color w:val="auto"/>
        </w:rPr>
      </w:pPr>
      <w:r>
        <w:rPr>
          <w:color w:val="auto"/>
          <w:spacing w:val="-3"/>
        </w:rPr>
        <w:t>4.</w:t>
      </w:r>
      <w:r>
        <w:rPr>
          <w:rFonts w:hint="eastAsia"/>
          <w:color w:val="auto"/>
          <w:spacing w:val="-3"/>
          <w:lang w:eastAsia="zh-CN"/>
        </w:rPr>
        <w:t>供应商</w:t>
      </w:r>
      <w:r>
        <w:rPr>
          <w:color w:val="auto"/>
          <w:spacing w:val="-3"/>
        </w:rPr>
        <w:t>须对本采购文件技术要求进行点对点应答，必须根据本采购文件的要求,</w:t>
      </w:r>
      <w:r>
        <w:rPr>
          <w:color w:val="auto"/>
          <w:spacing w:val="-104"/>
        </w:rPr>
        <w:t xml:space="preserve"> </w:t>
      </w:r>
      <w:r>
        <w:rPr>
          <w:color w:val="auto"/>
        </w:rPr>
        <w:t>进行逐条逐项答复、说明和解释。</w:t>
      </w:r>
    </w:p>
    <w:p>
      <w:pPr>
        <w:pStyle w:val="8"/>
        <w:kinsoku w:val="0"/>
        <w:overflowPunct w:val="0"/>
        <w:spacing w:before="187" w:line="336" w:lineRule="auto"/>
        <w:ind w:left="180"/>
        <w:rPr>
          <w:rFonts w:hint="default"/>
          <w:color w:val="auto"/>
        </w:rPr>
        <w:sectPr>
          <w:type w:val="continuous"/>
          <w:pgSz w:w="11910" w:h="16840"/>
          <w:pgMar w:top="1580" w:right="1560" w:bottom="1600" w:left="1620" w:header="720" w:footer="720" w:gutter="0"/>
          <w:pgNumType w:fmt="decimal"/>
          <w:cols w:space="720" w:num="1"/>
        </w:sectPr>
      </w:pPr>
    </w:p>
    <w:p>
      <w:pPr>
        <w:pStyle w:val="3"/>
        <w:kinsoku w:val="0"/>
        <w:overflowPunct w:val="0"/>
        <w:spacing w:line="395" w:lineRule="exact"/>
        <w:rPr>
          <w:rFonts w:hint="default"/>
          <w:b w:val="0"/>
          <w:color w:val="auto"/>
        </w:rPr>
      </w:pPr>
      <w:bookmarkStart w:id="71" w:name="1、投标人自行编写的服务文件"/>
      <w:bookmarkEnd w:id="71"/>
      <w:r>
        <w:rPr>
          <w:color w:val="auto"/>
        </w:rPr>
        <w:t>四、服务（响应）文件</w:t>
      </w:r>
    </w:p>
    <w:p>
      <w:pPr>
        <w:pStyle w:val="3"/>
        <w:kinsoku w:val="0"/>
        <w:overflowPunct w:val="0"/>
        <w:spacing w:line="395" w:lineRule="exact"/>
        <w:rPr>
          <w:rFonts w:hint="default"/>
          <w:b w:val="0"/>
          <w:color w:val="auto"/>
        </w:rPr>
        <w:sectPr>
          <w:pgSz w:w="11910" w:h="16840"/>
          <w:pgMar w:top="1500" w:right="1680" w:bottom="1600" w:left="1680" w:header="0" w:footer="1395" w:gutter="0"/>
          <w:pgNumType w:fmt="decimal"/>
          <w:cols w:space="720" w:num="1"/>
        </w:sectPr>
      </w:pPr>
    </w:p>
    <w:p>
      <w:pPr>
        <w:pStyle w:val="8"/>
        <w:kinsoku w:val="0"/>
        <w:overflowPunct w:val="0"/>
        <w:spacing w:before="0" w:line="395" w:lineRule="exact"/>
        <w:ind w:left="760" w:right="1166"/>
        <w:rPr>
          <w:rFonts w:hint="default" w:ascii="黑体" w:eastAsia="黑体" w:cs="黑体"/>
          <w:color w:val="auto"/>
          <w:sz w:val="32"/>
          <w:szCs w:val="32"/>
        </w:rPr>
      </w:pPr>
      <w:r>
        <w:rPr>
          <w:rFonts w:ascii="黑体" w:eastAsia="黑体" w:cs="黑体"/>
          <w:b/>
          <w:color w:val="auto"/>
          <w:sz w:val="32"/>
          <w:szCs w:val="32"/>
        </w:rPr>
        <w:t>1、</w:t>
      </w:r>
      <w:r>
        <w:rPr>
          <w:rFonts w:hint="eastAsia" w:ascii="黑体" w:eastAsia="黑体" w:cs="黑体"/>
          <w:b/>
          <w:color w:val="auto"/>
          <w:sz w:val="32"/>
          <w:szCs w:val="32"/>
          <w:lang w:eastAsia="zh-CN"/>
        </w:rPr>
        <w:t>供应商</w:t>
      </w:r>
      <w:r>
        <w:rPr>
          <w:rFonts w:ascii="黑体" w:eastAsia="黑体" w:cs="黑体"/>
          <w:b/>
          <w:color w:val="auto"/>
          <w:sz w:val="32"/>
          <w:szCs w:val="32"/>
        </w:rPr>
        <w:t>自行编写的服务文件</w:t>
      </w:r>
    </w:p>
    <w:p>
      <w:pPr>
        <w:pStyle w:val="8"/>
        <w:kinsoku w:val="0"/>
        <w:overflowPunct w:val="0"/>
        <w:spacing w:before="190"/>
        <w:ind w:left="760" w:right="1166"/>
        <w:rPr>
          <w:rFonts w:hint="default"/>
          <w:color w:val="auto"/>
        </w:rPr>
      </w:pPr>
      <w:r>
        <w:rPr>
          <w:color w:val="auto"/>
        </w:rPr>
        <w:t>①服务内容：</w:t>
      </w:r>
    </w:p>
    <w:p>
      <w:pPr>
        <w:pStyle w:val="8"/>
        <w:kinsoku w:val="0"/>
        <w:overflowPunct w:val="0"/>
        <w:spacing w:before="77"/>
        <w:ind w:left="760" w:right="1166"/>
        <w:rPr>
          <w:rFonts w:hint="default"/>
          <w:color w:val="auto"/>
        </w:rPr>
      </w:pPr>
      <w:r>
        <w:rPr>
          <w:color w:val="auto"/>
        </w:rPr>
        <w:t>&lt;1&gt;后续服务的程序、内容、措施以及合理化建议</w:t>
      </w:r>
    </w:p>
    <w:p>
      <w:pPr>
        <w:pStyle w:val="8"/>
        <w:kinsoku w:val="0"/>
        <w:overflowPunct w:val="0"/>
        <w:spacing w:before="21"/>
        <w:ind w:left="760" w:right="1166"/>
        <w:rPr>
          <w:rFonts w:hint="default"/>
          <w:color w:val="auto"/>
          <w:sz w:val="21"/>
          <w:szCs w:val="21"/>
        </w:rPr>
      </w:pPr>
      <w:r>
        <w:rPr>
          <w:color w:val="auto"/>
          <w:sz w:val="21"/>
          <w:szCs w:val="21"/>
        </w:rPr>
        <w:t>备注：服务方案、服务体系、各类工具设备配置说明、培训方案等，格式自拟。</w:t>
      </w:r>
    </w:p>
    <w:p>
      <w:pPr>
        <w:pStyle w:val="8"/>
        <w:kinsoku w:val="0"/>
        <w:overflowPunct w:val="0"/>
        <w:spacing w:before="91"/>
        <w:ind w:left="760" w:right="1166"/>
        <w:rPr>
          <w:rFonts w:hint="default"/>
          <w:color w:val="auto"/>
        </w:rPr>
      </w:pPr>
      <w:r>
        <w:rPr>
          <w:color w:val="auto"/>
        </w:rPr>
        <w:t>&lt;2&gt;响应时间；</w:t>
      </w:r>
    </w:p>
    <w:p>
      <w:pPr>
        <w:pStyle w:val="8"/>
        <w:kinsoku w:val="0"/>
        <w:overflowPunct w:val="0"/>
        <w:spacing w:before="154" w:line="357" w:lineRule="auto"/>
        <w:ind w:left="1120" w:hanging="291"/>
        <w:rPr>
          <w:rFonts w:hint="default"/>
          <w:color w:val="auto"/>
        </w:rPr>
      </w:pPr>
      <w:r>
        <w:rPr>
          <w:rFonts w:hint="default"/>
          <w:color w:val="auto"/>
        </w:rPr>
        <mc:AlternateContent>
          <mc:Choice Requires="wps">
            <w:drawing>
              <wp:anchor distT="0" distB="0" distL="114300" distR="114300" simplePos="0" relativeHeight="251668480" behindDoc="1" locked="0" layoutInCell="0" allowOverlap="1">
                <wp:simplePos x="0" y="0"/>
                <wp:positionH relativeFrom="page">
                  <wp:posOffset>1143635</wp:posOffset>
                </wp:positionH>
                <wp:positionV relativeFrom="paragraph">
                  <wp:posOffset>147320</wp:posOffset>
                </wp:positionV>
                <wp:extent cx="151765" cy="152400"/>
                <wp:effectExtent l="4445" t="4445" r="8890" b="8255"/>
                <wp:wrapNone/>
                <wp:docPr id="17" name="任意多边形 149"/>
                <wp:cNvGraphicFramePr/>
                <a:graphic xmlns:a="http://schemas.openxmlformats.org/drawingml/2006/main">
                  <a:graphicData uri="http://schemas.microsoft.com/office/word/2010/wordprocessingShape">
                    <wps:wsp>
                      <wps:cNvSpPr/>
                      <wps:spPr>
                        <a:xfrm>
                          <a:off x="0" y="0"/>
                          <a:ext cx="151765" cy="152400"/>
                        </a:xfrm>
                        <a:custGeom>
                          <a:avLst/>
                          <a:gdLst/>
                          <a:ahLst/>
                          <a:cxnLst/>
                          <a:rect l="0" t="0" r="0" b="0"/>
                          <a:pathLst>
                            <a:path w="239" h="240">
                              <a:moveTo>
                                <a:pt x="238" y="119"/>
                              </a:moveTo>
                              <a:lnTo>
                                <a:pt x="236" y="142"/>
                              </a:lnTo>
                              <a:lnTo>
                                <a:pt x="229" y="164"/>
                              </a:lnTo>
                              <a:lnTo>
                                <a:pt x="220" y="183"/>
                              </a:lnTo>
                              <a:lnTo>
                                <a:pt x="206" y="200"/>
                              </a:lnTo>
                              <a:lnTo>
                                <a:pt x="190" y="215"/>
                              </a:lnTo>
                              <a:lnTo>
                                <a:pt x="172" y="227"/>
                              </a:lnTo>
                              <a:lnTo>
                                <a:pt x="151" y="235"/>
                              </a:lnTo>
                              <a:lnTo>
                                <a:pt x="129" y="239"/>
                              </a:lnTo>
                              <a:lnTo>
                                <a:pt x="104" y="237"/>
                              </a:lnTo>
                              <a:lnTo>
                                <a:pt x="81" y="231"/>
                              </a:lnTo>
                              <a:lnTo>
                                <a:pt x="60" y="223"/>
                              </a:lnTo>
                              <a:lnTo>
                                <a:pt x="42" y="211"/>
                              </a:lnTo>
                              <a:lnTo>
                                <a:pt x="26" y="196"/>
                              </a:lnTo>
                              <a:lnTo>
                                <a:pt x="14" y="179"/>
                              </a:lnTo>
                              <a:lnTo>
                                <a:pt x="5" y="160"/>
                              </a:lnTo>
                              <a:lnTo>
                                <a:pt x="0" y="139"/>
                              </a:lnTo>
                              <a:lnTo>
                                <a:pt x="1" y="112"/>
                              </a:lnTo>
                              <a:lnTo>
                                <a:pt x="6" y="88"/>
                              </a:lnTo>
                              <a:lnTo>
                                <a:pt x="14" y="66"/>
                              </a:lnTo>
                              <a:lnTo>
                                <a:pt x="25" y="48"/>
                              </a:lnTo>
                              <a:lnTo>
                                <a:pt x="38" y="31"/>
                              </a:lnTo>
                              <a:lnTo>
                                <a:pt x="54" y="18"/>
                              </a:lnTo>
                              <a:lnTo>
                                <a:pt x="72" y="9"/>
                              </a:lnTo>
                              <a:lnTo>
                                <a:pt x="91" y="2"/>
                              </a:lnTo>
                              <a:lnTo>
                                <a:pt x="112" y="0"/>
                              </a:lnTo>
                              <a:lnTo>
                                <a:pt x="136" y="2"/>
                              </a:lnTo>
                              <a:lnTo>
                                <a:pt x="158" y="7"/>
                              </a:lnTo>
                              <a:lnTo>
                                <a:pt x="179" y="17"/>
                              </a:lnTo>
                              <a:lnTo>
                                <a:pt x="196" y="29"/>
                              </a:lnTo>
                              <a:lnTo>
                                <a:pt x="211" y="45"/>
                              </a:lnTo>
                              <a:lnTo>
                                <a:pt x="223" y="63"/>
                              </a:lnTo>
                              <a:lnTo>
                                <a:pt x="232" y="82"/>
                              </a:lnTo>
                              <a:lnTo>
                                <a:pt x="237" y="104"/>
                              </a:lnTo>
                            </a:path>
                          </a:pathLst>
                        </a:custGeom>
                        <a:noFill/>
                        <a:ln w="635" cap="flat" cmpd="sng">
                          <a:solidFill>
                            <a:srgbClr val="000000"/>
                          </a:solidFill>
                          <a:prstDash val="solid"/>
                          <a:headEnd type="none" w="med" len="med"/>
                          <a:tailEnd type="none" w="med" len="med"/>
                        </a:ln>
                      </wps:spPr>
                      <wps:bodyPr wrap="square" upright="1"/>
                    </wps:wsp>
                  </a:graphicData>
                </a:graphic>
              </wp:anchor>
            </w:drawing>
          </mc:Choice>
          <mc:Fallback>
            <w:pict>
              <v:shape id="任意多边形 149" o:spid="_x0000_s1026" o:spt="100" style="position:absolute;left:0pt;margin-left:90.05pt;margin-top:11.6pt;height:12pt;width:11.95pt;mso-position-horizontal-relative:page;z-index:-251648000;mso-width-relative:page;mso-height-relative:page;" filled="f" stroked="t" coordsize="239,240" o:allowincell="f" o:gfxdata="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EK4iRTVAAAACQEAAA8AAAAAAAAAAQAgAAAAIgAA&#10;AGRycy9kb3ducmV2LnhtbFBLAQIUABQAAAAIAIdO4kDy8d0MKAMAAJwJAAAOAAAAAAAAAAEAIAAA&#10;ACQBAABkcnMvZTJvRG9jLnhtbFBLBQYAAAAABgAGAFkBAAC+BgAAAAA=&#10;" path="m238,119l236,142,229,164,220,183,206,200,190,215,172,227,151,235,129,239,104,237,81,231,60,223,42,211,26,196,14,179,5,160,0,139,1,112,6,88,14,66,25,48,38,31,54,18,72,9,91,2,112,0,136,2,158,7,179,17,196,29,211,45,223,63,232,82,237,104e">
                <v:fill on="f" focussize="0,0"/>
                <v:stroke weight="0.05pt" color="#000000" joinstyle="round"/>
                <v:imagedata o:title=""/>
                <o:lock v:ext="edit" aspectratio="f"/>
              </v:shape>
            </w:pict>
          </mc:Fallback>
        </mc:AlternateContent>
      </w:r>
      <w:r>
        <w:rPr>
          <w:color w:val="auto"/>
          <w:sz w:val="20"/>
          <w:szCs w:val="20"/>
        </w:rPr>
        <w:t>2</w:t>
      </w:r>
      <w:r>
        <w:rPr>
          <w:color w:val="auto"/>
          <w:spacing w:val="10"/>
          <w:sz w:val="20"/>
          <w:szCs w:val="20"/>
        </w:rPr>
        <w:t xml:space="preserve"> </w:t>
      </w:r>
      <w:r>
        <w:rPr>
          <w:color w:val="auto"/>
        </w:rPr>
        <w:t>服务网点明细表（包括联系人、详细地址、电话、传真）及本地化服务情况一览表；</w:t>
      </w:r>
    </w:p>
    <w:p>
      <w:pPr>
        <w:pStyle w:val="8"/>
        <w:kinsoku w:val="0"/>
        <w:overflowPunct w:val="0"/>
        <w:ind w:left="760" w:right="1166"/>
        <w:rPr>
          <w:rFonts w:hint="default"/>
          <w:color w:val="auto"/>
        </w:rPr>
      </w:pPr>
      <w:r>
        <w:rPr>
          <w:color w:val="auto"/>
        </w:rPr>
        <w:t>附本地化服务一览表：</w:t>
      </w:r>
    </w:p>
    <w:p>
      <w:pPr>
        <w:pStyle w:val="8"/>
        <w:kinsoku w:val="0"/>
        <w:overflowPunct w:val="0"/>
        <w:spacing w:before="9"/>
        <w:ind w:left="0"/>
        <w:rPr>
          <w:rFonts w:hint="default"/>
          <w:color w:val="auto"/>
          <w:sz w:val="8"/>
          <w:szCs w:val="8"/>
        </w:rPr>
      </w:pPr>
    </w:p>
    <w:tbl>
      <w:tblPr>
        <w:tblStyle w:val="17"/>
        <w:tblW w:w="0" w:type="auto"/>
        <w:tblInd w:w="220" w:type="dxa"/>
        <w:tblLayout w:type="fixed"/>
        <w:tblCellMar>
          <w:top w:w="0" w:type="dxa"/>
          <w:left w:w="108" w:type="dxa"/>
          <w:bottom w:w="0" w:type="dxa"/>
          <w:right w:w="108" w:type="dxa"/>
        </w:tblCellMar>
      </w:tblPr>
      <w:tblGrid>
        <w:gridCol w:w="1900"/>
        <w:gridCol w:w="2940"/>
        <w:gridCol w:w="2180"/>
        <w:gridCol w:w="2571"/>
      </w:tblGrid>
      <w:tr>
        <w:tblPrEx>
          <w:tblCellMar>
            <w:top w:w="0" w:type="dxa"/>
            <w:left w:w="108" w:type="dxa"/>
            <w:bottom w:w="0" w:type="dxa"/>
            <w:right w:w="108" w:type="dxa"/>
          </w:tblCellMar>
        </w:tblPrEx>
        <w:trPr>
          <w:trHeight w:val="478" w:hRule="exact"/>
        </w:trPr>
        <w:tc>
          <w:tcPr>
            <w:tcW w:w="1900"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345"/>
              <w:rPr>
                <w:rFonts w:hint="default" w:ascii="Times New Roman" w:eastAsia="Times New Roman"/>
                <w:color w:val="auto"/>
              </w:rPr>
            </w:pPr>
            <w:r>
              <w:rPr>
                <w:rFonts w:hint="eastAsia" w:cs="宋体"/>
                <w:color w:val="auto"/>
                <w:lang w:eastAsia="zh-CN"/>
              </w:rPr>
              <w:t>供应商</w:t>
            </w:r>
            <w:r>
              <w:rPr>
                <w:rFonts w:cs="宋体"/>
                <w:color w:val="auto"/>
              </w:rPr>
              <w:t>名称</w:t>
            </w:r>
          </w:p>
        </w:tc>
        <w:tc>
          <w:tcPr>
            <w:tcW w:w="7691" w:type="dxa"/>
            <w:gridSpan w:val="3"/>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r>
      <w:tr>
        <w:tblPrEx>
          <w:tblCellMar>
            <w:top w:w="0" w:type="dxa"/>
            <w:left w:w="108" w:type="dxa"/>
            <w:bottom w:w="0" w:type="dxa"/>
            <w:right w:w="108" w:type="dxa"/>
          </w:tblCellMar>
        </w:tblPrEx>
        <w:trPr>
          <w:trHeight w:val="946" w:hRule="exact"/>
        </w:trPr>
        <w:tc>
          <w:tcPr>
            <w:tcW w:w="1900"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13"/>
              <w:rPr>
                <w:rFonts w:hint="default" w:cs="宋体"/>
                <w:color w:val="auto"/>
                <w:sz w:val="20"/>
                <w:szCs w:val="20"/>
              </w:rPr>
            </w:pPr>
          </w:p>
          <w:p>
            <w:pPr>
              <w:pStyle w:val="21"/>
              <w:kinsoku w:val="0"/>
              <w:overflowPunct w:val="0"/>
              <w:ind w:left="105"/>
              <w:rPr>
                <w:rFonts w:hint="default" w:ascii="Times New Roman" w:eastAsia="Times New Roman"/>
                <w:color w:val="auto"/>
              </w:rPr>
            </w:pPr>
            <w:r>
              <w:rPr>
                <w:rFonts w:cs="宋体"/>
                <w:color w:val="auto"/>
              </w:rPr>
              <w:t>本地化服务形式</w:t>
            </w:r>
          </w:p>
        </w:tc>
        <w:tc>
          <w:tcPr>
            <w:tcW w:w="7691" w:type="dxa"/>
            <w:gridSpan w:val="3"/>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2"/>
              <w:ind w:left="103"/>
              <w:rPr>
                <w:rFonts w:hint="default" w:cs="宋体"/>
                <w:color w:val="auto"/>
              </w:rPr>
            </w:pPr>
            <w:r>
              <w:rPr>
                <w:rFonts w:cs="宋体"/>
                <w:color w:val="auto"/>
              </w:rPr>
              <w:t>□在本地具有固定的合作伙伴</w:t>
            </w:r>
          </w:p>
          <w:p>
            <w:pPr>
              <w:pStyle w:val="21"/>
              <w:kinsoku w:val="0"/>
              <w:overflowPunct w:val="0"/>
              <w:spacing w:before="154"/>
              <w:ind w:left="103"/>
              <w:rPr>
                <w:rFonts w:hint="default" w:ascii="Times New Roman" w:eastAsia="Times New Roman"/>
                <w:color w:val="auto"/>
              </w:rPr>
            </w:pPr>
            <w:r>
              <w:rPr>
                <w:rFonts w:cs="宋体"/>
                <w:color w:val="auto"/>
              </w:rPr>
              <w:t>□在本地注册成立</w:t>
            </w:r>
          </w:p>
        </w:tc>
      </w:tr>
      <w:tr>
        <w:tblPrEx>
          <w:tblCellMar>
            <w:top w:w="0" w:type="dxa"/>
            <w:left w:w="108" w:type="dxa"/>
            <w:bottom w:w="0" w:type="dxa"/>
            <w:right w:w="108" w:type="dxa"/>
          </w:tblCellMar>
        </w:tblPrEx>
        <w:trPr>
          <w:trHeight w:val="478" w:hRule="exact"/>
        </w:trPr>
        <w:tc>
          <w:tcPr>
            <w:tcW w:w="9591" w:type="dxa"/>
            <w:gridSpan w:val="4"/>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1"/>
              <w:ind w:left="102"/>
              <w:rPr>
                <w:rFonts w:hint="default" w:ascii="Times New Roman" w:eastAsia="Times New Roman"/>
                <w:color w:val="auto"/>
              </w:rPr>
            </w:pPr>
            <w:r>
              <w:rPr>
                <w:rFonts w:cs="宋体"/>
                <w:color w:val="auto"/>
              </w:rPr>
              <w:t>以下本地注册的公司无需填写</w:t>
            </w:r>
          </w:p>
        </w:tc>
      </w:tr>
      <w:tr>
        <w:tblPrEx>
          <w:tblCellMar>
            <w:top w:w="0" w:type="dxa"/>
            <w:left w:w="108" w:type="dxa"/>
            <w:bottom w:w="0" w:type="dxa"/>
            <w:right w:w="108" w:type="dxa"/>
          </w:tblCellMar>
        </w:tblPrEx>
        <w:trPr>
          <w:trHeight w:val="946" w:hRule="exact"/>
        </w:trPr>
        <w:tc>
          <w:tcPr>
            <w:tcW w:w="1900"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1"/>
              <w:jc w:val="center"/>
              <w:rPr>
                <w:rFonts w:hint="default" w:cs="宋体"/>
                <w:color w:val="auto"/>
              </w:rPr>
            </w:pPr>
            <w:r>
              <w:rPr>
                <w:rFonts w:cs="宋体"/>
                <w:color w:val="auto"/>
              </w:rPr>
              <w:t>本地化服务地点</w:t>
            </w:r>
          </w:p>
          <w:p>
            <w:pPr>
              <w:pStyle w:val="21"/>
              <w:kinsoku w:val="0"/>
              <w:overflowPunct w:val="0"/>
              <w:spacing w:before="154"/>
              <w:jc w:val="center"/>
              <w:rPr>
                <w:rFonts w:hint="default" w:ascii="Times New Roman" w:eastAsia="Times New Roman"/>
                <w:color w:val="auto"/>
              </w:rPr>
            </w:pPr>
            <w:r>
              <w:rPr>
                <w:rFonts w:cs="宋体"/>
                <w:color w:val="auto"/>
              </w:rPr>
              <w:t>及联系方式</w:t>
            </w:r>
          </w:p>
        </w:tc>
        <w:tc>
          <w:tcPr>
            <w:tcW w:w="2940"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2180" w:type="dxa"/>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1"/>
              <w:ind w:left="125"/>
              <w:rPr>
                <w:rFonts w:hint="default" w:ascii="Times New Roman" w:eastAsia="Times New Roman"/>
                <w:color w:val="auto"/>
              </w:rPr>
            </w:pPr>
            <w:r>
              <w:rPr>
                <w:rFonts w:cs="宋体"/>
                <w:color w:val="auto"/>
              </w:rPr>
              <w:t>负责人及联系方式（附身份证号码）</w:t>
            </w:r>
          </w:p>
        </w:tc>
        <w:tc>
          <w:tcPr>
            <w:tcW w:w="2571"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r>
      <w:tr>
        <w:tblPrEx>
          <w:tblCellMar>
            <w:top w:w="0" w:type="dxa"/>
            <w:left w:w="108" w:type="dxa"/>
            <w:bottom w:w="0" w:type="dxa"/>
            <w:right w:w="108" w:type="dxa"/>
          </w:tblCellMar>
        </w:tblPrEx>
        <w:trPr>
          <w:trHeight w:val="946" w:hRule="exact"/>
        </w:trPr>
        <w:tc>
          <w:tcPr>
            <w:tcW w:w="9591" w:type="dxa"/>
            <w:gridSpan w:val="4"/>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r>
              <w:rPr>
                <w:rFonts w:cs="宋体"/>
                <w:color w:val="auto"/>
              </w:rPr>
              <w:t>服务人员名单及联系方式（附身份证号码）：</w:t>
            </w:r>
          </w:p>
        </w:tc>
      </w:tr>
      <w:tr>
        <w:tblPrEx>
          <w:tblCellMar>
            <w:top w:w="0" w:type="dxa"/>
            <w:left w:w="108" w:type="dxa"/>
            <w:bottom w:w="0" w:type="dxa"/>
            <w:right w:w="108" w:type="dxa"/>
          </w:tblCellMar>
        </w:tblPrEx>
        <w:trPr>
          <w:trHeight w:val="946" w:hRule="exact"/>
        </w:trPr>
        <w:tc>
          <w:tcPr>
            <w:tcW w:w="9591" w:type="dxa"/>
            <w:gridSpan w:val="4"/>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ind w:left="102"/>
              <w:rPr>
                <w:rFonts w:hint="default" w:ascii="Times New Roman" w:eastAsia="Times New Roman"/>
                <w:color w:val="auto"/>
              </w:rPr>
            </w:pPr>
            <w:r>
              <w:rPr>
                <w:rFonts w:cs="宋体"/>
                <w:color w:val="auto"/>
              </w:rPr>
              <w:t>其他有关证明文件说明（如营业执照等）：</w:t>
            </w:r>
          </w:p>
        </w:tc>
      </w:tr>
      <w:tr>
        <w:tblPrEx>
          <w:tblCellMar>
            <w:top w:w="0" w:type="dxa"/>
            <w:left w:w="108" w:type="dxa"/>
            <w:bottom w:w="0" w:type="dxa"/>
            <w:right w:w="108" w:type="dxa"/>
          </w:tblCellMar>
        </w:tblPrEx>
        <w:trPr>
          <w:trHeight w:val="1414" w:hRule="exact"/>
        </w:trPr>
        <w:tc>
          <w:tcPr>
            <w:tcW w:w="9591" w:type="dxa"/>
            <w:gridSpan w:val="4"/>
            <w:tcBorders>
              <w:top w:val="single" w:color="000000" w:sz="4" w:space="0"/>
              <w:left w:val="single" w:color="000000" w:sz="4" w:space="0"/>
              <w:bottom w:val="single" w:color="000000" w:sz="4" w:space="0"/>
              <w:right w:val="single" w:color="000000" w:sz="4" w:space="0"/>
              <w:tl2br w:val="nil"/>
              <w:tr2bl w:val="nil"/>
            </w:tcBorders>
          </w:tcPr>
          <w:p>
            <w:pPr>
              <w:pStyle w:val="21"/>
              <w:kinsoku w:val="0"/>
              <w:overflowPunct w:val="0"/>
              <w:spacing w:before="40" w:line="357" w:lineRule="auto"/>
              <w:ind w:left="102" w:right="102"/>
              <w:rPr>
                <w:rFonts w:hint="default" w:cs="宋体"/>
                <w:color w:val="auto"/>
              </w:rPr>
            </w:pPr>
            <w:r>
              <w:rPr>
                <w:rFonts w:cs="宋体"/>
                <w:color w:val="auto"/>
                <w:spacing w:val="-3"/>
              </w:rPr>
              <w:t>备注：1、具有合作伙伴的应填写合作伙伴的相关资料，并提供双方的合作协议以及合作伙</w:t>
            </w:r>
            <w:r>
              <w:rPr>
                <w:rFonts w:cs="宋体"/>
                <w:color w:val="auto"/>
                <w:spacing w:val="-106"/>
              </w:rPr>
              <w:t xml:space="preserve"> </w:t>
            </w:r>
            <w:r>
              <w:rPr>
                <w:rFonts w:cs="宋体"/>
                <w:color w:val="auto"/>
              </w:rPr>
              <w:t>伴的营业执照等证明文件。</w:t>
            </w:r>
          </w:p>
          <w:p>
            <w:pPr>
              <w:pStyle w:val="21"/>
              <w:kinsoku w:val="0"/>
              <w:overflowPunct w:val="0"/>
              <w:spacing w:before="36"/>
              <w:ind w:left="825"/>
              <w:rPr>
                <w:rFonts w:hint="default" w:ascii="Times New Roman" w:eastAsia="Times New Roman"/>
                <w:color w:val="auto"/>
              </w:rPr>
            </w:pPr>
            <w:r>
              <w:rPr>
                <w:rFonts w:cs="宋体"/>
                <w:color w:val="auto"/>
              </w:rPr>
              <w:t>2、如供应商不能提供本地化服务，可不填报。</w:t>
            </w:r>
          </w:p>
        </w:tc>
      </w:tr>
    </w:tbl>
    <w:p>
      <w:pPr>
        <w:rPr>
          <w:rFonts w:hint="default" w:ascii="Times New Roman" w:eastAsia="Times New Roman"/>
          <w:color w:val="auto"/>
        </w:rPr>
        <w:sectPr>
          <w:pgSz w:w="11910" w:h="16840"/>
          <w:pgMar w:top="1500" w:right="1040" w:bottom="1600" w:left="1040" w:header="0" w:footer="1395" w:gutter="0"/>
          <w:pgNumType w:fmt="decimal"/>
          <w:cols w:space="720" w:num="1"/>
        </w:sectPr>
      </w:pPr>
    </w:p>
    <w:p>
      <w:pPr>
        <w:pStyle w:val="8"/>
        <w:kinsoku w:val="0"/>
        <w:overflowPunct w:val="0"/>
        <w:spacing w:before="2" w:line="357" w:lineRule="auto"/>
        <w:ind w:left="460" w:right="4719"/>
        <w:rPr>
          <w:b/>
          <w:color w:val="auto"/>
          <w:w w:val="99"/>
        </w:rPr>
      </w:pPr>
      <w:r>
        <w:rPr>
          <w:color w:val="auto"/>
        </w:rPr>
        <w:t>③★</w:t>
      </w:r>
      <w:r>
        <w:rPr>
          <w:b/>
          <w:color w:val="auto"/>
        </w:rPr>
        <w:t>服务项目偏离表</w:t>
      </w:r>
      <w:r>
        <w:rPr>
          <w:b/>
          <w:color w:val="auto"/>
          <w:w w:val="99"/>
        </w:rPr>
        <w:t xml:space="preserve"> </w:t>
      </w:r>
    </w:p>
    <w:p>
      <w:pPr>
        <w:pStyle w:val="8"/>
        <w:kinsoku w:val="0"/>
        <w:overflowPunct w:val="0"/>
        <w:spacing w:before="2" w:line="357" w:lineRule="auto"/>
        <w:ind w:left="460" w:right="4719"/>
        <w:rPr>
          <w:rFonts w:hint="default"/>
          <w:color w:val="auto"/>
        </w:rPr>
      </w:pPr>
      <w:r>
        <w:rPr>
          <w:color w:val="auto"/>
        </w:rPr>
        <w:t>项目编号、包号</w:t>
      </w:r>
    </w:p>
    <w:tbl>
      <w:tblPr>
        <w:tblStyle w:val="17"/>
        <w:tblW w:w="0" w:type="auto"/>
        <w:tblInd w:w="219" w:type="dxa"/>
        <w:tblLayout w:type="fixed"/>
        <w:tblCellMar>
          <w:top w:w="0" w:type="dxa"/>
          <w:left w:w="108" w:type="dxa"/>
          <w:bottom w:w="0" w:type="dxa"/>
          <w:right w:w="108" w:type="dxa"/>
        </w:tblCellMar>
      </w:tblPr>
      <w:tblGrid>
        <w:gridCol w:w="1146"/>
        <w:gridCol w:w="1528"/>
        <w:gridCol w:w="2674"/>
        <w:gridCol w:w="2483"/>
        <w:gridCol w:w="1146"/>
      </w:tblGrid>
      <w:tr>
        <w:tblPrEx>
          <w:tblCellMar>
            <w:top w:w="0" w:type="dxa"/>
            <w:left w:w="108" w:type="dxa"/>
            <w:bottom w:w="0" w:type="dxa"/>
            <w:right w:w="108" w:type="dxa"/>
          </w:tblCellMar>
        </w:tblPrEx>
        <w:trPr>
          <w:trHeight w:val="956" w:hRule="exact"/>
        </w:trPr>
        <w:tc>
          <w:tcPr>
            <w:tcW w:w="1146" w:type="dxa"/>
            <w:tcBorders>
              <w:top w:val="single" w:color="000000" w:sz="10" w:space="0"/>
              <w:left w:val="single" w:color="000000" w:sz="10" w:space="0"/>
              <w:bottom w:val="single" w:color="000000" w:sz="4" w:space="0"/>
              <w:right w:val="single" w:color="000000" w:sz="4" w:space="0"/>
              <w:tl2br w:val="nil"/>
              <w:tr2bl w:val="nil"/>
            </w:tcBorders>
          </w:tcPr>
          <w:p>
            <w:pPr>
              <w:pStyle w:val="21"/>
              <w:kinsoku w:val="0"/>
              <w:overflowPunct w:val="0"/>
              <w:spacing w:before="10"/>
              <w:rPr>
                <w:rFonts w:hint="default" w:cs="宋体"/>
                <w:color w:val="auto"/>
                <w:sz w:val="20"/>
                <w:szCs w:val="20"/>
              </w:rPr>
            </w:pPr>
          </w:p>
          <w:p>
            <w:pPr>
              <w:pStyle w:val="21"/>
              <w:kinsoku w:val="0"/>
              <w:overflowPunct w:val="0"/>
              <w:ind w:left="319"/>
              <w:rPr>
                <w:rFonts w:hint="default" w:ascii="Times New Roman" w:eastAsia="Times New Roman"/>
                <w:color w:val="auto"/>
              </w:rPr>
            </w:pPr>
            <w:r>
              <w:rPr>
                <w:rFonts w:cs="宋体"/>
                <w:color w:val="auto"/>
              </w:rPr>
              <w:t>序号</w:t>
            </w:r>
          </w:p>
        </w:tc>
        <w:tc>
          <w:tcPr>
            <w:tcW w:w="1528" w:type="dxa"/>
            <w:tcBorders>
              <w:top w:val="single" w:color="000000" w:sz="10" w:space="0"/>
              <w:left w:val="single" w:color="000000" w:sz="4" w:space="0"/>
              <w:bottom w:val="single" w:color="000000" w:sz="4" w:space="0"/>
              <w:right w:val="single" w:color="000000" w:sz="4" w:space="0"/>
              <w:tl2br w:val="nil"/>
              <w:tr2bl w:val="nil"/>
            </w:tcBorders>
          </w:tcPr>
          <w:p>
            <w:pPr>
              <w:pStyle w:val="21"/>
              <w:kinsoku w:val="0"/>
              <w:overflowPunct w:val="0"/>
              <w:spacing w:before="38"/>
              <w:jc w:val="center"/>
              <w:rPr>
                <w:rFonts w:hint="default" w:cs="宋体"/>
                <w:color w:val="auto"/>
              </w:rPr>
            </w:pPr>
            <w:r>
              <w:rPr>
                <w:rFonts w:cs="宋体"/>
                <w:color w:val="auto"/>
              </w:rPr>
              <w:t>招标文件</w:t>
            </w:r>
          </w:p>
          <w:p>
            <w:pPr>
              <w:pStyle w:val="21"/>
              <w:kinsoku w:val="0"/>
              <w:overflowPunct w:val="0"/>
              <w:spacing w:before="154"/>
              <w:jc w:val="center"/>
              <w:rPr>
                <w:rFonts w:hint="default" w:ascii="Times New Roman" w:eastAsia="Times New Roman"/>
                <w:color w:val="auto"/>
              </w:rPr>
            </w:pPr>
            <w:r>
              <w:rPr>
                <w:rFonts w:cs="宋体"/>
                <w:color w:val="auto"/>
              </w:rPr>
              <w:t>条款号</w:t>
            </w:r>
          </w:p>
        </w:tc>
        <w:tc>
          <w:tcPr>
            <w:tcW w:w="2674" w:type="dxa"/>
            <w:tcBorders>
              <w:top w:val="single" w:color="000000" w:sz="10" w:space="0"/>
              <w:left w:val="single" w:color="000000" w:sz="4" w:space="0"/>
              <w:bottom w:val="single" w:color="000000" w:sz="4" w:space="0"/>
              <w:right w:val="single" w:color="000000" w:sz="4" w:space="0"/>
              <w:tl2br w:val="nil"/>
              <w:tr2bl w:val="nil"/>
            </w:tcBorders>
          </w:tcPr>
          <w:p>
            <w:pPr>
              <w:pStyle w:val="21"/>
              <w:kinsoku w:val="0"/>
              <w:overflowPunct w:val="0"/>
              <w:spacing w:before="10"/>
              <w:rPr>
                <w:rFonts w:hint="default" w:cs="宋体"/>
                <w:color w:val="auto"/>
                <w:sz w:val="20"/>
                <w:szCs w:val="20"/>
              </w:rPr>
            </w:pPr>
          </w:p>
          <w:p>
            <w:pPr>
              <w:pStyle w:val="21"/>
              <w:kinsoku w:val="0"/>
              <w:overflowPunct w:val="0"/>
              <w:ind w:left="251"/>
              <w:rPr>
                <w:rFonts w:hint="default" w:ascii="Times New Roman" w:eastAsia="Times New Roman"/>
                <w:color w:val="auto"/>
              </w:rPr>
            </w:pPr>
            <w:r>
              <w:rPr>
                <w:rFonts w:cs="宋体"/>
                <w:color w:val="auto"/>
              </w:rPr>
              <w:t>招标文件的服务条款</w:t>
            </w:r>
          </w:p>
        </w:tc>
        <w:tc>
          <w:tcPr>
            <w:tcW w:w="2483" w:type="dxa"/>
            <w:tcBorders>
              <w:top w:val="single" w:color="000000" w:sz="10" w:space="0"/>
              <w:left w:val="single" w:color="000000" w:sz="4" w:space="0"/>
              <w:bottom w:val="single" w:color="000000" w:sz="4" w:space="0"/>
              <w:right w:val="single" w:color="000000" w:sz="4" w:space="0"/>
              <w:tl2br w:val="nil"/>
              <w:tr2bl w:val="nil"/>
            </w:tcBorders>
          </w:tcPr>
          <w:p>
            <w:pPr>
              <w:pStyle w:val="21"/>
              <w:kinsoku w:val="0"/>
              <w:overflowPunct w:val="0"/>
              <w:spacing w:before="10"/>
              <w:rPr>
                <w:rFonts w:hint="default" w:cs="宋体"/>
                <w:color w:val="auto"/>
                <w:sz w:val="20"/>
                <w:szCs w:val="20"/>
              </w:rPr>
            </w:pPr>
          </w:p>
          <w:p>
            <w:pPr>
              <w:pStyle w:val="21"/>
              <w:kinsoku w:val="0"/>
              <w:overflowPunct w:val="0"/>
              <w:ind w:left="155"/>
              <w:rPr>
                <w:rFonts w:hint="default" w:ascii="Times New Roman" w:eastAsia="Times New Roman"/>
                <w:color w:val="auto"/>
              </w:rPr>
            </w:pPr>
            <w:r>
              <w:rPr>
                <w:rFonts w:cs="宋体"/>
                <w:color w:val="auto"/>
              </w:rPr>
              <w:t>投标文件的服务条款</w:t>
            </w:r>
          </w:p>
        </w:tc>
        <w:tc>
          <w:tcPr>
            <w:tcW w:w="1146" w:type="dxa"/>
            <w:tcBorders>
              <w:top w:val="single" w:color="000000" w:sz="10" w:space="0"/>
              <w:left w:val="single" w:color="000000" w:sz="4" w:space="0"/>
              <w:bottom w:val="single" w:color="000000" w:sz="4" w:space="0"/>
              <w:right w:val="single" w:color="000000" w:sz="10" w:space="0"/>
              <w:tl2br w:val="nil"/>
              <w:tr2bl w:val="nil"/>
            </w:tcBorders>
          </w:tcPr>
          <w:p>
            <w:pPr>
              <w:pStyle w:val="21"/>
              <w:kinsoku w:val="0"/>
              <w:overflowPunct w:val="0"/>
              <w:spacing w:before="10"/>
              <w:rPr>
                <w:rFonts w:hint="default" w:cs="宋体"/>
                <w:color w:val="auto"/>
                <w:sz w:val="20"/>
                <w:szCs w:val="20"/>
              </w:rPr>
            </w:pPr>
          </w:p>
          <w:p>
            <w:pPr>
              <w:pStyle w:val="21"/>
              <w:kinsoku w:val="0"/>
              <w:overflowPunct w:val="0"/>
              <w:ind w:left="328"/>
              <w:rPr>
                <w:rFonts w:hint="default" w:ascii="Times New Roman" w:eastAsia="Times New Roman"/>
                <w:color w:val="auto"/>
              </w:rPr>
            </w:pPr>
            <w:r>
              <w:rPr>
                <w:rFonts w:cs="宋体"/>
                <w:color w:val="auto"/>
              </w:rPr>
              <w:t>备注</w:t>
            </w:r>
          </w:p>
        </w:tc>
      </w:tr>
      <w:tr>
        <w:tblPrEx>
          <w:tblCellMar>
            <w:top w:w="0" w:type="dxa"/>
            <w:left w:w="108" w:type="dxa"/>
            <w:bottom w:w="0" w:type="dxa"/>
            <w:right w:w="108" w:type="dxa"/>
          </w:tblCellMar>
        </w:tblPrEx>
        <w:trPr>
          <w:trHeight w:val="780" w:hRule="exact"/>
        </w:trPr>
        <w:tc>
          <w:tcPr>
            <w:tcW w:w="1146" w:type="dxa"/>
            <w:tcBorders>
              <w:top w:val="single" w:color="000000" w:sz="4" w:space="0"/>
              <w:left w:val="single" w:color="000000" w:sz="10" w:space="0"/>
              <w:bottom w:val="single" w:color="000000" w:sz="4" w:space="0"/>
              <w:right w:val="single" w:color="000000" w:sz="4" w:space="0"/>
              <w:tl2br w:val="nil"/>
              <w:tr2bl w:val="nil"/>
            </w:tcBorders>
          </w:tcPr>
          <w:p>
            <w:pPr>
              <w:rPr>
                <w:rFonts w:hint="default" w:ascii="Times New Roman" w:eastAsia="Times New Roman"/>
                <w:color w:val="auto"/>
              </w:rPr>
            </w:pPr>
          </w:p>
        </w:tc>
        <w:tc>
          <w:tcPr>
            <w:tcW w:w="1528"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267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2483"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1146" w:type="dxa"/>
            <w:tcBorders>
              <w:top w:val="single" w:color="000000" w:sz="4" w:space="0"/>
              <w:left w:val="single" w:color="000000" w:sz="4" w:space="0"/>
              <w:bottom w:val="single" w:color="000000" w:sz="4" w:space="0"/>
              <w:right w:val="single" w:color="000000" w:sz="10" w:space="0"/>
              <w:tl2br w:val="nil"/>
              <w:tr2bl w:val="nil"/>
            </w:tcBorders>
          </w:tcPr>
          <w:p>
            <w:pPr>
              <w:rPr>
                <w:rFonts w:hint="default" w:ascii="Times New Roman" w:eastAsia="Times New Roman"/>
                <w:color w:val="auto"/>
              </w:rPr>
            </w:pPr>
          </w:p>
        </w:tc>
      </w:tr>
      <w:tr>
        <w:tblPrEx>
          <w:tblCellMar>
            <w:top w:w="0" w:type="dxa"/>
            <w:left w:w="108" w:type="dxa"/>
            <w:bottom w:w="0" w:type="dxa"/>
            <w:right w:w="108" w:type="dxa"/>
          </w:tblCellMar>
        </w:tblPrEx>
        <w:trPr>
          <w:trHeight w:val="780" w:hRule="exact"/>
        </w:trPr>
        <w:tc>
          <w:tcPr>
            <w:tcW w:w="1146" w:type="dxa"/>
            <w:tcBorders>
              <w:top w:val="single" w:color="000000" w:sz="4" w:space="0"/>
              <w:left w:val="single" w:color="000000" w:sz="10" w:space="0"/>
              <w:bottom w:val="single" w:color="000000" w:sz="4" w:space="0"/>
              <w:right w:val="single" w:color="000000" w:sz="4" w:space="0"/>
              <w:tl2br w:val="nil"/>
              <w:tr2bl w:val="nil"/>
            </w:tcBorders>
          </w:tcPr>
          <w:p>
            <w:pPr>
              <w:rPr>
                <w:rFonts w:hint="default" w:ascii="Times New Roman" w:eastAsia="Times New Roman"/>
                <w:color w:val="auto"/>
              </w:rPr>
            </w:pPr>
          </w:p>
        </w:tc>
        <w:tc>
          <w:tcPr>
            <w:tcW w:w="1528"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267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2483"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1146" w:type="dxa"/>
            <w:tcBorders>
              <w:top w:val="single" w:color="000000" w:sz="4" w:space="0"/>
              <w:left w:val="single" w:color="000000" w:sz="4" w:space="0"/>
              <w:bottom w:val="single" w:color="000000" w:sz="4" w:space="0"/>
              <w:right w:val="single" w:color="000000" w:sz="10" w:space="0"/>
              <w:tl2br w:val="nil"/>
              <w:tr2bl w:val="nil"/>
            </w:tcBorders>
          </w:tcPr>
          <w:p>
            <w:pPr>
              <w:rPr>
                <w:rFonts w:hint="default" w:ascii="Times New Roman" w:eastAsia="Times New Roman"/>
                <w:color w:val="auto"/>
              </w:rPr>
            </w:pPr>
          </w:p>
        </w:tc>
      </w:tr>
      <w:tr>
        <w:tblPrEx>
          <w:tblCellMar>
            <w:top w:w="0" w:type="dxa"/>
            <w:left w:w="108" w:type="dxa"/>
            <w:bottom w:w="0" w:type="dxa"/>
            <w:right w:w="108" w:type="dxa"/>
          </w:tblCellMar>
        </w:tblPrEx>
        <w:trPr>
          <w:trHeight w:val="780" w:hRule="exact"/>
        </w:trPr>
        <w:tc>
          <w:tcPr>
            <w:tcW w:w="1146" w:type="dxa"/>
            <w:tcBorders>
              <w:top w:val="single" w:color="000000" w:sz="4" w:space="0"/>
              <w:left w:val="single" w:color="000000" w:sz="10" w:space="0"/>
              <w:bottom w:val="single" w:color="000000" w:sz="4" w:space="0"/>
              <w:right w:val="single" w:color="000000" w:sz="4" w:space="0"/>
              <w:tl2br w:val="nil"/>
              <w:tr2bl w:val="nil"/>
            </w:tcBorders>
          </w:tcPr>
          <w:p>
            <w:pPr>
              <w:rPr>
                <w:rFonts w:hint="default" w:ascii="Times New Roman" w:eastAsia="Times New Roman"/>
                <w:color w:val="auto"/>
              </w:rPr>
            </w:pPr>
          </w:p>
        </w:tc>
        <w:tc>
          <w:tcPr>
            <w:tcW w:w="1528"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2674"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2483" w:type="dxa"/>
            <w:tcBorders>
              <w:top w:val="single" w:color="000000" w:sz="4" w:space="0"/>
              <w:left w:val="single" w:color="000000" w:sz="4" w:space="0"/>
              <w:bottom w:val="single" w:color="000000" w:sz="4" w:space="0"/>
              <w:right w:val="single" w:color="000000" w:sz="4" w:space="0"/>
              <w:tl2br w:val="nil"/>
              <w:tr2bl w:val="nil"/>
            </w:tcBorders>
          </w:tcPr>
          <w:p>
            <w:pPr>
              <w:rPr>
                <w:rFonts w:hint="default" w:ascii="Times New Roman" w:eastAsia="Times New Roman"/>
                <w:color w:val="auto"/>
              </w:rPr>
            </w:pPr>
          </w:p>
        </w:tc>
        <w:tc>
          <w:tcPr>
            <w:tcW w:w="1146" w:type="dxa"/>
            <w:tcBorders>
              <w:top w:val="single" w:color="000000" w:sz="4" w:space="0"/>
              <w:left w:val="single" w:color="000000" w:sz="4" w:space="0"/>
              <w:bottom w:val="single" w:color="000000" w:sz="4" w:space="0"/>
              <w:right w:val="single" w:color="000000" w:sz="10" w:space="0"/>
              <w:tl2br w:val="nil"/>
              <w:tr2bl w:val="nil"/>
            </w:tcBorders>
          </w:tcPr>
          <w:p>
            <w:pPr>
              <w:rPr>
                <w:rFonts w:hint="default" w:ascii="Times New Roman" w:eastAsia="Times New Roman"/>
                <w:color w:val="auto"/>
              </w:rPr>
            </w:pPr>
          </w:p>
        </w:tc>
      </w:tr>
      <w:tr>
        <w:tblPrEx>
          <w:tblCellMar>
            <w:top w:w="0" w:type="dxa"/>
            <w:left w:w="108" w:type="dxa"/>
            <w:bottom w:w="0" w:type="dxa"/>
            <w:right w:w="108" w:type="dxa"/>
          </w:tblCellMar>
        </w:tblPrEx>
        <w:trPr>
          <w:trHeight w:val="872" w:hRule="exact"/>
        </w:trPr>
        <w:tc>
          <w:tcPr>
            <w:tcW w:w="1146" w:type="dxa"/>
            <w:tcBorders>
              <w:top w:val="single" w:color="000000" w:sz="4" w:space="0"/>
              <w:left w:val="single" w:color="000000" w:sz="10" w:space="0"/>
              <w:bottom w:val="single" w:color="000000" w:sz="10" w:space="0"/>
              <w:right w:val="single" w:color="000000" w:sz="4" w:space="0"/>
              <w:tl2br w:val="nil"/>
              <w:tr2bl w:val="nil"/>
            </w:tcBorders>
          </w:tcPr>
          <w:p>
            <w:pPr>
              <w:rPr>
                <w:rFonts w:hint="default" w:ascii="Times New Roman" w:eastAsia="Times New Roman"/>
                <w:color w:val="auto"/>
              </w:rPr>
            </w:pPr>
          </w:p>
        </w:tc>
        <w:tc>
          <w:tcPr>
            <w:tcW w:w="1528" w:type="dxa"/>
            <w:tcBorders>
              <w:top w:val="single" w:color="000000" w:sz="4" w:space="0"/>
              <w:left w:val="single" w:color="000000" w:sz="4" w:space="0"/>
              <w:bottom w:val="single" w:color="000000" w:sz="10" w:space="0"/>
              <w:right w:val="single" w:color="000000" w:sz="4" w:space="0"/>
              <w:tl2br w:val="nil"/>
              <w:tr2bl w:val="nil"/>
            </w:tcBorders>
          </w:tcPr>
          <w:p>
            <w:pPr>
              <w:rPr>
                <w:rFonts w:hint="default" w:ascii="Times New Roman" w:eastAsia="Times New Roman"/>
                <w:color w:val="auto"/>
              </w:rPr>
            </w:pPr>
          </w:p>
        </w:tc>
        <w:tc>
          <w:tcPr>
            <w:tcW w:w="2674" w:type="dxa"/>
            <w:tcBorders>
              <w:top w:val="single" w:color="000000" w:sz="4" w:space="0"/>
              <w:left w:val="single" w:color="000000" w:sz="4" w:space="0"/>
              <w:bottom w:val="single" w:color="000000" w:sz="10" w:space="0"/>
              <w:right w:val="single" w:color="000000" w:sz="4" w:space="0"/>
              <w:tl2br w:val="nil"/>
              <w:tr2bl w:val="nil"/>
            </w:tcBorders>
          </w:tcPr>
          <w:p>
            <w:pPr>
              <w:rPr>
                <w:rFonts w:hint="default" w:ascii="Times New Roman" w:eastAsia="Times New Roman"/>
                <w:color w:val="auto"/>
              </w:rPr>
            </w:pPr>
          </w:p>
        </w:tc>
        <w:tc>
          <w:tcPr>
            <w:tcW w:w="2483" w:type="dxa"/>
            <w:tcBorders>
              <w:top w:val="single" w:color="000000" w:sz="4" w:space="0"/>
              <w:left w:val="single" w:color="000000" w:sz="4" w:space="0"/>
              <w:bottom w:val="single" w:color="000000" w:sz="10" w:space="0"/>
              <w:right w:val="single" w:color="000000" w:sz="4" w:space="0"/>
              <w:tl2br w:val="nil"/>
              <w:tr2bl w:val="nil"/>
            </w:tcBorders>
          </w:tcPr>
          <w:p>
            <w:pPr>
              <w:rPr>
                <w:rFonts w:hint="default" w:ascii="Times New Roman" w:eastAsia="Times New Roman"/>
                <w:color w:val="auto"/>
              </w:rPr>
            </w:pPr>
          </w:p>
        </w:tc>
        <w:tc>
          <w:tcPr>
            <w:tcW w:w="1146" w:type="dxa"/>
            <w:tcBorders>
              <w:top w:val="single" w:color="000000" w:sz="4" w:space="0"/>
              <w:left w:val="single" w:color="000000" w:sz="4" w:space="0"/>
              <w:bottom w:val="single" w:color="000000" w:sz="10" w:space="0"/>
              <w:right w:val="single" w:color="000000" w:sz="10" w:space="0"/>
              <w:tl2br w:val="nil"/>
              <w:tr2bl w:val="nil"/>
            </w:tcBorders>
          </w:tcPr>
          <w:p>
            <w:pPr>
              <w:rPr>
                <w:rFonts w:hint="default" w:ascii="Times New Roman" w:eastAsia="Times New Roman"/>
                <w:color w:val="auto"/>
              </w:rPr>
            </w:pPr>
          </w:p>
        </w:tc>
      </w:tr>
    </w:tbl>
    <w:p>
      <w:pPr>
        <w:pStyle w:val="8"/>
        <w:kinsoku w:val="0"/>
        <w:overflowPunct w:val="0"/>
        <w:spacing w:before="37"/>
        <w:ind w:left="462"/>
        <w:rPr>
          <w:rFonts w:hint="default"/>
          <w:color w:val="auto"/>
        </w:rPr>
      </w:pPr>
      <w:r>
        <w:rPr>
          <w:color w:val="auto"/>
        </w:rPr>
        <w:t>说明：</w:t>
      </w:r>
      <w:r>
        <w:rPr>
          <w:rFonts w:hint="eastAsia"/>
          <w:color w:val="auto"/>
          <w:lang w:eastAsia="zh-CN"/>
        </w:rPr>
        <w:t>供应商</w:t>
      </w:r>
      <w:r>
        <w:rPr>
          <w:color w:val="auto"/>
        </w:rPr>
        <w:t>需逐项填写《服务项目偏离表》。</w:t>
      </w:r>
    </w:p>
    <w:p>
      <w:pPr>
        <w:pStyle w:val="8"/>
        <w:kinsoku w:val="0"/>
        <w:overflowPunct w:val="0"/>
        <w:spacing w:before="0"/>
        <w:ind w:left="0"/>
        <w:rPr>
          <w:rFonts w:hint="default"/>
          <w:color w:val="auto"/>
          <w:sz w:val="20"/>
          <w:szCs w:val="20"/>
        </w:rPr>
      </w:pPr>
    </w:p>
    <w:p>
      <w:pPr>
        <w:pStyle w:val="8"/>
        <w:kinsoku w:val="0"/>
        <w:overflowPunct w:val="0"/>
        <w:spacing w:before="0"/>
        <w:ind w:left="0"/>
        <w:rPr>
          <w:rFonts w:hint="default"/>
          <w:color w:val="auto"/>
          <w:sz w:val="20"/>
          <w:szCs w:val="20"/>
        </w:rPr>
      </w:pPr>
    </w:p>
    <w:p>
      <w:pPr>
        <w:pStyle w:val="8"/>
        <w:kinsoku w:val="0"/>
        <w:overflowPunct w:val="0"/>
        <w:spacing w:before="0"/>
        <w:ind w:left="0"/>
        <w:rPr>
          <w:rFonts w:hint="default"/>
          <w:color w:val="auto"/>
          <w:sz w:val="20"/>
          <w:szCs w:val="20"/>
        </w:rPr>
      </w:pPr>
    </w:p>
    <w:p>
      <w:pPr>
        <w:pStyle w:val="8"/>
        <w:kinsoku w:val="0"/>
        <w:overflowPunct w:val="0"/>
        <w:spacing w:before="0"/>
        <w:ind w:left="0"/>
        <w:rPr>
          <w:rFonts w:hint="default"/>
          <w:color w:val="auto"/>
          <w:sz w:val="20"/>
          <w:szCs w:val="20"/>
        </w:rPr>
      </w:pPr>
    </w:p>
    <w:p>
      <w:pPr>
        <w:pStyle w:val="8"/>
        <w:kinsoku w:val="0"/>
        <w:overflowPunct w:val="0"/>
        <w:spacing w:before="0"/>
        <w:ind w:left="0"/>
        <w:rPr>
          <w:rFonts w:hint="default"/>
          <w:color w:val="auto"/>
          <w:sz w:val="20"/>
          <w:szCs w:val="20"/>
        </w:rPr>
      </w:pPr>
    </w:p>
    <w:p>
      <w:pPr>
        <w:pStyle w:val="8"/>
        <w:kinsoku w:val="0"/>
        <w:overflowPunct w:val="0"/>
        <w:spacing w:before="1"/>
        <w:ind w:left="0"/>
        <w:rPr>
          <w:rFonts w:hint="default"/>
          <w:color w:val="auto"/>
          <w:sz w:val="17"/>
          <w:szCs w:val="17"/>
        </w:rPr>
      </w:pPr>
    </w:p>
    <w:p>
      <w:pPr>
        <w:pStyle w:val="8"/>
        <w:kinsoku w:val="0"/>
        <w:overflowPunct w:val="0"/>
        <w:spacing w:before="26"/>
        <w:ind w:left="0" w:right="477"/>
        <w:jc w:val="right"/>
        <w:rPr>
          <w:rFonts w:hint="default"/>
          <w:color w:val="auto"/>
        </w:rPr>
      </w:pPr>
      <w:r>
        <w:rPr>
          <w:color w:val="auto"/>
        </w:rPr>
        <w:t>年月日</w:t>
      </w:r>
    </w:p>
    <w:p>
      <w:pPr>
        <w:pStyle w:val="8"/>
        <w:kinsoku w:val="0"/>
        <w:overflowPunct w:val="0"/>
        <w:spacing w:before="26"/>
        <w:ind w:left="0" w:right="477"/>
        <w:jc w:val="right"/>
        <w:rPr>
          <w:rFonts w:hint="default"/>
          <w:color w:val="auto"/>
        </w:rPr>
        <w:sectPr>
          <w:pgSz w:w="11910" w:h="16840"/>
          <w:pgMar w:top="1460" w:right="1320" w:bottom="1600" w:left="1340" w:header="0" w:footer="1395" w:gutter="0"/>
          <w:pgNumType w:fmt="decimal"/>
          <w:cols w:space="720" w:num="1"/>
        </w:sectPr>
      </w:pPr>
    </w:p>
    <w:p>
      <w:pPr>
        <w:pStyle w:val="5"/>
        <w:kinsoku w:val="0"/>
        <w:overflowPunct w:val="0"/>
        <w:spacing w:line="395" w:lineRule="exact"/>
        <w:rPr>
          <w:rFonts w:hint="default"/>
          <w:color w:val="auto"/>
        </w:rPr>
      </w:pPr>
      <w:bookmarkStart w:id="72" w:name="友情提示：供应商在制作投标文件时，如有问题可咨询政采云客服采小蜜"/>
      <w:bookmarkEnd w:id="72"/>
      <w:r>
        <w:rPr>
          <w:color w:val="auto"/>
        </w:rPr>
        <w:t>友情提示：供应商在制作投标文件时，如有问题可咨询政采</w:t>
      </w:r>
    </w:p>
    <w:p>
      <w:pPr>
        <w:pStyle w:val="8"/>
        <w:kinsoku w:val="0"/>
        <w:overflowPunct w:val="0"/>
        <w:spacing w:before="205"/>
        <w:rPr>
          <w:rFonts w:hint="default" w:ascii="仿宋" w:eastAsia="仿宋" w:cs="仿宋"/>
          <w:color w:val="auto"/>
          <w:sz w:val="32"/>
          <w:szCs w:val="32"/>
        </w:rPr>
      </w:pPr>
      <w:r>
        <w:rPr>
          <w:rFonts w:ascii="仿宋" w:eastAsia="仿宋" w:cs="仿宋"/>
          <w:color w:val="auto"/>
          <w:sz w:val="32"/>
          <w:szCs w:val="32"/>
        </w:rPr>
        <w:t>云客服采小蜜</w:t>
      </w:r>
    </w:p>
    <w:p>
      <w:pPr>
        <w:pStyle w:val="8"/>
        <w:kinsoku w:val="0"/>
        <w:overflowPunct w:val="0"/>
        <w:spacing w:before="1"/>
        <w:ind w:left="0"/>
        <w:rPr>
          <w:rFonts w:hint="default" w:ascii="仿宋" w:eastAsia="仿宋" w:cs="仿宋"/>
          <w:color w:val="auto"/>
          <w:sz w:val="21"/>
          <w:szCs w:val="21"/>
        </w:rPr>
      </w:pPr>
    </w:p>
    <w:p>
      <w:pPr>
        <w:pStyle w:val="8"/>
        <w:kinsoku w:val="0"/>
        <w:overflowPunct w:val="0"/>
        <w:spacing w:before="0" w:line="8079" w:lineRule="exact"/>
        <w:ind w:left="151"/>
        <w:rPr>
          <w:rFonts w:hint="default" w:ascii="仿宋" w:eastAsia="仿宋" w:cs="仿宋"/>
          <w:color w:val="auto"/>
          <w:position w:val="-162"/>
          <w:sz w:val="20"/>
          <w:szCs w:val="20"/>
        </w:rPr>
      </w:pPr>
      <w:r>
        <w:rPr>
          <w:rFonts w:hint="default" w:ascii="仿宋" w:eastAsia="仿宋" w:cs="仿宋"/>
          <w:color w:val="auto"/>
          <w:position w:val="-162"/>
          <w:sz w:val="20"/>
          <w:szCs w:val="20"/>
        </w:rPr>
        <w:drawing>
          <wp:inline distT="0" distB="0" distL="114300" distR="114300">
            <wp:extent cx="5208905" cy="5130800"/>
            <wp:effectExtent l="0" t="0" r="10795" b="0"/>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19"/>
                    <a:stretch>
                      <a:fillRect/>
                    </a:stretch>
                  </pic:blipFill>
                  <pic:spPr>
                    <a:xfrm>
                      <a:off x="0" y="0"/>
                      <a:ext cx="5208905" cy="5130800"/>
                    </a:xfrm>
                    <a:prstGeom prst="rect">
                      <a:avLst/>
                    </a:prstGeom>
                    <a:noFill/>
                    <a:ln>
                      <a:noFill/>
                    </a:ln>
                  </pic:spPr>
                </pic:pic>
              </a:graphicData>
            </a:graphic>
          </wp:inline>
        </w:drawing>
      </w:r>
    </w:p>
    <w:p>
      <w:pPr>
        <w:pStyle w:val="8"/>
        <w:kinsoku w:val="0"/>
        <w:overflowPunct w:val="0"/>
        <w:spacing w:before="0" w:line="8079" w:lineRule="exact"/>
        <w:ind w:left="151"/>
        <w:rPr>
          <w:rFonts w:hint="default" w:ascii="仿宋" w:eastAsia="仿宋" w:cs="仿宋"/>
          <w:color w:val="auto"/>
          <w:position w:val="-162"/>
          <w:sz w:val="20"/>
          <w:szCs w:val="20"/>
        </w:rPr>
        <w:sectPr>
          <w:pgSz w:w="11910" w:h="16840"/>
          <w:pgMar w:top="1500" w:right="1660" w:bottom="1600" w:left="1680" w:header="0" w:footer="1395" w:gutter="0"/>
          <w:pgNumType w:fmt="decimal"/>
          <w:cols w:space="720" w:num="1"/>
        </w:sectPr>
      </w:pPr>
    </w:p>
    <w:p>
      <w:pPr>
        <w:pStyle w:val="8"/>
        <w:kinsoku w:val="0"/>
        <w:overflowPunct w:val="0"/>
        <w:spacing w:before="7"/>
        <w:ind w:left="0"/>
        <w:rPr>
          <w:rFonts w:hint="default" w:ascii="Times New Roman" w:eastAsia="Times New Roman" w:cs="Times New Roman"/>
          <w:color w:val="auto"/>
          <w:sz w:val="7"/>
          <w:szCs w:val="7"/>
        </w:rPr>
      </w:pPr>
    </w:p>
    <w:p>
      <w:pPr>
        <w:pStyle w:val="8"/>
        <w:kinsoku w:val="0"/>
        <w:overflowPunct w:val="0"/>
        <w:spacing w:before="0" w:line="7538" w:lineRule="exact"/>
        <w:ind w:left="106"/>
        <w:rPr>
          <w:rFonts w:hint="default" w:ascii="Times New Roman" w:eastAsia="Times New Roman" w:cs="Times New Roman"/>
          <w:color w:val="auto"/>
          <w:position w:val="-151"/>
          <w:sz w:val="20"/>
          <w:szCs w:val="20"/>
        </w:rPr>
      </w:pPr>
      <w:r>
        <w:rPr>
          <w:rFonts w:hint="default" w:ascii="Times New Roman" w:cs="Times New Roman"/>
          <w:color w:val="auto"/>
          <w:position w:val="-151"/>
          <w:sz w:val="20"/>
          <w:szCs w:val="20"/>
        </w:rPr>
        <mc:AlternateContent>
          <mc:Choice Requires="wpg">
            <w:drawing>
              <wp:inline distT="0" distB="0" distL="114300" distR="114300">
                <wp:extent cx="5308600" cy="4787265"/>
                <wp:effectExtent l="0" t="0" r="0" b="0"/>
                <wp:docPr id="3" name="组合 150"/>
                <wp:cNvGraphicFramePr/>
                <a:graphic xmlns:a="http://schemas.openxmlformats.org/drawingml/2006/main">
                  <a:graphicData uri="http://schemas.microsoft.com/office/word/2010/wordprocessingGroup">
                    <wpg:wgp>
                      <wpg:cNvGrpSpPr>
                        <a:grpSpLocks noRot="1"/>
                      </wpg:cNvGrpSpPr>
                      <wpg:grpSpPr>
                        <a:xfrm>
                          <a:off x="0" y="0"/>
                          <a:ext cx="5308600" cy="4787265"/>
                          <a:chOff x="0" y="0"/>
                          <a:chExt cx="8365" cy="7535"/>
                        </a:xfrm>
                      </wpg:grpSpPr>
                      <wps:wsp>
                        <wps:cNvPr id="36" name="矩形 151"/>
                        <wps:cNvSpPr/>
                        <wps:spPr>
                          <a:xfrm>
                            <a:off x="0" y="5815"/>
                            <a:ext cx="8300" cy="1720"/>
                          </a:xfrm>
                          <a:prstGeom prst="rect">
                            <a:avLst/>
                          </a:prstGeom>
                          <a:noFill/>
                          <a:ln>
                            <a:noFill/>
                          </a:ln>
                        </wps:spPr>
                        <wps:txbx>
                          <w:txbxContent>
                            <w:p>
                              <w:pPr>
                                <w:widowControl/>
                                <w:autoSpaceDE/>
                                <w:autoSpaceDN/>
                                <w:adjustRightInd/>
                                <w:spacing w:line="1720" w:lineRule="atLeast"/>
                                <w:rPr>
                                  <w:rFonts w:hint="default" w:ascii="Times New Roman" w:eastAsia="Times New Roman"/>
                                </w:rPr>
                              </w:pPr>
                              <w:r>
                                <w:rPr>
                                  <w:rFonts w:hint="default" w:ascii="Times New Roman"/>
                                </w:rPr>
                                <w:drawing>
                                  <wp:inline distT="0" distB="0" distL="114300" distR="114300">
                                    <wp:extent cx="5261610" cy="1092200"/>
                                    <wp:effectExtent l="0" t="0" r="8890" b="0"/>
                                    <wp:docPr id="4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
                                            <pic:cNvPicPr>
                                              <a:picLocks noChangeAspect="1"/>
                                            </pic:cNvPicPr>
                                          </pic:nvPicPr>
                                          <pic:blipFill>
                                            <a:blip r:embed="rId20"/>
                                            <a:stretch>
                                              <a:fillRect/>
                                            </a:stretch>
                                          </pic:blipFill>
                                          <pic:spPr>
                                            <a:xfrm>
                                              <a:off x="0" y="0"/>
                                              <a:ext cx="5261610" cy="1092200"/>
                                            </a:xfrm>
                                            <a:prstGeom prst="rect">
                                              <a:avLst/>
                                            </a:prstGeom>
                                            <a:noFill/>
                                            <a:ln>
                                              <a:noFill/>
                                            </a:ln>
                                          </pic:spPr>
                                        </pic:pic>
                                      </a:graphicData>
                                    </a:graphic>
                                  </wp:inline>
                                </w:drawing>
                              </w:r>
                            </w:p>
                            <w:p>
                              <w:pPr>
                                <w:rPr>
                                  <w:rFonts w:hint="default" w:ascii="Times New Roman" w:eastAsia="Times New Roman"/>
                                </w:rPr>
                              </w:pPr>
                            </w:p>
                          </w:txbxContent>
                        </wps:txbx>
                        <wps:bodyPr wrap="square" lIns="0" tIns="0" rIns="0" bIns="0" upright="1"/>
                      </wps:wsp>
                      <wps:wsp>
                        <wps:cNvPr id="38" name="矩形 152"/>
                        <wps:cNvSpPr/>
                        <wps:spPr>
                          <a:xfrm>
                            <a:off x="65" y="0"/>
                            <a:ext cx="8300" cy="5840"/>
                          </a:xfrm>
                          <a:prstGeom prst="rect">
                            <a:avLst/>
                          </a:prstGeom>
                          <a:noFill/>
                          <a:ln>
                            <a:noFill/>
                          </a:ln>
                        </wps:spPr>
                        <wps:txbx>
                          <w:txbxContent>
                            <w:p>
                              <w:pPr>
                                <w:widowControl/>
                                <w:autoSpaceDE/>
                                <w:autoSpaceDN/>
                                <w:adjustRightInd/>
                                <w:spacing w:line="5840" w:lineRule="atLeast"/>
                                <w:rPr>
                                  <w:rFonts w:hint="default" w:ascii="Times New Roman" w:eastAsia="Times New Roman"/>
                                </w:rPr>
                              </w:pPr>
                              <w:r>
                                <w:rPr>
                                  <w:rFonts w:hint="default" w:ascii="Times New Roman"/>
                                </w:rPr>
                                <w:drawing>
                                  <wp:inline distT="0" distB="0" distL="114300" distR="114300">
                                    <wp:extent cx="5279390" cy="3714750"/>
                                    <wp:effectExtent l="0" t="0" r="3810" b="6350"/>
                                    <wp:docPr id="4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
                                            <pic:cNvPicPr>
                                              <a:picLocks noChangeAspect="1"/>
                                            </pic:cNvPicPr>
                                          </pic:nvPicPr>
                                          <pic:blipFill>
                                            <a:blip r:embed="rId21"/>
                                            <a:stretch>
                                              <a:fillRect/>
                                            </a:stretch>
                                          </pic:blipFill>
                                          <pic:spPr>
                                            <a:xfrm>
                                              <a:off x="0" y="0"/>
                                              <a:ext cx="5279390" cy="3714750"/>
                                            </a:xfrm>
                                            <a:prstGeom prst="rect">
                                              <a:avLst/>
                                            </a:prstGeom>
                                            <a:noFill/>
                                            <a:ln>
                                              <a:noFill/>
                                            </a:ln>
                                          </pic:spPr>
                                        </pic:pic>
                                      </a:graphicData>
                                    </a:graphic>
                                  </wp:inline>
                                </w:drawing>
                              </w:r>
                            </w:p>
                            <w:p>
                              <w:pPr>
                                <w:rPr>
                                  <w:rFonts w:hint="default" w:ascii="Times New Roman" w:eastAsia="Times New Roman"/>
                                </w:rPr>
                              </w:pPr>
                            </w:p>
                          </w:txbxContent>
                        </wps:txbx>
                        <wps:bodyPr wrap="square" lIns="0" tIns="0" rIns="0" bIns="0" upright="1"/>
                      </wps:wsp>
                    </wpg:wgp>
                  </a:graphicData>
                </a:graphic>
              </wp:inline>
            </w:drawing>
          </mc:Choice>
          <mc:Fallback>
            <w:pict>
              <v:group id="组合 150" o:spid="_x0000_s1026" o:spt="203" style="height:376.95pt;width:418pt;" coordsize="8365,7535" o:gfxdata="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xG31Z1gAAAAUB&#10;AAAPAAAAAAAAAAEAIAAAACIAAABkcnMvZG93bnJldi54bWxQSwECFAAUAAAACACHTuJAgnoU/lYC&#10;AABeBgAADgAAAAAAAAABACAAAAAlAQAAZHJzL2Uyb0RvYy54bWxQSwUGAAAAAAYABgBZAQAA7QUA&#10;AAAA&#10;">
                <o:lock v:ext="edit" rotation="t" aspectratio="f"/>
                <v:rect id="矩形 151" o:spid="_x0000_s1026" o:spt="1" style="position:absolute;left:0;top:5815;height:1720;width:8300;" filled="f" stroked="f" coordsize="21600,21600" o:gfxdata="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bfwIC/&#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widowControl/>
                          <w:autoSpaceDE/>
                          <w:autoSpaceDN/>
                          <w:adjustRightInd/>
                          <w:spacing w:line="1720" w:lineRule="atLeast"/>
                          <w:rPr>
                            <w:rFonts w:hint="default" w:ascii="Times New Roman" w:eastAsia="Times New Roman"/>
                          </w:rPr>
                        </w:pPr>
                        <w:r>
                          <w:rPr>
                            <w:rFonts w:hint="default" w:ascii="Times New Roman"/>
                          </w:rPr>
                          <w:drawing>
                            <wp:inline distT="0" distB="0" distL="114300" distR="114300">
                              <wp:extent cx="5261610" cy="1092200"/>
                              <wp:effectExtent l="0" t="0" r="8890" b="0"/>
                              <wp:docPr id="4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
                                      <pic:cNvPicPr>
                                        <a:picLocks noChangeAspect="1"/>
                                      </pic:cNvPicPr>
                                    </pic:nvPicPr>
                                    <pic:blipFill>
                                      <a:blip r:embed="rId20"/>
                                      <a:stretch>
                                        <a:fillRect/>
                                      </a:stretch>
                                    </pic:blipFill>
                                    <pic:spPr>
                                      <a:xfrm>
                                        <a:off x="0" y="0"/>
                                        <a:ext cx="5261610" cy="1092200"/>
                                      </a:xfrm>
                                      <a:prstGeom prst="rect">
                                        <a:avLst/>
                                      </a:prstGeom>
                                      <a:noFill/>
                                      <a:ln>
                                        <a:noFill/>
                                      </a:ln>
                                    </pic:spPr>
                                  </pic:pic>
                                </a:graphicData>
                              </a:graphic>
                            </wp:inline>
                          </w:drawing>
                        </w:r>
                      </w:p>
                      <w:p>
                        <w:pPr>
                          <w:rPr>
                            <w:rFonts w:hint="default" w:ascii="Times New Roman" w:eastAsia="Times New Roman"/>
                          </w:rPr>
                        </w:pPr>
                      </w:p>
                    </w:txbxContent>
                  </v:textbox>
                </v:rect>
                <v:rect id="矩形 152" o:spid="_x0000_s1026" o:spt="1" style="position:absolute;left:65;top:0;height:5840;width:8300;" filled="f" stroked="f" coordsize="21600,21600" o:gfxdata="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DPFp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widowControl/>
                          <w:autoSpaceDE/>
                          <w:autoSpaceDN/>
                          <w:adjustRightInd/>
                          <w:spacing w:line="5840" w:lineRule="atLeast"/>
                          <w:rPr>
                            <w:rFonts w:hint="default" w:ascii="Times New Roman" w:eastAsia="Times New Roman"/>
                          </w:rPr>
                        </w:pPr>
                        <w:r>
                          <w:rPr>
                            <w:rFonts w:hint="default" w:ascii="Times New Roman"/>
                          </w:rPr>
                          <w:drawing>
                            <wp:inline distT="0" distB="0" distL="114300" distR="114300">
                              <wp:extent cx="5279390" cy="3714750"/>
                              <wp:effectExtent l="0" t="0" r="3810" b="6350"/>
                              <wp:docPr id="4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
                                      <pic:cNvPicPr>
                                        <a:picLocks noChangeAspect="1"/>
                                      </pic:cNvPicPr>
                                    </pic:nvPicPr>
                                    <pic:blipFill>
                                      <a:blip r:embed="rId21"/>
                                      <a:stretch>
                                        <a:fillRect/>
                                      </a:stretch>
                                    </pic:blipFill>
                                    <pic:spPr>
                                      <a:xfrm>
                                        <a:off x="0" y="0"/>
                                        <a:ext cx="5279390" cy="3714750"/>
                                      </a:xfrm>
                                      <a:prstGeom prst="rect">
                                        <a:avLst/>
                                      </a:prstGeom>
                                      <a:noFill/>
                                      <a:ln>
                                        <a:noFill/>
                                      </a:ln>
                                    </pic:spPr>
                                  </pic:pic>
                                </a:graphicData>
                              </a:graphic>
                            </wp:inline>
                          </w:drawing>
                        </w:r>
                      </w:p>
                      <w:p>
                        <w:pPr>
                          <w:rPr>
                            <w:rFonts w:hint="default" w:ascii="Times New Roman" w:eastAsia="Times New Roman"/>
                          </w:rPr>
                        </w:pPr>
                      </w:p>
                    </w:txbxContent>
                  </v:textbox>
                </v:rect>
                <w10:wrap type="none"/>
                <w10:anchorlock/>
              </v:group>
            </w:pict>
          </mc:Fallback>
        </mc:AlternateContent>
      </w:r>
    </w:p>
    <w:sectPr>
      <w:pgSz w:w="11910" w:h="16840"/>
      <w:pgMar w:top="1380" w:right="1680" w:bottom="1580" w:left="1660" w:header="0" w:footer="1395"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Segoe UI Emoji">
    <w:panose1 w:val="020B0502040204020203"/>
    <w:charset w:val="00"/>
    <w:family w:val="swiss"/>
    <w:pitch w:val="default"/>
    <w:sig w:usb0="00000001" w:usb1="02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insoku w:val="0"/>
      <w:overflowPunct w:val="0"/>
      <w:spacing w:before="0" w:line="14" w:lineRule="auto"/>
      <w:ind w:left="0"/>
      <w:rPr>
        <w:rFonts w:hint="default" w:ascii="Times New Roman" w:eastAsia="Times New Roman" w:cs="Times New Roman"/>
        <w:sz w:val="20"/>
        <w:szCs w:val="20"/>
      </w:rPr>
    </w:pPr>
    <w:r>
      <w:rPr>
        <w:rFonts w:hint="default"/>
      </w:rPr>
      <mc:AlternateContent>
        <mc:Choice Requires="wps">
          <w:drawing>
            <wp:anchor distT="0" distB="0" distL="114300" distR="114300" simplePos="0" relativeHeight="251666432" behindDoc="1" locked="0" layoutInCell="0" allowOverlap="1">
              <wp:simplePos x="0" y="0"/>
              <wp:positionH relativeFrom="page">
                <wp:posOffset>3726815</wp:posOffset>
              </wp:positionH>
              <wp:positionV relativeFrom="page">
                <wp:posOffset>9653905</wp:posOffset>
              </wp:positionV>
              <wp:extent cx="107950" cy="139700"/>
              <wp:effectExtent l="0" t="0" r="0" b="0"/>
              <wp:wrapNone/>
              <wp:docPr id="21" name="文本框 1"/>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pPr>
                            <w:pStyle w:val="8"/>
                            <w:kinsoku w:val="0"/>
                            <w:overflowPunct w:val="0"/>
                            <w:spacing w:before="0" w:line="204" w:lineRule="exact"/>
                            <w:ind w:left="40"/>
                            <w:rPr>
                              <w:rFonts w:hint="default" w:ascii="Times New Roman" w:eastAsia="Times New Roman" w:cs="Times New Roman"/>
                              <w:sz w:val="18"/>
                              <w:szCs w:val="18"/>
                            </w:rPr>
                          </w:pPr>
                          <w:r>
                            <w:rPr>
                              <w:rFonts w:ascii="Times New Roman" w:eastAsia="Times New Roman" w:cs="Times New Roman"/>
                              <w:sz w:val="18"/>
                              <w:szCs w:val="18"/>
                            </w:rPr>
                            <w:fldChar w:fldCharType="begin"/>
                          </w:r>
                          <w:r>
                            <w:rPr>
                              <w:rFonts w:ascii="Times New Roman" w:eastAsia="Times New Roman" w:cs="Times New Roman"/>
                              <w:sz w:val="18"/>
                              <w:szCs w:val="18"/>
                            </w:rPr>
                            <w:instrText xml:space="preserve"> PAGE </w:instrText>
                          </w:r>
                          <w:r>
                            <w:rPr>
                              <w:rFonts w:ascii="Times New Roman" w:eastAsia="Times New Roman" w:cs="Times New Roman"/>
                              <w:sz w:val="18"/>
                              <w:szCs w:val="18"/>
                            </w:rPr>
                            <w:fldChar w:fldCharType="separate"/>
                          </w:r>
                          <w:r>
                            <w:rPr>
                              <w:rFonts w:hint="default" w:ascii="Times New Roman" w:eastAsia="Times New Roman" w:cs="Times New Roman"/>
                              <w:sz w:val="18"/>
                              <w:szCs w:val="18"/>
                            </w:rPr>
                            <w:t>6</w:t>
                          </w:r>
                          <w:r>
                            <w:rPr>
                              <w:rFonts w:ascii="Times New Roman" w:eastAsia="Times New Roman" w:cs="Times New Roman"/>
                              <w:sz w:val="18"/>
                              <w:szCs w:val="18"/>
                            </w:rPr>
                            <w:fldChar w:fldCharType="end"/>
                          </w:r>
                        </w:p>
                      </w:txbxContent>
                    </wps:txbx>
                    <wps:bodyPr wrap="square" lIns="0" tIns="0" rIns="0" bIns="0" upright="1"/>
                  </wps:wsp>
                </a:graphicData>
              </a:graphic>
            </wp:anchor>
          </w:drawing>
        </mc:Choice>
        <mc:Fallback>
          <w:pict>
            <v:shape id="文本框 1" o:spid="_x0000_s1026" o:spt="202" type="#_x0000_t202" style="position:absolute;left:0pt;margin-left:293.45pt;margin-top:760.15pt;height:11pt;width:8.5pt;mso-position-horizontal-relative:page;mso-position-vertical-relative:page;z-index:-251650048;mso-width-relative:page;mso-height-relative:page;" filled="f" stroked="f" coordsize="21600,21600" o:allowincell="f" o:gfxdata="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rpWfp2gAAAA0BAAAPAAAAAAAAAAEAIAAAACIAAABkcnMvZG93&#10;bnJldi54bWxQSwECFAAUAAAACACHTuJAS12IjcUBAACAAwAADgAAAAAAAAABACAAAAApAQAAZHJz&#10;L2Uyb0RvYy54bWxQSwUGAAAAAAYABgBZAQAAYAUAAAAA&#10;">
              <v:fill on="f" focussize="0,0"/>
              <v:stroke on="f"/>
              <v:imagedata o:title=""/>
              <o:lock v:ext="edit" aspectratio="f"/>
              <v:textbox inset="0mm,0mm,0mm,0mm">
                <w:txbxContent>
                  <w:p>
                    <w:pPr>
                      <w:pStyle w:val="8"/>
                      <w:kinsoku w:val="0"/>
                      <w:overflowPunct w:val="0"/>
                      <w:spacing w:before="0" w:line="204" w:lineRule="exact"/>
                      <w:ind w:left="40"/>
                      <w:rPr>
                        <w:rFonts w:hint="default" w:ascii="Times New Roman" w:eastAsia="Times New Roman" w:cs="Times New Roman"/>
                        <w:sz w:val="18"/>
                        <w:szCs w:val="18"/>
                      </w:rPr>
                    </w:pPr>
                    <w:r>
                      <w:rPr>
                        <w:rFonts w:ascii="Times New Roman" w:eastAsia="Times New Roman" w:cs="Times New Roman"/>
                        <w:sz w:val="18"/>
                        <w:szCs w:val="18"/>
                      </w:rPr>
                      <w:fldChar w:fldCharType="begin"/>
                    </w:r>
                    <w:r>
                      <w:rPr>
                        <w:rFonts w:ascii="Times New Roman" w:eastAsia="Times New Roman" w:cs="Times New Roman"/>
                        <w:sz w:val="18"/>
                        <w:szCs w:val="18"/>
                      </w:rPr>
                      <w:instrText xml:space="preserve"> PAGE </w:instrText>
                    </w:r>
                    <w:r>
                      <w:rPr>
                        <w:rFonts w:ascii="Times New Roman" w:eastAsia="Times New Roman" w:cs="Times New Roman"/>
                        <w:sz w:val="18"/>
                        <w:szCs w:val="18"/>
                      </w:rPr>
                      <w:fldChar w:fldCharType="separate"/>
                    </w:r>
                    <w:r>
                      <w:rPr>
                        <w:rFonts w:hint="default" w:ascii="Times New Roman" w:eastAsia="Times New Roman" w:cs="Times New Roman"/>
                        <w:sz w:val="18"/>
                        <w:szCs w:val="18"/>
                      </w:rPr>
                      <w:t>6</w:t>
                    </w:r>
                    <w:r>
                      <w:rPr>
                        <w:rFonts w:ascii="Times New Roman" w:eastAsia="Times New Roman" w:cs="Times New Roman"/>
                        <w:sz w:val="18"/>
                        <w:szCs w:val="1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insoku w:val="0"/>
      <w:overflowPunct w:val="0"/>
      <w:spacing w:before="0" w:line="14" w:lineRule="auto"/>
      <w:ind w:left="0"/>
      <w:rPr>
        <w:rFonts w:hint="default" w:ascii="Times New Roman" w:eastAsia="Times New Roman" w:cs="Times New Roman"/>
        <w:sz w:val="20"/>
        <w:szCs w:val="20"/>
      </w:rPr>
    </w:pPr>
    <w:r>
      <w:rPr>
        <w:rFonts w:hint="default"/>
      </w:rPr>
      <mc:AlternateContent>
        <mc:Choice Requires="wps">
          <w:drawing>
            <wp:anchor distT="0" distB="0" distL="114300" distR="114300" simplePos="0" relativeHeight="251667456" behindDoc="1" locked="0" layoutInCell="0" allowOverlap="1">
              <wp:simplePos x="0" y="0"/>
              <wp:positionH relativeFrom="page">
                <wp:posOffset>3697605</wp:posOffset>
              </wp:positionH>
              <wp:positionV relativeFrom="page">
                <wp:posOffset>9653905</wp:posOffset>
              </wp:positionV>
              <wp:extent cx="166370" cy="139700"/>
              <wp:effectExtent l="0" t="0" r="0" b="0"/>
              <wp:wrapNone/>
              <wp:docPr id="31" name="文本框 15"/>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pStyle w:val="8"/>
                            <w:kinsoku w:val="0"/>
                            <w:overflowPunct w:val="0"/>
                            <w:spacing w:before="0" w:line="204" w:lineRule="exact"/>
                            <w:ind w:left="40"/>
                            <w:rPr>
                              <w:rFonts w:hint="default" w:ascii="Times New Roman" w:eastAsia="Times New Roman" w:cs="Times New Roman"/>
                              <w:sz w:val="18"/>
                              <w:szCs w:val="18"/>
                            </w:rPr>
                          </w:pPr>
                          <w:r>
                            <w:rPr>
                              <w:rFonts w:ascii="Times New Roman" w:eastAsia="Times New Roman" w:cs="Times New Roman"/>
                              <w:sz w:val="18"/>
                              <w:szCs w:val="18"/>
                            </w:rPr>
                            <w:fldChar w:fldCharType="begin"/>
                          </w:r>
                          <w:r>
                            <w:rPr>
                              <w:rFonts w:ascii="Times New Roman" w:eastAsia="Times New Roman" w:cs="Times New Roman"/>
                              <w:sz w:val="18"/>
                              <w:szCs w:val="18"/>
                            </w:rPr>
                            <w:instrText xml:space="preserve"> PAGE </w:instrText>
                          </w:r>
                          <w:r>
                            <w:rPr>
                              <w:rFonts w:ascii="Times New Roman" w:eastAsia="Times New Roman" w:cs="Times New Roman"/>
                              <w:sz w:val="18"/>
                              <w:szCs w:val="18"/>
                            </w:rPr>
                            <w:fldChar w:fldCharType="separate"/>
                          </w:r>
                          <w:r>
                            <w:rPr>
                              <w:rFonts w:hint="default" w:ascii="Times New Roman" w:eastAsia="Times New Roman" w:cs="Times New Roman"/>
                              <w:sz w:val="18"/>
                              <w:szCs w:val="18"/>
                            </w:rPr>
                            <w:t>33</w:t>
                          </w:r>
                          <w:r>
                            <w:rPr>
                              <w:rFonts w:ascii="Times New Roman" w:eastAsia="Times New Roman" w:cs="Times New Roman"/>
                              <w:sz w:val="18"/>
                              <w:szCs w:val="18"/>
                            </w:rPr>
                            <w:fldChar w:fldCharType="end"/>
                          </w:r>
                        </w:p>
                      </w:txbxContent>
                    </wps:txbx>
                    <wps:bodyPr wrap="square" lIns="0" tIns="0" rIns="0" bIns="0" upright="1"/>
                  </wps:wsp>
                </a:graphicData>
              </a:graphic>
            </wp:anchor>
          </w:drawing>
        </mc:Choice>
        <mc:Fallback>
          <w:pict>
            <v:shape id="文本框 15" o:spid="_x0000_s1026" o:spt="202" type="#_x0000_t202" style="position:absolute;left:0pt;margin-left:291.15pt;margin-top:760.15pt;height:11pt;width:13.1pt;mso-position-horizontal-relative:page;mso-position-vertical-relative:page;z-index:-251649024;mso-width-relative:page;mso-height-relative:page;" filled="f" stroked="f" coordsize="21600,21600" o:allowincell="f" o:gfxdata="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XNmxx2gAAAA0BAAAPAAAAAAAAAAEAIAAAACIAAABkcnMvZG93&#10;bnJldi54bWxQSwECFAAUAAAACACHTuJA80NVzMUBAACBAwAADgAAAAAAAAABACAAAAApAQAAZHJz&#10;L2Uyb0RvYy54bWxQSwUGAAAAAAYABgBZAQAAYAUAAAAA&#10;">
              <v:fill on="f" focussize="0,0"/>
              <v:stroke on="f"/>
              <v:imagedata o:title=""/>
              <o:lock v:ext="edit" aspectratio="f"/>
              <v:textbox inset="0mm,0mm,0mm,0mm">
                <w:txbxContent>
                  <w:p>
                    <w:pPr>
                      <w:pStyle w:val="8"/>
                      <w:kinsoku w:val="0"/>
                      <w:overflowPunct w:val="0"/>
                      <w:spacing w:before="0" w:line="204" w:lineRule="exact"/>
                      <w:ind w:left="40"/>
                      <w:rPr>
                        <w:rFonts w:hint="default" w:ascii="Times New Roman" w:eastAsia="Times New Roman" w:cs="Times New Roman"/>
                        <w:sz w:val="18"/>
                        <w:szCs w:val="18"/>
                      </w:rPr>
                    </w:pPr>
                    <w:r>
                      <w:rPr>
                        <w:rFonts w:ascii="Times New Roman" w:eastAsia="Times New Roman" w:cs="Times New Roman"/>
                        <w:sz w:val="18"/>
                        <w:szCs w:val="18"/>
                      </w:rPr>
                      <w:fldChar w:fldCharType="begin"/>
                    </w:r>
                    <w:r>
                      <w:rPr>
                        <w:rFonts w:ascii="Times New Roman" w:eastAsia="Times New Roman" w:cs="Times New Roman"/>
                        <w:sz w:val="18"/>
                        <w:szCs w:val="18"/>
                      </w:rPr>
                      <w:instrText xml:space="preserve"> PAGE </w:instrText>
                    </w:r>
                    <w:r>
                      <w:rPr>
                        <w:rFonts w:ascii="Times New Roman" w:eastAsia="Times New Roman" w:cs="Times New Roman"/>
                        <w:sz w:val="18"/>
                        <w:szCs w:val="18"/>
                      </w:rPr>
                      <w:fldChar w:fldCharType="separate"/>
                    </w:r>
                    <w:r>
                      <w:rPr>
                        <w:rFonts w:hint="default" w:ascii="Times New Roman" w:eastAsia="Times New Roman" w:cs="Times New Roman"/>
                        <w:sz w:val="18"/>
                        <w:szCs w:val="18"/>
                      </w:rPr>
                      <w:t>33</w:t>
                    </w:r>
                    <w:r>
                      <w:rPr>
                        <w:rFonts w:ascii="Times New Roman" w:eastAsia="Times New Roman" w:cs="Times New Roman"/>
                        <w:sz w:val="18"/>
                        <w:szCs w:val="1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422"/>
        <w:tab w:val="clear" w:pos="4153"/>
      </w:tabs>
      <w:rPr>
        <w:rFonts w:hint="default" w:ascii="Times New Roman" w:eastAsia="Times New Roman"/>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46</w:t>
                    </w:r>
                    <w:r>
                      <w:fldChar w:fldCharType="end"/>
                    </w:r>
                  </w:p>
                </w:txbxContent>
              </v:textbox>
            </v:shape>
          </w:pict>
        </mc:Fallback>
      </mc:AlternateContent>
    </w:r>
    <w:r>
      <w:rPr>
        <w:rFonts w:ascii="Times New Roman" w:eastAsia="Times New Roman"/>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enter" w:pos="4422"/>
        <w:tab w:val="clear" w:pos="4153"/>
      </w:tabs>
      <w:rPr>
        <w:rFonts w:hint="default" w:ascii="Times New Roman" w:eastAsia="Times New Roman"/>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w:t>
                    </w:r>
                    <w:r>
                      <w:fldChar w:fldCharType="end"/>
                    </w:r>
                  </w:p>
                </w:txbxContent>
              </v:textbox>
            </v:shape>
          </w:pict>
        </mc:Fallback>
      </mc:AlternateContent>
    </w:r>
    <w:r>
      <w:rPr>
        <w:rFonts w:ascii="Times New Roman" w:eastAsia="Times New Roman"/>
      </w:rPr>
      <w:tab/>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insoku w:val="0"/>
      <w:overflowPunct w:val="0"/>
      <w:spacing w:before="0" w:line="14" w:lineRule="auto"/>
      <w:ind w:left="0"/>
      <w:rPr>
        <w:rFonts w:hint="default" w:ascii="Times New Roman" w:eastAsia="Times New Roman" w:cs="Times New Roman"/>
        <w:sz w:val="20"/>
        <w:szCs w:val="20"/>
      </w:rPr>
    </w:pPr>
    <w:r>
      <w:rPr>
        <w:rFonts w:hint="default"/>
      </w:rPr>
      <mc:AlternateContent>
        <mc:Choice Requires="wps">
          <w:drawing>
            <wp:anchor distT="0" distB="0" distL="114300" distR="114300" simplePos="0" relativeHeight="251670528" behindDoc="0" locked="0" layoutInCell="0" allowOverlap="1">
              <wp:simplePos x="0" y="0"/>
              <wp:positionH relativeFrom="margin">
                <wp:align>center</wp:align>
              </wp:positionH>
              <wp:positionV relativeFrom="paragraph">
                <wp:posOffset>0</wp:posOffset>
              </wp:positionV>
              <wp:extent cx="166370" cy="139700"/>
              <wp:effectExtent l="0" t="0" r="0" b="0"/>
              <wp:wrapNone/>
              <wp:docPr id="28" name="文本框 17"/>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pStyle w:val="8"/>
                            <w:kinsoku w:val="0"/>
                            <w:overflowPunct w:val="0"/>
                            <w:spacing w:before="0" w:line="204" w:lineRule="exact"/>
                            <w:ind w:left="40"/>
                            <w:rPr>
                              <w:rFonts w:hint="default" w:ascii="Times New Roman" w:eastAsia="Times New Roman" w:cs="Times New Roman"/>
                              <w:sz w:val="18"/>
                              <w:szCs w:val="18"/>
                            </w:rPr>
                          </w:pPr>
                          <w:r>
                            <w:rPr>
                              <w:rFonts w:ascii="Times New Roman" w:eastAsia="Times New Roman" w:cs="Times New Roman"/>
                              <w:sz w:val="18"/>
                              <w:szCs w:val="18"/>
                            </w:rPr>
                            <w:fldChar w:fldCharType="begin"/>
                          </w:r>
                          <w:r>
                            <w:rPr>
                              <w:rFonts w:ascii="Times New Roman" w:eastAsia="Times New Roman" w:cs="Times New Roman"/>
                              <w:sz w:val="18"/>
                              <w:szCs w:val="18"/>
                            </w:rPr>
                            <w:instrText xml:space="preserve"> PAGE </w:instrText>
                          </w:r>
                          <w:r>
                            <w:rPr>
                              <w:rFonts w:ascii="Times New Roman" w:eastAsia="Times New Roman" w:cs="Times New Roman"/>
                              <w:sz w:val="18"/>
                              <w:szCs w:val="18"/>
                            </w:rPr>
                            <w:fldChar w:fldCharType="separate"/>
                          </w:r>
                          <w:r>
                            <w:rPr>
                              <w:rFonts w:hint="default" w:ascii="Times New Roman" w:eastAsia="Times New Roman" w:cs="Times New Roman"/>
                              <w:sz w:val="18"/>
                              <w:szCs w:val="18"/>
                            </w:rPr>
                            <w:t>56</w:t>
                          </w:r>
                          <w:r>
                            <w:rPr>
                              <w:rFonts w:ascii="Times New Roman" w:eastAsia="Times New Roman" w:cs="Times New Roman"/>
                              <w:sz w:val="18"/>
                              <w:szCs w:val="18"/>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pt;mso-position-horizontal:center;mso-position-horizontal-relative:margin;z-index:251670528;mso-width-relative:page;mso-height-relative:page;" filled="f" stroked="f" coordsize="21600,21600" o:allowincell="f" o:gfxdata="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J9KzBtIAAAADAQAADwAAAAAAAAABACAAAAAiAAAAZHJzL2Rvd25yZXYueG1s&#10;UEsBAhQAFAAAAAgAh07iQOyf3UXFAQAAgQMAAA4AAAAAAAAAAQAgAAAAIQEAAGRycy9lMm9Eb2Mu&#10;eG1sUEsFBgAAAAAGAAYAWQEAAFgFAAAAAA==&#10;">
              <v:fill on="f" focussize="0,0"/>
              <v:stroke on="f"/>
              <v:imagedata o:title=""/>
              <o:lock v:ext="edit" aspectratio="f"/>
              <v:textbox inset="0mm,0mm,0mm,0mm">
                <w:txbxContent>
                  <w:p>
                    <w:pPr>
                      <w:pStyle w:val="8"/>
                      <w:kinsoku w:val="0"/>
                      <w:overflowPunct w:val="0"/>
                      <w:spacing w:before="0" w:line="204" w:lineRule="exact"/>
                      <w:ind w:left="40"/>
                      <w:rPr>
                        <w:rFonts w:hint="default" w:ascii="Times New Roman" w:eastAsia="Times New Roman" w:cs="Times New Roman"/>
                        <w:sz w:val="18"/>
                        <w:szCs w:val="18"/>
                      </w:rPr>
                    </w:pPr>
                    <w:r>
                      <w:rPr>
                        <w:rFonts w:ascii="Times New Roman" w:eastAsia="Times New Roman" w:cs="Times New Roman"/>
                        <w:sz w:val="18"/>
                        <w:szCs w:val="18"/>
                      </w:rPr>
                      <w:fldChar w:fldCharType="begin"/>
                    </w:r>
                    <w:r>
                      <w:rPr>
                        <w:rFonts w:ascii="Times New Roman" w:eastAsia="Times New Roman" w:cs="Times New Roman"/>
                        <w:sz w:val="18"/>
                        <w:szCs w:val="18"/>
                      </w:rPr>
                      <w:instrText xml:space="preserve"> PAGE </w:instrText>
                    </w:r>
                    <w:r>
                      <w:rPr>
                        <w:rFonts w:ascii="Times New Roman" w:eastAsia="Times New Roman" w:cs="Times New Roman"/>
                        <w:sz w:val="18"/>
                        <w:szCs w:val="18"/>
                      </w:rPr>
                      <w:fldChar w:fldCharType="separate"/>
                    </w:r>
                    <w:r>
                      <w:rPr>
                        <w:rFonts w:hint="default" w:ascii="Times New Roman" w:eastAsia="Times New Roman" w:cs="Times New Roman"/>
                        <w:sz w:val="18"/>
                        <w:szCs w:val="18"/>
                      </w:rPr>
                      <w:t>56</w:t>
                    </w:r>
                    <w:r>
                      <w:rPr>
                        <w:rFonts w:ascii="Times New Roman" w:eastAsia="Times New Roman" w:cs="Times New Roman"/>
                        <w:sz w:val="18"/>
                        <w:szCs w:val="18"/>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insoku w:val="0"/>
      <w:overflowPunct w:val="0"/>
      <w:spacing w:before="0" w:line="14" w:lineRule="auto"/>
      <w:ind w:left="0"/>
      <w:rPr>
        <w:rFonts w:hint="default" w:ascii="Times New Roman" w:eastAsia="Times New Roman" w:cs="Times New Roman"/>
        <w:sz w:val="20"/>
        <w:szCs w:val="20"/>
      </w:rPr>
    </w:pPr>
    <w:r>
      <w:rPr>
        <w:rFonts w:hint="default"/>
      </w:rPr>
      <mc:AlternateContent>
        <mc:Choice Requires="wps">
          <w:drawing>
            <wp:anchor distT="0" distB="0" distL="114300" distR="114300" simplePos="0" relativeHeight="251671552" behindDoc="0" locked="0" layoutInCell="0" allowOverlap="1">
              <wp:simplePos x="0" y="0"/>
              <wp:positionH relativeFrom="margin">
                <wp:align>center</wp:align>
              </wp:positionH>
              <wp:positionV relativeFrom="paragraph">
                <wp:posOffset>0</wp:posOffset>
              </wp:positionV>
              <wp:extent cx="166370" cy="139700"/>
              <wp:effectExtent l="0" t="0" r="0" b="0"/>
              <wp:wrapNone/>
              <wp:docPr id="29" name="文本框 18"/>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pStyle w:val="8"/>
                            <w:kinsoku w:val="0"/>
                            <w:overflowPunct w:val="0"/>
                            <w:spacing w:before="0" w:line="204" w:lineRule="exact"/>
                            <w:ind w:left="40"/>
                            <w:rPr>
                              <w:rFonts w:hint="default" w:ascii="Times New Roman" w:eastAsia="Times New Roman" w:cs="Times New Roman"/>
                              <w:sz w:val="18"/>
                              <w:szCs w:val="18"/>
                            </w:rPr>
                          </w:pPr>
                          <w:r>
                            <w:rPr>
                              <w:rFonts w:ascii="Times New Roman" w:eastAsia="Times New Roman" w:cs="Times New Roman"/>
                              <w:sz w:val="18"/>
                              <w:szCs w:val="18"/>
                            </w:rPr>
                            <w:fldChar w:fldCharType="begin"/>
                          </w:r>
                          <w:r>
                            <w:rPr>
                              <w:rFonts w:ascii="Times New Roman" w:eastAsia="Times New Roman" w:cs="Times New Roman"/>
                              <w:sz w:val="18"/>
                              <w:szCs w:val="18"/>
                            </w:rPr>
                            <w:instrText xml:space="preserve"> PAGE </w:instrText>
                          </w:r>
                          <w:r>
                            <w:rPr>
                              <w:rFonts w:ascii="Times New Roman" w:eastAsia="Times New Roman" w:cs="Times New Roman"/>
                              <w:sz w:val="18"/>
                              <w:szCs w:val="18"/>
                            </w:rPr>
                            <w:fldChar w:fldCharType="separate"/>
                          </w:r>
                          <w:r>
                            <w:rPr>
                              <w:rFonts w:hint="default" w:ascii="Times New Roman" w:eastAsia="Times New Roman" w:cs="Times New Roman"/>
                              <w:sz w:val="18"/>
                              <w:szCs w:val="18"/>
                            </w:rPr>
                            <w:t>67</w:t>
                          </w:r>
                          <w:r>
                            <w:rPr>
                              <w:rFonts w:ascii="Times New Roman" w:eastAsia="Times New Roman" w:cs="Times New Roman"/>
                              <w:sz w:val="18"/>
                              <w:szCs w:val="18"/>
                            </w:rPr>
                            <w:fldChar w:fldCharType="end"/>
                          </w:r>
                        </w:p>
                      </w:txbxContent>
                    </wps:txbx>
                    <wps:bodyPr wrap="square" lIns="0" tIns="0" rIns="0" bIns="0" upright="1"/>
                  </wps:wsp>
                </a:graphicData>
              </a:graphic>
            </wp:anchor>
          </w:drawing>
        </mc:Choice>
        <mc:Fallback>
          <w:pict>
            <v:shape id="文本框 18" o:spid="_x0000_s1026" o:spt="202" type="#_x0000_t202" style="position:absolute;left:0pt;margin-top:0pt;height:11pt;width:13.1pt;mso-position-horizontal:center;mso-position-horizontal-relative:margin;z-index:251671552;mso-width-relative:page;mso-height-relative:page;" filled="f" stroked="f" coordsize="21600,21600" o:allowincell="f" o:gfxdata="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fSswbSAAAAAwEAAA8AAAAAAAAAAQAgAAAAIgAAAGRycy9kb3ducmV2Lnht&#10;bFBLAQIUABQAAAAIAIdO4kB5rhXYxgEAAIEDAAAOAAAAAAAAAAEAIAAAACEBAABkcnMvZTJvRG9j&#10;LnhtbFBLBQYAAAAABgAGAFkBAABZBQAAAAA=&#10;">
              <v:fill on="f" focussize="0,0"/>
              <v:stroke on="f"/>
              <v:imagedata o:title=""/>
              <o:lock v:ext="edit" aspectratio="f"/>
              <v:textbox inset="0mm,0mm,0mm,0mm">
                <w:txbxContent>
                  <w:p>
                    <w:pPr>
                      <w:pStyle w:val="8"/>
                      <w:kinsoku w:val="0"/>
                      <w:overflowPunct w:val="0"/>
                      <w:spacing w:before="0" w:line="204" w:lineRule="exact"/>
                      <w:ind w:left="40"/>
                      <w:rPr>
                        <w:rFonts w:hint="default" w:ascii="Times New Roman" w:eastAsia="Times New Roman" w:cs="Times New Roman"/>
                        <w:sz w:val="18"/>
                        <w:szCs w:val="18"/>
                      </w:rPr>
                    </w:pPr>
                    <w:r>
                      <w:rPr>
                        <w:rFonts w:ascii="Times New Roman" w:eastAsia="Times New Roman" w:cs="Times New Roman"/>
                        <w:sz w:val="18"/>
                        <w:szCs w:val="18"/>
                      </w:rPr>
                      <w:fldChar w:fldCharType="begin"/>
                    </w:r>
                    <w:r>
                      <w:rPr>
                        <w:rFonts w:ascii="Times New Roman" w:eastAsia="Times New Roman" w:cs="Times New Roman"/>
                        <w:sz w:val="18"/>
                        <w:szCs w:val="18"/>
                      </w:rPr>
                      <w:instrText xml:space="preserve"> PAGE </w:instrText>
                    </w:r>
                    <w:r>
                      <w:rPr>
                        <w:rFonts w:ascii="Times New Roman" w:eastAsia="Times New Roman" w:cs="Times New Roman"/>
                        <w:sz w:val="18"/>
                        <w:szCs w:val="18"/>
                      </w:rPr>
                      <w:fldChar w:fldCharType="separate"/>
                    </w:r>
                    <w:r>
                      <w:rPr>
                        <w:rFonts w:hint="default" w:ascii="Times New Roman" w:eastAsia="Times New Roman" w:cs="Times New Roman"/>
                        <w:sz w:val="18"/>
                        <w:szCs w:val="18"/>
                      </w:rPr>
                      <w:t>67</w:t>
                    </w:r>
                    <w:r>
                      <w:rPr>
                        <w:rFonts w:ascii="Times New Roman" w:eastAsia="Times New Roman" w:cs="Times New Roman"/>
                        <w:sz w:val="18"/>
                        <w:szCs w:val="18"/>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insoku w:val="0"/>
      <w:overflowPunct w:val="0"/>
      <w:spacing w:before="0" w:line="14" w:lineRule="auto"/>
      <w:ind w:left="0"/>
      <w:rPr>
        <w:rFonts w:hint="default" w:ascii="Times New Roman" w:eastAsia="Times New Roman" w:cs="Times New Roman"/>
        <w:sz w:val="18"/>
        <w:szCs w:val="18"/>
      </w:rPr>
    </w:pPr>
    <w:r>
      <w:rPr>
        <w:rFonts w:hint="default"/>
      </w:rPr>
      <mc:AlternateContent>
        <mc:Choice Requires="wps">
          <w:drawing>
            <wp:anchor distT="0" distB="0" distL="114300" distR="114300" simplePos="0" relativeHeight="251672576" behindDoc="0" locked="0" layoutInCell="0" allowOverlap="1">
              <wp:simplePos x="0" y="0"/>
              <wp:positionH relativeFrom="margin">
                <wp:align>center</wp:align>
              </wp:positionH>
              <wp:positionV relativeFrom="paragraph">
                <wp:posOffset>0</wp:posOffset>
              </wp:positionV>
              <wp:extent cx="166370" cy="139700"/>
              <wp:effectExtent l="0" t="0" r="0" b="0"/>
              <wp:wrapNone/>
              <wp:docPr id="30" name="文本框 19"/>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pStyle w:val="8"/>
                            <w:kinsoku w:val="0"/>
                            <w:overflowPunct w:val="0"/>
                            <w:spacing w:before="0" w:line="204" w:lineRule="exact"/>
                            <w:ind w:left="40"/>
                            <w:rPr>
                              <w:rFonts w:hint="default" w:ascii="Times New Roman" w:eastAsia="Times New Roman" w:cs="Times New Roman"/>
                              <w:sz w:val="18"/>
                              <w:szCs w:val="18"/>
                            </w:rPr>
                          </w:pPr>
                          <w:r>
                            <w:rPr>
                              <w:rFonts w:ascii="Times New Roman" w:eastAsia="Times New Roman" w:cs="Times New Roman"/>
                              <w:sz w:val="18"/>
                              <w:szCs w:val="18"/>
                            </w:rPr>
                            <w:fldChar w:fldCharType="begin"/>
                          </w:r>
                          <w:r>
                            <w:rPr>
                              <w:rFonts w:ascii="Times New Roman" w:eastAsia="Times New Roman" w:cs="Times New Roman"/>
                              <w:sz w:val="18"/>
                              <w:szCs w:val="18"/>
                            </w:rPr>
                            <w:instrText xml:space="preserve"> PAGE </w:instrText>
                          </w:r>
                          <w:r>
                            <w:rPr>
                              <w:rFonts w:ascii="Times New Roman" w:eastAsia="Times New Roman" w:cs="Times New Roman"/>
                              <w:sz w:val="18"/>
                              <w:szCs w:val="18"/>
                            </w:rPr>
                            <w:fldChar w:fldCharType="separate"/>
                          </w:r>
                          <w:r>
                            <w:rPr>
                              <w:rFonts w:hint="default" w:ascii="Times New Roman" w:eastAsia="Times New Roman" w:cs="Times New Roman"/>
                              <w:sz w:val="18"/>
                              <w:szCs w:val="18"/>
                            </w:rPr>
                            <w:t>77</w:t>
                          </w:r>
                          <w:r>
                            <w:rPr>
                              <w:rFonts w:ascii="Times New Roman" w:eastAsia="Times New Roman" w:cs="Times New Roman"/>
                              <w:sz w:val="18"/>
                              <w:szCs w:val="18"/>
                            </w:rPr>
                            <w:fldChar w:fldCharType="end"/>
                          </w:r>
                        </w:p>
                      </w:txbxContent>
                    </wps:txbx>
                    <wps:bodyPr wrap="square" lIns="0" tIns="0" rIns="0" bIns="0" upright="1"/>
                  </wps:wsp>
                </a:graphicData>
              </a:graphic>
            </wp:anchor>
          </w:drawing>
        </mc:Choice>
        <mc:Fallback>
          <w:pict>
            <v:shape id="文本框 19" o:spid="_x0000_s1026" o:spt="202" type="#_x0000_t202" style="position:absolute;left:0pt;margin-top:0pt;height:11pt;width:13.1pt;mso-position-horizontal:center;mso-position-horizontal-relative:margin;z-index:251672576;mso-width-relative:page;mso-height-relative:page;" filled="f" stroked="f" coordsize="21600,21600" o:allowincell="f" o:gfxdata="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J9KzBtIAAAADAQAADwAAAAAAAAABACAAAAAiAAAAZHJzL2Rvd25yZXYueG1s&#10;UEsBAhQAFAAAAAgAh07iQEg1IvjFAQAAgQMAAA4AAAAAAAAAAQAgAAAAIQEAAGRycy9lMm9Eb2Mu&#10;eG1sUEsFBgAAAAAGAAYAWQEAAFgFAAAAAA==&#10;">
              <v:fill on="f" focussize="0,0"/>
              <v:stroke on="f"/>
              <v:imagedata o:title=""/>
              <o:lock v:ext="edit" aspectratio="f"/>
              <v:textbox inset="0mm,0mm,0mm,0mm">
                <w:txbxContent>
                  <w:p>
                    <w:pPr>
                      <w:pStyle w:val="8"/>
                      <w:kinsoku w:val="0"/>
                      <w:overflowPunct w:val="0"/>
                      <w:spacing w:before="0" w:line="204" w:lineRule="exact"/>
                      <w:ind w:left="40"/>
                      <w:rPr>
                        <w:rFonts w:hint="default" w:ascii="Times New Roman" w:eastAsia="Times New Roman" w:cs="Times New Roman"/>
                        <w:sz w:val="18"/>
                        <w:szCs w:val="18"/>
                      </w:rPr>
                    </w:pPr>
                    <w:r>
                      <w:rPr>
                        <w:rFonts w:ascii="Times New Roman" w:eastAsia="Times New Roman" w:cs="Times New Roman"/>
                        <w:sz w:val="18"/>
                        <w:szCs w:val="18"/>
                      </w:rPr>
                      <w:fldChar w:fldCharType="begin"/>
                    </w:r>
                    <w:r>
                      <w:rPr>
                        <w:rFonts w:ascii="Times New Roman" w:eastAsia="Times New Roman" w:cs="Times New Roman"/>
                        <w:sz w:val="18"/>
                        <w:szCs w:val="18"/>
                      </w:rPr>
                      <w:instrText xml:space="preserve"> PAGE </w:instrText>
                    </w:r>
                    <w:r>
                      <w:rPr>
                        <w:rFonts w:ascii="Times New Roman" w:eastAsia="Times New Roman" w:cs="Times New Roman"/>
                        <w:sz w:val="18"/>
                        <w:szCs w:val="18"/>
                      </w:rPr>
                      <w:fldChar w:fldCharType="separate"/>
                    </w:r>
                    <w:r>
                      <w:rPr>
                        <w:rFonts w:hint="default" w:ascii="Times New Roman" w:eastAsia="Times New Roman" w:cs="Times New Roman"/>
                        <w:sz w:val="18"/>
                        <w:szCs w:val="18"/>
                      </w:rPr>
                      <w:t>77</w:t>
                    </w:r>
                    <w:r>
                      <w:rPr>
                        <w:rFonts w:ascii="Times New Roman" w:eastAsia="Times New Roman" w:cs="Times New Roman"/>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insoku w:val="0"/>
      <w:overflowPunct w:val="0"/>
      <w:spacing w:before="0" w:line="14" w:lineRule="auto"/>
      <w:ind w:left="0"/>
      <w:rPr>
        <w:rFonts w:hint="default" w:ascii="Times New Roman" w:eastAsia="Times New Roman" w:cs="Times New Roman"/>
        <w:sz w:val="18"/>
        <w:szCs w:val="18"/>
      </w:rPr>
    </w:pPr>
    <w:r>
      <w:rPr>
        <w:rFonts w:hint="default"/>
      </w:rPr>
      <mc:AlternateContent>
        <mc:Choice Requires="wps">
          <w:drawing>
            <wp:anchor distT="0" distB="0" distL="114300" distR="114300" simplePos="0" relativeHeight="251660288" behindDoc="1" locked="0" layoutInCell="0" allowOverlap="1">
              <wp:simplePos x="0" y="0"/>
              <wp:positionH relativeFrom="page">
                <wp:posOffset>3726815</wp:posOffset>
              </wp:positionH>
              <wp:positionV relativeFrom="page">
                <wp:posOffset>9653905</wp:posOffset>
              </wp:positionV>
              <wp:extent cx="107950" cy="139700"/>
              <wp:effectExtent l="0" t="0" r="0" b="0"/>
              <wp:wrapNone/>
              <wp:docPr id="22" name="文本框 2"/>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pPr>
                            <w:pStyle w:val="8"/>
                            <w:kinsoku w:val="0"/>
                            <w:overflowPunct w:val="0"/>
                            <w:spacing w:before="0" w:line="204" w:lineRule="exact"/>
                            <w:ind w:left="40"/>
                            <w:rPr>
                              <w:rFonts w:hint="default" w:ascii="Times New Roman" w:eastAsia="Times New Roman" w:cs="Times New Roman"/>
                              <w:sz w:val="18"/>
                              <w:szCs w:val="18"/>
                            </w:rPr>
                          </w:pPr>
                          <w:r>
                            <w:rPr>
                              <w:rFonts w:ascii="Times New Roman" w:eastAsia="Times New Roman" w:cs="Times New Roman"/>
                              <w:sz w:val="18"/>
                              <w:szCs w:val="18"/>
                            </w:rPr>
                            <w:fldChar w:fldCharType="begin"/>
                          </w:r>
                          <w:r>
                            <w:rPr>
                              <w:rFonts w:ascii="Times New Roman" w:eastAsia="Times New Roman" w:cs="Times New Roman"/>
                              <w:sz w:val="18"/>
                              <w:szCs w:val="18"/>
                            </w:rPr>
                            <w:instrText xml:space="preserve"> PAGE </w:instrText>
                          </w:r>
                          <w:r>
                            <w:rPr>
                              <w:rFonts w:ascii="Times New Roman" w:eastAsia="Times New Roman" w:cs="Times New Roman"/>
                              <w:sz w:val="18"/>
                              <w:szCs w:val="18"/>
                            </w:rPr>
                            <w:fldChar w:fldCharType="separate"/>
                          </w:r>
                          <w:r>
                            <w:rPr>
                              <w:rFonts w:hint="default" w:ascii="Times New Roman" w:eastAsia="Times New Roman" w:cs="Times New Roman"/>
                              <w:sz w:val="18"/>
                              <w:szCs w:val="18"/>
                            </w:rPr>
                            <w:t>9</w:t>
                          </w:r>
                          <w:r>
                            <w:rPr>
                              <w:rFonts w:ascii="Times New Roman" w:eastAsia="Times New Roman" w:cs="Times New Roman"/>
                              <w:sz w:val="18"/>
                              <w:szCs w:val="18"/>
                            </w:rPr>
                            <w:fldChar w:fldCharType="end"/>
                          </w:r>
                        </w:p>
                      </w:txbxContent>
                    </wps:txbx>
                    <wps:bodyPr wrap="square" lIns="0" tIns="0" rIns="0" bIns="0" upright="1"/>
                  </wps:wsp>
                </a:graphicData>
              </a:graphic>
            </wp:anchor>
          </w:drawing>
        </mc:Choice>
        <mc:Fallback>
          <w:pict>
            <v:shape id="文本框 2" o:spid="_x0000_s1026" o:spt="202" type="#_x0000_t202" style="position:absolute;left:0pt;margin-left:293.45pt;margin-top:760.15pt;height:11pt;width:8.5pt;mso-position-horizontal-relative:page;mso-position-vertical-relative:page;z-index:-251656192;mso-width-relative:page;mso-height-relative:page;" filled="f" stroked="f" coordsize="21600,21600" o:allowincell="f" o:gfxdata="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rpWfp2gAAAA0BAAAPAAAAAAAAAAEAIAAAACIAAABkcnMvZG93&#10;bnJldi54bWxQSwECFAAUAAAACACHTuJADssoHsUBAACAAwAADgAAAAAAAAABACAAAAApAQAAZHJz&#10;L2Uyb0RvYy54bWxQSwUGAAAAAAYABgBZAQAAYAUAAAAA&#10;">
              <v:fill on="f" focussize="0,0"/>
              <v:stroke on="f"/>
              <v:imagedata o:title=""/>
              <o:lock v:ext="edit" aspectratio="f"/>
              <v:textbox inset="0mm,0mm,0mm,0mm">
                <w:txbxContent>
                  <w:p>
                    <w:pPr>
                      <w:pStyle w:val="8"/>
                      <w:kinsoku w:val="0"/>
                      <w:overflowPunct w:val="0"/>
                      <w:spacing w:before="0" w:line="204" w:lineRule="exact"/>
                      <w:ind w:left="40"/>
                      <w:rPr>
                        <w:rFonts w:hint="default" w:ascii="Times New Roman" w:eastAsia="Times New Roman" w:cs="Times New Roman"/>
                        <w:sz w:val="18"/>
                        <w:szCs w:val="18"/>
                      </w:rPr>
                    </w:pPr>
                    <w:r>
                      <w:rPr>
                        <w:rFonts w:ascii="Times New Roman" w:eastAsia="Times New Roman" w:cs="Times New Roman"/>
                        <w:sz w:val="18"/>
                        <w:szCs w:val="18"/>
                      </w:rPr>
                      <w:fldChar w:fldCharType="begin"/>
                    </w:r>
                    <w:r>
                      <w:rPr>
                        <w:rFonts w:ascii="Times New Roman" w:eastAsia="Times New Roman" w:cs="Times New Roman"/>
                        <w:sz w:val="18"/>
                        <w:szCs w:val="18"/>
                      </w:rPr>
                      <w:instrText xml:space="preserve"> PAGE </w:instrText>
                    </w:r>
                    <w:r>
                      <w:rPr>
                        <w:rFonts w:ascii="Times New Roman" w:eastAsia="Times New Roman" w:cs="Times New Roman"/>
                        <w:sz w:val="18"/>
                        <w:szCs w:val="18"/>
                      </w:rPr>
                      <w:fldChar w:fldCharType="separate"/>
                    </w:r>
                    <w:r>
                      <w:rPr>
                        <w:rFonts w:hint="default" w:ascii="Times New Roman" w:eastAsia="Times New Roman" w:cs="Times New Roman"/>
                        <w:sz w:val="18"/>
                        <w:szCs w:val="18"/>
                      </w:rPr>
                      <w:t>9</w:t>
                    </w:r>
                    <w:r>
                      <w:rPr>
                        <w:rFonts w:ascii="Times New Roman" w:eastAsia="Times New Roman" w:cs="Times New Roman"/>
                        <w:sz w:val="1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insoku w:val="0"/>
      <w:overflowPunct w:val="0"/>
      <w:spacing w:before="0" w:line="14" w:lineRule="auto"/>
      <w:ind w:left="0"/>
      <w:rPr>
        <w:rFonts w:hint="default" w:ascii="Times New Roman" w:eastAsia="Times New Roman" w:cs="Times New Roman"/>
        <w:sz w:val="20"/>
        <w:szCs w:val="20"/>
      </w:rPr>
    </w:pPr>
    <w:r>
      <w:rPr>
        <w:rFonts w:hint="default"/>
      </w:rPr>
      <mc:AlternateContent>
        <mc:Choice Requires="wps">
          <w:drawing>
            <wp:anchor distT="0" distB="0" distL="114300" distR="114300" simplePos="0" relativeHeight="251661312" behindDoc="1" locked="0" layoutInCell="0" allowOverlap="1">
              <wp:simplePos x="0" y="0"/>
              <wp:positionH relativeFrom="page">
                <wp:posOffset>3697605</wp:posOffset>
              </wp:positionH>
              <wp:positionV relativeFrom="page">
                <wp:posOffset>9653905</wp:posOffset>
              </wp:positionV>
              <wp:extent cx="166370" cy="139700"/>
              <wp:effectExtent l="0" t="0" r="0" b="0"/>
              <wp:wrapNone/>
              <wp:docPr id="23" name="文本框 3"/>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pStyle w:val="8"/>
                            <w:kinsoku w:val="0"/>
                            <w:overflowPunct w:val="0"/>
                            <w:spacing w:before="0" w:line="204" w:lineRule="exact"/>
                            <w:ind w:left="40"/>
                            <w:rPr>
                              <w:rFonts w:hint="default" w:ascii="Times New Roman" w:eastAsia="Times New Roman" w:cs="Times New Roman"/>
                              <w:sz w:val="18"/>
                              <w:szCs w:val="18"/>
                            </w:rPr>
                          </w:pPr>
                          <w:r>
                            <w:rPr>
                              <w:rFonts w:ascii="Times New Roman" w:eastAsia="Times New Roman" w:cs="Times New Roman"/>
                              <w:sz w:val="18"/>
                              <w:szCs w:val="18"/>
                            </w:rPr>
                            <w:fldChar w:fldCharType="begin"/>
                          </w:r>
                          <w:r>
                            <w:rPr>
                              <w:rFonts w:ascii="Times New Roman" w:eastAsia="Times New Roman" w:cs="Times New Roman"/>
                              <w:sz w:val="18"/>
                              <w:szCs w:val="18"/>
                            </w:rPr>
                            <w:instrText xml:space="preserve"> PAGE </w:instrText>
                          </w:r>
                          <w:r>
                            <w:rPr>
                              <w:rFonts w:ascii="Times New Roman" w:eastAsia="Times New Roman" w:cs="Times New Roman"/>
                              <w:sz w:val="18"/>
                              <w:szCs w:val="18"/>
                            </w:rPr>
                            <w:fldChar w:fldCharType="separate"/>
                          </w:r>
                          <w:r>
                            <w:rPr>
                              <w:rFonts w:hint="default" w:ascii="Times New Roman" w:eastAsia="Times New Roman" w:cs="Times New Roman"/>
                              <w:sz w:val="18"/>
                              <w:szCs w:val="18"/>
                            </w:rPr>
                            <w:t>19</w:t>
                          </w:r>
                          <w:r>
                            <w:rPr>
                              <w:rFonts w:ascii="Times New Roman" w:eastAsia="Times New Roman" w:cs="Times New Roman"/>
                              <w:sz w:val="18"/>
                              <w:szCs w:val="18"/>
                            </w:rPr>
                            <w:fldChar w:fldCharType="end"/>
                          </w:r>
                        </w:p>
                      </w:txbxContent>
                    </wps:txbx>
                    <wps:bodyPr wrap="square" lIns="0" tIns="0" rIns="0" bIns="0" upright="1"/>
                  </wps:wsp>
                </a:graphicData>
              </a:graphic>
            </wp:anchor>
          </w:drawing>
        </mc:Choice>
        <mc:Fallback>
          <w:pict>
            <v:shape id="文本框 3" o:spid="_x0000_s1026" o:spt="202" type="#_x0000_t202" style="position:absolute;left:0pt;margin-left:291.15pt;margin-top:760.15pt;height:11pt;width:13.1pt;mso-position-horizontal-relative:page;mso-position-vertical-relative:page;z-index:-251655168;mso-width-relative:page;mso-height-relative:page;" filled="f" stroked="f" coordsize="21600,21600" o:allowincell="f" o:gfxdata="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XNmxx2gAAAA0BAAAPAAAAAAAAAAEAIAAAACIAAABkcnMvZG93&#10;bnJldi54bWxQSwECFAAUAAAACACHTuJAXQJIt8UBAACAAwAADgAAAAAAAAABACAAAAApAQAAZHJz&#10;L2Uyb0RvYy54bWxQSwUGAAAAAAYABgBZAQAAYAUAAAAA&#10;">
              <v:fill on="f" focussize="0,0"/>
              <v:stroke on="f"/>
              <v:imagedata o:title=""/>
              <o:lock v:ext="edit" aspectratio="f"/>
              <v:textbox inset="0mm,0mm,0mm,0mm">
                <w:txbxContent>
                  <w:p>
                    <w:pPr>
                      <w:pStyle w:val="8"/>
                      <w:kinsoku w:val="0"/>
                      <w:overflowPunct w:val="0"/>
                      <w:spacing w:before="0" w:line="204" w:lineRule="exact"/>
                      <w:ind w:left="40"/>
                      <w:rPr>
                        <w:rFonts w:hint="default" w:ascii="Times New Roman" w:eastAsia="Times New Roman" w:cs="Times New Roman"/>
                        <w:sz w:val="18"/>
                        <w:szCs w:val="18"/>
                      </w:rPr>
                    </w:pPr>
                    <w:r>
                      <w:rPr>
                        <w:rFonts w:ascii="Times New Roman" w:eastAsia="Times New Roman" w:cs="Times New Roman"/>
                        <w:sz w:val="18"/>
                        <w:szCs w:val="18"/>
                      </w:rPr>
                      <w:fldChar w:fldCharType="begin"/>
                    </w:r>
                    <w:r>
                      <w:rPr>
                        <w:rFonts w:ascii="Times New Roman" w:eastAsia="Times New Roman" w:cs="Times New Roman"/>
                        <w:sz w:val="18"/>
                        <w:szCs w:val="18"/>
                      </w:rPr>
                      <w:instrText xml:space="preserve"> PAGE </w:instrText>
                    </w:r>
                    <w:r>
                      <w:rPr>
                        <w:rFonts w:ascii="Times New Roman" w:eastAsia="Times New Roman" w:cs="Times New Roman"/>
                        <w:sz w:val="18"/>
                        <w:szCs w:val="18"/>
                      </w:rPr>
                      <w:fldChar w:fldCharType="separate"/>
                    </w:r>
                    <w:r>
                      <w:rPr>
                        <w:rFonts w:hint="default" w:ascii="Times New Roman" w:eastAsia="Times New Roman" w:cs="Times New Roman"/>
                        <w:sz w:val="18"/>
                        <w:szCs w:val="18"/>
                      </w:rPr>
                      <w:t>19</w:t>
                    </w:r>
                    <w:r>
                      <w:rPr>
                        <w:rFonts w:ascii="Times New Roman" w:eastAsia="Times New Roman" w:cs="Times New Roman"/>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insoku w:val="0"/>
      <w:overflowPunct w:val="0"/>
      <w:spacing w:before="0" w:line="14" w:lineRule="auto"/>
      <w:ind w:left="0"/>
      <w:rPr>
        <w:rFonts w:hint="default" w:ascii="Times New Roman" w:eastAsia="Times New Roman" w:cs="Times New Roman"/>
        <w:sz w:val="20"/>
        <w:szCs w:val="20"/>
      </w:rPr>
    </w:pPr>
    <w:r>
      <w:rPr>
        <w:rFonts w:hint="default"/>
      </w:rPr>
      <mc:AlternateContent>
        <mc:Choice Requires="wps">
          <w:drawing>
            <wp:anchor distT="0" distB="0" distL="114300" distR="114300" simplePos="0" relativeHeight="251662336" behindDoc="1" locked="0" layoutInCell="0" allowOverlap="1">
              <wp:simplePos x="0" y="0"/>
              <wp:positionH relativeFrom="page">
                <wp:posOffset>3697605</wp:posOffset>
              </wp:positionH>
              <wp:positionV relativeFrom="page">
                <wp:posOffset>9653905</wp:posOffset>
              </wp:positionV>
              <wp:extent cx="166370" cy="139700"/>
              <wp:effectExtent l="0" t="0" r="0" b="0"/>
              <wp:wrapNone/>
              <wp:docPr id="24" name="文本框 4"/>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pStyle w:val="8"/>
                            <w:kinsoku w:val="0"/>
                            <w:overflowPunct w:val="0"/>
                            <w:spacing w:before="0" w:line="204" w:lineRule="exact"/>
                            <w:ind w:left="40"/>
                            <w:rPr>
                              <w:rFonts w:hint="default" w:ascii="Times New Roman" w:eastAsia="Times New Roman" w:cs="Times New Roman"/>
                              <w:sz w:val="18"/>
                              <w:szCs w:val="18"/>
                            </w:rPr>
                          </w:pPr>
                          <w:r>
                            <w:rPr>
                              <w:rFonts w:ascii="Times New Roman" w:eastAsia="Times New Roman" w:cs="Times New Roman"/>
                              <w:sz w:val="18"/>
                              <w:szCs w:val="18"/>
                            </w:rPr>
                            <w:fldChar w:fldCharType="begin"/>
                          </w:r>
                          <w:r>
                            <w:rPr>
                              <w:rFonts w:ascii="Times New Roman" w:eastAsia="Times New Roman" w:cs="Times New Roman"/>
                              <w:sz w:val="18"/>
                              <w:szCs w:val="18"/>
                            </w:rPr>
                            <w:instrText xml:space="preserve"> PAGE </w:instrText>
                          </w:r>
                          <w:r>
                            <w:rPr>
                              <w:rFonts w:ascii="Times New Roman" w:eastAsia="Times New Roman" w:cs="Times New Roman"/>
                              <w:sz w:val="18"/>
                              <w:szCs w:val="18"/>
                            </w:rPr>
                            <w:fldChar w:fldCharType="separate"/>
                          </w:r>
                          <w:r>
                            <w:rPr>
                              <w:rFonts w:hint="default" w:ascii="Times New Roman" w:eastAsia="Times New Roman" w:cs="Times New Roman"/>
                              <w:sz w:val="18"/>
                              <w:szCs w:val="18"/>
                            </w:rPr>
                            <w:t>20</w:t>
                          </w:r>
                          <w:r>
                            <w:rPr>
                              <w:rFonts w:ascii="Times New Roman" w:eastAsia="Times New Roman" w:cs="Times New Roman"/>
                              <w:sz w:val="18"/>
                              <w:szCs w:val="18"/>
                            </w:rPr>
                            <w:fldChar w:fldCharType="end"/>
                          </w:r>
                        </w:p>
                      </w:txbxContent>
                    </wps:txbx>
                    <wps:bodyPr wrap="square" lIns="0" tIns="0" rIns="0" bIns="0" upright="1"/>
                  </wps:wsp>
                </a:graphicData>
              </a:graphic>
            </wp:anchor>
          </w:drawing>
        </mc:Choice>
        <mc:Fallback>
          <w:pict>
            <v:shape id="文本框 4" o:spid="_x0000_s1026" o:spt="202" type="#_x0000_t202" style="position:absolute;left:0pt;margin-left:291.15pt;margin-top:760.15pt;height:11pt;width:13.1pt;mso-position-horizontal-relative:page;mso-position-vertical-relative:page;z-index:-251654144;mso-width-relative:page;mso-height-relative:page;" filled="f" stroked="f" coordsize="21600,21600" o:allowincell="f" o:gfxdata="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XNmxx2gAAAA0BAAAPAAAAAAAAAAEAIAAAACIAAABkcnMvZG93&#10;bnJldi54bWxQSwECFAAUAAAACACHTuJAaqfIjMUBAACAAwAADgAAAAAAAAABACAAAAApAQAAZHJz&#10;L2Uyb0RvYy54bWxQSwUGAAAAAAYABgBZAQAAYAUAAAAA&#10;">
              <v:fill on="f" focussize="0,0"/>
              <v:stroke on="f"/>
              <v:imagedata o:title=""/>
              <o:lock v:ext="edit" aspectratio="f"/>
              <v:textbox inset="0mm,0mm,0mm,0mm">
                <w:txbxContent>
                  <w:p>
                    <w:pPr>
                      <w:pStyle w:val="8"/>
                      <w:kinsoku w:val="0"/>
                      <w:overflowPunct w:val="0"/>
                      <w:spacing w:before="0" w:line="204" w:lineRule="exact"/>
                      <w:ind w:left="40"/>
                      <w:rPr>
                        <w:rFonts w:hint="default" w:ascii="Times New Roman" w:eastAsia="Times New Roman" w:cs="Times New Roman"/>
                        <w:sz w:val="18"/>
                        <w:szCs w:val="18"/>
                      </w:rPr>
                    </w:pPr>
                    <w:r>
                      <w:rPr>
                        <w:rFonts w:ascii="Times New Roman" w:eastAsia="Times New Roman" w:cs="Times New Roman"/>
                        <w:sz w:val="18"/>
                        <w:szCs w:val="18"/>
                      </w:rPr>
                      <w:fldChar w:fldCharType="begin"/>
                    </w:r>
                    <w:r>
                      <w:rPr>
                        <w:rFonts w:ascii="Times New Roman" w:eastAsia="Times New Roman" w:cs="Times New Roman"/>
                        <w:sz w:val="18"/>
                        <w:szCs w:val="18"/>
                      </w:rPr>
                      <w:instrText xml:space="preserve"> PAGE </w:instrText>
                    </w:r>
                    <w:r>
                      <w:rPr>
                        <w:rFonts w:ascii="Times New Roman" w:eastAsia="Times New Roman" w:cs="Times New Roman"/>
                        <w:sz w:val="18"/>
                        <w:szCs w:val="18"/>
                      </w:rPr>
                      <w:fldChar w:fldCharType="separate"/>
                    </w:r>
                    <w:r>
                      <w:rPr>
                        <w:rFonts w:hint="default" w:ascii="Times New Roman" w:eastAsia="Times New Roman" w:cs="Times New Roman"/>
                        <w:sz w:val="18"/>
                        <w:szCs w:val="18"/>
                      </w:rPr>
                      <w:t>20</w:t>
                    </w:r>
                    <w:r>
                      <w:rPr>
                        <w:rFonts w:ascii="Times New Roman" w:eastAsia="Times New Roman" w:cs="Times New Roman"/>
                        <w:sz w:val="1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insoku w:val="0"/>
      <w:overflowPunct w:val="0"/>
      <w:spacing w:before="0" w:line="14" w:lineRule="auto"/>
      <w:ind w:left="0"/>
      <w:rPr>
        <w:rFonts w:hint="default" w:ascii="Times New Roman" w:eastAsia="Times New Roman" w:cs="Times New Roman"/>
        <w:sz w:val="20"/>
        <w:szCs w:val="20"/>
      </w:rPr>
    </w:pPr>
    <w:r>
      <w:rPr>
        <w:rFonts w:hint="default"/>
      </w:rPr>
      <mc:AlternateContent>
        <mc:Choice Requires="wps">
          <w:drawing>
            <wp:anchor distT="0" distB="0" distL="114300" distR="114300" simplePos="0" relativeHeight="251663360" behindDoc="1" locked="0" layoutInCell="0" allowOverlap="1">
              <wp:simplePos x="0" y="0"/>
              <wp:positionH relativeFrom="page">
                <wp:posOffset>3697605</wp:posOffset>
              </wp:positionH>
              <wp:positionV relativeFrom="page">
                <wp:posOffset>9653905</wp:posOffset>
              </wp:positionV>
              <wp:extent cx="166370" cy="139700"/>
              <wp:effectExtent l="0" t="0" r="0" b="0"/>
              <wp:wrapNone/>
              <wp:docPr id="25" name="文本框 5"/>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pStyle w:val="8"/>
                            <w:kinsoku w:val="0"/>
                            <w:overflowPunct w:val="0"/>
                            <w:spacing w:before="0" w:line="204" w:lineRule="exact"/>
                            <w:ind w:left="40"/>
                            <w:rPr>
                              <w:rFonts w:hint="default" w:ascii="Times New Roman" w:eastAsia="Times New Roman" w:cs="Times New Roman"/>
                              <w:sz w:val="18"/>
                              <w:szCs w:val="18"/>
                            </w:rPr>
                          </w:pPr>
                          <w:r>
                            <w:rPr>
                              <w:rFonts w:ascii="Times New Roman" w:eastAsia="Times New Roman" w:cs="Times New Roman"/>
                              <w:sz w:val="18"/>
                              <w:szCs w:val="18"/>
                            </w:rPr>
                            <w:fldChar w:fldCharType="begin"/>
                          </w:r>
                          <w:r>
                            <w:rPr>
                              <w:rFonts w:ascii="Times New Roman" w:eastAsia="Times New Roman" w:cs="Times New Roman"/>
                              <w:sz w:val="18"/>
                              <w:szCs w:val="18"/>
                            </w:rPr>
                            <w:instrText xml:space="preserve"> PAGE </w:instrText>
                          </w:r>
                          <w:r>
                            <w:rPr>
                              <w:rFonts w:ascii="Times New Roman" w:eastAsia="Times New Roman" w:cs="Times New Roman"/>
                              <w:sz w:val="18"/>
                              <w:szCs w:val="18"/>
                            </w:rPr>
                            <w:fldChar w:fldCharType="separate"/>
                          </w:r>
                          <w:r>
                            <w:rPr>
                              <w:rFonts w:hint="default" w:ascii="Times New Roman" w:eastAsia="Times New Roman" w:cs="Times New Roman"/>
                              <w:sz w:val="18"/>
                              <w:szCs w:val="18"/>
                            </w:rPr>
                            <w:t>21</w:t>
                          </w:r>
                          <w:r>
                            <w:rPr>
                              <w:rFonts w:ascii="Times New Roman" w:eastAsia="Times New Roman" w:cs="Times New Roman"/>
                              <w:sz w:val="18"/>
                              <w:szCs w:val="18"/>
                            </w:rPr>
                            <w:fldChar w:fldCharType="end"/>
                          </w:r>
                        </w:p>
                      </w:txbxContent>
                    </wps:txbx>
                    <wps:bodyPr wrap="square" lIns="0" tIns="0" rIns="0" bIns="0" upright="1"/>
                  </wps:wsp>
                </a:graphicData>
              </a:graphic>
            </wp:anchor>
          </w:drawing>
        </mc:Choice>
        <mc:Fallback>
          <w:pict>
            <v:shape id="文本框 5" o:spid="_x0000_s1026" o:spt="202" type="#_x0000_t202" style="position:absolute;left:0pt;margin-left:291.15pt;margin-top:760.15pt;height:11pt;width:13.1pt;mso-position-horizontal-relative:page;mso-position-vertical-relative:page;z-index:-251653120;mso-width-relative:page;mso-height-relative:page;" filled="f" stroked="f" coordsize="21600,21600" o:allowincell="f" o:gfxdata="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XNmxx2gAAAA0BAAAPAAAAAAAAAAEAIAAAACIAAABkcnMvZG93&#10;bnJldi54bWxQSwECFAAUAAAACACHTuJAlih4S8UBAACAAwAADgAAAAAAAAABACAAAAApAQAAZHJz&#10;L2Uyb0RvYy54bWxQSwUGAAAAAAYABgBZAQAAYAUAAAAA&#10;">
              <v:fill on="f" focussize="0,0"/>
              <v:stroke on="f"/>
              <v:imagedata o:title=""/>
              <o:lock v:ext="edit" aspectratio="f"/>
              <v:textbox inset="0mm,0mm,0mm,0mm">
                <w:txbxContent>
                  <w:p>
                    <w:pPr>
                      <w:pStyle w:val="8"/>
                      <w:kinsoku w:val="0"/>
                      <w:overflowPunct w:val="0"/>
                      <w:spacing w:before="0" w:line="204" w:lineRule="exact"/>
                      <w:ind w:left="40"/>
                      <w:rPr>
                        <w:rFonts w:hint="default" w:ascii="Times New Roman" w:eastAsia="Times New Roman" w:cs="Times New Roman"/>
                        <w:sz w:val="18"/>
                        <w:szCs w:val="18"/>
                      </w:rPr>
                    </w:pPr>
                    <w:r>
                      <w:rPr>
                        <w:rFonts w:ascii="Times New Roman" w:eastAsia="Times New Roman" w:cs="Times New Roman"/>
                        <w:sz w:val="18"/>
                        <w:szCs w:val="18"/>
                      </w:rPr>
                      <w:fldChar w:fldCharType="begin"/>
                    </w:r>
                    <w:r>
                      <w:rPr>
                        <w:rFonts w:ascii="Times New Roman" w:eastAsia="Times New Roman" w:cs="Times New Roman"/>
                        <w:sz w:val="18"/>
                        <w:szCs w:val="18"/>
                      </w:rPr>
                      <w:instrText xml:space="preserve"> PAGE </w:instrText>
                    </w:r>
                    <w:r>
                      <w:rPr>
                        <w:rFonts w:ascii="Times New Roman" w:eastAsia="Times New Roman" w:cs="Times New Roman"/>
                        <w:sz w:val="18"/>
                        <w:szCs w:val="18"/>
                      </w:rPr>
                      <w:fldChar w:fldCharType="separate"/>
                    </w:r>
                    <w:r>
                      <w:rPr>
                        <w:rFonts w:hint="default" w:ascii="Times New Roman" w:eastAsia="Times New Roman" w:cs="Times New Roman"/>
                        <w:sz w:val="18"/>
                        <w:szCs w:val="18"/>
                      </w:rPr>
                      <w:t>21</w:t>
                    </w:r>
                    <w:r>
                      <w:rPr>
                        <w:rFonts w:ascii="Times New Roman" w:eastAsia="Times New Roman" w:cs="Times New Roman"/>
                        <w:sz w:val="18"/>
                        <w:szCs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insoku w:val="0"/>
      <w:overflowPunct w:val="0"/>
      <w:spacing w:before="0" w:line="14" w:lineRule="auto"/>
      <w:ind w:left="0"/>
      <w:rPr>
        <w:rFonts w:hint="default" w:ascii="Times New Roman" w:eastAsia="Times New Roman" w:cs="Times New Roman"/>
        <w:sz w:val="20"/>
        <w:szCs w:val="20"/>
      </w:rPr>
    </w:pPr>
    <w:r>
      <w:rPr>
        <w:rFonts w:hint="default"/>
      </w:rPr>
      <mc:AlternateContent>
        <mc:Choice Requires="wps">
          <w:drawing>
            <wp:anchor distT="0" distB="0" distL="114300" distR="114300" simplePos="0" relativeHeight="251664384" behindDoc="1" locked="0" layoutInCell="0" allowOverlap="1">
              <wp:simplePos x="0" y="0"/>
              <wp:positionH relativeFrom="page">
                <wp:posOffset>3697605</wp:posOffset>
              </wp:positionH>
              <wp:positionV relativeFrom="page">
                <wp:posOffset>9653905</wp:posOffset>
              </wp:positionV>
              <wp:extent cx="166370" cy="139700"/>
              <wp:effectExtent l="0" t="0" r="0" b="0"/>
              <wp:wrapNone/>
              <wp:docPr id="26" name="文本框 6"/>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pStyle w:val="8"/>
                            <w:kinsoku w:val="0"/>
                            <w:overflowPunct w:val="0"/>
                            <w:spacing w:before="0" w:line="204" w:lineRule="exact"/>
                            <w:ind w:left="40"/>
                            <w:rPr>
                              <w:rFonts w:hint="default" w:ascii="Times New Roman" w:eastAsia="Times New Roman" w:cs="Times New Roman"/>
                              <w:sz w:val="18"/>
                              <w:szCs w:val="18"/>
                            </w:rPr>
                          </w:pPr>
                          <w:r>
                            <w:rPr>
                              <w:rFonts w:ascii="Times New Roman" w:eastAsia="Times New Roman" w:cs="Times New Roman"/>
                              <w:sz w:val="18"/>
                              <w:szCs w:val="18"/>
                            </w:rPr>
                            <w:fldChar w:fldCharType="begin"/>
                          </w:r>
                          <w:r>
                            <w:rPr>
                              <w:rFonts w:ascii="Times New Roman" w:eastAsia="Times New Roman" w:cs="Times New Roman"/>
                              <w:sz w:val="18"/>
                              <w:szCs w:val="18"/>
                            </w:rPr>
                            <w:instrText xml:space="preserve"> PAGE </w:instrText>
                          </w:r>
                          <w:r>
                            <w:rPr>
                              <w:rFonts w:ascii="Times New Roman" w:eastAsia="Times New Roman" w:cs="Times New Roman"/>
                              <w:sz w:val="18"/>
                              <w:szCs w:val="18"/>
                            </w:rPr>
                            <w:fldChar w:fldCharType="separate"/>
                          </w:r>
                          <w:r>
                            <w:rPr>
                              <w:rFonts w:hint="default" w:ascii="Times New Roman" w:eastAsia="Times New Roman" w:cs="Times New Roman"/>
                              <w:sz w:val="18"/>
                              <w:szCs w:val="18"/>
                            </w:rPr>
                            <w:t>22</w:t>
                          </w:r>
                          <w:r>
                            <w:rPr>
                              <w:rFonts w:ascii="Times New Roman" w:eastAsia="Times New Roman" w:cs="Times New Roman"/>
                              <w:sz w:val="18"/>
                              <w:szCs w:val="18"/>
                            </w:rPr>
                            <w:fldChar w:fldCharType="end"/>
                          </w:r>
                        </w:p>
                      </w:txbxContent>
                    </wps:txbx>
                    <wps:bodyPr wrap="square" lIns="0" tIns="0" rIns="0" bIns="0" upright="1"/>
                  </wps:wsp>
                </a:graphicData>
              </a:graphic>
            </wp:anchor>
          </w:drawing>
        </mc:Choice>
        <mc:Fallback>
          <w:pict>
            <v:shape id="文本框 6" o:spid="_x0000_s1026" o:spt="202" type="#_x0000_t202" style="position:absolute;left:0pt;margin-left:291.15pt;margin-top:760.15pt;height:11pt;width:13.1pt;mso-position-horizontal-relative:page;mso-position-vertical-relative:page;z-index:-251652096;mso-width-relative:page;mso-height-relative:page;" filled="f" stroked="f" coordsize="21600,21600" o:allowincell="f" o:gfxdata="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c2bHHaAAAADQEAAA8AAAAAAAAAAQAgAAAAIgAAAGRycy9kb3du&#10;cmV2LnhtbFBLAQIUABQAAAAIAIdO4kDTvtjYxAEAAIADAAAOAAAAAAAAAAEAIAAAACkBAABkcnMv&#10;ZTJvRG9jLnhtbFBLBQYAAAAABgAGAFkBAABfBQAAAAA=&#10;">
              <v:fill on="f" focussize="0,0"/>
              <v:stroke on="f"/>
              <v:imagedata o:title=""/>
              <o:lock v:ext="edit" aspectratio="f"/>
              <v:textbox inset="0mm,0mm,0mm,0mm">
                <w:txbxContent>
                  <w:p>
                    <w:pPr>
                      <w:pStyle w:val="8"/>
                      <w:kinsoku w:val="0"/>
                      <w:overflowPunct w:val="0"/>
                      <w:spacing w:before="0" w:line="204" w:lineRule="exact"/>
                      <w:ind w:left="40"/>
                      <w:rPr>
                        <w:rFonts w:hint="default" w:ascii="Times New Roman" w:eastAsia="Times New Roman" w:cs="Times New Roman"/>
                        <w:sz w:val="18"/>
                        <w:szCs w:val="18"/>
                      </w:rPr>
                    </w:pPr>
                    <w:r>
                      <w:rPr>
                        <w:rFonts w:ascii="Times New Roman" w:eastAsia="Times New Roman" w:cs="Times New Roman"/>
                        <w:sz w:val="18"/>
                        <w:szCs w:val="18"/>
                      </w:rPr>
                      <w:fldChar w:fldCharType="begin"/>
                    </w:r>
                    <w:r>
                      <w:rPr>
                        <w:rFonts w:ascii="Times New Roman" w:eastAsia="Times New Roman" w:cs="Times New Roman"/>
                        <w:sz w:val="18"/>
                        <w:szCs w:val="18"/>
                      </w:rPr>
                      <w:instrText xml:space="preserve"> PAGE </w:instrText>
                    </w:r>
                    <w:r>
                      <w:rPr>
                        <w:rFonts w:ascii="Times New Roman" w:eastAsia="Times New Roman" w:cs="Times New Roman"/>
                        <w:sz w:val="18"/>
                        <w:szCs w:val="18"/>
                      </w:rPr>
                      <w:fldChar w:fldCharType="separate"/>
                    </w:r>
                    <w:r>
                      <w:rPr>
                        <w:rFonts w:hint="default" w:ascii="Times New Roman" w:eastAsia="Times New Roman" w:cs="Times New Roman"/>
                        <w:sz w:val="18"/>
                        <w:szCs w:val="18"/>
                      </w:rPr>
                      <w:t>22</w:t>
                    </w:r>
                    <w:r>
                      <w:rPr>
                        <w:rFonts w:ascii="Times New Roman" w:eastAsia="Times New Roman" w:cs="Times New Roman"/>
                        <w:sz w:val="18"/>
                        <w:szCs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insoku w:val="0"/>
      <w:overflowPunct w:val="0"/>
      <w:spacing w:before="0" w:line="14" w:lineRule="auto"/>
      <w:ind w:left="0"/>
      <w:rPr>
        <w:rFonts w:hint="default" w:ascii="Times New Roman" w:eastAsia="Times New Roman" w:cs="Times New Roman"/>
        <w:sz w:val="20"/>
        <w:szCs w:val="20"/>
      </w:rPr>
    </w:pPr>
    <w:r>
      <w:rPr>
        <w:rFonts w:hint="default"/>
      </w:rPr>
      <mc:AlternateContent>
        <mc:Choice Requires="wps">
          <w:drawing>
            <wp:anchor distT="0" distB="0" distL="114300" distR="114300" simplePos="0" relativeHeight="251667456" behindDoc="1" locked="0" layoutInCell="0" allowOverlap="1">
              <wp:simplePos x="0" y="0"/>
              <wp:positionH relativeFrom="page">
                <wp:posOffset>3697605</wp:posOffset>
              </wp:positionH>
              <wp:positionV relativeFrom="page">
                <wp:posOffset>9653905</wp:posOffset>
              </wp:positionV>
              <wp:extent cx="166370" cy="139700"/>
              <wp:effectExtent l="0" t="0" r="0" b="0"/>
              <wp:wrapNone/>
              <wp:docPr id="32" name="文本框 7"/>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pStyle w:val="8"/>
                            <w:kinsoku w:val="0"/>
                            <w:overflowPunct w:val="0"/>
                            <w:spacing w:before="0" w:line="204" w:lineRule="exact"/>
                            <w:ind w:left="40"/>
                            <w:rPr>
                              <w:rFonts w:hint="default" w:ascii="Times New Roman" w:eastAsia="Times New Roman" w:cs="Times New Roman"/>
                              <w:sz w:val="18"/>
                              <w:szCs w:val="18"/>
                            </w:rPr>
                          </w:pPr>
                          <w:r>
                            <w:rPr>
                              <w:rFonts w:ascii="Times New Roman" w:eastAsia="Times New Roman" w:cs="Times New Roman"/>
                              <w:sz w:val="18"/>
                              <w:szCs w:val="18"/>
                            </w:rPr>
                            <w:fldChar w:fldCharType="begin"/>
                          </w:r>
                          <w:r>
                            <w:rPr>
                              <w:rFonts w:ascii="Times New Roman" w:eastAsia="Times New Roman" w:cs="Times New Roman"/>
                              <w:sz w:val="18"/>
                              <w:szCs w:val="18"/>
                            </w:rPr>
                            <w:instrText xml:space="preserve"> PAGE </w:instrText>
                          </w:r>
                          <w:r>
                            <w:rPr>
                              <w:rFonts w:ascii="Times New Roman" w:eastAsia="Times New Roman" w:cs="Times New Roman"/>
                              <w:sz w:val="18"/>
                              <w:szCs w:val="18"/>
                            </w:rPr>
                            <w:fldChar w:fldCharType="separate"/>
                          </w:r>
                          <w:r>
                            <w:rPr>
                              <w:rFonts w:hint="default" w:ascii="Times New Roman" w:eastAsia="Times New Roman" w:cs="Times New Roman"/>
                              <w:sz w:val="18"/>
                              <w:szCs w:val="18"/>
                            </w:rPr>
                            <w:t>30</w:t>
                          </w:r>
                          <w:r>
                            <w:rPr>
                              <w:rFonts w:ascii="Times New Roman" w:eastAsia="Times New Roman" w:cs="Times New Roman"/>
                              <w:sz w:val="18"/>
                              <w:szCs w:val="18"/>
                            </w:rPr>
                            <w:fldChar w:fldCharType="end"/>
                          </w:r>
                        </w:p>
                      </w:txbxContent>
                    </wps:txbx>
                    <wps:bodyPr wrap="square" lIns="0" tIns="0" rIns="0" bIns="0" upright="1"/>
                  </wps:wsp>
                </a:graphicData>
              </a:graphic>
            </wp:anchor>
          </w:drawing>
        </mc:Choice>
        <mc:Fallback>
          <w:pict>
            <v:shape id="文本框 7" o:spid="_x0000_s1026" o:spt="202" type="#_x0000_t202" style="position:absolute;left:0pt;margin-left:291.15pt;margin-top:760.15pt;height:11pt;width:13.1pt;mso-position-horizontal-relative:page;mso-position-vertical-relative:page;z-index:-251649024;mso-width-relative:page;mso-height-relative:page;" filled="f" stroked="f" coordsize="21600,21600" o:allowincell="f" o:gfxdata="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c2bHHaAAAADQEAAA8AAAAAAAAAAQAgAAAAIgAAAGRycy9kb3du&#10;cmV2LnhtbFBLAQIUABQAAAAIAIdO4kBSIlGuxAEAAIADAAAOAAAAAAAAAAEAIAAAACkBAABkcnMv&#10;ZTJvRG9jLnhtbFBLBQYAAAAABgAGAFkBAABfBQAAAAA=&#10;">
              <v:fill on="f" focussize="0,0"/>
              <v:stroke on="f"/>
              <v:imagedata o:title=""/>
              <o:lock v:ext="edit" aspectratio="f"/>
              <v:textbox inset="0mm,0mm,0mm,0mm">
                <w:txbxContent>
                  <w:p>
                    <w:pPr>
                      <w:pStyle w:val="8"/>
                      <w:kinsoku w:val="0"/>
                      <w:overflowPunct w:val="0"/>
                      <w:spacing w:before="0" w:line="204" w:lineRule="exact"/>
                      <w:ind w:left="40"/>
                      <w:rPr>
                        <w:rFonts w:hint="default" w:ascii="Times New Roman" w:eastAsia="Times New Roman" w:cs="Times New Roman"/>
                        <w:sz w:val="18"/>
                        <w:szCs w:val="18"/>
                      </w:rPr>
                    </w:pPr>
                    <w:r>
                      <w:rPr>
                        <w:rFonts w:ascii="Times New Roman" w:eastAsia="Times New Roman" w:cs="Times New Roman"/>
                        <w:sz w:val="18"/>
                        <w:szCs w:val="18"/>
                      </w:rPr>
                      <w:fldChar w:fldCharType="begin"/>
                    </w:r>
                    <w:r>
                      <w:rPr>
                        <w:rFonts w:ascii="Times New Roman" w:eastAsia="Times New Roman" w:cs="Times New Roman"/>
                        <w:sz w:val="18"/>
                        <w:szCs w:val="18"/>
                      </w:rPr>
                      <w:instrText xml:space="preserve"> PAGE </w:instrText>
                    </w:r>
                    <w:r>
                      <w:rPr>
                        <w:rFonts w:ascii="Times New Roman" w:eastAsia="Times New Roman" w:cs="Times New Roman"/>
                        <w:sz w:val="18"/>
                        <w:szCs w:val="18"/>
                      </w:rPr>
                      <w:fldChar w:fldCharType="separate"/>
                    </w:r>
                    <w:r>
                      <w:rPr>
                        <w:rFonts w:hint="default" w:ascii="Times New Roman" w:eastAsia="Times New Roman" w:cs="Times New Roman"/>
                        <w:sz w:val="18"/>
                        <w:szCs w:val="18"/>
                      </w:rPr>
                      <w:t>30</w:t>
                    </w:r>
                    <w:r>
                      <w:rPr>
                        <w:rFonts w:ascii="Times New Roman" w:eastAsia="Times New Roman" w:cs="Times New Roman"/>
                        <w:sz w:val="18"/>
                        <w:szCs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insoku w:val="0"/>
      <w:overflowPunct w:val="0"/>
      <w:spacing w:before="0" w:line="14" w:lineRule="auto"/>
      <w:ind w:left="0"/>
      <w:rPr>
        <w:rFonts w:hint="default" w:ascii="Times New Roman" w:eastAsia="Times New Roman" w:cs="Times New Roman"/>
        <w:sz w:val="20"/>
        <w:szCs w:val="20"/>
      </w:rPr>
    </w:pPr>
    <w:r>
      <w:rPr>
        <w:rFonts w:hint="default"/>
      </w:rPr>
      <mc:AlternateContent>
        <mc:Choice Requires="wps">
          <w:drawing>
            <wp:anchor distT="0" distB="0" distL="114300" distR="114300" simplePos="0" relativeHeight="251669504" behindDoc="1" locked="0" layoutInCell="0" allowOverlap="1">
              <wp:simplePos x="0" y="0"/>
              <wp:positionH relativeFrom="page">
                <wp:posOffset>3697605</wp:posOffset>
              </wp:positionH>
              <wp:positionV relativeFrom="page">
                <wp:posOffset>9653905</wp:posOffset>
              </wp:positionV>
              <wp:extent cx="166370" cy="139700"/>
              <wp:effectExtent l="0" t="0" r="0" b="0"/>
              <wp:wrapNone/>
              <wp:docPr id="35" name="文本框 10"/>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pStyle w:val="8"/>
                            <w:kinsoku w:val="0"/>
                            <w:overflowPunct w:val="0"/>
                            <w:spacing w:before="0" w:line="204" w:lineRule="exact"/>
                            <w:ind w:left="40"/>
                            <w:rPr>
                              <w:rFonts w:hint="default" w:ascii="Times New Roman" w:eastAsia="Times New Roman" w:cs="Times New Roman"/>
                              <w:sz w:val="18"/>
                              <w:szCs w:val="18"/>
                            </w:rPr>
                          </w:pPr>
                          <w:r>
                            <w:rPr>
                              <w:rFonts w:ascii="Times New Roman" w:eastAsia="Times New Roman" w:cs="Times New Roman"/>
                              <w:sz w:val="18"/>
                              <w:szCs w:val="18"/>
                            </w:rPr>
                            <w:fldChar w:fldCharType="begin"/>
                          </w:r>
                          <w:r>
                            <w:rPr>
                              <w:rFonts w:ascii="Times New Roman" w:eastAsia="Times New Roman" w:cs="Times New Roman"/>
                              <w:sz w:val="18"/>
                              <w:szCs w:val="18"/>
                            </w:rPr>
                            <w:instrText xml:space="preserve"> PAGE </w:instrText>
                          </w:r>
                          <w:r>
                            <w:rPr>
                              <w:rFonts w:ascii="Times New Roman" w:eastAsia="Times New Roman" w:cs="Times New Roman"/>
                              <w:sz w:val="18"/>
                              <w:szCs w:val="18"/>
                            </w:rPr>
                            <w:fldChar w:fldCharType="separate"/>
                          </w:r>
                          <w:r>
                            <w:rPr>
                              <w:rFonts w:hint="default" w:ascii="Times New Roman" w:eastAsia="Times New Roman" w:cs="Times New Roman"/>
                              <w:sz w:val="18"/>
                              <w:szCs w:val="18"/>
                            </w:rPr>
                            <w:t>37</w:t>
                          </w:r>
                          <w:r>
                            <w:rPr>
                              <w:rFonts w:ascii="Times New Roman" w:eastAsia="Times New Roman" w:cs="Times New Roman"/>
                              <w:sz w:val="18"/>
                              <w:szCs w:val="18"/>
                            </w:rPr>
                            <w:fldChar w:fldCharType="end"/>
                          </w:r>
                        </w:p>
                      </w:txbxContent>
                    </wps:txbx>
                    <wps:bodyPr wrap="square" lIns="0" tIns="0" rIns="0" bIns="0" upright="1"/>
                  </wps:wsp>
                </a:graphicData>
              </a:graphic>
            </wp:anchor>
          </w:drawing>
        </mc:Choice>
        <mc:Fallback>
          <w:pict>
            <v:shape id="文本框 10" o:spid="_x0000_s1026" o:spt="202" type="#_x0000_t202" style="position:absolute;left:0pt;margin-left:291.15pt;margin-top:760.15pt;height:11pt;width:13.1pt;mso-position-horizontal-relative:page;mso-position-vertical-relative:page;z-index:-251646976;mso-width-relative:page;mso-height-relative:page;" filled="f" stroked="f" coordsize="21600,21600" o:allowincell="f" o:gfxdata="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c2bHHaAAAADQEAAA8AAAAAAAAAAQAgAAAAIgAAAGRycy9kb3du&#10;cmV2LnhtbFBLAQIUABQAAAAIAIdO4kBCA2KnxAEAAIEDAAAOAAAAAAAAAAEAIAAAACkBAABkcnMv&#10;ZTJvRG9jLnhtbFBLBQYAAAAABgAGAFkBAABfBQAAAAA=&#10;">
              <v:fill on="f" focussize="0,0"/>
              <v:stroke on="f"/>
              <v:imagedata o:title=""/>
              <o:lock v:ext="edit" aspectratio="f"/>
              <v:textbox inset="0mm,0mm,0mm,0mm">
                <w:txbxContent>
                  <w:p>
                    <w:pPr>
                      <w:pStyle w:val="8"/>
                      <w:kinsoku w:val="0"/>
                      <w:overflowPunct w:val="0"/>
                      <w:spacing w:before="0" w:line="204" w:lineRule="exact"/>
                      <w:ind w:left="40"/>
                      <w:rPr>
                        <w:rFonts w:hint="default" w:ascii="Times New Roman" w:eastAsia="Times New Roman" w:cs="Times New Roman"/>
                        <w:sz w:val="18"/>
                        <w:szCs w:val="18"/>
                      </w:rPr>
                    </w:pPr>
                    <w:r>
                      <w:rPr>
                        <w:rFonts w:ascii="Times New Roman" w:eastAsia="Times New Roman" w:cs="Times New Roman"/>
                        <w:sz w:val="18"/>
                        <w:szCs w:val="18"/>
                      </w:rPr>
                      <w:fldChar w:fldCharType="begin"/>
                    </w:r>
                    <w:r>
                      <w:rPr>
                        <w:rFonts w:ascii="Times New Roman" w:eastAsia="Times New Roman" w:cs="Times New Roman"/>
                        <w:sz w:val="18"/>
                        <w:szCs w:val="18"/>
                      </w:rPr>
                      <w:instrText xml:space="preserve"> PAGE </w:instrText>
                    </w:r>
                    <w:r>
                      <w:rPr>
                        <w:rFonts w:ascii="Times New Roman" w:eastAsia="Times New Roman" w:cs="Times New Roman"/>
                        <w:sz w:val="18"/>
                        <w:szCs w:val="18"/>
                      </w:rPr>
                      <w:fldChar w:fldCharType="separate"/>
                    </w:r>
                    <w:r>
                      <w:rPr>
                        <w:rFonts w:hint="default" w:ascii="Times New Roman" w:eastAsia="Times New Roman" w:cs="Times New Roman"/>
                        <w:sz w:val="18"/>
                        <w:szCs w:val="18"/>
                      </w:rPr>
                      <w:t>37</w:t>
                    </w:r>
                    <w:r>
                      <w:rPr>
                        <w:rFonts w:ascii="Times New Roman" w:eastAsia="Times New Roman" w:cs="Times New Roman"/>
                        <w:sz w:val="18"/>
                        <w:szCs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insoku w:val="0"/>
      <w:overflowPunct w:val="0"/>
      <w:spacing w:before="0" w:line="14" w:lineRule="auto"/>
      <w:ind w:left="0"/>
      <w:rPr>
        <w:rFonts w:hint="default" w:ascii="Times New Roman" w:eastAsia="Times New Roman" w:cs="Times New Roman"/>
        <w:sz w:val="20"/>
        <w:szCs w:val="20"/>
      </w:rPr>
    </w:pPr>
    <w:r>
      <w:rPr>
        <w:rFonts w:hint="default"/>
      </w:rPr>
      <mc:AlternateContent>
        <mc:Choice Requires="wps">
          <w:drawing>
            <wp:anchor distT="0" distB="0" distL="114300" distR="114300" simplePos="0" relativeHeight="251665408" behindDoc="1" locked="0" layoutInCell="0" allowOverlap="1">
              <wp:simplePos x="0" y="0"/>
              <wp:positionH relativeFrom="page">
                <wp:posOffset>3697605</wp:posOffset>
              </wp:positionH>
              <wp:positionV relativeFrom="page">
                <wp:posOffset>9653905</wp:posOffset>
              </wp:positionV>
              <wp:extent cx="166370" cy="139700"/>
              <wp:effectExtent l="0" t="0" r="0" b="0"/>
              <wp:wrapNone/>
              <wp:docPr id="27" name="文本框 11"/>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pStyle w:val="8"/>
                            <w:kinsoku w:val="0"/>
                            <w:overflowPunct w:val="0"/>
                            <w:spacing w:before="0" w:line="204" w:lineRule="exact"/>
                            <w:ind w:left="40"/>
                            <w:rPr>
                              <w:rFonts w:hint="default" w:ascii="Times New Roman" w:eastAsia="Times New Roman" w:cs="Times New Roman"/>
                              <w:sz w:val="18"/>
                              <w:szCs w:val="18"/>
                            </w:rPr>
                          </w:pPr>
                          <w:r>
                            <w:rPr>
                              <w:rFonts w:ascii="Times New Roman" w:eastAsia="Times New Roman" w:cs="Times New Roman"/>
                              <w:sz w:val="18"/>
                              <w:szCs w:val="18"/>
                            </w:rPr>
                            <w:fldChar w:fldCharType="begin"/>
                          </w:r>
                          <w:r>
                            <w:rPr>
                              <w:rFonts w:ascii="Times New Roman" w:eastAsia="Times New Roman" w:cs="Times New Roman"/>
                              <w:sz w:val="18"/>
                              <w:szCs w:val="18"/>
                            </w:rPr>
                            <w:instrText xml:space="preserve"> PAGE </w:instrText>
                          </w:r>
                          <w:r>
                            <w:rPr>
                              <w:rFonts w:ascii="Times New Roman" w:eastAsia="Times New Roman" w:cs="Times New Roman"/>
                              <w:sz w:val="18"/>
                              <w:szCs w:val="18"/>
                            </w:rPr>
                            <w:fldChar w:fldCharType="separate"/>
                          </w:r>
                          <w:r>
                            <w:rPr>
                              <w:rFonts w:hint="default" w:ascii="Times New Roman" w:eastAsia="Times New Roman" w:cs="Times New Roman"/>
                              <w:sz w:val="18"/>
                              <w:szCs w:val="18"/>
                            </w:rPr>
                            <w:t>24</w:t>
                          </w:r>
                          <w:r>
                            <w:rPr>
                              <w:rFonts w:ascii="Times New Roman" w:eastAsia="Times New Roman" w:cs="Times New Roman"/>
                              <w:sz w:val="18"/>
                              <w:szCs w:val="18"/>
                            </w:rPr>
                            <w:fldChar w:fldCharType="end"/>
                          </w:r>
                        </w:p>
                      </w:txbxContent>
                    </wps:txbx>
                    <wps:bodyPr wrap="square" lIns="0" tIns="0" rIns="0" bIns="0" upright="1"/>
                  </wps:wsp>
                </a:graphicData>
              </a:graphic>
            </wp:anchor>
          </w:drawing>
        </mc:Choice>
        <mc:Fallback>
          <w:pict>
            <v:shape id="文本框 11" o:spid="_x0000_s1026" o:spt="202" type="#_x0000_t202" style="position:absolute;left:0pt;margin-left:291.15pt;margin-top:760.15pt;height:11pt;width:13.1pt;mso-position-horizontal-relative:page;mso-position-vertical-relative:page;z-index:-251651072;mso-width-relative:page;mso-height-relative:page;" filled="f" stroked="f" coordsize="21600,21600" o:allowincell="f" o:gfxdata="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c2bHHaAAAADQEAAA8AAAAAAAAAAQAgAAAAIgAAAGRycy9kb3du&#10;cmV2LnhtbFBLAQIUABQAAAAIAIdO4kB2IADIxAEAAIEDAAAOAAAAAAAAAAEAIAAAACkBAABkcnMv&#10;ZTJvRG9jLnhtbFBLBQYAAAAABgAGAFkBAABfBQAAAAA=&#10;">
              <v:fill on="f" focussize="0,0"/>
              <v:stroke on="f"/>
              <v:imagedata o:title=""/>
              <o:lock v:ext="edit" aspectratio="f"/>
              <v:textbox inset="0mm,0mm,0mm,0mm">
                <w:txbxContent>
                  <w:p>
                    <w:pPr>
                      <w:pStyle w:val="8"/>
                      <w:kinsoku w:val="0"/>
                      <w:overflowPunct w:val="0"/>
                      <w:spacing w:before="0" w:line="204" w:lineRule="exact"/>
                      <w:ind w:left="40"/>
                      <w:rPr>
                        <w:rFonts w:hint="default" w:ascii="Times New Roman" w:eastAsia="Times New Roman" w:cs="Times New Roman"/>
                        <w:sz w:val="18"/>
                        <w:szCs w:val="18"/>
                      </w:rPr>
                    </w:pPr>
                    <w:r>
                      <w:rPr>
                        <w:rFonts w:ascii="Times New Roman" w:eastAsia="Times New Roman" w:cs="Times New Roman"/>
                        <w:sz w:val="18"/>
                        <w:szCs w:val="18"/>
                      </w:rPr>
                      <w:fldChar w:fldCharType="begin"/>
                    </w:r>
                    <w:r>
                      <w:rPr>
                        <w:rFonts w:ascii="Times New Roman" w:eastAsia="Times New Roman" w:cs="Times New Roman"/>
                        <w:sz w:val="18"/>
                        <w:szCs w:val="18"/>
                      </w:rPr>
                      <w:instrText xml:space="preserve"> PAGE </w:instrText>
                    </w:r>
                    <w:r>
                      <w:rPr>
                        <w:rFonts w:ascii="Times New Roman" w:eastAsia="Times New Roman" w:cs="Times New Roman"/>
                        <w:sz w:val="18"/>
                        <w:szCs w:val="18"/>
                      </w:rPr>
                      <w:fldChar w:fldCharType="separate"/>
                    </w:r>
                    <w:r>
                      <w:rPr>
                        <w:rFonts w:hint="default" w:ascii="Times New Roman" w:eastAsia="Times New Roman" w:cs="Times New Roman"/>
                        <w:sz w:val="18"/>
                        <w:szCs w:val="18"/>
                      </w:rPr>
                      <w:t>24</w:t>
                    </w:r>
                    <w:r>
                      <w:rPr>
                        <w:rFonts w:ascii="Times New Roman" w:eastAsia="Times New Roman" w:cs="Times New Roman"/>
                        <w:sz w:val="18"/>
                        <w:szCs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F84552"/>
    <w:multiLevelType w:val="singleLevel"/>
    <w:tmpl w:val="ABF84552"/>
    <w:lvl w:ilvl="0" w:tentative="0">
      <w:start w:val="1"/>
      <w:numFmt w:val="decimal"/>
      <w:suff w:val="nothing"/>
      <w:lvlText w:val="%1、"/>
      <w:lvlJc w:val="left"/>
    </w:lvl>
  </w:abstractNum>
  <w:abstractNum w:abstractNumId="1">
    <w:nsid w:val="05569BFF"/>
    <w:multiLevelType w:val="singleLevel"/>
    <w:tmpl w:val="05569BFF"/>
    <w:lvl w:ilvl="0" w:tentative="0">
      <w:start w:val="1"/>
      <w:numFmt w:val="decimal"/>
      <w:lvlText w:val="%1."/>
      <w:lvlJc w:val="left"/>
      <w:pPr>
        <w:tabs>
          <w:tab w:val="left" w:pos="312"/>
        </w:tabs>
        <w:ind w:left="-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doNotValidateAgainstSchema/>
  <w:doNotDemarcateInvalidXml/>
  <w:compat>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iY2NmZmU2ZDkzY2JiODY5MWRiNWNmYmRmN2QxYmIifQ=="/>
  </w:docVars>
  <w:rsids>
    <w:rsidRoot w:val="00172A27"/>
    <w:rsid w:val="000369C7"/>
    <w:rsid w:val="0008718D"/>
    <w:rsid w:val="00097D65"/>
    <w:rsid w:val="000C3C9C"/>
    <w:rsid w:val="000E01AB"/>
    <w:rsid w:val="000E3B8F"/>
    <w:rsid w:val="000F794A"/>
    <w:rsid w:val="0012370B"/>
    <w:rsid w:val="00135EC5"/>
    <w:rsid w:val="00172A27"/>
    <w:rsid w:val="001B662E"/>
    <w:rsid w:val="001B6A13"/>
    <w:rsid w:val="001F1928"/>
    <w:rsid w:val="00231D15"/>
    <w:rsid w:val="002748C1"/>
    <w:rsid w:val="002873AE"/>
    <w:rsid w:val="00315CE6"/>
    <w:rsid w:val="003503CF"/>
    <w:rsid w:val="00396EEB"/>
    <w:rsid w:val="0040121A"/>
    <w:rsid w:val="00404B53"/>
    <w:rsid w:val="00416621"/>
    <w:rsid w:val="00454F5C"/>
    <w:rsid w:val="004D3F5E"/>
    <w:rsid w:val="004F2D50"/>
    <w:rsid w:val="0052701F"/>
    <w:rsid w:val="005933E9"/>
    <w:rsid w:val="005B58F8"/>
    <w:rsid w:val="005C6EF8"/>
    <w:rsid w:val="005D01F2"/>
    <w:rsid w:val="00624F49"/>
    <w:rsid w:val="006429C9"/>
    <w:rsid w:val="006A289B"/>
    <w:rsid w:val="006C3C38"/>
    <w:rsid w:val="006D64F6"/>
    <w:rsid w:val="006F67B5"/>
    <w:rsid w:val="00706CC5"/>
    <w:rsid w:val="00724D66"/>
    <w:rsid w:val="00832E56"/>
    <w:rsid w:val="00856A4B"/>
    <w:rsid w:val="00871DA6"/>
    <w:rsid w:val="008F7F76"/>
    <w:rsid w:val="00902BD4"/>
    <w:rsid w:val="00955A69"/>
    <w:rsid w:val="00A75BED"/>
    <w:rsid w:val="00A831A6"/>
    <w:rsid w:val="00AA5B35"/>
    <w:rsid w:val="00AF2F88"/>
    <w:rsid w:val="00B860B6"/>
    <w:rsid w:val="00B913FC"/>
    <w:rsid w:val="00C26E59"/>
    <w:rsid w:val="00C31205"/>
    <w:rsid w:val="00C324CF"/>
    <w:rsid w:val="00C620D2"/>
    <w:rsid w:val="00C92AD7"/>
    <w:rsid w:val="00CC4CB0"/>
    <w:rsid w:val="00D17320"/>
    <w:rsid w:val="00D66C2E"/>
    <w:rsid w:val="00D91E7C"/>
    <w:rsid w:val="00D97DEE"/>
    <w:rsid w:val="00DF2D4E"/>
    <w:rsid w:val="00E57986"/>
    <w:rsid w:val="00FA1B0D"/>
    <w:rsid w:val="00FD4CEB"/>
    <w:rsid w:val="02301EDC"/>
    <w:rsid w:val="0A054F80"/>
    <w:rsid w:val="0A785072"/>
    <w:rsid w:val="0AA45546"/>
    <w:rsid w:val="0C16553C"/>
    <w:rsid w:val="0CE20F77"/>
    <w:rsid w:val="0FFD0AAF"/>
    <w:rsid w:val="111125D8"/>
    <w:rsid w:val="12F33E82"/>
    <w:rsid w:val="15D91E5E"/>
    <w:rsid w:val="17676610"/>
    <w:rsid w:val="1B265119"/>
    <w:rsid w:val="1E254DA8"/>
    <w:rsid w:val="1F06465C"/>
    <w:rsid w:val="1F5F0015"/>
    <w:rsid w:val="1FC5398A"/>
    <w:rsid w:val="1FE16B01"/>
    <w:rsid w:val="2558727E"/>
    <w:rsid w:val="266E7DD7"/>
    <w:rsid w:val="26937354"/>
    <w:rsid w:val="287808E5"/>
    <w:rsid w:val="2C344819"/>
    <w:rsid w:val="2D3D11F1"/>
    <w:rsid w:val="2DA635DD"/>
    <w:rsid w:val="2FE3403D"/>
    <w:rsid w:val="302127DE"/>
    <w:rsid w:val="310E604C"/>
    <w:rsid w:val="31364167"/>
    <w:rsid w:val="3261193F"/>
    <w:rsid w:val="335C5C9C"/>
    <w:rsid w:val="33B22CAA"/>
    <w:rsid w:val="375C3B1F"/>
    <w:rsid w:val="3B003C7F"/>
    <w:rsid w:val="3BE92A90"/>
    <w:rsid w:val="3BF5245A"/>
    <w:rsid w:val="3E7B6987"/>
    <w:rsid w:val="3F9E7229"/>
    <w:rsid w:val="41E7425A"/>
    <w:rsid w:val="481829DE"/>
    <w:rsid w:val="48E672B3"/>
    <w:rsid w:val="497F2D4F"/>
    <w:rsid w:val="49875BEC"/>
    <w:rsid w:val="4A1312AD"/>
    <w:rsid w:val="4A52657A"/>
    <w:rsid w:val="4BE01CBF"/>
    <w:rsid w:val="4D8A78F7"/>
    <w:rsid w:val="4E1F1264"/>
    <w:rsid w:val="4E6D2B88"/>
    <w:rsid w:val="4F6A5DF5"/>
    <w:rsid w:val="4FC93CF4"/>
    <w:rsid w:val="50200A43"/>
    <w:rsid w:val="513D38B6"/>
    <w:rsid w:val="52045688"/>
    <w:rsid w:val="554E54AB"/>
    <w:rsid w:val="56B665DF"/>
    <w:rsid w:val="579B705F"/>
    <w:rsid w:val="5A124F88"/>
    <w:rsid w:val="5BB32FA6"/>
    <w:rsid w:val="5DA201A9"/>
    <w:rsid w:val="6074406B"/>
    <w:rsid w:val="63636F80"/>
    <w:rsid w:val="66955696"/>
    <w:rsid w:val="66A8401D"/>
    <w:rsid w:val="69B907A6"/>
    <w:rsid w:val="69EB1449"/>
    <w:rsid w:val="6D465EF7"/>
    <w:rsid w:val="707D10B6"/>
    <w:rsid w:val="7137280D"/>
    <w:rsid w:val="71615282"/>
    <w:rsid w:val="7237348B"/>
    <w:rsid w:val="730E464F"/>
    <w:rsid w:val="74436232"/>
    <w:rsid w:val="7586597F"/>
    <w:rsid w:val="75CD7C50"/>
    <w:rsid w:val="76367D72"/>
    <w:rsid w:val="769F1031"/>
    <w:rsid w:val="77720FAC"/>
    <w:rsid w:val="7BB91A25"/>
    <w:rsid w:val="7CBD5499"/>
    <w:rsid w:val="7E030047"/>
    <w:rsid w:val="7FE15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35"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10" w:semiHidden="0" w:name="Title"/>
    <w:lsdException w:qFormat="1" w:unhideWhenUsed="0" w:uiPriority="99" w:semiHidden="0" w:name="Closing"/>
    <w:lsdException w:qFormat="1" w:unhideWhenUsed="0" w:uiPriority="99" w:semiHidden="0" w:name="Signature"/>
    <w:lsdException w:qFormat="1" w:uiPriority="1" w:semiHidden="0" w:name="Default Paragraph Font"/>
    <w:lsdException w:qFormat="1" w:uiPriority="1"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11" w:semiHidden="0" w:name="Subtitle"/>
    <w:lsdException w:qFormat="1" w:unhideWhenUsed="0" w:uiPriority="99"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semiHidden="0" w:name="Balloon Text"/>
    <w:lsdException w:qFormat="1" w:unhideWhenUsed="0" w:uiPriority="39" w:semiHidden="0" w:name="Table Grid"/>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1"/>
    <w:pPr>
      <w:widowControl w:val="0"/>
      <w:autoSpaceDE w:val="0"/>
      <w:autoSpaceDN w:val="0"/>
      <w:adjustRightInd w:val="0"/>
    </w:pPr>
    <w:rPr>
      <w:rFonts w:hint="eastAsia" w:ascii="宋体" w:hAnsi="Times New Roman" w:eastAsia="宋体" w:cs="Times New Roman"/>
      <w:sz w:val="24"/>
      <w:szCs w:val="24"/>
      <w:lang w:val="en-US" w:eastAsia="zh-CN" w:bidi="ar-SA"/>
    </w:rPr>
  </w:style>
  <w:style w:type="paragraph" w:styleId="2">
    <w:name w:val="heading 1"/>
    <w:basedOn w:val="1"/>
    <w:next w:val="1"/>
    <w:link w:val="36"/>
    <w:unhideWhenUsed/>
    <w:qFormat/>
    <w:uiPriority w:val="1"/>
    <w:pPr>
      <w:ind w:left="1"/>
      <w:outlineLvl w:val="0"/>
    </w:pPr>
    <w:rPr>
      <w:rFonts w:cs="宋体"/>
      <w:b/>
      <w:sz w:val="36"/>
      <w:szCs w:val="36"/>
    </w:rPr>
  </w:style>
  <w:style w:type="paragraph" w:styleId="3">
    <w:name w:val="heading 2"/>
    <w:basedOn w:val="1"/>
    <w:next w:val="4"/>
    <w:link w:val="31"/>
    <w:unhideWhenUsed/>
    <w:qFormat/>
    <w:uiPriority w:val="1"/>
    <w:pPr>
      <w:ind w:left="120"/>
      <w:outlineLvl w:val="1"/>
    </w:pPr>
    <w:rPr>
      <w:rFonts w:ascii="黑体" w:eastAsia="黑体" w:cs="黑体"/>
      <w:b/>
      <w:sz w:val="32"/>
      <w:szCs w:val="32"/>
    </w:rPr>
  </w:style>
  <w:style w:type="paragraph" w:styleId="5">
    <w:name w:val="heading 3"/>
    <w:basedOn w:val="1"/>
    <w:next w:val="1"/>
    <w:link w:val="27"/>
    <w:unhideWhenUsed/>
    <w:qFormat/>
    <w:uiPriority w:val="1"/>
    <w:pPr>
      <w:ind w:left="120"/>
      <w:outlineLvl w:val="2"/>
    </w:pPr>
    <w:rPr>
      <w:rFonts w:ascii="仿宋" w:eastAsia="仿宋" w:cs="仿宋"/>
      <w:sz w:val="32"/>
      <w:szCs w:val="32"/>
    </w:rPr>
  </w:style>
  <w:style w:type="paragraph" w:styleId="6">
    <w:name w:val="heading 4"/>
    <w:basedOn w:val="1"/>
    <w:next w:val="1"/>
    <w:link w:val="32"/>
    <w:unhideWhenUsed/>
    <w:qFormat/>
    <w:uiPriority w:val="1"/>
    <w:pPr>
      <w:outlineLvl w:val="3"/>
    </w:pPr>
    <w:rPr>
      <w:rFonts w:cs="宋体"/>
      <w:b/>
      <w:sz w:val="28"/>
      <w:szCs w:val="28"/>
    </w:rPr>
  </w:style>
  <w:style w:type="paragraph" w:styleId="7">
    <w:name w:val="heading 5"/>
    <w:basedOn w:val="1"/>
    <w:next w:val="1"/>
    <w:link w:val="37"/>
    <w:unhideWhenUsed/>
    <w:qFormat/>
    <w:uiPriority w:val="1"/>
    <w:pPr>
      <w:spacing w:before="36"/>
      <w:ind w:left="120"/>
      <w:outlineLvl w:val="4"/>
    </w:pPr>
    <w:rPr>
      <w:rFonts w:cs="宋体"/>
      <w:b/>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unhideWhenUsed/>
    <w:qFormat/>
    <w:uiPriority w:val="0"/>
    <w:pPr>
      <w:ind w:firstLine="420"/>
    </w:pPr>
    <w:rPr>
      <w:szCs w:val="20"/>
    </w:rPr>
  </w:style>
  <w:style w:type="paragraph" w:styleId="8">
    <w:name w:val="Body Text"/>
    <w:basedOn w:val="1"/>
    <w:next w:val="9"/>
    <w:link w:val="35"/>
    <w:unhideWhenUsed/>
    <w:qFormat/>
    <w:uiPriority w:val="1"/>
    <w:pPr>
      <w:spacing w:before="36"/>
      <w:ind w:left="120"/>
    </w:pPr>
    <w:rPr>
      <w:rFonts w:cs="宋体"/>
    </w:rPr>
  </w:style>
  <w:style w:type="paragraph" w:styleId="9">
    <w:name w:val="Date"/>
    <w:basedOn w:val="1"/>
    <w:next w:val="1"/>
    <w:qFormat/>
    <w:uiPriority w:val="0"/>
    <w:pPr>
      <w:ind w:left="100" w:leftChars="2500"/>
    </w:pPr>
    <w:rPr>
      <w:sz w:val="24"/>
    </w:rPr>
  </w:style>
  <w:style w:type="paragraph" w:styleId="10">
    <w:name w:val="Body Text Indent"/>
    <w:basedOn w:val="1"/>
    <w:next w:val="1"/>
    <w:qFormat/>
    <w:uiPriority w:val="0"/>
    <w:pPr>
      <w:spacing w:line="520" w:lineRule="exact"/>
      <w:ind w:left="570"/>
    </w:pPr>
    <w:rPr>
      <w:rFonts w:ascii="方正仿宋简体" w:hAnsi="创艺简仿宋" w:eastAsia="方正仿宋简体"/>
      <w:sz w:val="24"/>
    </w:rPr>
  </w:style>
  <w:style w:type="paragraph" w:styleId="11">
    <w:name w:val="Plain Text"/>
    <w:basedOn w:val="1"/>
    <w:link w:val="40"/>
    <w:qFormat/>
    <w:uiPriority w:val="0"/>
    <w:pPr>
      <w:autoSpaceDE/>
      <w:autoSpaceDN/>
      <w:adjustRightInd/>
      <w:jc w:val="both"/>
    </w:pPr>
    <w:rPr>
      <w:rFonts w:hint="default" w:hAnsi="Courier New" w:cs="Calibri"/>
      <w:kern w:val="2"/>
      <w:sz w:val="21"/>
      <w:szCs w:val="20"/>
    </w:rPr>
  </w:style>
  <w:style w:type="paragraph" w:styleId="12">
    <w:name w:val="Balloon Text"/>
    <w:basedOn w:val="1"/>
    <w:link w:val="33"/>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pPr>
    <w:rPr>
      <w:sz w:val="18"/>
      <w:szCs w:val="18"/>
    </w:rPr>
  </w:style>
  <w:style w:type="paragraph" w:styleId="14">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Body Text First Indent"/>
    <w:basedOn w:val="8"/>
    <w:qFormat/>
    <w:uiPriority w:val="0"/>
    <w:pPr>
      <w:tabs>
        <w:tab w:val="left" w:pos="630"/>
      </w:tabs>
      <w:spacing w:after="120"/>
      <w:ind w:firstLine="100" w:firstLineChars="100"/>
      <w:jc w:val="both"/>
      <w:textAlignment w:val="auto"/>
    </w:pPr>
    <w:rPr>
      <w:rFonts w:ascii="Times New Roman"/>
      <w:sz w:val="21"/>
      <w:szCs w:val="24"/>
    </w:rPr>
  </w:style>
  <w:style w:type="paragraph" w:styleId="16">
    <w:name w:val="Body Text First Indent 2"/>
    <w:basedOn w:val="10"/>
    <w:unhideWhenUsed/>
    <w:qFormat/>
    <w:uiPriority w:val="99"/>
    <w:pPr>
      <w:ind w:firstLine="420" w:firstLineChars="200"/>
    </w:p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
    <w:name w:val="正文 首行缩进:  2 字符"/>
    <w:basedOn w:val="1"/>
    <w:unhideWhenUsed/>
    <w:qFormat/>
    <w:uiPriority w:val="0"/>
    <w:pPr>
      <w:ind w:firstLine="579" w:firstLineChars="200"/>
    </w:pPr>
    <w:rPr>
      <w:rFonts w:cs="宋体"/>
      <w:sz w:val="28"/>
      <w:szCs w:val="20"/>
    </w:rPr>
  </w:style>
  <w:style w:type="paragraph" w:customStyle="1" w:styleId="21">
    <w:name w:val="Table Paragraph"/>
    <w:basedOn w:val="1"/>
    <w:unhideWhenUsed/>
    <w:qFormat/>
    <w:uiPriority w:val="1"/>
  </w:style>
  <w:style w:type="paragraph" w:customStyle="1" w:styleId="22">
    <w:name w:val="Heading1"/>
    <w:basedOn w:val="1"/>
    <w:next w:val="1"/>
    <w:unhideWhenUsed/>
    <w:qFormat/>
    <w:uiPriority w:val="0"/>
    <w:pPr>
      <w:keepNext/>
      <w:keepLines/>
      <w:spacing w:before="240" w:after="120" w:line="300" w:lineRule="auto"/>
      <w:jc w:val="center"/>
      <w:textAlignment w:val="baseline"/>
    </w:pPr>
    <w:rPr>
      <w:b/>
      <w:kern w:val="44"/>
      <w:sz w:val="32"/>
      <w:szCs w:val="20"/>
    </w:rPr>
  </w:style>
  <w:style w:type="paragraph" w:styleId="23">
    <w:name w:val="List Paragraph"/>
    <w:basedOn w:val="1"/>
    <w:unhideWhenUsed/>
    <w:qFormat/>
    <w:uiPriority w:val="1"/>
  </w:style>
  <w:style w:type="character" w:customStyle="1" w:styleId="24">
    <w:name w:val="页脚 Char"/>
    <w:basedOn w:val="19"/>
    <w:link w:val="13"/>
    <w:unhideWhenUsed/>
    <w:qFormat/>
    <w:locked/>
    <w:uiPriority w:val="99"/>
    <w:rPr>
      <w:rFonts w:hint="eastAsia" w:ascii="Times New Roman" w:hAnsi="Times New Roman" w:eastAsia="Times New Roman" w:cs="Times New Roman"/>
      <w:sz w:val="18"/>
      <w:szCs w:val="18"/>
    </w:rPr>
  </w:style>
  <w:style w:type="character" w:customStyle="1" w:styleId="25">
    <w:name w:val="页脚 Char13"/>
    <w:basedOn w:val="19"/>
    <w:unhideWhenUsed/>
    <w:qFormat/>
    <w:uiPriority w:val="99"/>
    <w:rPr>
      <w:rFonts w:hint="eastAsia" w:ascii="Times New Roman" w:hAnsi="Times New Roman" w:eastAsia="Times New Roman" w:cs="Times New Roman"/>
      <w:sz w:val="18"/>
      <w:szCs w:val="18"/>
    </w:rPr>
  </w:style>
  <w:style w:type="character" w:customStyle="1" w:styleId="26">
    <w:name w:val="页脚 Char12"/>
    <w:basedOn w:val="19"/>
    <w:unhideWhenUsed/>
    <w:qFormat/>
    <w:uiPriority w:val="99"/>
    <w:rPr>
      <w:rFonts w:hint="eastAsia" w:ascii="Times New Roman" w:hAnsi="Times New Roman" w:eastAsia="Times New Roman" w:cs="Times New Roman"/>
      <w:sz w:val="18"/>
      <w:szCs w:val="18"/>
    </w:rPr>
  </w:style>
  <w:style w:type="character" w:customStyle="1" w:styleId="27">
    <w:name w:val="标题 3 Char"/>
    <w:basedOn w:val="19"/>
    <w:link w:val="5"/>
    <w:unhideWhenUsed/>
    <w:qFormat/>
    <w:locked/>
    <w:uiPriority w:val="9"/>
    <w:rPr>
      <w:rFonts w:hint="eastAsia" w:ascii="Times New Roman" w:hAnsi="Times New Roman" w:eastAsia="Times New Roman" w:cs="Times New Roman"/>
      <w:b/>
      <w:sz w:val="32"/>
      <w:szCs w:val="32"/>
    </w:rPr>
  </w:style>
  <w:style w:type="character" w:customStyle="1" w:styleId="28">
    <w:name w:val="页脚 字符3"/>
    <w:basedOn w:val="19"/>
    <w:unhideWhenUsed/>
    <w:qFormat/>
    <w:uiPriority w:val="99"/>
    <w:rPr>
      <w:rFonts w:hint="eastAsia" w:ascii="Times New Roman" w:hAnsi="Times New Roman" w:eastAsia="Times New Roman" w:cs="Times New Roman"/>
      <w:sz w:val="18"/>
      <w:szCs w:val="18"/>
    </w:rPr>
  </w:style>
  <w:style w:type="character" w:customStyle="1" w:styleId="29">
    <w:name w:val="页脚 Char1"/>
    <w:basedOn w:val="19"/>
    <w:unhideWhenUsed/>
    <w:qFormat/>
    <w:uiPriority w:val="99"/>
    <w:rPr>
      <w:rFonts w:hint="eastAsia" w:ascii="Times New Roman" w:hAnsi="Times New Roman" w:eastAsia="Times New Roman" w:cs="Times New Roman"/>
      <w:sz w:val="18"/>
      <w:szCs w:val="18"/>
    </w:rPr>
  </w:style>
  <w:style w:type="character" w:customStyle="1" w:styleId="30">
    <w:name w:val="页脚 Char11"/>
    <w:basedOn w:val="19"/>
    <w:unhideWhenUsed/>
    <w:qFormat/>
    <w:uiPriority w:val="99"/>
    <w:rPr>
      <w:rFonts w:hint="eastAsia" w:ascii="Times New Roman" w:hAnsi="Times New Roman" w:eastAsia="Times New Roman" w:cs="Times New Roman"/>
      <w:sz w:val="18"/>
      <w:szCs w:val="18"/>
    </w:rPr>
  </w:style>
  <w:style w:type="character" w:customStyle="1" w:styleId="31">
    <w:name w:val="标题 2 Char"/>
    <w:basedOn w:val="19"/>
    <w:link w:val="3"/>
    <w:unhideWhenUsed/>
    <w:qFormat/>
    <w:locked/>
    <w:uiPriority w:val="9"/>
    <w:rPr>
      <w:rFonts w:hint="eastAsia" w:ascii="宋体" w:hAnsi="Cambria" w:eastAsia="宋体" w:cs="Times New Roman"/>
      <w:b/>
      <w:sz w:val="32"/>
      <w:szCs w:val="32"/>
    </w:rPr>
  </w:style>
  <w:style w:type="character" w:customStyle="1" w:styleId="32">
    <w:name w:val="标题 4 Char"/>
    <w:basedOn w:val="19"/>
    <w:link w:val="6"/>
    <w:unhideWhenUsed/>
    <w:qFormat/>
    <w:locked/>
    <w:uiPriority w:val="9"/>
    <w:rPr>
      <w:rFonts w:hint="eastAsia" w:ascii="宋体" w:hAnsi="Cambria" w:eastAsia="宋体" w:cs="Times New Roman"/>
      <w:b/>
      <w:sz w:val="28"/>
      <w:szCs w:val="28"/>
    </w:rPr>
  </w:style>
  <w:style w:type="character" w:customStyle="1" w:styleId="33">
    <w:name w:val="批注框文本 Char"/>
    <w:basedOn w:val="19"/>
    <w:link w:val="12"/>
    <w:unhideWhenUsed/>
    <w:qFormat/>
    <w:locked/>
    <w:uiPriority w:val="99"/>
    <w:rPr>
      <w:rFonts w:hint="eastAsia" w:ascii="Times New Roman" w:hAnsi="Times New Roman" w:eastAsia="Times New Roman" w:cs="Times New Roman"/>
      <w:sz w:val="18"/>
      <w:szCs w:val="18"/>
    </w:rPr>
  </w:style>
  <w:style w:type="character" w:customStyle="1" w:styleId="34">
    <w:name w:val="页脚 字符"/>
    <w:basedOn w:val="19"/>
    <w:unhideWhenUsed/>
    <w:qFormat/>
    <w:uiPriority w:val="99"/>
    <w:rPr>
      <w:rFonts w:hint="eastAsia" w:ascii="Times New Roman" w:hAnsi="Times New Roman" w:eastAsia="Times New Roman" w:cs="Times New Roman"/>
      <w:sz w:val="18"/>
      <w:szCs w:val="18"/>
    </w:rPr>
  </w:style>
  <w:style w:type="character" w:customStyle="1" w:styleId="35">
    <w:name w:val="正文文本 Char"/>
    <w:basedOn w:val="19"/>
    <w:link w:val="8"/>
    <w:unhideWhenUsed/>
    <w:qFormat/>
    <w:locked/>
    <w:uiPriority w:val="99"/>
    <w:rPr>
      <w:rFonts w:hint="eastAsia" w:ascii="Times New Roman" w:hAnsi="Times New Roman" w:eastAsia="Times New Roman" w:cs="Times New Roman"/>
      <w:sz w:val="24"/>
      <w:szCs w:val="24"/>
    </w:rPr>
  </w:style>
  <w:style w:type="character" w:customStyle="1" w:styleId="36">
    <w:name w:val="标题 1 Char"/>
    <w:basedOn w:val="19"/>
    <w:link w:val="2"/>
    <w:unhideWhenUsed/>
    <w:qFormat/>
    <w:locked/>
    <w:uiPriority w:val="9"/>
    <w:rPr>
      <w:rFonts w:hint="eastAsia" w:ascii="Times New Roman" w:hAnsi="Times New Roman" w:eastAsia="Times New Roman" w:cs="Times New Roman"/>
      <w:b/>
      <w:kern w:val="44"/>
      <w:sz w:val="44"/>
      <w:szCs w:val="44"/>
    </w:rPr>
  </w:style>
  <w:style w:type="character" w:customStyle="1" w:styleId="37">
    <w:name w:val="标题 5 Char"/>
    <w:basedOn w:val="19"/>
    <w:link w:val="7"/>
    <w:unhideWhenUsed/>
    <w:qFormat/>
    <w:locked/>
    <w:uiPriority w:val="9"/>
    <w:rPr>
      <w:rFonts w:hint="eastAsia" w:ascii="Times New Roman" w:hAnsi="Times New Roman" w:eastAsia="Times New Roman" w:cs="Times New Roman"/>
      <w:b/>
      <w:sz w:val="28"/>
      <w:szCs w:val="28"/>
    </w:rPr>
  </w:style>
  <w:style w:type="character" w:customStyle="1" w:styleId="38">
    <w:name w:val="页眉 Char"/>
    <w:basedOn w:val="19"/>
    <w:link w:val="14"/>
    <w:unhideWhenUsed/>
    <w:qFormat/>
    <w:locked/>
    <w:uiPriority w:val="99"/>
    <w:rPr>
      <w:rFonts w:hint="eastAsia" w:ascii="Times New Roman" w:hAnsi="Times New Roman" w:eastAsia="Times New Roman" w:cs="Times New Roman"/>
      <w:sz w:val="18"/>
      <w:szCs w:val="18"/>
    </w:rPr>
  </w:style>
  <w:style w:type="character" w:customStyle="1" w:styleId="39">
    <w:name w:val="页脚 字符2"/>
    <w:basedOn w:val="19"/>
    <w:unhideWhenUsed/>
    <w:qFormat/>
    <w:uiPriority w:val="99"/>
    <w:rPr>
      <w:rFonts w:hint="eastAsia" w:ascii="Times New Roman" w:hAnsi="Times New Roman" w:eastAsia="Times New Roman" w:cs="Times New Roman"/>
      <w:sz w:val="18"/>
      <w:szCs w:val="18"/>
    </w:rPr>
  </w:style>
  <w:style w:type="character" w:customStyle="1" w:styleId="40">
    <w:name w:val="纯文本 Char"/>
    <w:basedOn w:val="19"/>
    <w:link w:val="11"/>
    <w:qFormat/>
    <w:uiPriority w:val="0"/>
    <w:rPr>
      <w:rFonts w:ascii="宋体" w:hAnsi="Courier New" w:cs="Calibri"/>
      <w:kern w:val="2"/>
      <w:sz w:val="21"/>
    </w:rPr>
  </w:style>
  <w:style w:type="paragraph" w:customStyle="1" w:styleId="41">
    <w:name w:val="正文文本1"/>
    <w:basedOn w:val="1"/>
    <w:qFormat/>
    <w:uiPriority w:val="0"/>
    <w:pPr>
      <w:spacing w:before="36" w:beforeAutospacing="0" w:afterAutospacing="0"/>
      <w:ind w:left="120"/>
    </w:pPr>
  </w:style>
  <w:style w:type="paragraph" w:customStyle="1" w:styleId="42">
    <w:name w:val="正文缩进1"/>
    <w:basedOn w:val="1"/>
    <w:qFormat/>
    <w:uiPriority w:val="0"/>
    <w:pPr>
      <w:ind w:firstLine="420"/>
    </w:pPr>
    <w:rPr>
      <w:szCs w:val="20"/>
    </w:rPr>
  </w:style>
  <w:style w:type="paragraph" w:customStyle="1" w:styleId="43">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jpeg"/><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3E6D45-6F8E-45D2-8CBF-8712AE69EC0D}">
  <ds:schemaRefs/>
</ds:datastoreItem>
</file>

<file path=docProps/app.xml><?xml version="1.0" encoding="utf-8"?>
<Properties xmlns="http://schemas.openxmlformats.org/officeDocument/2006/extended-properties" xmlns:vt="http://schemas.openxmlformats.org/officeDocument/2006/docPropsVTypes">
  <Template>Normal.dotm</Template>
  <Pages>88</Pages>
  <Words>38431</Words>
  <Characters>41376</Characters>
  <Lines>71</Lines>
  <Paragraphs>90</Paragraphs>
  <TotalTime>64</TotalTime>
  <ScaleCrop>false</ScaleCrop>
  <LinksUpToDate>false</LinksUpToDate>
  <CharactersWithSpaces>43082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2022-08-19T06:56:00Z</dcterms:created>
  <dc:creator>DELL</dc:creator>
  <cp:lastModifiedBy>学伟。</cp:lastModifiedBy>
  <cp:lastPrinted>2023-03-28T02:50:00Z</cp:lastPrinted>
  <dcterms:modified xsi:type="dcterms:W3CDTF">2023-09-01T11:34:26Z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DC92DB0B7AAE41B5A37A2F3079F015B3</vt:lpwstr>
  </property>
</Properties>
</file>