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52"/>
          <w:szCs w:val="52"/>
          <w:highlight w:val="none"/>
          <w:lang w:val="en-US" w:eastAsia="zh-CN"/>
        </w:rPr>
      </w:pPr>
    </w:p>
    <w:p>
      <w:pPr>
        <w:pStyle w:val="24"/>
        <w:rPr>
          <w:rFonts w:hint="eastAsia" w:ascii="宋体" w:hAnsi="宋体" w:eastAsia="宋体" w:cs="宋体"/>
          <w:b/>
          <w:bCs/>
          <w:sz w:val="52"/>
          <w:szCs w:val="52"/>
          <w:highlight w:val="none"/>
          <w:lang w:val="en-US" w:eastAsia="zh-CN"/>
        </w:rPr>
      </w:pPr>
    </w:p>
    <w:p>
      <w:pPr>
        <w:rPr>
          <w:rFonts w:hint="eastAsia" w:ascii="宋体" w:hAnsi="宋体" w:eastAsia="宋体" w:cs="宋体"/>
          <w:highlight w:val="none"/>
          <w:lang w:val="en-US" w:eastAsia="zh-CN"/>
        </w:rPr>
      </w:pPr>
    </w:p>
    <w:p>
      <w:pPr>
        <w:jc w:val="center"/>
        <w:outlineLvl w:val="0"/>
        <w:rPr>
          <w:rFonts w:hint="eastAsia" w:ascii="宋体" w:hAnsi="宋体" w:eastAsia="宋体" w:cs="宋体"/>
          <w:sz w:val="16"/>
          <w:szCs w:val="20"/>
          <w:highlight w:val="none"/>
          <w:lang w:val="en-US"/>
        </w:rPr>
      </w:pPr>
      <w:r>
        <w:rPr>
          <w:rFonts w:hint="eastAsia" w:ascii="宋体" w:hAnsi="宋体" w:eastAsia="宋体" w:cs="宋体"/>
          <w:b/>
          <w:bCs/>
          <w:sz w:val="60"/>
          <w:szCs w:val="60"/>
          <w:highlight w:val="none"/>
        </w:rPr>
        <w:t>政府采购项目</w:t>
      </w:r>
    </w:p>
    <w:p>
      <w:pPr>
        <w:jc w:val="center"/>
        <w:rPr>
          <w:rFonts w:hint="eastAsia" w:ascii="宋体" w:hAnsi="宋体" w:eastAsia="宋体" w:cs="宋体"/>
          <w:sz w:val="28"/>
          <w:szCs w:val="28"/>
          <w:highlight w:val="none"/>
        </w:rPr>
      </w:pPr>
      <w:r>
        <w:rPr>
          <w:rFonts w:hint="eastAsia" w:ascii="宋体" w:hAnsi="宋体" w:eastAsia="宋体" w:cs="宋体"/>
          <w:b/>
          <w:bCs/>
          <w:sz w:val="60"/>
          <w:szCs w:val="60"/>
          <w:highlight w:val="none"/>
        </w:rPr>
        <w:t>公开招标文件</w:t>
      </w:r>
    </w:p>
    <w:p>
      <w:pPr>
        <w:pStyle w:val="90"/>
        <w:rPr>
          <w:rFonts w:hint="eastAsia" w:ascii="宋体" w:hAnsi="宋体" w:eastAsia="宋体" w:cs="宋体"/>
          <w:sz w:val="28"/>
          <w:szCs w:val="28"/>
          <w:highlight w:val="none"/>
        </w:rPr>
      </w:pPr>
    </w:p>
    <w:p>
      <w:pPr>
        <w:pStyle w:val="6"/>
        <w:rPr>
          <w:rFonts w:hint="eastAsia" w:ascii="宋体" w:hAnsi="宋体" w:eastAsia="宋体" w:cs="宋体"/>
          <w:highlight w:val="none"/>
        </w:rPr>
      </w:pPr>
    </w:p>
    <w:p>
      <w:pPr>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pStyle w:val="90"/>
        <w:rPr>
          <w:rFonts w:hint="eastAsia" w:ascii="宋体" w:hAnsi="宋体" w:eastAsia="宋体" w:cs="宋体"/>
          <w:highlight w:val="none"/>
          <w:lang w:val="zh-CN"/>
        </w:rPr>
      </w:pPr>
    </w:p>
    <w:p>
      <w:pPr>
        <w:ind w:left="0" w:leftChars="0" w:firstLine="0" w:firstLineChars="0"/>
        <w:rPr>
          <w:rFonts w:hint="eastAsia" w:ascii="宋体" w:hAnsi="宋体" w:eastAsia="宋体" w:cs="宋体"/>
          <w:highlight w:val="none"/>
          <w:lang w:val="zh-CN"/>
        </w:rPr>
      </w:pP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u w:val="single"/>
          <w:lang w:eastAsia="zh-CN"/>
        </w:rPr>
      </w:pPr>
      <w:r>
        <w:rPr>
          <w:rFonts w:hint="eastAsia" w:ascii="宋体" w:hAnsi="宋体" w:eastAsia="宋体" w:cs="宋体"/>
          <w:bCs/>
          <w:sz w:val="36"/>
          <w:szCs w:val="36"/>
          <w:highlight w:val="none"/>
        </w:rPr>
        <w:t>项目名称：</w:t>
      </w:r>
      <w:r>
        <w:rPr>
          <w:rFonts w:hint="eastAsia" w:ascii="宋体" w:hAnsi="宋体" w:cs="宋体"/>
          <w:bCs/>
          <w:sz w:val="36"/>
          <w:szCs w:val="36"/>
          <w:highlight w:val="none"/>
          <w:u w:val="single"/>
          <w:lang w:eastAsia="zh-CN"/>
        </w:rPr>
        <w:t>2023年现代职业教育质量提升计划建设数字信息化校园建设项目（二次）</w:t>
      </w:r>
    </w:p>
    <w:p>
      <w:pPr>
        <w:tabs>
          <w:tab w:val="left" w:pos="3240"/>
          <w:tab w:val="left" w:pos="3420"/>
        </w:tabs>
        <w:spacing w:line="360" w:lineRule="auto"/>
        <w:ind w:left="2832" w:leftChars="444" w:hanging="1900" w:hangingChars="528"/>
        <w:jc w:val="left"/>
        <w:rPr>
          <w:rFonts w:hint="default" w:ascii="宋体" w:hAnsi="宋体" w:eastAsia="宋体" w:cs="宋体"/>
          <w:bCs/>
          <w:color w:val="000000" w:themeColor="text1"/>
          <w:sz w:val="36"/>
          <w:szCs w:val="36"/>
          <w:highlight w:val="none"/>
          <w:u w:val="single"/>
          <w:lang w:val="en-US" w:eastAsia="zh-CN"/>
          <w14:textFill>
            <w14:solidFill>
              <w14:schemeClr w14:val="tx1"/>
            </w14:solidFill>
          </w14:textFill>
        </w:rPr>
      </w:pPr>
      <w:r>
        <w:rPr>
          <w:rFonts w:hint="eastAsia" w:ascii="宋体" w:hAnsi="宋体" w:eastAsia="宋体" w:cs="宋体"/>
          <w:bCs/>
          <w:sz w:val="36"/>
          <w:szCs w:val="36"/>
          <w:highlight w:val="none"/>
        </w:rPr>
        <w:t>项目编号/包号</w:t>
      </w:r>
      <w:r>
        <w:rPr>
          <w:rFonts w:hint="eastAsia" w:ascii="宋体" w:hAnsi="宋体" w:eastAsia="宋体" w:cs="宋体"/>
          <w:bCs/>
          <w:color w:val="000000" w:themeColor="text1"/>
          <w:sz w:val="36"/>
          <w:szCs w:val="36"/>
          <w:highlight w:val="none"/>
          <w:u w:val="single"/>
          <w14:textFill>
            <w14:solidFill>
              <w14:schemeClr w14:val="tx1"/>
            </w14:solidFill>
          </w14:textFill>
        </w:rPr>
        <w:t>：</w:t>
      </w:r>
      <w:r>
        <w:rPr>
          <w:rFonts w:hint="eastAsia" w:ascii="宋体" w:hAnsi="宋体" w:cs="宋体"/>
          <w:bCs/>
          <w:color w:val="000000" w:themeColor="text1"/>
          <w:sz w:val="36"/>
          <w:szCs w:val="36"/>
          <w:highlight w:val="none"/>
          <w:u w:val="single"/>
          <w:lang w:eastAsia="zh-CN"/>
          <w14:textFill>
            <w14:solidFill>
              <w14:schemeClr w14:val="tx1"/>
            </w14:solidFill>
          </w14:textFill>
        </w:rPr>
        <w:t>HTXZFCG(2023FS)89号-0</w:t>
      </w:r>
      <w:r>
        <w:rPr>
          <w:rFonts w:hint="eastAsia" w:ascii="宋体" w:hAnsi="宋体" w:cs="宋体"/>
          <w:bCs/>
          <w:color w:val="000000" w:themeColor="text1"/>
          <w:sz w:val="36"/>
          <w:szCs w:val="36"/>
          <w:highlight w:val="none"/>
          <w:u w:val="single"/>
          <w:lang w:val="en-US" w:eastAsia="zh-CN"/>
          <w14:textFill>
            <w14:solidFill>
              <w14:schemeClr w14:val="tx1"/>
            </w14:solidFill>
          </w14:textFill>
        </w:rPr>
        <w:t>2</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采 购 人：</w:t>
      </w:r>
      <w:r>
        <w:rPr>
          <w:rFonts w:hint="eastAsia" w:ascii="宋体" w:hAnsi="宋体" w:cs="宋体"/>
          <w:bCs/>
          <w:sz w:val="36"/>
          <w:szCs w:val="36"/>
          <w:highlight w:val="none"/>
          <w:u w:val="single"/>
          <w:lang w:val="en-US" w:eastAsia="zh-CN"/>
        </w:rPr>
        <w:t>和田县职业技术学校</w:t>
      </w:r>
    </w:p>
    <w:p>
      <w:pPr>
        <w:tabs>
          <w:tab w:val="left" w:pos="3240"/>
          <w:tab w:val="left" w:pos="3420"/>
        </w:tabs>
        <w:spacing w:line="360" w:lineRule="auto"/>
        <w:ind w:left="2832" w:leftChars="444" w:hanging="1900" w:hangingChars="528"/>
        <w:jc w:val="left"/>
        <w:rPr>
          <w:rFonts w:hint="eastAsia" w:ascii="宋体" w:hAnsi="宋体" w:eastAsia="宋体" w:cs="宋体"/>
          <w:bCs/>
          <w:sz w:val="36"/>
          <w:szCs w:val="36"/>
          <w:highlight w:val="none"/>
        </w:rPr>
      </w:pPr>
      <w:r>
        <w:rPr>
          <w:rFonts w:hint="eastAsia" w:ascii="宋体" w:hAnsi="宋体" w:eastAsia="宋体" w:cs="宋体"/>
          <w:bCs/>
          <w:sz w:val="36"/>
          <w:szCs w:val="36"/>
          <w:highlight w:val="none"/>
        </w:rPr>
        <w:t>采购代理机构：</w:t>
      </w:r>
      <w:r>
        <w:rPr>
          <w:rFonts w:hint="eastAsia" w:ascii="宋体" w:hAnsi="宋体" w:cs="宋体"/>
          <w:bCs/>
          <w:sz w:val="36"/>
          <w:szCs w:val="36"/>
          <w:highlight w:val="none"/>
          <w:u w:val="single"/>
          <w:lang w:val="en-US" w:eastAsia="zh-CN"/>
        </w:rPr>
        <w:t>新疆晓君招标有限公司</w:t>
      </w:r>
      <w:r>
        <w:rPr>
          <w:rFonts w:hint="eastAsia" w:ascii="宋体" w:hAnsi="宋体" w:eastAsia="宋体" w:cs="宋体"/>
          <w:bCs/>
          <w:sz w:val="36"/>
          <w:szCs w:val="36"/>
          <w:highlight w:val="none"/>
        </w:rPr>
        <w:t xml:space="preserve"> </w:t>
      </w:r>
    </w:p>
    <w:p>
      <w:pPr>
        <w:autoSpaceDE w:val="0"/>
        <w:autoSpaceDN w:val="0"/>
        <w:jc w:val="center"/>
        <w:rPr>
          <w:rFonts w:hint="eastAsia" w:ascii="宋体" w:hAnsi="宋体" w:eastAsia="宋体" w:cs="宋体"/>
          <w:bCs/>
          <w:sz w:val="44"/>
          <w:szCs w:val="44"/>
          <w:highlight w:val="none"/>
          <w:lang w:val="zh-CN"/>
        </w:rPr>
      </w:pPr>
    </w:p>
    <w:p>
      <w:pPr>
        <w:shd w:val="clear" w:color="auto" w:fill="auto"/>
        <w:jc w:val="center"/>
        <w:rPr>
          <w:rFonts w:hint="eastAsia" w:ascii="宋体" w:hAnsi="宋体" w:eastAsia="宋体" w:cs="宋体"/>
          <w:b/>
          <w:bCs/>
          <w:color w:val="auto"/>
          <w:sz w:val="36"/>
          <w:szCs w:val="36"/>
          <w:highlight w:val="none"/>
        </w:rPr>
        <w:sectPr>
          <w:headerReference r:id="rId5" w:type="default"/>
          <w:footerReference r:id="rId6" w:type="default"/>
          <w:type w:val="continuous"/>
          <w:pgSz w:w="11905" w:h="16838"/>
          <w:pgMar w:top="1304" w:right="964" w:bottom="1020" w:left="1191" w:header="567" w:footer="454" w:gutter="0"/>
          <w:cols w:space="720" w:num="1"/>
          <w:rtlGutter w:val="0"/>
          <w:docGrid w:type="lines" w:linePitch="317" w:charSpace="0"/>
        </w:sectPr>
      </w:pP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lang w:val="en-US" w:eastAsia="zh-CN"/>
        </w:rPr>
        <w:t>9</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月</w:t>
      </w:r>
    </w:p>
    <w:p>
      <w:pPr>
        <w:autoSpaceDE w:val="0"/>
        <w:autoSpaceDN w:val="0"/>
        <w:ind w:left="0" w:leftChars="0" w:firstLine="0" w:firstLineChars="0"/>
        <w:jc w:val="both"/>
        <w:rPr>
          <w:rFonts w:hint="eastAsia" w:ascii="宋体" w:hAnsi="宋体" w:eastAsia="宋体" w:cs="宋体"/>
          <w:bCs/>
          <w:sz w:val="44"/>
          <w:szCs w:val="44"/>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autoSpaceDE w:val="0"/>
        <w:autoSpaceDN w:val="0"/>
        <w:adjustRightInd w:val="0"/>
        <w:ind w:left="4375" w:leftChars="150" w:hanging="4060" w:hangingChars="1450"/>
        <w:rPr>
          <w:rFonts w:hint="eastAsia" w:ascii="宋体" w:hAnsi="宋体" w:eastAsia="宋体" w:cs="宋体"/>
          <w:bCs/>
          <w:kern w:val="0"/>
          <w:sz w:val="28"/>
          <w:szCs w:val="28"/>
          <w:highlight w:val="none"/>
          <w:lang w:val="zh-CN"/>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招投标监督管理机构备案登记栏：</w:t>
      </w:r>
    </w:p>
    <w:tbl>
      <w:tblPr>
        <w:tblStyle w:val="7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rPr>
          <w:trHeight w:val="12661" w:hRule="atLeast"/>
          <w:jc w:val="center"/>
        </w:trPr>
        <w:tc>
          <w:tcPr>
            <w:tcW w:w="9106" w:type="dxa"/>
            <w:noWrap w:val="0"/>
            <w:vAlign w:val="top"/>
          </w:tcPr>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本招标文件已报备</w:t>
            </w: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spacing w:line="240" w:lineRule="auto"/>
              <w:rPr>
                <w:rFonts w:hint="eastAsia" w:ascii="宋体" w:hAnsi="宋体" w:eastAsia="宋体" w:cs="宋体"/>
                <w:b/>
                <w:bCs/>
                <w:color w:val="auto"/>
                <w:sz w:val="24"/>
                <w:highlight w:val="none"/>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宋体" w:hAnsi="宋体" w:eastAsia="宋体" w:cs="宋体"/>
                <w:bCs/>
                <w:color w:val="auto"/>
                <w:kern w:val="0"/>
                <w:sz w:val="24"/>
                <w:szCs w:val="24"/>
                <w:highlight w:val="none"/>
                <w:lang w:val="zh-CN" w:eastAsia="zh-CN" w:bidi="ar-SA"/>
              </w:rPr>
            </w:pPr>
          </w:p>
          <w:p>
            <w:pPr>
              <w:spacing w:line="240" w:lineRule="auto"/>
              <w:rPr>
                <w:rFonts w:hint="eastAsia" w:ascii="宋体" w:hAnsi="宋体" w:eastAsia="宋体" w:cs="宋体"/>
                <w:color w:val="auto"/>
                <w:sz w:val="24"/>
                <w:highlight w:val="none"/>
                <w:lang w:eastAsia="zh-CN"/>
              </w:rPr>
            </w:pPr>
            <w:r>
              <w:rPr>
                <w:rFonts w:hint="eastAsia" w:ascii="宋体" w:hAnsi="宋体" w:eastAsia="宋体" w:cs="宋体"/>
                <w:bCs/>
                <w:color w:val="auto"/>
                <w:kern w:val="0"/>
                <w:sz w:val="24"/>
                <w:szCs w:val="24"/>
                <w:highlight w:val="none"/>
                <w:lang w:val="zh-CN" w:eastAsia="zh-CN" w:bidi="ar-SA"/>
              </w:rPr>
              <w:t>项目名称：</w:t>
            </w:r>
            <w:r>
              <w:rPr>
                <w:rFonts w:hint="eastAsia" w:ascii="宋体" w:hAnsi="宋体" w:cs="宋体"/>
                <w:bCs/>
                <w:color w:val="auto"/>
                <w:kern w:val="0"/>
                <w:sz w:val="24"/>
                <w:szCs w:val="24"/>
                <w:highlight w:val="none"/>
                <w:lang w:val="zh-CN" w:eastAsia="zh-CN" w:bidi="ar-SA"/>
              </w:rPr>
              <w:t>2023年现代职业教育质量提升计划建设数字信息化校园建设项目（二次）</w:t>
            </w:r>
          </w:p>
          <w:p>
            <w:pPr>
              <w:spacing w:line="240" w:lineRule="auto"/>
              <w:rPr>
                <w:rFonts w:hint="eastAsia" w:ascii="宋体" w:hAnsi="宋体" w:eastAsia="宋体" w:cs="宋体"/>
                <w:b/>
                <w:bCs/>
                <w:color w:val="auto"/>
                <w:sz w:val="24"/>
                <w:highlight w:val="none"/>
              </w:rPr>
            </w:pPr>
          </w:p>
        </w:tc>
      </w:tr>
    </w:tbl>
    <w:p>
      <w:pPr>
        <w:spacing w:line="360" w:lineRule="auto"/>
        <w:jc w:val="right"/>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4"/>
          <w:highlight w:val="none"/>
          <w:lang w:val="en-US" w:eastAsia="zh-CN"/>
        </w:rPr>
        <w:t>和田县财政局</w:t>
      </w:r>
      <w:bookmarkStart w:id="0" w:name="_Toc17774"/>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ind w:left="0" w:firstLine="0" w:firstLineChars="0"/>
        <w:jc w:val="center"/>
        <w:outlineLvl w:val="0"/>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sz w:val="28"/>
          <w:szCs w:val="28"/>
          <w:highlight w:val="none"/>
        </w:rPr>
        <w:t>第一章</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招标公告</w:t>
      </w:r>
      <w:bookmarkEnd w:id="0"/>
      <w:r>
        <w:rPr>
          <w:rFonts w:hint="eastAsia" w:ascii="宋体" w:hAnsi="宋体" w:eastAsia="宋体" w:cs="宋体"/>
          <w:b/>
          <w:sz w:val="28"/>
          <w:szCs w:val="28"/>
          <w:highlight w:val="none"/>
          <w:lang w:val="en-US" w:eastAsia="zh-CN"/>
        </w:rPr>
        <w:t xml:space="preserve">  </w:t>
      </w:r>
      <w:r>
        <w:rPr>
          <w:rFonts w:hint="eastAsia" w:ascii="宋体" w:hAnsi="宋体" w:eastAsia="宋体" w:cs="宋体"/>
          <w:b w:val="0"/>
          <w:bCs w:val="0"/>
          <w:color w:val="auto"/>
          <w:sz w:val="18"/>
          <w:szCs w:val="18"/>
          <w:highlight w:val="none"/>
          <w:lang w:val="en-US" w:eastAsia="zh-CN"/>
        </w:rPr>
        <w:t xml:space="preserve">                                                             </w:t>
      </w:r>
    </w:p>
    <w:p>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highlight w:val="none"/>
        </w:rPr>
      </w:pPr>
      <w:r>
        <w:rPr>
          <w:rFonts w:hint="eastAsia" w:ascii="宋体" w:hAnsi="宋体" w:cs="宋体"/>
          <w:b/>
          <w:bCs/>
          <w:sz w:val="36"/>
          <w:szCs w:val="36"/>
          <w:highlight w:val="none"/>
          <w:lang w:val="en-US" w:eastAsia="zh-CN"/>
        </w:rPr>
        <w:t>2023年现代职业教育质量提升计划建设数字信息化校园建设项目（二次）</w:t>
      </w:r>
      <w:r>
        <w:rPr>
          <w:rFonts w:hint="eastAsia" w:ascii="宋体" w:hAnsi="宋体" w:eastAsia="宋体" w:cs="宋体"/>
          <w:b/>
          <w:bCs/>
          <w:sz w:val="36"/>
          <w:szCs w:val="36"/>
          <w:highlight w:val="none"/>
          <w:lang w:val="en-US" w:eastAsia="zh-CN"/>
        </w:rPr>
        <w:t>公开招标公告</w:t>
      </w:r>
    </w:p>
    <w:p>
      <w:pPr>
        <w:pBdr>
          <w:top w:val="single" w:color="auto" w:sz="4" w:space="0"/>
          <w:left w:val="single" w:color="auto" w:sz="4" w:space="4"/>
          <w:bottom w:val="single" w:color="auto" w:sz="4" w:space="1"/>
          <w:right w:val="single" w:color="auto" w:sz="4" w:space="4"/>
        </w:pBdr>
        <w:spacing w:line="240" w:lineRule="auto"/>
        <w:rPr>
          <w:rFonts w:hint="eastAsia" w:ascii="宋体" w:hAnsi="宋体" w:eastAsia="宋体" w:cs="宋体"/>
          <w:i w:val="0"/>
          <w:iCs w:val="0"/>
          <w:caps w:val="0"/>
          <w:color w:val="000000"/>
          <w:spacing w:val="0"/>
          <w:kern w:val="0"/>
          <w:sz w:val="24"/>
          <w:szCs w:val="24"/>
          <w:highlight w:val="none"/>
          <w:lang w:val="en-US" w:eastAsia="zh-CN" w:bidi="ar-SA"/>
        </w:rPr>
      </w:pPr>
      <w:bookmarkStart w:id="1" w:name="_Toc28359002"/>
      <w:bookmarkStart w:id="2" w:name="_Toc35393790"/>
      <w:bookmarkStart w:id="3" w:name="_Toc28359079"/>
      <w:bookmarkStart w:id="4" w:name="_Toc35393621"/>
      <w:bookmarkStart w:id="5" w:name="_Hlk24379207"/>
      <w:r>
        <w:rPr>
          <w:rFonts w:hint="eastAsia" w:ascii="宋体" w:hAnsi="宋体" w:eastAsia="宋体" w:cs="宋体"/>
          <w:i w:val="0"/>
          <w:iCs w:val="0"/>
          <w:caps w:val="0"/>
          <w:color w:val="000000"/>
          <w:spacing w:val="0"/>
          <w:kern w:val="0"/>
          <w:sz w:val="24"/>
          <w:szCs w:val="24"/>
          <w:highlight w:val="none"/>
          <w:lang w:val="en-US" w:eastAsia="zh-CN" w:bidi="ar-SA"/>
        </w:rPr>
        <w:t>项目概况</w:t>
      </w:r>
    </w:p>
    <w:p>
      <w:pPr>
        <w:pBdr>
          <w:top w:val="single" w:color="auto" w:sz="4" w:space="0"/>
          <w:left w:val="single" w:color="auto" w:sz="4" w:space="4"/>
          <w:bottom w:val="single" w:color="auto" w:sz="4" w:space="1"/>
          <w:right w:val="single" w:color="auto" w:sz="4" w:space="4"/>
        </w:pBdr>
        <w:spacing w:line="240" w:lineRule="auto"/>
        <w:ind w:firstLine="480"/>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 xml:space="preserve">  </w:t>
      </w:r>
      <w:r>
        <w:rPr>
          <w:rFonts w:hint="eastAsia" w:ascii="宋体" w:hAnsi="宋体" w:cs="宋体"/>
          <w:i w:val="0"/>
          <w:iCs w:val="0"/>
          <w:caps w:val="0"/>
          <w:color w:val="000000"/>
          <w:spacing w:val="0"/>
          <w:kern w:val="0"/>
          <w:sz w:val="24"/>
          <w:szCs w:val="24"/>
          <w:highlight w:val="none"/>
          <w:lang w:val="en-US" w:eastAsia="zh-CN" w:bidi="ar-SA"/>
        </w:rPr>
        <w:t>2023年现代职业教育质量提升计划建设数字信息化校园建设项目（二次）（</w:t>
      </w:r>
      <w:r>
        <w:rPr>
          <w:rFonts w:hint="eastAsia" w:ascii="宋体" w:hAnsi="宋体" w:eastAsia="宋体" w:cs="宋体"/>
          <w:i w:val="0"/>
          <w:iCs w:val="0"/>
          <w:caps w:val="0"/>
          <w:color w:val="000000"/>
          <w:spacing w:val="0"/>
          <w:kern w:val="0"/>
          <w:sz w:val="24"/>
          <w:szCs w:val="24"/>
          <w:highlight w:val="none"/>
          <w:lang w:val="en-US" w:eastAsia="zh-CN" w:bidi="ar-SA"/>
        </w:rPr>
        <w:t>的潜在投标人应登陆政采云平台https://www.zcygov.cn/在线申请获取采购文件（进入“项目采购”应用，在获取采购文件菜单中选择项目，申请获取采购文件），并于 2023  年</w:t>
      </w:r>
      <w:r>
        <w:rPr>
          <w:rFonts w:hint="eastAsia" w:ascii="宋体" w:hAnsi="宋体" w:cs="宋体"/>
          <w:i w:val="0"/>
          <w:iCs w:val="0"/>
          <w:caps w:val="0"/>
          <w:color w:val="000000"/>
          <w:spacing w:val="0"/>
          <w:kern w:val="0"/>
          <w:sz w:val="24"/>
          <w:szCs w:val="24"/>
          <w:highlight w:val="none"/>
          <w:lang w:val="en-US" w:eastAsia="zh-CN" w:bidi="ar-SA"/>
        </w:rPr>
        <w:t>10月17日</w:t>
      </w:r>
      <w:r>
        <w:rPr>
          <w:rFonts w:hint="eastAsia" w:ascii="宋体" w:hAnsi="宋体" w:eastAsia="宋体" w:cs="宋体"/>
          <w:i w:val="0"/>
          <w:iCs w:val="0"/>
          <w:caps w:val="0"/>
          <w:color w:val="000000"/>
          <w:spacing w:val="0"/>
          <w:kern w:val="0"/>
          <w:sz w:val="24"/>
          <w:szCs w:val="24"/>
          <w:highlight w:val="none"/>
          <w:lang w:val="en-US" w:eastAsia="zh-CN" w:bidi="ar-SA"/>
        </w:rPr>
        <w:t xml:space="preserve"> 11  点00分（北京时间）前递交投标文件。</w:t>
      </w:r>
    </w:p>
    <w:bookmarkEnd w:id="1"/>
    <w:bookmarkEnd w:id="2"/>
    <w:bookmarkEnd w:id="3"/>
    <w:bookmarkEnd w:id="4"/>
    <w:bookmarkEnd w:id="5"/>
    <w:p>
      <w:pPr>
        <w:pStyle w:val="8"/>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outlineLvl w:val="9"/>
        <w:rPr>
          <w:rFonts w:hint="eastAsia" w:ascii="宋体" w:hAnsi="宋体" w:eastAsia="宋体" w:cs="宋体"/>
          <w:b w:val="0"/>
          <w:bCs w:val="0"/>
          <w:i w:val="0"/>
          <w:iCs w:val="0"/>
          <w:kern w:val="2"/>
          <w:sz w:val="24"/>
          <w:szCs w:val="24"/>
          <w:highlight w:val="none"/>
          <w:lang w:val="en-US" w:eastAsia="zh-CN" w:bidi="ar-SA"/>
        </w:rPr>
      </w:pPr>
    </w:p>
    <w:p>
      <w:pPr>
        <w:pStyle w:val="8"/>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Style w:val="75"/>
          <w:rFonts w:hint="eastAsia" w:ascii="宋体" w:hAnsi="宋体" w:eastAsia="宋体" w:cs="宋体"/>
          <w:b/>
          <w:i w:val="0"/>
          <w:iCs w:val="0"/>
          <w:caps w:val="0"/>
          <w:color w:val="000000"/>
          <w:spacing w:val="0"/>
          <w:sz w:val="27"/>
          <w:szCs w:val="27"/>
          <w:highlight w:val="none"/>
        </w:rPr>
      </w:pPr>
      <w:bookmarkStart w:id="6" w:name="_Toc27595"/>
      <w:bookmarkStart w:id="7" w:name="_Toc30392"/>
      <w:bookmarkStart w:id="8" w:name="_Toc24430"/>
      <w:r>
        <w:rPr>
          <w:rFonts w:hint="eastAsia" w:ascii="宋体" w:hAnsi="宋体" w:eastAsia="宋体" w:cs="宋体"/>
          <w:b/>
          <w:bCs/>
          <w:i w:val="0"/>
          <w:iCs w:val="0"/>
          <w:caps w:val="0"/>
          <w:color w:val="000000"/>
          <w:spacing w:val="0"/>
          <w:kern w:val="0"/>
          <w:sz w:val="24"/>
          <w:szCs w:val="24"/>
          <w:highlight w:val="none"/>
          <w:lang w:val="en-US" w:eastAsia="zh-CN" w:bidi="ar"/>
        </w:rPr>
        <w:t>一、项目基本情况</w:t>
      </w:r>
      <w:bookmarkEnd w:id="6"/>
      <w:bookmarkEnd w:id="7"/>
      <w:bookmarkEnd w:id="8"/>
    </w:p>
    <w:p>
      <w:pPr>
        <w:pStyle w:val="69"/>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项目编号：</w:t>
      </w:r>
      <w:r>
        <w:rPr>
          <w:rFonts w:hint="eastAsia" w:cs="宋体"/>
          <w:i w:val="0"/>
          <w:iCs w:val="0"/>
          <w:caps w:val="0"/>
          <w:color w:val="000000"/>
          <w:spacing w:val="0"/>
          <w:sz w:val="24"/>
          <w:szCs w:val="24"/>
          <w:highlight w:val="none"/>
          <w:lang w:eastAsia="zh-CN"/>
        </w:rPr>
        <w:t>HTXZFCG(2023FS)89号-0</w:t>
      </w:r>
      <w:r>
        <w:rPr>
          <w:rFonts w:hint="eastAsia" w:cs="宋体"/>
          <w:i w:val="0"/>
          <w:iCs w:val="0"/>
          <w:caps w:val="0"/>
          <w:color w:val="000000"/>
          <w:spacing w:val="0"/>
          <w:sz w:val="24"/>
          <w:szCs w:val="24"/>
          <w:highlight w:val="none"/>
          <w:lang w:val="en-US" w:eastAsia="zh-CN"/>
        </w:rPr>
        <w:t>2</w:t>
      </w:r>
      <w:bookmarkStart w:id="466" w:name="_GoBack"/>
      <w:bookmarkEnd w:id="466"/>
    </w:p>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项目名称：</w:t>
      </w:r>
      <w:r>
        <w:rPr>
          <w:rFonts w:hint="eastAsia" w:cs="宋体"/>
          <w:i w:val="0"/>
          <w:iCs w:val="0"/>
          <w:caps w:val="0"/>
          <w:color w:val="000000"/>
          <w:spacing w:val="0"/>
          <w:kern w:val="0"/>
          <w:sz w:val="24"/>
          <w:szCs w:val="24"/>
          <w:highlight w:val="none"/>
          <w:lang w:val="en-US" w:eastAsia="zh-CN" w:bidi="ar-SA"/>
        </w:rPr>
        <w:t>2023年现代职业教育质量提升计划建设数字信息化校园建设项目（二次）</w:t>
      </w:r>
    </w:p>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rPr>
        <w:t>采购方式：</w:t>
      </w:r>
      <w:r>
        <w:rPr>
          <w:rFonts w:hint="eastAsia" w:ascii="宋体" w:hAnsi="宋体" w:eastAsia="宋体" w:cs="宋体"/>
          <w:i w:val="0"/>
          <w:iCs w:val="0"/>
          <w:caps w:val="0"/>
          <w:color w:val="000000"/>
          <w:spacing w:val="0"/>
          <w:sz w:val="24"/>
          <w:szCs w:val="24"/>
          <w:highlight w:val="none"/>
          <w:lang w:val="en-US" w:eastAsia="zh-CN"/>
        </w:rPr>
        <w:t>公开招标</w:t>
      </w:r>
    </w:p>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预算金额：</w:t>
      </w:r>
      <w:r>
        <w:rPr>
          <w:rFonts w:hint="eastAsia" w:cs="宋体"/>
          <w:i w:val="0"/>
          <w:iCs w:val="0"/>
          <w:caps w:val="0"/>
          <w:color w:val="000000"/>
          <w:spacing w:val="0"/>
          <w:sz w:val="24"/>
          <w:szCs w:val="24"/>
          <w:highlight w:val="none"/>
          <w:lang w:val="en-US" w:eastAsia="zh-CN"/>
        </w:rPr>
        <w:t>268</w:t>
      </w:r>
      <w:r>
        <w:rPr>
          <w:rFonts w:hint="eastAsia" w:ascii="宋体" w:hAnsi="宋体" w:eastAsia="宋体" w:cs="宋体"/>
          <w:i w:val="0"/>
          <w:iCs w:val="0"/>
          <w:caps w:val="0"/>
          <w:color w:val="000000"/>
          <w:spacing w:val="0"/>
          <w:sz w:val="24"/>
          <w:szCs w:val="24"/>
          <w:highlight w:val="none"/>
          <w:lang w:val="en-US" w:eastAsia="zh-CN"/>
        </w:rPr>
        <w:t>万元</w:t>
      </w:r>
    </w:p>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最高限价：241</w:t>
      </w:r>
      <w:r>
        <w:rPr>
          <w:rFonts w:hint="eastAsia" w:cs="宋体"/>
          <w:i w:val="0"/>
          <w:iCs w:val="0"/>
          <w:caps w:val="0"/>
          <w:color w:val="000000"/>
          <w:spacing w:val="0"/>
          <w:sz w:val="24"/>
          <w:szCs w:val="24"/>
          <w:highlight w:val="none"/>
          <w:lang w:val="en-US" w:eastAsia="zh-CN"/>
        </w:rPr>
        <w:t>.</w:t>
      </w:r>
      <w:r>
        <w:rPr>
          <w:rFonts w:hint="eastAsia" w:ascii="宋体" w:hAnsi="宋体" w:eastAsia="宋体" w:cs="宋体"/>
          <w:i w:val="0"/>
          <w:iCs w:val="0"/>
          <w:caps w:val="0"/>
          <w:color w:val="000000"/>
          <w:spacing w:val="0"/>
          <w:sz w:val="24"/>
          <w:szCs w:val="24"/>
          <w:highlight w:val="none"/>
        </w:rPr>
        <w:t>536645</w:t>
      </w:r>
      <w:r>
        <w:rPr>
          <w:rFonts w:hint="eastAsia" w:ascii="宋体" w:hAnsi="宋体" w:eastAsia="宋体" w:cs="宋体"/>
          <w:i w:val="0"/>
          <w:iCs w:val="0"/>
          <w:caps w:val="0"/>
          <w:color w:val="000000"/>
          <w:spacing w:val="0"/>
          <w:sz w:val="24"/>
          <w:szCs w:val="24"/>
          <w:highlight w:val="none"/>
          <w:lang w:val="en-US" w:eastAsia="zh-CN"/>
        </w:rPr>
        <w:t>万元</w:t>
      </w:r>
    </w:p>
    <w:p>
      <w:pPr>
        <w:pStyle w:val="69"/>
        <w:keepNext w:val="0"/>
        <w:keepLines w:val="0"/>
        <w:widowControl/>
        <w:suppressLineNumbers w:val="0"/>
        <w:spacing w:before="75" w:beforeAutospacing="0" w:after="75" w:afterAutospacing="0" w:line="240" w:lineRule="auto"/>
        <w:ind w:left="0" w:right="0" w:firstLine="0"/>
        <w:outlineLvl w:val="0"/>
        <w:rPr>
          <w:rFonts w:hint="eastAsia" w:ascii="宋体" w:hAnsi="宋体" w:eastAsia="宋体" w:cs="宋体"/>
          <w:i w:val="0"/>
          <w:iCs w:val="0"/>
          <w:caps w:val="0"/>
          <w:color w:val="000000"/>
          <w:spacing w:val="0"/>
          <w:sz w:val="24"/>
          <w:szCs w:val="24"/>
          <w:highlight w:val="none"/>
          <w:lang w:val="en-US" w:eastAsia="zh-CN"/>
        </w:rPr>
      </w:pPr>
      <w:bookmarkStart w:id="9" w:name="_Toc15068"/>
      <w:r>
        <w:rPr>
          <w:rFonts w:hint="eastAsia" w:ascii="宋体" w:hAnsi="宋体" w:eastAsia="宋体" w:cs="宋体"/>
          <w:i w:val="0"/>
          <w:iCs w:val="0"/>
          <w:caps w:val="0"/>
          <w:color w:val="000000"/>
          <w:spacing w:val="0"/>
          <w:sz w:val="24"/>
          <w:szCs w:val="24"/>
          <w:highlight w:val="none"/>
          <w:lang w:val="en-US" w:eastAsia="zh-CN"/>
        </w:rPr>
        <w:t>资金来源：</w:t>
      </w:r>
      <w:bookmarkEnd w:id="9"/>
      <w:r>
        <w:rPr>
          <w:rFonts w:hint="eastAsia" w:ascii="宋体" w:hAnsi="宋体" w:eastAsia="宋体" w:cs="宋体"/>
          <w:i w:val="0"/>
          <w:iCs w:val="0"/>
          <w:caps w:val="0"/>
          <w:color w:val="000000"/>
          <w:spacing w:val="0"/>
          <w:sz w:val="24"/>
          <w:szCs w:val="24"/>
          <w:highlight w:val="none"/>
          <w:lang w:val="en-US" w:eastAsia="zh-CN"/>
        </w:rPr>
        <w:t xml:space="preserve">财政资金       </w:t>
      </w:r>
    </w:p>
    <w:p>
      <w:pPr>
        <w:pStyle w:val="69"/>
        <w:keepNext w:val="0"/>
        <w:keepLines w:val="0"/>
        <w:widowControl/>
        <w:suppressLineNumbers w:val="0"/>
        <w:spacing w:before="75" w:beforeAutospacing="0" w:after="75" w:afterAutospacing="0" w:line="240" w:lineRule="auto"/>
        <w:ind w:left="0" w:right="0" w:firstLine="0"/>
        <w:rPr>
          <w:rFonts w:hint="eastAsia"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val="en-US" w:eastAsia="zh-CN"/>
        </w:rPr>
        <w:t>项目概况</w:t>
      </w:r>
      <w:r>
        <w:rPr>
          <w:rFonts w:hint="eastAsia" w:ascii="宋体" w:hAnsi="宋体" w:eastAsia="宋体" w:cs="宋体"/>
          <w:i w:val="0"/>
          <w:iCs w:val="0"/>
          <w:caps w:val="0"/>
          <w:color w:val="000000"/>
          <w:spacing w:val="0"/>
          <w:sz w:val="24"/>
          <w:szCs w:val="24"/>
          <w:highlight w:val="none"/>
        </w:rPr>
        <w:t>：</w:t>
      </w:r>
      <w:r>
        <w:rPr>
          <w:rFonts w:hint="eastAsia" w:cs="宋体"/>
          <w:i w:val="0"/>
          <w:iCs w:val="0"/>
          <w:caps w:val="0"/>
          <w:color w:val="000000"/>
          <w:spacing w:val="0"/>
          <w:sz w:val="24"/>
          <w:szCs w:val="24"/>
          <w:highlight w:val="none"/>
          <w:lang w:eastAsia="zh-CN"/>
        </w:rPr>
        <w:t>建</w:t>
      </w:r>
      <w:r>
        <w:rPr>
          <w:rFonts w:hint="eastAsia" w:cs="宋体"/>
          <w:i w:val="0"/>
          <w:iCs w:val="0"/>
          <w:caps w:val="0"/>
          <w:color w:val="000000"/>
          <w:spacing w:val="0"/>
          <w:sz w:val="24"/>
          <w:szCs w:val="24"/>
          <w:highlight w:val="none"/>
          <w:lang w:val="en-US" w:eastAsia="zh-CN"/>
        </w:rPr>
        <w:t>立</w:t>
      </w:r>
      <w:r>
        <w:rPr>
          <w:rFonts w:hint="eastAsia" w:cs="宋体"/>
          <w:i w:val="0"/>
          <w:iCs w:val="0"/>
          <w:caps w:val="0"/>
          <w:color w:val="000000"/>
          <w:spacing w:val="0"/>
          <w:sz w:val="24"/>
          <w:szCs w:val="24"/>
          <w:highlight w:val="none"/>
          <w:lang w:eastAsia="zh-CN"/>
        </w:rPr>
        <w:t>数字信息化校园</w:t>
      </w:r>
    </w:p>
    <w:p>
      <w:pPr>
        <w:pStyle w:val="69"/>
        <w:keepNext w:val="0"/>
        <w:keepLines w:val="0"/>
        <w:widowControl/>
        <w:suppressLineNumbers w:val="0"/>
        <w:spacing w:before="75" w:beforeAutospacing="0" w:after="75" w:afterAutospacing="0" w:line="240" w:lineRule="auto"/>
        <w:ind w:left="0" w:right="0" w:firstLine="0"/>
        <w:rPr>
          <w:rFonts w:hint="default" w:ascii="宋体" w:hAnsi="宋体" w:eastAsia="宋体" w:cs="宋体"/>
          <w:i w:val="0"/>
          <w:iCs w:val="0"/>
          <w:caps w:val="0"/>
          <w:color w:val="000000"/>
          <w:spacing w:val="0"/>
          <w:sz w:val="24"/>
          <w:szCs w:val="24"/>
          <w:highlight w:val="none"/>
          <w:lang w:val="en-US"/>
        </w:rPr>
      </w:pPr>
      <w:r>
        <w:rPr>
          <w:rFonts w:hint="eastAsia" w:ascii="宋体" w:hAnsi="宋体" w:eastAsia="宋体" w:cs="宋体"/>
          <w:i w:val="0"/>
          <w:iCs w:val="0"/>
          <w:caps w:val="0"/>
          <w:color w:val="000000"/>
          <w:spacing w:val="0"/>
          <w:sz w:val="24"/>
          <w:szCs w:val="24"/>
          <w:highlight w:val="none"/>
        </w:rPr>
        <w:t>合同履约期限：</w:t>
      </w:r>
      <w:r>
        <w:rPr>
          <w:rFonts w:hint="eastAsia" w:cs="宋体"/>
          <w:i w:val="0"/>
          <w:iCs w:val="0"/>
          <w:caps w:val="0"/>
          <w:color w:val="000000"/>
          <w:spacing w:val="0"/>
          <w:sz w:val="24"/>
          <w:szCs w:val="24"/>
          <w:highlight w:val="none"/>
          <w:lang w:val="en-US" w:eastAsia="zh-CN"/>
        </w:rPr>
        <w:t>30天</w:t>
      </w:r>
    </w:p>
    <w:p>
      <w:pPr>
        <w:pStyle w:val="8"/>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10" w:name="_Toc22990"/>
      <w:bookmarkStart w:id="11" w:name="_Toc11569"/>
      <w:bookmarkStart w:id="12" w:name="_Toc22510"/>
      <w:r>
        <w:rPr>
          <w:rFonts w:hint="eastAsia" w:ascii="宋体" w:hAnsi="宋体" w:eastAsia="宋体" w:cs="宋体"/>
          <w:b/>
          <w:bCs/>
          <w:i w:val="0"/>
          <w:iCs w:val="0"/>
          <w:caps w:val="0"/>
          <w:color w:val="000000"/>
          <w:spacing w:val="0"/>
          <w:kern w:val="0"/>
          <w:sz w:val="24"/>
          <w:szCs w:val="24"/>
          <w:highlight w:val="none"/>
          <w:lang w:val="en-US" w:eastAsia="zh-CN" w:bidi="ar"/>
        </w:rPr>
        <w:t xml:space="preserve">本项目（是/否）接受联合体投标：否    </w:t>
      </w:r>
    </w:p>
    <w:p>
      <w:pPr>
        <w:pStyle w:val="8"/>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二、申请人的资格要求：</w:t>
      </w:r>
      <w:bookmarkEnd w:id="10"/>
      <w:bookmarkEnd w:id="11"/>
      <w:bookmarkEnd w:id="12"/>
    </w:p>
    <w:p>
      <w:pPr>
        <w:pStyle w:val="69"/>
        <w:spacing w:line="200" w:lineRule="atLeast"/>
        <w:ind w:firstLine="420"/>
        <w:rPr>
          <w:rFonts w:hint="eastAsia" w:ascii="宋体" w:hAnsi="宋体" w:eastAsia="宋体" w:cs="宋体"/>
          <w:highlight w:val="none"/>
          <w:lang w:val="en-US" w:eastAsia="zh-CN" w:bidi="ar"/>
        </w:rPr>
      </w:pPr>
      <w:bookmarkStart w:id="13" w:name="_Toc23893"/>
      <w:r>
        <w:rPr>
          <w:rFonts w:hint="eastAsia" w:ascii="宋体" w:hAnsi="宋体" w:eastAsia="宋体" w:cs="宋体"/>
          <w:highlight w:val="none"/>
          <w:lang w:val="en-US" w:eastAsia="zh-CN" w:bidi="ar"/>
        </w:rPr>
        <w:t>1.满足《中华人民共和国政府采购法》第二十二条规定；</w:t>
      </w:r>
      <w:bookmarkEnd w:id="13"/>
    </w:p>
    <w:p>
      <w:pPr>
        <w:pStyle w:val="69"/>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2.落实政府采购政策需满足的资格要求：</w:t>
      </w:r>
    </w:p>
    <w:p>
      <w:pPr>
        <w:pStyle w:val="69"/>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2.1 中小企业政策</w:t>
      </w:r>
    </w:p>
    <w:p>
      <w:pPr>
        <w:pStyle w:val="69"/>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sym w:font="Wingdings 2" w:char="0052"/>
      </w:r>
      <w:r>
        <w:rPr>
          <w:rFonts w:hint="eastAsia" w:ascii="宋体" w:hAnsi="宋体" w:eastAsia="宋体" w:cs="宋体"/>
          <w:highlight w:val="none"/>
          <w:lang w:val="en-US" w:eastAsia="zh-CN" w:bidi="ar"/>
        </w:rPr>
        <w:t>本项目不专门面向中小企业预留采购份额。</w:t>
      </w:r>
    </w:p>
    <w:p>
      <w:pPr>
        <w:pStyle w:val="69"/>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 xml:space="preserve">□本项目专门面向  </w:t>
      </w:r>
      <w:r>
        <w:rPr>
          <w:rFonts w:hint="eastAsia" w:cs="宋体"/>
          <w:highlight w:val="none"/>
          <w:lang w:val="en-US" w:eastAsia="zh-CN" w:bidi="ar"/>
        </w:rPr>
        <w:t>□</w:t>
      </w:r>
      <w:r>
        <w:rPr>
          <w:rFonts w:hint="eastAsia" w:ascii="宋体" w:hAnsi="宋体" w:eastAsia="宋体" w:cs="宋体"/>
          <w:highlight w:val="none"/>
          <w:lang w:val="en-US" w:eastAsia="zh-CN" w:bidi="ar"/>
        </w:rPr>
        <w:t>中小 □小微企业  采购。即：提供的货物或服务全部由符合政策要求的中小/小微企业制造、服务全部由符合政策要求的中小/小微企业承接。</w:t>
      </w:r>
    </w:p>
    <w:p>
      <w:pPr>
        <w:pStyle w:val="69"/>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□本项目预留部分采购项目预算专门面向中小企业采购。对于预留份额，提供的货物由符合政策要求的中小企业制造、服务由符合政策要求的中小企业承接。预留份额通过以下措施进行：__________________。</w:t>
      </w:r>
    </w:p>
    <w:p>
      <w:pPr>
        <w:pStyle w:val="69"/>
        <w:spacing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2.2 落实的政府采购政策</w:t>
      </w:r>
    </w:p>
    <w:p>
      <w:pPr>
        <w:pStyle w:val="47"/>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 xml:space="preserve">（1）财政部、国家发展改革委、生态环境部、市场监管总局《关于调整优化节能产品、环境标志产品政府采购执行机制的通知》（财库[2019]9号文）；  </w:t>
      </w:r>
    </w:p>
    <w:p>
      <w:pPr>
        <w:pStyle w:val="47"/>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 xml:space="preserve">（2）财政部、生态环境部《关于印发环境标志产品政府采购品目清单的通知》（财库[2019]18号文）； </w:t>
      </w:r>
    </w:p>
    <w:p>
      <w:pPr>
        <w:pStyle w:val="47"/>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 xml:space="preserve">（3）财政部、发展改革委《关于印发节能产品政府采购品目清单的通知》（财库[2019]19号文）； </w:t>
      </w:r>
    </w:p>
    <w:p>
      <w:pPr>
        <w:pStyle w:val="47"/>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 xml:space="preserve">（4）市场监管总局《市场监管总局关于发布参与实施政府采购节能产品、环境标志产品认证机构名录的公告》（2019年第16号）；  </w:t>
      </w:r>
    </w:p>
    <w:p>
      <w:pPr>
        <w:pStyle w:val="47"/>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（5）财政部、工业和信息化部《关于印发《政府采购促进中小企业发展管理办法》的通知》（财库[2020]46号文）《关于进一步加大政府采购</w:t>
      </w:r>
      <w:r>
        <w:rPr>
          <w:rFonts w:hint="eastAsia" w:hAnsi="宋体" w:cs="宋体"/>
          <w:i w:val="0"/>
          <w:iCs w:val="0"/>
          <w:caps w:val="0"/>
          <w:color w:val="000000"/>
          <w:spacing w:val="0"/>
          <w:kern w:val="0"/>
          <w:sz w:val="24"/>
          <w:szCs w:val="24"/>
          <w:highlight w:val="none"/>
          <w:lang w:val="en-US" w:eastAsia="zh-CN" w:bidi="ar-SA"/>
        </w:rPr>
        <w:t>具有</w:t>
      </w:r>
      <w:r>
        <w:rPr>
          <w:rFonts w:hint="eastAsia" w:ascii="宋体" w:hAnsi="宋体" w:eastAsia="宋体" w:cs="宋体"/>
          <w:i w:val="0"/>
          <w:iCs w:val="0"/>
          <w:caps w:val="0"/>
          <w:color w:val="000000"/>
          <w:spacing w:val="0"/>
          <w:kern w:val="0"/>
          <w:sz w:val="24"/>
          <w:szCs w:val="24"/>
          <w:highlight w:val="none"/>
          <w:lang w:val="en-US" w:eastAsia="zh-CN" w:bidi="ar-SA"/>
        </w:rPr>
        <w:t xml:space="preserve">中小企业力度的通知》（财库[2022]19号文）执行； </w:t>
      </w:r>
    </w:p>
    <w:p>
      <w:pPr>
        <w:pStyle w:val="47"/>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 xml:space="preserve">（6）财政部、民政部、中国残疾人联合会《关于促进残疾人就业政府采购政策的通知》（财库[2017]141号）；  </w:t>
      </w:r>
    </w:p>
    <w:p>
      <w:pPr>
        <w:pStyle w:val="47"/>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（7）财政部、司法部《关于政府采购</w:t>
      </w:r>
      <w:r>
        <w:rPr>
          <w:rFonts w:hint="eastAsia" w:hAnsi="宋体" w:cs="宋体"/>
          <w:i w:val="0"/>
          <w:iCs w:val="0"/>
          <w:caps w:val="0"/>
          <w:color w:val="000000"/>
          <w:spacing w:val="0"/>
          <w:kern w:val="0"/>
          <w:sz w:val="24"/>
          <w:szCs w:val="24"/>
          <w:highlight w:val="none"/>
          <w:lang w:val="en-US" w:eastAsia="zh-CN" w:bidi="ar-SA"/>
        </w:rPr>
        <w:t>具有</w:t>
      </w:r>
      <w:r>
        <w:rPr>
          <w:rFonts w:hint="eastAsia" w:ascii="宋体" w:hAnsi="宋体" w:eastAsia="宋体" w:cs="宋体"/>
          <w:i w:val="0"/>
          <w:iCs w:val="0"/>
          <w:caps w:val="0"/>
          <w:color w:val="000000"/>
          <w:spacing w:val="0"/>
          <w:kern w:val="0"/>
          <w:sz w:val="24"/>
          <w:szCs w:val="24"/>
          <w:highlight w:val="none"/>
          <w:lang w:val="en-US" w:eastAsia="zh-CN" w:bidi="ar-SA"/>
        </w:rPr>
        <w:t xml:space="preserve">监狱企业发展有关问题的通知》（财库[2014]68号文）； </w:t>
      </w:r>
    </w:p>
    <w:p>
      <w:pPr>
        <w:pStyle w:val="47"/>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（8）财政部、生态环境部、国家邮政局《关于印发《商品包装政府采购需求标准（试行）》、 《快递包装政府采购需求标准（试行）》的通知》（财办库〔2020〕123号）。</w:t>
      </w:r>
    </w:p>
    <w:p>
      <w:pPr>
        <w:pStyle w:val="69"/>
        <w:keepNext w:val="0"/>
        <w:keepLines w:val="0"/>
        <w:widowControl/>
        <w:suppressLineNumbers w:val="0"/>
        <w:spacing w:before="75" w:beforeAutospacing="0" w:after="75" w:afterAutospacing="0" w:line="240" w:lineRule="auto"/>
        <w:ind w:left="0" w:right="0" w:firstLine="0"/>
        <w:jc w:val="left"/>
        <w:outlineLvl w:val="2"/>
        <w:rPr>
          <w:rFonts w:hint="eastAsia" w:ascii="宋体" w:hAnsi="宋体" w:eastAsia="宋体" w:cs="宋体"/>
          <w:i w:val="0"/>
          <w:iCs w:val="0"/>
          <w:caps w:val="0"/>
          <w:color w:val="000000"/>
          <w:spacing w:val="0"/>
          <w:sz w:val="24"/>
          <w:szCs w:val="24"/>
          <w:highlight w:val="none"/>
          <w:lang w:val="en-US" w:eastAsia="zh-CN"/>
        </w:rPr>
      </w:pPr>
      <w:bookmarkStart w:id="14" w:name="_Toc5294"/>
      <w:r>
        <w:rPr>
          <w:rFonts w:hint="eastAsia" w:ascii="宋体" w:hAnsi="宋体" w:eastAsia="宋体" w:cs="宋体"/>
          <w:i w:val="0"/>
          <w:iCs w:val="0"/>
          <w:caps w:val="0"/>
          <w:color w:val="000000"/>
          <w:spacing w:val="0"/>
          <w:sz w:val="24"/>
          <w:szCs w:val="24"/>
          <w:highlight w:val="none"/>
          <w:lang w:val="en-US" w:eastAsia="zh-CN"/>
        </w:rPr>
        <w:t>3.本项目的特定资格要求：</w:t>
      </w:r>
      <w:bookmarkEnd w:id="14"/>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bookmarkStart w:id="15" w:name="_Toc29122"/>
      <w:bookmarkStart w:id="16" w:name="_Toc4096"/>
      <w:bookmarkStart w:id="17" w:name="_Toc14519"/>
      <w:r>
        <w:rPr>
          <w:rFonts w:hint="eastAsia" w:ascii="宋体" w:hAnsi="宋体" w:eastAsia="宋体" w:cs="宋体"/>
          <w:i w:val="0"/>
          <w:iCs w:val="0"/>
          <w:caps w:val="0"/>
          <w:color w:val="000000"/>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4）履行合同所必需的设备和专业技术能力：提供《投标人资格声明函》；</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（8）投标保证金或电子保函：</w:t>
      </w:r>
      <w:r>
        <w:rPr>
          <w:rFonts w:hint="eastAsia" w:cs="宋体"/>
          <w:i w:val="0"/>
          <w:iCs w:val="0"/>
          <w:caps w:val="0"/>
          <w:color w:val="000000"/>
          <w:spacing w:val="0"/>
          <w:sz w:val="24"/>
          <w:szCs w:val="24"/>
          <w:highlight w:val="none"/>
          <w:lang w:val="en-US" w:eastAsia="zh-CN"/>
        </w:rPr>
        <w:t>268</w:t>
      </w:r>
      <w:r>
        <w:rPr>
          <w:rFonts w:hint="eastAsia" w:ascii="宋体" w:hAnsi="宋体" w:eastAsia="宋体" w:cs="宋体"/>
          <w:i w:val="0"/>
          <w:iCs w:val="0"/>
          <w:caps w:val="0"/>
          <w:color w:val="000000"/>
          <w:spacing w:val="0"/>
          <w:sz w:val="24"/>
          <w:szCs w:val="24"/>
          <w:highlight w:val="none"/>
          <w:lang w:val="en-US" w:eastAsia="zh-CN"/>
        </w:rPr>
        <w:t>00元整（大写：</w:t>
      </w:r>
      <w:r>
        <w:rPr>
          <w:rFonts w:hint="eastAsia" w:cs="宋体"/>
          <w:i w:val="0"/>
          <w:iCs w:val="0"/>
          <w:caps w:val="0"/>
          <w:color w:val="000000"/>
          <w:spacing w:val="0"/>
          <w:sz w:val="24"/>
          <w:szCs w:val="24"/>
          <w:highlight w:val="none"/>
          <w:lang w:val="en-US" w:eastAsia="zh-CN"/>
        </w:rPr>
        <w:t>贰万陆仟捌佰</w:t>
      </w:r>
      <w:r>
        <w:rPr>
          <w:rFonts w:hint="eastAsia" w:ascii="宋体" w:hAnsi="宋体" w:eastAsia="宋体" w:cs="宋体"/>
          <w:i w:val="0"/>
          <w:iCs w:val="0"/>
          <w:caps w:val="0"/>
          <w:color w:val="000000"/>
          <w:spacing w:val="0"/>
          <w:sz w:val="24"/>
          <w:szCs w:val="24"/>
          <w:highlight w:val="none"/>
          <w:lang w:val="en-US" w:eastAsia="zh-CN"/>
        </w:rPr>
        <w:t>元整）</w:t>
      </w:r>
    </w:p>
    <w:bookmarkEnd w:id="15"/>
    <w:bookmarkEnd w:id="16"/>
    <w:bookmarkEnd w:id="17"/>
    <w:p>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leftChars="200" w:right="0" w:rightChars="0"/>
        <w:textAlignment w:val="baseline"/>
        <w:rPr>
          <w:rFonts w:hint="eastAsia" w:ascii="宋体" w:hAnsi="宋体" w:eastAsia="宋体" w:cs="宋体"/>
          <w:b/>
          <w:bCs/>
          <w:color w:val="auto"/>
          <w:kern w:val="0"/>
          <w:sz w:val="24"/>
          <w:szCs w:val="24"/>
          <w:highlight w:val="none"/>
        </w:rPr>
      </w:pPr>
      <w:bookmarkStart w:id="18" w:name="_Toc20322"/>
      <w:bookmarkStart w:id="19" w:name="_Toc4398"/>
      <w:bookmarkStart w:id="20" w:name="_Toc4068"/>
      <w:r>
        <w:rPr>
          <w:rFonts w:hint="eastAsia" w:ascii="宋体" w:hAnsi="宋体" w:eastAsia="宋体" w:cs="宋体"/>
          <w:b/>
          <w:bCs/>
          <w:color w:val="auto"/>
          <w:kern w:val="0"/>
          <w:sz w:val="24"/>
          <w:szCs w:val="24"/>
          <w:highlight w:val="none"/>
        </w:rPr>
        <w:t>三、招标文件的</w:t>
      </w:r>
      <w:r>
        <w:rPr>
          <w:rFonts w:hint="eastAsia" w:ascii="宋体" w:hAnsi="宋体" w:cs="宋体"/>
          <w:b/>
          <w:bCs/>
          <w:color w:val="auto"/>
          <w:kern w:val="0"/>
          <w:sz w:val="24"/>
          <w:szCs w:val="24"/>
          <w:highlight w:val="none"/>
          <w:lang w:eastAsia="zh-CN"/>
        </w:rPr>
        <w:t>获取</w:t>
      </w:r>
      <w:r>
        <w:rPr>
          <w:rFonts w:hint="eastAsia" w:ascii="宋体" w:hAnsi="宋体" w:eastAsia="宋体" w:cs="宋体"/>
          <w:b/>
          <w:bCs/>
          <w:color w:val="auto"/>
          <w:kern w:val="0"/>
          <w:sz w:val="24"/>
          <w:szCs w:val="24"/>
          <w:highlight w:val="none"/>
        </w:rPr>
        <w:t>时间、地址、售价：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获取</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2023年09月27日</w:t>
      </w:r>
      <w:r>
        <w:rPr>
          <w:rFonts w:hint="eastAsia" w:ascii="宋体" w:hAnsi="宋体" w:eastAsia="宋体" w:cs="宋体"/>
          <w:color w:val="auto"/>
          <w:kern w:val="0"/>
          <w:sz w:val="24"/>
          <w:szCs w:val="24"/>
          <w:highlight w:val="none"/>
          <w:lang w:eastAsia="zh-CN"/>
        </w:rPr>
        <w:t>至</w:t>
      </w:r>
      <w:r>
        <w:rPr>
          <w:rFonts w:hint="eastAsia" w:ascii="宋体" w:hAnsi="宋体" w:cs="宋体"/>
          <w:color w:val="auto"/>
          <w:kern w:val="0"/>
          <w:sz w:val="24"/>
          <w:szCs w:val="24"/>
          <w:highlight w:val="none"/>
          <w:lang w:eastAsia="zh-CN"/>
        </w:rPr>
        <w:t>2023年10月10日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2、地点（网址）：</w:t>
      </w:r>
      <w:r>
        <w:rPr>
          <w:rFonts w:hint="eastAsia" w:ascii="宋体" w:hAnsi="宋体" w:eastAsia="宋体" w:cs="宋体"/>
          <w:kern w:val="0"/>
          <w:sz w:val="24"/>
          <w:szCs w:val="24"/>
        </w:rPr>
        <w:t>政采云平台（https://www.zcygov.cn/）线上获取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rPr>
        <w:t>3、方式：</w:t>
      </w:r>
      <w:r>
        <w:rPr>
          <w:rFonts w:hint="eastAsia" w:ascii="宋体" w:hAnsi="宋体" w:eastAsia="宋体" w:cs="宋体"/>
          <w:kern w:val="0"/>
          <w:sz w:val="24"/>
          <w:szCs w:val="24"/>
        </w:rPr>
        <w:t>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4、售价：0元</w:t>
      </w:r>
    </w:p>
    <w:p>
      <w:pPr>
        <w:pStyle w:val="8"/>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四、提交投标文件截止时间、开标时间和地点</w:t>
      </w:r>
      <w:bookmarkEnd w:id="18"/>
      <w:bookmarkEnd w:id="19"/>
      <w:bookmarkEnd w:id="20"/>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xml:space="preserve">提交投标文件截止时间： </w:t>
      </w:r>
      <w:r>
        <w:rPr>
          <w:rFonts w:hint="eastAsia" w:cs="宋体"/>
          <w:i w:val="0"/>
          <w:iCs w:val="0"/>
          <w:caps w:val="0"/>
          <w:color w:val="000000"/>
          <w:spacing w:val="0"/>
          <w:sz w:val="24"/>
          <w:szCs w:val="24"/>
          <w:highlight w:val="none"/>
          <w:lang w:val="en-US" w:eastAsia="zh-CN"/>
        </w:rPr>
        <w:t>2023年10月17日</w:t>
      </w:r>
      <w:r>
        <w:rPr>
          <w:rFonts w:hint="eastAsia" w:ascii="宋体" w:hAnsi="宋体" w:eastAsia="宋体" w:cs="宋体"/>
          <w:i w:val="0"/>
          <w:iCs w:val="0"/>
          <w:caps w:val="0"/>
          <w:color w:val="000000"/>
          <w:spacing w:val="0"/>
          <w:sz w:val="24"/>
          <w:szCs w:val="24"/>
          <w:highlight w:val="none"/>
          <w:lang w:val="en-US" w:eastAsia="zh-CN"/>
        </w:rPr>
        <w:t>11：00分（北京时间）</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xml:space="preserve">投标地点：投标人应于 </w:t>
      </w:r>
      <w:r>
        <w:rPr>
          <w:rFonts w:hint="eastAsia" w:cs="宋体"/>
          <w:i w:val="0"/>
          <w:iCs w:val="0"/>
          <w:caps w:val="0"/>
          <w:color w:val="000000"/>
          <w:spacing w:val="0"/>
          <w:sz w:val="24"/>
          <w:szCs w:val="24"/>
          <w:highlight w:val="none"/>
          <w:lang w:val="en-US" w:eastAsia="zh-CN"/>
        </w:rPr>
        <w:t>2023年10月17日</w:t>
      </w:r>
      <w:r>
        <w:rPr>
          <w:rFonts w:hint="eastAsia" w:ascii="宋体" w:hAnsi="宋体" w:eastAsia="宋体" w:cs="宋体"/>
          <w:i w:val="0"/>
          <w:iCs w:val="0"/>
          <w:caps w:val="0"/>
          <w:color w:val="000000"/>
          <w:spacing w:val="0"/>
          <w:sz w:val="24"/>
          <w:szCs w:val="24"/>
          <w:highlight w:val="none"/>
          <w:lang w:val="en-US" w:eastAsia="zh-CN"/>
        </w:rPr>
        <w:t>11：00分</w:t>
      </w:r>
      <w:r>
        <w:rPr>
          <w:rFonts w:hint="eastAsia" w:cs="宋体"/>
          <w:i w:val="0"/>
          <w:iCs w:val="0"/>
          <w:caps w:val="0"/>
          <w:color w:val="000000"/>
          <w:spacing w:val="0"/>
          <w:sz w:val="24"/>
          <w:szCs w:val="24"/>
          <w:highlight w:val="none"/>
          <w:lang w:val="en-US" w:eastAsia="zh-CN"/>
        </w:rPr>
        <w:t>（</w:t>
      </w:r>
      <w:r>
        <w:rPr>
          <w:rFonts w:hint="eastAsia" w:ascii="宋体" w:hAnsi="宋体" w:eastAsia="宋体" w:cs="宋体"/>
          <w:i w:val="0"/>
          <w:iCs w:val="0"/>
          <w:caps w:val="0"/>
          <w:color w:val="000000"/>
          <w:spacing w:val="0"/>
          <w:sz w:val="24"/>
          <w:szCs w:val="24"/>
          <w:highlight w:val="none"/>
          <w:lang w:val="en-US" w:eastAsia="zh-CN"/>
        </w:rPr>
        <w:t>北京时间）之前将电子投标文件上传到新疆政府采购平台。应按照本项目招标文件和新疆政府采购平台的要求编制、加密传输投标文件。</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xml:space="preserve">开标时间：  </w:t>
      </w:r>
      <w:r>
        <w:rPr>
          <w:rFonts w:hint="eastAsia" w:cs="宋体"/>
          <w:i w:val="0"/>
          <w:iCs w:val="0"/>
          <w:caps w:val="0"/>
          <w:color w:val="000000"/>
          <w:spacing w:val="0"/>
          <w:sz w:val="24"/>
          <w:szCs w:val="24"/>
          <w:highlight w:val="none"/>
          <w:lang w:val="en-US" w:eastAsia="zh-CN"/>
        </w:rPr>
        <w:t>2023年10月17日</w:t>
      </w:r>
      <w:r>
        <w:rPr>
          <w:rFonts w:hint="eastAsia" w:ascii="宋体" w:hAnsi="宋体" w:eastAsia="宋体" w:cs="宋体"/>
          <w:i w:val="0"/>
          <w:iCs w:val="0"/>
          <w:caps w:val="0"/>
          <w:color w:val="000000"/>
          <w:spacing w:val="0"/>
          <w:sz w:val="24"/>
          <w:szCs w:val="24"/>
          <w:highlight w:val="none"/>
          <w:lang w:val="en-US" w:eastAsia="zh-CN"/>
        </w:rPr>
        <w:t>11：00分（北京时间）</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开标地点：政采云平台不见面开标</w:t>
      </w:r>
    </w:p>
    <w:p>
      <w:pPr>
        <w:keepNext w:val="0"/>
        <w:keepLines w:val="0"/>
        <w:pageBreakBefore w:val="0"/>
        <w:widowControl w:val="0"/>
        <w:numPr>
          <w:ilvl w:val="0"/>
          <w:numId w:val="0"/>
        </w:numPr>
        <w:kinsoku/>
        <w:wordWrap/>
        <w:overflowPunct/>
        <w:topLinePunct/>
        <w:autoSpaceDE/>
        <w:autoSpaceDN/>
        <w:bidi w:val="0"/>
        <w:adjustRightInd w:val="0"/>
        <w:snapToGrid w:val="0"/>
        <w:spacing w:line="360" w:lineRule="auto"/>
        <w:ind w:right="0" w:rightChars="0"/>
        <w:textAlignment w:val="baseline"/>
        <w:rPr>
          <w:rFonts w:hint="eastAsia" w:ascii="宋体" w:hAnsi="宋体" w:eastAsia="宋体" w:cs="宋体"/>
          <w:sz w:val="24"/>
          <w:szCs w:val="24"/>
        </w:rPr>
      </w:pPr>
      <w:bookmarkStart w:id="21" w:name="_Toc19015"/>
      <w:bookmarkStart w:id="22" w:name="_Toc30941"/>
      <w:bookmarkStart w:id="23" w:name="_Toc9151"/>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投标保证金：</w:t>
      </w:r>
    </w:p>
    <w:tbl>
      <w:tblPr>
        <w:tblStyle w:val="7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9"/>
        <w:gridCol w:w="2230"/>
        <w:gridCol w:w="1476"/>
        <w:gridCol w:w="1352"/>
        <w:gridCol w:w="1354"/>
        <w:gridCol w:w="1200"/>
        <w:gridCol w:w="1937"/>
      </w:tblGrid>
      <w:tr>
        <w:trPr>
          <w:trHeight w:val="205" w:hRule="atLeast"/>
        </w:trPr>
        <w:tc>
          <w:tcPr>
            <w:tcW w:w="262" w:type="pct"/>
            <w:tcMar>
              <w:top w:w="72" w:type="dxa"/>
              <w:left w:w="132" w:type="dxa"/>
              <w:bottom w:w="72" w:type="dxa"/>
              <w:right w:w="132" w:type="dxa"/>
            </w:tcMar>
            <w:vAlign w:val="center"/>
          </w:tcPr>
          <w:p>
            <w:pPr>
              <w:pStyle w:val="6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6" w:type="pct"/>
            <w:tcMar>
              <w:top w:w="72" w:type="dxa"/>
              <w:left w:w="132" w:type="dxa"/>
              <w:bottom w:w="72" w:type="dxa"/>
              <w:right w:w="132" w:type="dxa"/>
            </w:tcMar>
            <w:vAlign w:val="center"/>
          </w:tcPr>
          <w:p>
            <w:pPr>
              <w:pStyle w:val="6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p>
        </w:tc>
        <w:tc>
          <w:tcPr>
            <w:tcW w:w="732" w:type="pct"/>
            <w:tcMar>
              <w:top w:w="72" w:type="dxa"/>
              <w:left w:w="132" w:type="dxa"/>
              <w:bottom w:w="72" w:type="dxa"/>
              <w:right w:w="132" w:type="dxa"/>
            </w:tcMar>
            <w:vAlign w:val="center"/>
          </w:tcPr>
          <w:p>
            <w:pPr>
              <w:pStyle w:val="6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投标保证金金额（元）</w:t>
            </w:r>
          </w:p>
        </w:tc>
        <w:tc>
          <w:tcPr>
            <w:tcW w:w="670" w:type="pct"/>
            <w:tcMar>
              <w:top w:w="72" w:type="dxa"/>
              <w:left w:w="132" w:type="dxa"/>
              <w:bottom w:w="72" w:type="dxa"/>
              <w:right w:w="132" w:type="dxa"/>
            </w:tcMar>
            <w:vAlign w:val="center"/>
          </w:tcPr>
          <w:p>
            <w:pPr>
              <w:pStyle w:val="6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671" w:type="pct"/>
            <w:tcMar>
              <w:top w:w="72" w:type="dxa"/>
              <w:left w:w="132" w:type="dxa"/>
              <w:bottom w:w="72" w:type="dxa"/>
              <w:right w:w="132" w:type="dxa"/>
            </w:tcMar>
            <w:vAlign w:val="center"/>
          </w:tcPr>
          <w:p>
            <w:pPr>
              <w:pStyle w:val="6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p>
        </w:tc>
        <w:tc>
          <w:tcPr>
            <w:tcW w:w="595" w:type="pct"/>
            <w:tcMar>
              <w:top w:w="72" w:type="dxa"/>
              <w:left w:w="132" w:type="dxa"/>
              <w:bottom w:w="72" w:type="dxa"/>
              <w:right w:w="132" w:type="dxa"/>
            </w:tcMar>
            <w:vAlign w:val="center"/>
          </w:tcPr>
          <w:p>
            <w:pPr>
              <w:pStyle w:val="6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交付方式</w:t>
            </w:r>
          </w:p>
        </w:tc>
        <w:tc>
          <w:tcPr>
            <w:tcW w:w="960" w:type="pct"/>
            <w:tcMar>
              <w:top w:w="72" w:type="dxa"/>
              <w:left w:w="132" w:type="dxa"/>
              <w:bottom w:w="72" w:type="dxa"/>
              <w:right w:w="132" w:type="dxa"/>
            </w:tcMar>
            <w:vAlign w:val="center"/>
          </w:tcPr>
          <w:p>
            <w:pPr>
              <w:pStyle w:val="6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户名</w:t>
            </w:r>
          </w:p>
        </w:tc>
      </w:tr>
      <w:tr>
        <w:trPr>
          <w:trHeight w:val="380" w:hRule="atLeast"/>
        </w:trPr>
        <w:tc>
          <w:tcPr>
            <w:tcW w:w="262" w:type="pct"/>
            <w:tcMar>
              <w:top w:w="72" w:type="dxa"/>
              <w:left w:w="132" w:type="dxa"/>
              <w:bottom w:w="72" w:type="dxa"/>
              <w:right w:w="132" w:type="dxa"/>
            </w:tcMar>
            <w:vAlign w:val="center"/>
          </w:tcPr>
          <w:p>
            <w:pPr>
              <w:pStyle w:val="6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6"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2023年现代职业教育质量提升计划建设数字信息化校园建设项目（二次）</w:t>
            </w:r>
          </w:p>
        </w:tc>
        <w:tc>
          <w:tcPr>
            <w:tcW w:w="732" w:type="pct"/>
            <w:tcMar>
              <w:top w:w="72" w:type="dxa"/>
              <w:left w:w="132" w:type="dxa"/>
              <w:bottom w:w="72" w:type="dxa"/>
              <w:right w:w="132" w:type="dxa"/>
            </w:tcMar>
            <w:vAlign w:val="center"/>
          </w:tcPr>
          <w:p>
            <w:pPr>
              <w:pStyle w:val="6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268</w:t>
            </w:r>
            <w:r>
              <w:rPr>
                <w:rFonts w:hint="eastAsia" w:ascii="宋体" w:hAnsi="宋体" w:eastAsia="宋体" w:cs="宋体"/>
                <w:color w:val="auto"/>
                <w:sz w:val="24"/>
                <w:szCs w:val="24"/>
                <w:highlight w:val="none"/>
              </w:rPr>
              <w:t>00</w:t>
            </w:r>
          </w:p>
        </w:tc>
        <w:tc>
          <w:tcPr>
            <w:tcW w:w="67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中国农业银行股份有限公司和田市支行</w:t>
            </w:r>
          </w:p>
        </w:tc>
        <w:tc>
          <w:tcPr>
            <w:tcW w:w="671"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30580801040005315 </w:t>
            </w:r>
          </w:p>
        </w:tc>
        <w:tc>
          <w:tcPr>
            <w:tcW w:w="595"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网银、电汇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保函</w:t>
            </w:r>
          </w:p>
        </w:tc>
        <w:tc>
          <w:tcPr>
            <w:tcW w:w="96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和田县行政服务和公共资源交易中心</w:t>
            </w:r>
          </w:p>
        </w:tc>
      </w:tr>
    </w:tbl>
    <w:p>
      <w:pPr>
        <w:pStyle w:val="8"/>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r>
        <w:rPr>
          <w:rFonts w:hint="eastAsia" w:ascii="宋体" w:hAnsi="宋体" w:eastAsia="宋体" w:cs="宋体"/>
          <w:b/>
          <w:bCs/>
          <w:i w:val="0"/>
          <w:iCs w:val="0"/>
          <w:caps w:val="0"/>
          <w:color w:val="000000"/>
          <w:spacing w:val="0"/>
          <w:kern w:val="0"/>
          <w:sz w:val="24"/>
          <w:szCs w:val="24"/>
          <w:highlight w:val="none"/>
          <w:lang w:val="en-US" w:eastAsia="zh-CN" w:bidi="ar"/>
        </w:rPr>
        <w:t>六、公告期限</w:t>
      </w:r>
      <w:bookmarkEnd w:id="21"/>
      <w:bookmarkEnd w:id="22"/>
      <w:bookmarkEnd w:id="23"/>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自本公告发布之日起5个工作日。</w:t>
      </w:r>
    </w:p>
    <w:p>
      <w:pPr>
        <w:pStyle w:val="8"/>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4" w:name="_Toc2426"/>
      <w:bookmarkStart w:id="25" w:name="_Toc1504"/>
      <w:bookmarkStart w:id="26" w:name="_Toc32428"/>
      <w:r>
        <w:rPr>
          <w:rFonts w:hint="eastAsia" w:ascii="宋体" w:hAnsi="宋体" w:eastAsia="宋体" w:cs="宋体"/>
          <w:b/>
          <w:bCs/>
          <w:i w:val="0"/>
          <w:iCs w:val="0"/>
          <w:caps w:val="0"/>
          <w:color w:val="000000"/>
          <w:spacing w:val="0"/>
          <w:kern w:val="0"/>
          <w:sz w:val="24"/>
          <w:szCs w:val="24"/>
          <w:highlight w:val="none"/>
          <w:lang w:val="en-US" w:eastAsia="zh-CN" w:bidi="ar"/>
        </w:rPr>
        <w:t>七、其他补充事宜</w:t>
      </w:r>
      <w:bookmarkEnd w:id="24"/>
      <w:bookmarkEnd w:id="25"/>
      <w:bookmarkEnd w:id="26"/>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1、本项目实行网上投标，采用电子投标文件。若供应商参与投标，自行承担投标一切费用。</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4、有意向参与新疆区域电子开评标的供应商，可访问新疆数字证书认证中心官方网站（https://www.xjca.com.cn/）或下载“新疆政务通”APP自行进行申领。如需咨询，请联系新疆CA服务热线0991-2819290</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b/>
          <w:bCs/>
          <w:i w:val="0"/>
          <w:caps w:val="0"/>
          <w:color w:val="000000"/>
          <w:spacing w:val="0"/>
          <w:kern w:val="0"/>
          <w:sz w:val="21"/>
          <w:szCs w:val="21"/>
          <w:highlight w:val="none"/>
          <w:vertAlign w:val="baseline"/>
          <w:lang w:val="en-US" w:eastAsia="zh-CN" w:bidi="ar"/>
        </w:rPr>
        <w:t>特别强调：</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得分的6％～10％作为其价格分。</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接受大中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8"/>
        <w:pageBreakBefore w:val="0"/>
        <w:widowControl w:val="0"/>
        <w:kinsoku/>
        <w:wordWrap/>
        <w:overflowPunct/>
        <w:topLinePunct w:val="0"/>
        <w:autoSpaceDE/>
        <w:autoSpaceDN/>
        <w:bidi w:val="0"/>
        <w:adjustRightInd/>
        <w:snapToGrid/>
        <w:spacing w:before="0" w:after="0" w:line="240" w:lineRule="auto"/>
        <w:ind w:left="0" w:leftChars="0" w:firstLine="0" w:firstLineChars="0"/>
        <w:jc w:val="both"/>
        <w:textAlignment w:val="auto"/>
        <w:rPr>
          <w:rFonts w:hint="eastAsia" w:ascii="宋体" w:hAnsi="宋体" w:eastAsia="宋体" w:cs="宋体"/>
          <w:b/>
          <w:bCs/>
          <w:i w:val="0"/>
          <w:iCs w:val="0"/>
          <w:caps w:val="0"/>
          <w:color w:val="000000"/>
          <w:spacing w:val="0"/>
          <w:kern w:val="0"/>
          <w:sz w:val="24"/>
          <w:szCs w:val="24"/>
          <w:highlight w:val="none"/>
          <w:lang w:val="en-US" w:eastAsia="zh-CN" w:bidi="ar"/>
        </w:rPr>
      </w:pPr>
      <w:bookmarkStart w:id="27" w:name="_Toc3294"/>
      <w:bookmarkStart w:id="28" w:name="_Toc3331"/>
      <w:bookmarkStart w:id="29" w:name="_Toc9402"/>
      <w:r>
        <w:rPr>
          <w:rFonts w:hint="eastAsia" w:ascii="宋体" w:hAnsi="宋体" w:eastAsia="宋体" w:cs="宋体"/>
          <w:b/>
          <w:bCs/>
          <w:i w:val="0"/>
          <w:iCs w:val="0"/>
          <w:caps w:val="0"/>
          <w:color w:val="000000"/>
          <w:spacing w:val="0"/>
          <w:kern w:val="0"/>
          <w:sz w:val="24"/>
          <w:szCs w:val="24"/>
          <w:highlight w:val="none"/>
          <w:lang w:val="en-US" w:eastAsia="zh-CN" w:bidi="ar"/>
        </w:rPr>
        <w:t>八、对本次采购提出询问，请按以下方式联系</w:t>
      </w:r>
      <w:bookmarkEnd w:id="27"/>
      <w:bookmarkEnd w:id="28"/>
      <w:bookmarkEnd w:id="29"/>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1.采购人信息</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 称：</w:t>
      </w:r>
      <w:r>
        <w:rPr>
          <w:rFonts w:hint="eastAsia" w:cs="宋体"/>
          <w:i w:val="0"/>
          <w:iCs w:val="0"/>
          <w:caps w:val="0"/>
          <w:color w:val="000000"/>
          <w:spacing w:val="0"/>
          <w:sz w:val="24"/>
          <w:szCs w:val="24"/>
          <w:highlight w:val="none"/>
          <w:lang w:val="en-US" w:eastAsia="zh-CN"/>
        </w:rPr>
        <w:t>和田县职业技术学校</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highlight w:val="none"/>
          <w:lang w:val="en-US" w:eastAsia="zh-CN"/>
        </w:rPr>
        <w:t>地 址：</w:t>
      </w:r>
      <w:r>
        <w:rPr>
          <w:rFonts w:hint="eastAsia" w:cs="宋体"/>
          <w:color w:val="000000"/>
          <w:sz w:val="24"/>
          <w:szCs w:val="24"/>
          <w:lang w:eastAsia="zh-CN"/>
        </w:rPr>
        <w:t>和田县经济开发区新区和田县职业技术学校</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苏先生</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cs="宋体"/>
          <w:i w:val="0"/>
          <w:iCs w:val="0"/>
          <w:caps w:val="0"/>
          <w:color w:val="000000"/>
          <w:spacing w:val="0"/>
          <w:sz w:val="24"/>
          <w:szCs w:val="24"/>
          <w:highlight w:val="none"/>
          <w:lang w:val="en-US" w:eastAsia="zh-CN"/>
        </w:rPr>
        <w:t>0903-2099397</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2.采购代理机构信息</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名 称：</w:t>
      </w:r>
      <w:r>
        <w:rPr>
          <w:rFonts w:hint="eastAsia" w:cs="宋体"/>
          <w:i w:val="0"/>
          <w:iCs w:val="0"/>
          <w:caps w:val="0"/>
          <w:color w:val="000000"/>
          <w:spacing w:val="0"/>
          <w:sz w:val="24"/>
          <w:szCs w:val="24"/>
          <w:highlight w:val="none"/>
          <w:lang w:val="en-US" w:eastAsia="zh-CN"/>
        </w:rPr>
        <w:t>新疆晓君招标有限公司</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地 址：</w:t>
      </w:r>
      <w:r>
        <w:rPr>
          <w:rFonts w:hint="eastAsia" w:cs="宋体"/>
          <w:i w:val="0"/>
          <w:iCs w:val="0"/>
          <w:caps w:val="0"/>
          <w:color w:val="000000"/>
          <w:spacing w:val="0"/>
          <w:sz w:val="24"/>
          <w:szCs w:val="24"/>
          <w:highlight w:val="none"/>
          <w:lang w:val="en-US" w:eastAsia="zh-CN"/>
        </w:rPr>
        <w:t>和田市光明路66号</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联系人：</w:t>
      </w:r>
      <w:r>
        <w:rPr>
          <w:rFonts w:hint="eastAsia" w:cs="宋体"/>
          <w:i w:val="0"/>
          <w:iCs w:val="0"/>
          <w:caps w:val="0"/>
          <w:color w:val="000000"/>
          <w:spacing w:val="0"/>
          <w:sz w:val="24"/>
          <w:szCs w:val="24"/>
          <w:highlight w:val="none"/>
          <w:lang w:val="en-US" w:eastAsia="zh-CN"/>
        </w:rPr>
        <w:t>杨先生</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联系方式：</w:t>
      </w:r>
      <w:r>
        <w:rPr>
          <w:rFonts w:hint="eastAsia" w:ascii="宋体" w:hAnsi="宋体" w:cs="宋体"/>
          <w:i w:val="0"/>
          <w:iCs w:val="0"/>
          <w:caps w:val="0"/>
          <w:color w:val="000000"/>
          <w:spacing w:val="0"/>
          <w:sz w:val="24"/>
          <w:szCs w:val="24"/>
          <w:highlight w:val="none"/>
          <w:lang w:val="en-US" w:eastAsia="zh-CN"/>
        </w:rPr>
        <w:t>0903-2059505</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3.政府采购监督管理部门</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lang w:val="en-US" w:eastAsia="zh-CN"/>
        </w:rPr>
        <w:t>和田县政府采购办公室</w:t>
      </w:r>
    </w:p>
    <w:p>
      <w:pPr>
        <w:keepNext w:val="0"/>
        <w:keepLines w:val="0"/>
        <w:pageBreakBefore w:val="0"/>
        <w:widowControl w:val="0"/>
        <w:kinsoku/>
        <w:wordWrap/>
        <w:overflowPunct/>
        <w:topLinePunct/>
        <w:autoSpaceDE/>
        <w:autoSpaceDN/>
        <w:bidi w:val="0"/>
        <w:adjustRightInd w:val="0"/>
        <w:snapToGrid w:val="0"/>
        <w:spacing w:line="360" w:lineRule="auto"/>
        <w:ind w:right="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张先生</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val="en-US" w:eastAsia="zh-CN"/>
        </w:rPr>
        <w:t>13279061956</w:t>
      </w:r>
      <w:r>
        <w:rPr>
          <w:rFonts w:hint="eastAsia" w:ascii="宋体" w:hAnsi="宋体" w:eastAsia="宋体" w:cs="宋体"/>
          <w:color w:val="auto"/>
          <w:sz w:val="24"/>
          <w:szCs w:val="24"/>
          <w:highlight w:val="none"/>
          <w:lang w:val="en-US" w:eastAsia="zh-CN"/>
        </w:rPr>
        <w:t xml:space="preserve"> </w:t>
      </w:r>
    </w:p>
    <w:p>
      <w:pPr>
        <w:pStyle w:val="177"/>
        <w:pageBreakBefore w:val="0"/>
        <w:kinsoku/>
        <w:wordWrap/>
        <w:topLinePunct w:val="0"/>
        <w:bidi w:val="0"/>
        <w:spacing w:line="360" w:lineRule="auto"/>
        <w:ind w:firstLine="0"/>
        <w:jc w:val="left"/>
        <w:outlineLvl w:val="9"/>
        <w:rPr>
          <w:rStyle w:val="89"/>
          <w:rFonts w:hint="eastAsia" w:ascii="宋体" w:hAnsi="宋体" w:eastAsia="宋体" w:cs="宋体"/>
          <w:b/>
          <w:bCs/>
          <w:color w:val="000000"/>
          <w:sz w:val="24"/>
          <w:szCs w:val="24"/>
          <w:highlight w:val="none"/>
        </w:rPr>
      </w:pPr>
      <w:bookmarkStart w:id="30" w:name="_Toc16152"/>
      <w:r>
        <w:rPr>
          <w:rStyle w:val="89"/>
          <w:rFonts w:hint="eastAsia" w:ascii="宋体" w:hAnsi="宋体" w:eastAsia="宋体" w:cs="宋体"/>
          <w:b/>
          <w:bCs/>
          <w:color w:val="000000"/>
          <w:sz w:val="24"/>
          <w:szCs w:val="24"/>
          <w:highlight w:val="none"/>
        </w:rPr>
        <w:t>特别提醒：</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1</w:t>
      </w:r>
      <w:r>
        <w:rPr>
          <w:rStyle w:val="89"/>
          <w:rFonts w:hint="eastAsia" w:ascii="宋体" w:hAnsi="宋体" w:eastAsia="宋体" w:cs="宋体"/>
          <w:b/>
          <w:color w:val="auto"/>
          <w:sz w:val="24"/>
          <w:szCs w:val="24"/>
          <w:highlight w:val="none"/>
        </w:rPr>
        <w:t>、由投标人基本账户汇出（投标保证金需</w:t>
      </w:r>
      <w:r>
        <w:rPr>
          <w:rStyle w:val="89"/>
          <w:rFonts w:hint="eastAsia" w:ascii="宋体" w:hAnsi="宋体" w:eastAsia="宋体" w:cs="宋体"/>
          <w:b/>
          <w:color w:val="auto"/>
          <w:sz w:val="24"/>
          <w:szCs w:val="24"/>
          <w:highlight w:val="none"/>
          <w:lang w:val="en-US" w:eastAsia="zh-CN"/>
        </w:rPr>
        <w:t>一次性足额</w:t>
      </w:r>
      <w:r>
        <w:rPr>
          <w:rStyle w:val="89"/>
          <w:rFonts w:hint="eastAsia" w:ascii="宋体" w:hAnsi="宋体" w:eastAsia="宋体" w:cs="宋体"/>
          <w:b/>
          <w:color w:val="auto"/>
          <w:sz w:val="24"/>
          <w:szCs w:val="24"/>
          <w:highlight w:val="none"/>
        </w:rPr>
        <w:t>汇出，分笔汇出银行系统将不予统计），且不得以分公司的名义转账，投标保证金需在</w:t>
      </w:r>
      <w:r>
        <w:rPr>
          <w:rStyle w:val="89"/>
          <w:rFonts w:hint="eastAsia" w:ascii="宋体" w:hAnsi="宋体" w:cs="宋体"/>
          <w:b/>
          <w:color w:val="auto"/>
          <w:sz w:val="24"/>
          <w:szCs w:val="24"/>
          <w:highlight w:val="none"/>
          <w:lang w:eastAsia="zh-CN"/>
        </w:rPr>
        <w:t>2023年10月17日</w:t>
      </w:r>
      <w:r>
        <w:rPr>
          <w:rStyle w:val="89"/>
          <w:rFonts w:hint="eastAsia" w:ascii="宋体" w:hAnsi="宋体" w:eastAsia="宋体" w:cs="宋体"/>
          <w:b/>
          <w:color w:val="auto"/>
          <w:sz w:val="24"/>
          <w:szCs w:val="24"/>
          <w:highlight w:val="none"/>
          <w:lang w:eastAsia="zh-CN"/>
        </w:rPr>
        <w:t>1</w:t>
      </w:r>
      <w:r>
        <w:rPr>
          <w:rStyle w:val="89"/>
          <w:rFonts w:hint="eastAsia" w:ascii="宋体" w:hAnsi="宋体" w:eastAsia="宋体" w:cs="宋体"/>
          <w:b/>
          <w:color w:val="auto"/>
          <w:sz w:val="24"/>
          <w:szCs w:val="24"/>
          <w:highlight w:val="none"/>
          <w:lang w:val="en-US" w:eastAsia="zh-CN"/>
        </w:rPr>
        <w:t>1</w:t>
      </w:r>
      <w:r>
        <w:rPr>
          <w:rStyle w:val="89"/>
          <w:rFonts w:hint="eastAsia" w:ascii="宋体" w:hAnsi="宋体" w:eastAsia="宋体" w:cs="宋体"/>
          <w:b/>
          <w:color w:val="auto"/>
          <w:sz w:val="24"/>
          <w:szCs w:val="24"/>
          <w:highlight w:val="none"/>
          <w:lang w:eastAsia="zh-CN"/>
        </w:rPr>
        <w:t>：00：00</w:t>
      </w:r>
      <w:r>
        <w:rPr>
          <w:rStyle w:val="89"/>
          <w:rFonts w:hint="eastAsia" w:ascii="宋体" w:hAnsi="宋体" w:eastAsia="宋体" w:cs="宋体"/>
          <w:b/>
          <w:color w:val="000000"/>
          <w:sz w:val="24"/>
          <w:szCs w:val="24"/>
          <w:highlight w:val="none"/>
          <w:lang w:val="en-US" w:eastAsia="zh-CN"/>
        </w:rPr>
        <w:t>（北京时间）</w:t>
      </w:r>
      <w:r>
        <w:rPr>
          <w:rStyle w:val="89"/>
          <w:rFonts w:hint="eastAsia" w:ascii="宋体" w:hAnsi="宋体" w:eastAsia="宋体" w:cs="宋体"/>
          <w:b/>
          <w:color w:val="auto"/>
          <w:sz w:val="24"/>
          <w:szCs w:val="24"/>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outlineLvl w:val="9"/>
        <w:rPr>
          <w:rStyle w:val="89"/>
          <w:rFonts w:hint="eastAsia" w:ascii="宋体" w:hAnsi="宋体" w:eastAsia="宋体" w:cs="宋体"/>
          <w:b/>
          <w:color w:val="auto"/>
          <w:sz w:val="24"/>
          <w:szCs w:val="24"/>
          <w:highlight w:val="none"/>
        </w:rPr>
      </w:pPr>
      <w:r>
        <w:rPr>
          <w:rStyle w:val="89"/>
          <w:rFonts w:hint="eastAsia" w:ascii="宋体" w:hAnsi="宋体" w:eastAsia="宋体" w:cs="宋体"/>
          <w:b/>
          <w:color w:val="auto"/>
          <w:sz w:val="24"/>
          <w:szCs w:val="24"/>
          <w:highlight w:val="none"/>
          <w:lang w:val="en-US"/>
        </w:rPr>
        <w:t>2</w:t>
      </w:r>
      <w:r>
        <w:rPr>
          <w:rStyle w:val="89"/>
          <w:rFonts w:hint="eastAsia" w:ascii="宋体" w:hAnsi="宋体" w:eastAsia="宋体" w:cs="宋体"/>
          <w:b/>
          <w:color w:val="auto"/>
          <w:sz w:val="24"/>
          <w:szCs w:val="24"/>
          <w:highlight w:val="none"/>
        </w:rPr>
        <w:t>、投标企业下载招标文件后请仔细阅读，如对招标文件内容有质疑，投标人应按招标文件中载明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widowControl/>
        <w:spacing w:line="320" w:lineRule="exact"/>
        <w:ind w:left="141" w:hanging="141"/>
        <w:jc w:val="center"/>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第二章  投标人须知</w:t>
      </w:r>
      <w:bookmarkEnd w:id="30"/>
    </w:p>
    <w:p>
      <w:pPr>
        <w:widowControl/>
        <w:spacing w:line="320" w:lineRule="exact"/>
        <w:ind w:left="141" w:hanging="141"/>
        <w:rPr>
          <w:rFonts w:hint="eastAsia" w:ascii="宋体" w:hAnsi="宋体" w:eastAsia="宋体" w:cs="宋体"/>
          <w:b/>
          <w:sz w:val="28"/>
          <w:szCs w:val="28"/>
          <w:highlight w:val="none"/>
        </w:rPr>
      </w:pPr>
    </w:p>
    <w:p>
      <w:pPr>
        <w:widowControl/>
        <w:spacing w:line="320" w:lineRule="exact"/>
        <w:ind w:left="141" w:hanging="141"/>
        <w:jc w:val="center"/>
        <w:outlineLvl w:val="1"/>
        <w:rPr>
          <w:rFonts w:hint="eastAsia" w:ascii="宋体" w:hAnsi="宋体" w:eastAsia="宋体" w:cs="宋体"/>
          <w:b/>
          <w:sz w:val="32"/>
          <w:szCs w:val="32"/>
          <w:highlight w:val="none"/>
        </w:rPr>
      </w:pPr>
      <w:bookmarkStart w:id="31" w:name="_Toc10036"/>
      <w:r>
        <w:rPr>
          <w:rFonts w:hint="eastAsia" w:ascii="宋体" w:hAnsi="宋体" w:eastAsia="宋体" w:cs="宋体"/>
          <w:b/>
          <w:sz w:val="32"/>
          <w:szCs w:val="32"/>
          <w:highlight w:val="none"/>
        </w:rPr>
        <w:t>投标人须知前附表</w:t>
      </w:r>
      <w:bookmarkEnd w:id="31"/>
    </w:p>
    <w:p>
      <w:pPr>
        <w:widowControl/>
        <w:spacing w:line="320" w:lineRule="exact"/>
        <w:ind w:left="141" w:hanging="141"/>
        <w:jc w:val="center"/>
        <w:rPr>
          <w:rFonts w:hint="eastAsia" w:ascii="宋体" w:hAnsi="宋体" w:eastAsia="宋体" w:cs="宋体"/>
          <w:b/>
          <w:sz w:val="28"/>
          <w:szCs w:val="28"/>
          <w:highlight w:val="none"/>
        </w:rPr>
      </w:pPr>
    </w:p>
    <w:tbl>
      <w:tblPr>
        <w:tblStyle w:val="72"/>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493"/>
        <w:gridCol w:w="1550"/>
        <w:gridCol w:w="7512"/>
      </w:tblGrid>
      <w:tr>
        <w:trPr>
          <w:trHeight w:val="90" w:hRule="atLeast"/>
          <w:jc w:val="center"/>
        </w:trPr>
        <w:tc>
          <w:tcPr>
            <w:tcW w:w="493" w:type="dxa"/>
            <w:tcBorders>
              <w:top w:val="single" w:color="auto"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550" w:type="dxa"/>
            <w:tcBorders>
              <w:top w:val="single" w:color="auto" w:sz="12"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条款名称</w:t>
            </w:r>
          </w:p>
        </w:tc>
        <w:tc>
          <w:tcPr>
            <w:tcW w:w="7512" w:type="dxa"/>
            <w:tcBorders>
              <w:top w:val="single" w:color="auto" w:sz="12"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说明和要求</w:t>
            </w:r>
          </w:p>
        </w:tc>
      </w:tr>
      <w:tr>
        <w:trPr>
          <w:trHeight w:val="9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7512" w:type="dxa"/>
            <w:tcBorders>
              <w:left w:val="single" w:color="auto" w:sz="4" w:space="0"/>
            </w:tcBorders>
            <w:noWrap w:val="0"/>
            <w:vAlign w:val="center"/>
          </w:tcPr>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 称：</w:t>
            </w:r>
            <w:r>
              <w:rPr>
                <w:rFonts w:hint="eastAsia" w:cs="宋体"/>
                <w:kern w:val="2"/>
                <w:sz w:val="24"/>
                <w:szCs w:val="24"/>
                <w:highlight w:val="none"/>
                <w:lang w:val="en-US" w:eastAsia="zh-CN" w:bidi="ar-SA"/>
              </w:rPr>
              <w:t>和田县职业技术学校</w:t>
            </w:r>
          </w:p>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 址：</w:t>
            </w:r>
            <w:r>
              <w:rPr>
                <w:rFonts w:hint="eastAsia" w:cs="宋体"/>
                <w:kern w:val="2"/>
                <w:sz w:val="24"/>
                <w:szCs w:val="24"/>
                <w:highlight w:val="none"/>
                <w:lang w:val="en-US" w:eastAsia="zh-CN" w:bidi="ar-SA"/>
              </w:rPr>
              <w:t>和田县经济开发区新区和田县职业技术学校</w:t>
            </w:r>
          </w:p>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cs="宋体"/>
                <w:kern w:val="2"/>
                <w:sz w:val="24"/>
                <w:szCs w:val="24"/>
                <w:highlight w:val="none"/>
                <w:lang w:val="en-US" w:eastAsia="zh-CN" w:bidi="ar-SA"/>
              </w:rPr>
              <w:t>苏先生</w:t>
            </w:r>
          </w:p>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cs="宋体"/>
                <w:kern w:val="2"/>
                <w:sz w:val="24"/>
                <w:szCs w:val="24"/>
                <w:highlight w:val="none"/>
                <w:lang w:val="en-US" w:eastAsia="zh-CN" w:bidi="ar-SA"/>
              </w:rPr>
              <w:t>0903-2099397</w:t>
            </w:r>
            <w:r>
              <w:rPr>
                <w:rFonts w:hint="eastAsia" w:ascii="宋体" w:hAnsi="宋体" w:eastAsia="宋体" w:cs="宋体"/>
                <w:kern w:val="2"/>
                <w:sz w:val="24"/>
                <w:szCs w:val="24"/>
                <w:highlight w:val="none"/>
                <w:lang w:val="en-US" w:eastAsia="zh-CN" w:bidi="ar-SA"/>
              </w:rPr>
              <w:t xml:space="preserve">           </w:t>
            </w:r>
          </w:p>
        </w:tc>
      </w:tr>
      <w:tr>
        <w:trPr>
          <w:trHeight w:val="1275"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w:t>
            </w:r>
          </w:p>
        </w:tc>
        <w:tc>
          <w:tcPr>
            <w:tcW w:w="7512" w:type="dxa"/>
            <w:tcBorders>
              <w:left w:val="single" w:color="auto" w:sz="4" w:space="0"/>
            </w:tcBorders>
            <w:noWrap w:val="0"/>
            <w:vAlign w:val="center"/>
          </w:tcPr>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2.采购代理机构信息</w:t>
            </w:r>
          </w:p>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名 称：</w:t>
            </w:r>
            <w:r>
              <w:rPr>
                <w:rFonts w:hint="eastAsia" w:cs="宋体"/>
                <w:kern w:val="2"/>
                <w:sz w:val="24"/>
                <w:szCs w:val="24"/>
                <w:highlight w:val="none"/>
                <w:lang w:val="en-US" w:eastAsia="zh-CN" w:bidi="ar-SA"/>
              </w:rPr>
              <w:t>新疆晓君招标有限公司</w:t>
            </w:r>
          </w:p>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 址：</w:t>
            </w:r>
            <w:r>
              <w:rPr>
                <w:rFonts w:hint="eastAsia" w:cs="宋体"/>
                <w:kern w:val="2"/>
                <w:sz w:val="24"/>
                <w:szCs w:val="24"/>
                <w:highlight w:val="none"/>
                <w:lang w:val="en-US" w:eastAsia="zh-CN" w:bidi="ar-SA"/>
              </w:rPr>
              <w:t>和田市光明路66号</w:t>
            </w:r>
          </w:p>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联系人：</w:t>
            </w:r>
            <w:r>
              <w:rPr>
                <w:rFonts w:hint="eastAsia" w:cs="宋体"/>
                <w:kern w:val="2"/>
                <w:sz w:val="24"/>
                <w:szCs w:val="24"/>
                <w:highlight w:val="none"/>
                <w:lang w:val="en-US" w:eastAsia="zh-CN" w:bidi="ar-SA"/>
              </w:rPr>
              <w:t>杨先生</w:t>
            </w:r>
          </w:p>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联系方式：</w:t>
            </w:r>
            <w:r>
              <w:rPr>
                <w:rFonts w:hint="eastAsia" w:cs="宋体"/>
                <w:kern w:val="2"/>
                <w:sz w:val="24"/>
                <w:szCs w:val="24"/>
                <w:highlight w:val="none"/>
                <w:lang w:val="en-US" w:eastAsia="zh-CN" w:bidi="ar-SA"/>
              </w:rPr>
              <w:t>0903-2059505</w:t>
            </w:r>
          </w:p>
        </w:tc>
      </w:tr>
      <w:tr>
        <w:trPr>
          <w:trHeight w:val="63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2023年现代职业教育质量提升计划建设数字信息化校园建设项目（二次）</w:t>
            </w:r>
          </w:p>
        </w:tc>
      </w:tr>
      <w:tr>
        <w:trPr>
          <w:trHeight w:val="57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采购内容</w:t>
            </w:r>
          </w:p>
        </w:tc>
        <w:tc>
          <w:tcPr>
            <w:tcW w:w="7512" w:type="dxa"/>
            <w:tcBorders>
              <w:left w:val="single" w:color="auto" w:sz="4" w:space="0"/>
            </w:tcBorders>
            <w:noWrap w:val="0"/>
            <w:vAlign w:val="center"/>
          </w:tcPr>
          <w:p>
            <w:pPr>
              <w:pStyle w:val="69"/>
              <w:keepNext w:val="0"/>
              <w:keepLines w:val="0"/>
              <w:widowControl/>
              <w:suppressLineNumbers w:val="0"/>
              <w:spacing w:before="75" w:beforeAutospacing="0" w:after="75" w:afterAutospacing="0" w:line="240" w:lineRule="auto"/>
              <w:ind w:left="0" w:right="0" w:firstLine="0"/>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建立数字信息化校园</w:t>
            </w:r>
          </w:p>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sz w:val="24"/>
                <w:szCs w:val="24"/>
                <w:highlight w:val="none"/>
                <w:lang w:eastAsia="zh-CN"/>
              </w:rPr>
            </w:pPr>
            <w:r>
              <w:rPr>
                <w:rFonts w:hint="eastAsia" w:ascii="宋体" w:hAnsi="宋体" w:eastAsia="宋体" w:cs="宋体"/>
                <w:kern w:val="2"/>
                <w:sz w:val="24"/>
                <w:szCs w:val="24"/>
                <w:highlight w:val="none"/>
                <w:lang w:val="en-US" w:eastAsia="zh-CN" w:bidi="ar-SA"/>
              </w:rPr>
              <w:t>合同履约期限：</w:t>
            </w:r>
            <w:r>
              <w:rPr>
                <w:rFonts w:hint="eastAsia" w:cs="宋体"/>
                <w:kern w:val="2"/>
                <w:sz w:val="24"/>
                <w:szCs w:val="24"/>
                <w:highlight w:val="none"/>
                <w:lang w:val="en-US" w:eastAsia="zh-CN" w:bidi="ar-SA"/>
              </w:rPr>
              <w:t>30天</w:t>
            </w:r>
            <w:r>
              <w:rPr>
                <w:rFonts w:hint="eastAsia" w:ascii="宋体" w:hAnsi="宋体" w:eastAsia="宋体" w:cs="宋体"/>
                <w:kern w:val="2"/>
                <w:sz w:val="24"/>
                <w:szCs w:val="24"/>
                <w:highlight w:val="none"/>
                <w:lang w:val="en-US" w:eastAsia="zh-CN" w:bidi="ar-SA"/>
              </w:rPr>
              <w:t xml:space="preserve">  </w:t>
            </w:r>
          </w:p>
        </w:tc>
      </w:tr>
      <w:tr>
        <w:trPr>
          <w:trHeight w:val="45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财政资金</w:t>
            </w:r>
          </w:p>
        </w:tc>
      </w:tr>
      <w:tr>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550" w:type="dxa"/>
            <w:tcBorders>
              <w:right w:val="single" w:color="auto" w:sz="4" w:space="0"/>
            </w:tcBorders>
            <w:noWrap w:val="0"/>
            <w:vAlign w:val="center"/>
          </w:tcPr>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采购概算价</w:t>
            </w:r>
          </w:p>
        </w:tc>
        <w:tc>
          <w:tcPr>
            <w:tcW w:w="7512" w:type="dxa"/>
            <w:tcBorders>
              <w:left w:val="single" w:color="auto" w:sz="4" w:space="0"/>
            </w:tcBorders>
            <w:noWrap w:val="0"/>
            <w:vAlign w:val="center"/>
          </w:tcPr>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预算金额：268万元</w:t>
            </w:r>
          </w:p>
          <w:p>
            <w:pPr>
              <w:pStyle w:val="69"/>
              <w:keepNext w:val="0"/>
              <w:keepLines w:val="0"/>
              <w:widowControl/>
              <w:suppressLineNumbers w:val="0"/>
              <w:spacing w:before="75" w:beforeAutospacing="0" w:after="75" w:afterAutospacing="0" w:line="240" w:lineRule="auto"/>
              <w:ind w:left="0" w:right="0" w:firstLine="0"/>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sz w:val="24"/>
                <w:szCs w:val="24"/>
                <w:highlight w:val="none"/>
                <w:lang w:val="en-US" w:eastAsia="zh-CN"/>
              </w:rPr>
              <w:t>最高限价：241.536645</w:t>
            </w:r>
            <w:r>
              <w:rPr>
                <w:rFonts w:hint="eastAsia" w:ascii="宋体" w:hAnsi="宋体" w:eastAsia="宋体" w:cs="宋体"/>
                <w:i w:val="0"/>
                <w:iCs w:val="0"/>
                <w:caps w:val="0"/>
                <w:color w:val="000000"/>
                <w:spacing w:val="0"/>
                <w:sz w:val="24"/>
                <w:szCs w:val="24"/>
                <w:highlight w:val="none"/>
                <w:lang w:val="en-US" w:eastAsia="zh-CN"/>
              </w:rPr>
              <w:t>万元</w:t>
            </w:r>
          </w:p>
          <w:p>
            <w:pPr>
              <w:keepNext w:val="0"/>
              <w:keepLines w:val="0"/>
              <w:pageBreakBefore w:val="0"/>
              <w:tabs>
                <w:tab w:val="left" w:pos="900"/>
              </w:tabs>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投标报价高于</w:t>
            </w:r>
            <w:r>
              <w:rPr>
                <w:rFonts w:hint="eastAsia" w:ascii="宋体" w:hAnsi="宋体" w:cs="宋体"/>
                <w:b/>
                <w:bCs/>
                <w:color w:val="auto"/>
                <w:kern w:val="0"/>
                <w:sz w:val="24"/>
                <w:szCs w:val="24"/>
                <w:highlight w:val="none"/>
                <w:lang w:val="en-US" w:eastAsia="zh-CN"/>
              </w:rPr>
              <w:t>最高</w:t>
            </w:r>
            <w:r>
              <w:rPr>
                <w:rFonts w:hint="eastAsia" w:ascii="宋体" w:hAnsi="宋体" w:eastAsia="宋体" w:cs="宋体"/>
                <w:b/>
                <w:bCs/>
                <w:color w:val="auto"/>
                <w:kern w:val="0"/>
                <w:sz w:val="24"/>
                <w:szCs w:val="24"/>
                <w:highlight w:val="none"/>
              </w:rPr>
              <w:t>限价按废标处理，敬请投标人注意</w:t>
            </w:r>
            <w:r>
              <w:rPr>
                <w:rFonts w:hint="eastAsia" w:ascii="宋体" w:hAnsi="宋体" w:eastAsia="宋体" w:cs="宋体"/>
                <w:b/>
                <w:bCs/>
                <w:color w:val="auto"/>
                <w:kern w:val="0"/>
                <w:sz w:val="24"/>
                <w:szCs w:val="24"/>
                <w:highlight w:val="none"/>
                <w:lang w:eastAsia="zh-CN"/>
              </w:rPr>
              <w:t>！</w:t>
            </w:r>
          </w:p>
        </w:tc>
      </w:tr>
      <w:tr>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公开招标</w:t>
            </w:r>
          </w:p>
        </w:tc>
      </w:tr>
      <w:tr>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评标方法</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根据《政府采购货物和服务招标投标管理办法》（中华人民共和国财政部令第87号）规定的评审标准，采用综合评分法。</w:t>
            </w:r>
          </w:p>
        </w:tc>
      </w:tr>
      <w:tr>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信息公告媒体</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新疆政府采购网（http://www.ccgp-xinjiang.gov.cn/）</w:t>
            </w:r>
          </w:p>
        </w:tc>
      </w:tr>
      <w:tr>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资格要求</w:t>
            </w:r>
          </w:p>
        </w:tc>
        <w:tc>
          <w:tcPr>
            <w:tcW w:w="7512" w:type="dxa"/>
            <w:tcBorders>
              <w:left w:val="single" w:color="auto" w:sz="4" w:space="0"/>
            </w:tcBorders>
            <w:noWrap w:val="0"/>
            <w:vAlign w:val="center"/>
          </w:tcPr>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3）具有良好的商业信誉和健全的财务会计制度：提供2022年度由第三方财务审计机构出具的财务审计报告或新成立的企业提供银行出具的近三个月的资信证明；</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4）履行合同所必需的设备和专业技术能力：提供《投标人资格声明函》；</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（7）企业负责人为同一人或者存在直接控股、管理关系的不同投标人，不得参加同一合同项下的政府采购活动。否则，皆取消投标资格。</w:t>
            </w:r>
          </w:p>
          <w:p>
            <w:pPr>
              <w:pStyle w:val="69"/>
              <w:keepNext w:val="0"/>
              <w:keepLines w:val="0"/>
              <w:widowControl/>
              <w:suppressLineNumbers w:val="0"/>
              <w:spacing w:before="75" w:beforeAutospacing="0" w:after="75" w:afterAutospacing="0" w:line="240" w:lineRule="auto"/>
              <w:ind w:left="0" w:right="0" w:firstLine="0"/>
              <w:jc w:val="left"/>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（8）投标保证金或电子保函：</w:t>
            </w:r>
            <w:r>
              <w:rPr>
                <w:rFonts w:hint="eastAsia" w:cs="宋体"/>
                <w:i w:val="0"/>
                <w:iCs w:val="0"/>
                <w:caps w:val="0"/>
                <w:color w:val="000000"/>
                <w:spacing w:val="0"/>
                <w:sz w:val="24"/>
                <w:szCs w:val="24"/>
                <w:highlight w:val="none"/>
                <w:lang w:val="en-US" w:eastAsia="zh-CN"/>
              </w:rPr>
              <w:t>268</w:t>
            </w:r>
            <w:r>
              <w:rPr>
                <w:rFonts w:hint="eastAsia" w:ascii="宋体" w:hAnsi="宋体" w:eastAsia="宋体" w:cs="宋体"/>
                <w:i w:val="0"/>
                <w:iCs w:val="0"/>
                <w:caps w:val="0"/>
                <w:color w:val="000000"/>
                <w:spacing w:val="0"/>
                <w:sz w:val="24"/>
                <w:szCs w:val="24"/>
                <w:highlight w:val="none"/>
                <w:lang w:val="en-US" w:eastAsia="zh-CN"/>
              </w:rPr>
              <w:t>00元整（大写：</w:t>
            </w:r>
            <w:r>
              <w:rPr>
                <w:rFonts w:hint="eastAsia" w:cs="宋体"/>
                <w:i w:val="0"/>
                <w:iCs w:val="0"/>
                <w:caps w:val="0"/>
                <w:color w:val="000000"/>
                <w:spacing w:val="0"/>
                <w:sz w:val="24"/>
                <w:szCs w:val="24"/>
                <w:highlight w:val="none"/>
                <w:lang w:val="en-US" w:eastAsia="zh-CN"/>
              </w:rPr>
              <w:t>贰万陆仟捌佰</w:t>
            </w:r>
            <w:r>
              <w:rPr>
                <w:rFonts w:hint="eastAsia" w:ascii="宋体" w:hAnsi="宋体" w:eastAsia="宋体" w:cs="宋体"/>
                <w:i w:val="0"/>
                <w:iCs w:val="0"/>
                <w:caps w:val="0"/>
                <w:color w:val="000000"/>
                <w:spacing w:val="0"/>
                <w:sz w:val="24"/>
                <w:szCs w:val="24"/>
                <w:highlight w:val="none"/>
                <w:lang w:val="en-US" w:eastAsia="zh-CN"/>
              </w:rPr>
              <w:t>元整）</w:t>
            </w:r>
          </w:p>
        </w:tc>
      </w:tr>
      <w:tr>
        <w:trPr>
          <w:trHeight w:val="389"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供货</w:t>
            </w:r>
            <w:r>
              <w:rPr>
                <w:rFonts w:hint="eastAsia" w:ascii="宋体" w:hAnsi="宋体" w:eastAsia="宋体" w:cs="宋体"/>
                <w:b w:val="0"/>
                <w:bCs w:val="0"/>
                <w:sz w:val="24"/>
                <w:szCs w:val="24"/>
                <w:highlight w:val="none"/>
              </w:rPr>
              <w:t>期</w:t>
            </w:r>
            <w:r>
              <w:rPr>
                <w:rFonts w:hint="eastAsia" w:ascii="宋体" w:hAnsi="宋体" w:eastAsia="宋体" w:cs="宋体"/>
                <w:b w:val="0"/>
                <w:bCs w:val="0"/>
                <w:sz w:val="24"/>
                <w:szCs w:val="24"/>
                <w:highlight w:val="none"/>
                <w:lang w:val="en-US" w:eastAsia="zh-CN"/>
              </w:rPr>
              <w:t>/服务期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b/>
                <w:bCs/>
                <w:sz w:val="24"/>
                <w:szCs w:val="24"/>
                <w:highlight w:val="none"/>
                <w:lang w:val="en-US"/>
              </w:rPr>
            </w:pPr>
            <w:r>
              <w:rPr>
                <w:rFonts w:hint="eastAsia" w:ascii="宋体" w:hAnsi="宋体" w:cs="宋体"/>
                <w:sz w:val="24"/>
                <w:szCs w:val="24"/>
                <w:highlight w:val="none"/>
                <w:lang w:val="en-US" w:eastAsia="zh-CN"/>
              </w:rPr>
              <w:t>30天</w:t>
            </w:r>
            <w:r>
              <w:rPr>
                <w:rFonts w:hint="eastAsia" w:ascii="宋体" w:hAnsi="宋体" w:eastAsia="宋体" w:cs="宋体"/>
                <w:sz w:val="24"/>
                <w:szCs w:val="24"/>
                <w:highlight w:val="none"/>
                <w:lang w:val="en-US" w:eastAsia="zh-CN"/>
              </w:rPr>
              <w:t xml:space="preserve">        </w:t>
            </w:r>
          </w:p>
        </w:tc>
      </w:tr>
      <w:tr>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Lines="10" w:afterLines="10"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满足招标文件及国家、自治区相关规范的要求.           </w:t>
            </w:r>
          </w:p>
        </w:tc>
      </w:tr>
      <w:tr>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val="en-US" w:eastAsia="zh-CN"/>
              </w:rPr>
              <w:t>合同付款方式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1期：支付比例30%，合同签订生效后的15个工作日内，将合同总金额的30%支付给中标供应商。</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2期：支付比例50%，项目竣工后的30个工作日内，将合同总金额的50%支付给中标供应商。</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3期：支付比例20%，项目通过验收后，30个工作日内，将余下款项（合同总金额的20%）支付给中标供应商。</w:t>
            </w:r>
          </w:p>
        </w:tc>
      </w:tr>
      <w:tr>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验收要求</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政府采购合同履行完毕后，收到中标人验收申请10日内组织履约验收</w:t>
            </w:r>
          </w:p>
        </w:tc>
      </w:tr>
      <w:tr>
        <w:trPr>
          <w:trHeight w:val="25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联合体投标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不接受</w:t>
            </w:r>
          </w:p>
        </w:tc>
      </w:tr>
      <w:tr>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踏勘</w:t>
            </w:r>
            <w:r>
              <w:rPr>
                <w:rFonts w:hint="eastAsia" w:ascii="宋体" w:hAnsi="宋体" w:eastAsia="宋体" w:cs="宋体"/>
                <w:sz w:val="24"/>
                <w:szCs w:val="24"/>
                <w:highlight w:val="none"/>
              </w:rPr>
              <w:t>现场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不组织</w:t>
            </w:r>
          </w:p>
        </w:tc>
      </w:tr>
      <w:tr>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分包、转包</w:t>
            </w:r>
          </w:p>
        </w:tc>
        <w:tc>
          <w:tcPr>
            <w:tcW w:w="7512" w:type="dxa"/>
            <w:tcBorders>
              <w:left w:val="single" w:color="auto" w:sz="4" w:space="0"/>
            </w:tcBorders>
            <w:noWrap w:val="0"/>
            <w:vAlign w:val="center"/>
          </w:tcPr>
          <w:p>
            <w:pPr>
              <w:shd w:val="clear" w:color="auto" w:fill="auto"/>
              <w:spacing w:line="440" w:lineRule="exact"/>
              <w:ind w:left="120" w:leftChars="0" w:right="62" w:rightChars="0" w:hanging="120" w:hangingChars="50"/>
              <w:jc w:val="lef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允许</w:t>
            </w:r>
          </w:p>
        </w:tc>
      </w:tr>
      <w:tr>
        <w:trPr>
          <w:trHeight w:val="2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样品</w:t>
            </w:r>
          </w:p>
        </w:tc>
        <w:tc>
          <w:tcPr>
            <w:tcW w:w="7512" w:type="dxa"/>
            <w:tcBorders>
              <w:left w:val="single" w:color="auto" w:sz="4" w:space="0"/>
            </w:tcBorders>
            <w:noWrap w:val="0"/>
            <w:vAlign w:val="center"/>
          </w:tcPr>
          <w:p>
            <w:pPr>
              <w:shd w:val="clear" w:color="auto" w:fill="auto"/>
              <w:spacing w:line="44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无需</w:t>
            </w:r>
          </w:p>
        </w:tc>
      </w:tr>
      <w:tr>
        <w:trPr>
          <w:trHeight w:val="60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构成招标文件的其他文件</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招标文件的澄清、修改书及有关补充通知为招标文件的有效组成部分</w:t>
            </w:r>
            <w:r>
              <w:rPr>
                <w:rFonts w:hint="eastAsia" w:ascii="宋体" w:hAnsi="宋体" w:eastAsia="宋体" w:cs="宋体"/>
                <w:color w:val="auto"/>
                <w:sz w:val="24"/>
                <w:szCs w:val="24"/>
                <w:highlight w:val="none"/>
                <w:lang w:eastAsia="zh-CN"/>
              </w:rPr>
              <w:t>。</w:t>
            </w:r>
          </w:p>
        </w:tc>
      </w:tr>
      <w:tr>
        <w:trPr>
          <w:trHeight w:val="30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2023年10月17日</w:t>
            </w:r>
            <w:r>
              <w:rPr>
                <w:rFonts w:hint="eastAsia" w:ascii="宋体" w:hAnsi="宋体" w:eastAsia="宋体" w:cs="宋体"/>
                <w:color w:val="auto"/>
                <w:sz w:val="24"/>
                <w:szCs w:val="24"/>
                <w:highlight w:val="none"/>
                <w:lang w:val="en-US" w:eastAsia="zh-CN"/>
              </w:rPr>
              <w:t>11：00分（北京时间）</w:t>
            </w:r>
          </w:p>
        </w:tc>
      </w:tr>
      <w:tr>
        <w:trPr>
          <w:trHeight w:val="252"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bCs/>
                <w:color w:val="auto"/>
                <w:sz w:val="24"/>
                <w:szCs w:val="24"/>
                <w:highlight w:val="none"/>
              </w:rPr>
              <w:t>有效期</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日历天（从投标截止之日算起）</w:t>
            </w:r>
          </w:p>
        </w:tc>
      </w:tr>
      <w:tr>
        <w:trPr>
          <w:trHeight w:val="542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投标保证金的形式：转账、</w:t>
            </w:r>
            <w:r>
              <w:rPr>
                <w:rFonts w:hint="eastAsia" w:ascii="宋体" w:hAnsi="宋体" w:eastAsia="宋体" w:cs="宋体"/>
                <w:b/>
                <w:bCs/>
                <w:sz w:val="24"/>
                <w:szCs w:val="24"/>
                <w:highlight w:val="none"/>
                <w:lang w:val="en-US" w:eastAsia="zh-CN"/>
              </w:rPr>
              <w:t>电汇、电子保函</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投标保证金的金额：</w:t>
            </w:r>
            <w:r>
              <w:rPr>
                <w:rFonts w:hint="eastAsia" w:ascii="宋体" w:hAnsi="宋体" w:cs="宋体"/>
                <w:b/>
                <w:bCs/>
                <w:sz w:val="24"/>
                <w:szCs w:val="24"/>
                <w:highlight w:val="none"/>
                <w:lang w:eastAsia="zh-CN"/>
              </w:rPr>
              <w:t>268</w:t>
            </w:r>
            <w:r>
              <w:rPr>
                <w:rFonts w:hint="eastAsia" w:ascii="宋体" w:hAnsi="宋体" w:eastAsia="宋体" w:cs="宋体"/>
                <w:b/>
                <w:bCs/>
                <w:sz w:val="24"/>
                <w:szCs w:val="24"/>
                <w:highlight w:val="none"/>
                <w:lang w:eastAsia="zh-CN"/>
              </w:rPr>
              <w:t>00</w:t>
            </w:r>
            <w:r>
              <w:rPr>
                <w:rFonts w:hint="eastAsia" w:ascii="宋体" w:hAnsi="宋体" w:eastAsia="宋体" w:cs="宋体"/>
                <w:b/>
                <w:bCs/>
                <w:sz w:val="24"/>
                <w:szCs w:val="24"/>
                <w:highlight w:val="none"/>
              </w:rPr>
              <w:t>元整（大写：</w:t>
            </w:r>
            <w:r>
              <w:rPr>
                <w:rFonts w:hint="eastAsia" w:ascii="宋体" w:hAnsi="宋体" w:cs="宋体"/>
                <w:b/>
                <w:bCs/>
                <w:sz w:val="24"/>
                <w:szCs w:val="24"/>
                <w:highlight w:val="none"/>
                <w:lang w:eastAsia="zh-CN"/>
              </w:rPr>
              <w:t>贰万陆仟捌佰</w:t>
            </w:r>
            <w:r>
              <w:rPr>
                <w:rFonts w:hint="eastAsia" w:ascii="宋体" w:hAnsi="宋体" w:eastAsia="宋体" w:cs="宋体"/>
                <w:b/>
                <w:bCs/>
                <w:sz w:val="24"/>
                <w:szCs w:val="24"/>
                <w:highlight w:val="none"/>
              </w:rPr>
              <w:t>元整）</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投标保证金缴纳账户：</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投标保证金账号：和田县行政服务和公共资源交易中心</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开户银行：中国农业银行股份有限公司和田市支行</w:t>
            </w:r>
          </w:p>
          <w:p>
            <w:pPr>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账     号：30580801040005315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注：1.采用银行转账或电汇的方式的，由报名单位基本账户于 </w:t>
            </w:r>
            <w:r>
              <w:rPr>
                <w:rFonts w:hint="eastAsia" w:ascii="宋体" w:hAnsi="宋体" w:cs="宋体"/>
                <w:sz w:val="24"/>
                <w:szCs w:val="24"/>
                <w:highlight w:val="none"/>
                <w:lang w:val="en-US" w:eastAsia="zh-CN"/>
              </w:rPr>
              <w:t>2023年10月17日</w:t>
            </w:r>
            <w:r>
              <w:rPr>
                <w:rFonts w:hint="eastAsia" w:ascii="宋体" w:hAnsi="宋体" w:eastAsia="宋体" w:cs="宋体"/>
                <w:sz w:val="24"/>
                <w:szCs w:val="24"/>
                <w:highlight w:val="none"/>
                <w:lang w:val="en-US" w:eastAsia="zh-CN"/>
              </w:rPr>
              <w:t>11：00（北京时间）前汇至和田县行政服务和公共资源交易中心专用账户，不得以现金和其他形式缴纳，不得以分公司、办事处或其他机构的名义缴纳，报名单位在缴纳保证金时，需在进账凭证上明确资金用途、项目名称 ，以便查对核实。投标保证金缴纳截止时间为递交投标文件截止时间，无须到和田县行政服务和公共资源交易中心换取收据。</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电子保函使用方法：1、登录新疆维吾尔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400-9039583。</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保函投保金额</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元</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eastAsia="zh-CN"/>
              </w:rPr>
              <w:t>268</w:t>
            </w:r>
            <w:r>
              <w:rPr>
                <w:rFonts w:hint="eastAsia" w:ascii="宋体" w:hAnsi="宋体" w:eastAsia="宋体" w:cs="宋体"/>
                <w:b/>
                <w:bCs/>
                <w:sz w:val="24"/>
                <w:szCs w:val="24"/>
                <w:highlight w:val="none"/>
                <w:lang w:eastAsia="zh-CN"/>
              </w:rPr>
              <w:t>00</w:t>
            </w:r>
            <w:r>
              <w:rPr>
                <w:rFonts w:hint="eastAsia" w:ascii="宋体" w:hAnsi="宋体" w:eastAsia="宋体" w:cs="宋体"/>
                <w:b/>
                <w:bCs/>
                <w:sz w:val="24"/>
                <w:szCs w:val="24"/>
                <w:highlight w:val="none"/>
              </w:rPr>
              <w:t>元整（大写：</w:t>
            </w:r>
            <w:r>
              <w:rPr>
                <w:rFonts w:hint="eastAsia" w:ascii="宋体" w:hAnsi="宋体" w:cs="宋体"/>
                <w:b/>
                <w:bCs/>
                <w:sz w:val="24"/>
                <w:szCs w:val="24"/>
                <w:highlight w:val="none"/>
                <w:lang w:eastAsia="zh-CN"/>
              </w:rPr>
              <w:t>贰万陆仟捌佰</w:t>
            </w:r>
            <w:r>
              <w:rPr>
                <w:rFonts w:hint="eastAsia" w:ascii="宋体" w:hAnsi="宋体" w:eastAsia="宋体" w:cs="宋体"/>
                <w:b/>
                <w:bCs/>
                <w:sz w:val="24"/>
                <w:szCs w:val="24"/>
                <w:highlight w:val="none"/>
              </w:rPr>
              <w:t>元整）</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保函承保期限： 2023年</w:t>
            </w:r>
            <w:r>
              <w:rPr>
                <w:rFonts w:hint="eastAsia" w:ascii="宋体" w:hAnsi="宋体" w:cs="宋体"/>
                <w:b/>
                <w:bCs/>
                <w:sz w:val="24"/>
                <w:szCs w:val="24"/>
                <w:highlight w:val="none"/>
                <w:lang w:val="en-US" w:eastAsia="zh-CN"/>
              </w:rPr>
              <w:t>10</w:t>
            </w:r>
            <w:r>
              <w:rPr>
                <w:rFonts w:hint="eastAsia" w:ascii="宋体" w:hAnsi="宋体" w:eastAsia="宋体" w:cs="宋体"/>
                <w:b/>
                <w:bCs/>
                <w:sz w:val="24"/>
                <w:szCs w:val="24"/>
                <w:highlight w:val="none"/>
                <w:lang w:val="en-US" w:eastAsia="zh-CN"/>
              </w:rPr>
              <w:t>月</w:t>
            </w:r>
            <w:r>
              <w:rPr>
                <w:rFonts w:hint="eastAsia" w:ascii="宋体" w:hAnsi="宋体" w:cs="宋体"/>
                <w:b/>
                <w:bCs/>
                <w:sz w:val="24"/>
                <w:szCs w:val="24"/>
                <w:highlight w:val="none"/>
                <w:lang w:val="en-US" w:eastAsia="zh-CN"/>
              </w:rPr>
              <w:t>17</w:t>
            </w:r>
            <w:r>
              <w:rPr>
                <w:rFonts w:hint="eastAsia" w:ascii="宋体" w:hAnsi="宋体" w:eastAsia="宋体" w:cs="宋体"/>
                <w:b/>
                <w:bCs/>
                <w:sz w:val="24"/>
                <w:szCs w:val="24"/>
                <w:highlight w:val="none"/>
                <w:lang w:val="en-US" w:eastAsia="zh-CN"/>
              </w:rPr>
              <w:t>日----  202</w:t>
            </w:r>
            <w:r>
              <w:rPr>
                <w:rFonts w:hint="eastAsia" w:ascii="宋体" w:hAnsi="宋体" w:cs="宋体"/>
                <w:b/>
                <w:bCs/>
                <w:sz w:val="24"/>
                <w:szCs w:val="24"/>
                <w:highlight w:val="none"/>
                <w:lang w:val="en-US" w:eastAsia="zh-CN"/>
              </w:rPr>
              <w:t>4</w:t>
            </w:r>
            <w:r>
              <w:rPr>
                <w:rFonts w:hint="eastAsia" w:ascii="宋体" w:hAnsi="宋体" w:eastAsia="宋体" w:cs="宋体"/>
                <w:b/>
                <w:bCs/>
                <w:sz w:val="24"/>
                <w:szCs w:val="24"/>
                <w:highlight w:val="none"/>
                <w:lang w:val="en-US" w:eastAsia="zh-CN"/>
              </w:rPr>
              <w:t xml:space="preserve"> 年</w:t>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lang w:val="en-US" w:eastAsia="zh-CN"/>
              </w:rPr>
              <w:t xml:space="preserve">月 </w:t>
            </w:r>
            <w:r>
              <w:rPr>
                <w:rFonts w:hint="eastAsia" w:ascii="宋体" w:hAnsi="宋体" w:cs="宋体"/>
                <w:b/>
                <w:bCs/>
                <w:sz w:val="24"/>
                <w:szCs w:val="24"/>
                <w:highlight w:val="none"/>
                <w:lang w:val="en-US" w:eastAsia="zh-CN"/>
              </w:rPr>
              <w:t>17</w:t>
            </w:r>
            <w:r>
              <w:rPr>
                <w:rFonts w:hint="eastAsia" w:ascii="宋体" w:hAnsi="宋体" w:eastAsia="宋体" w:cs="宋体"/>
                <w:b/>
                <w:bCs/>
                <w:sz w:val="24"/>
                <w:szCs w:val="24"/>
                <w:highlight w:val="none"/>
                <w:lang w:val="en-US" w:eastAsia="zh-CN"/>
              </w:rPr>
              <w:t xml:space="preserve">日（90日历天） </w:t>
            </w:r>
            <w:r>
              <w:rPr>
                <w:rFonts w:hint="eastAsia" w:ascii="宋体" w:hAnsi="宋体" w:eastAsia="宋体" w:cs="宋体"/>
                <w:sz w:val="24"/>
                <w:szCs w:val="24"/>
                <w:highlight w:val="none"/>
                <w:lang w:val="en-US" w:eastAsia="zh-CN"/>
              </w:rPr>
              <w:t xml:space="preserve">  </w:t>
            </w:r>
          </w:p>
        </w:tc>
      </w:tr>
      <w:tr>
        <w:trPr>
          <w:trHeight w:val="343"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签字盖章</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投标人必须按照招标文件的规定和要求签字、盖章</w:t>
            </w:r>
          </w:p>
        </w:tc>
      </w:tr>
      <w:tr>
        <w:trPr>
          <w:trHeight w:val="9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递交投标文件的地点及方式</w:t>
            </w:r>
          </w:p>
        </w:tc>
        <w:tc>
          <w:tcPr>
            <w:tcW w:w="7512" w:type="dxa"/>
            <w:tcBorders>
              <w:left w:val="single" w:color="auto" w:sz="4" w:space="0"/>
            </w:tcBorders>
            <w:noWrap w:val="0"/>
            <w:vAlign w:val="center"/>
          </w:tcPr>
          <w:p>
            <w:pPr>
              <w:shd w:val="clear" w:color="auto" w:fill="auto"/>
              <w:spacing w:line="340" w:lineRule="exact"/>
              <w:ind w:left="714" w:leftChars="1" w:hanging="712" w:hangingChars="297"/>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eastAsia="zh-CN"/>
              </w:rPr>
              <w:t>政采云平台不见面开标</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递交投标文件的地点及方式：</w:t>
            </w:r>
            <w:r>
              <w:rPr>
                <w:rFonts w:hint="eastAsia" w:ascii="宋体" w:hAnsi="宋体" w:eastAsia="宋体" w:cs="宋体"/>
                <w:bCs/>
                <w:color w:val="auto"/>
                <w:sz w:val="24"/>
                <w:szCs w:val="24"/>
                <w:highlight w:val="none"/>
              </w:rPr>
              <w:t>投标人应</w:t>
            </w:r>
            <w:r>
              <w:rPr>
                <w:rFonts w:hint="eastAsia" w:ascii="宋体" w:hAnsi="宋体" w:cs="宋体"/>
                <w:bCs/>
                <w:color w:val="auto"/>
                <w:sz w:val="24"/>
                <w:szCs w:val="24"/>
                <w:highlight w:val="none"/>
                <w:lang w:eastAsia="zh-CN"/>
              </w:rPr>
              <w:t>2023年10月17日</w:t>
            </w:r>
            <w:r>
              <w:rPr>
                <w:rFonts w:hint="eastAsia" w:ascii="宋体" w:hAnsi="宋体" w:eastAsia="宋体" w:cs="宋体"/>
                <w:bCs/>
                <w:color w:val="auto"/>
                <w:sz w:val="24"/>
                <w:szCs w:val="24"/>
                <w:highlight w:val="none"/>
                <w:lang w:eastAsia="zh-CN"/>
              </w:rPr>
              <w:t>11点00分</w:t>
            </w:r>
            <w:r>
              <w:rPr>
                <w:rFonts w:hint="eastAsia" w:ascii="宋体" w:hAnsi="宋体" w:eastAsia="宋体" w:cs="宋体"/>
                <w:bCs/>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w:t>
            </w:r>
            <w:r>
              <w:rPr>
                <w:rFonts w:hint="eastAsia" w:ascii="宋体" w:hAnsi="宋体" w:cs="宋体"/>
                <w:bCs/>
                <w:color w:val="auto"/>
                <w:sz w:val="24"/>
                <w:szCs w:val="24"/>
                <w:highlight w:val="none"/>
                <w:lang w:eastAsia="zh-CN"/>
              </w:rPr>
              <w:t>具有</w:t>
            </w:r>
            <w:r>
              <w:rPr>
                <w:rFonts w:hint="eastAsia" w:ascii="宋体" w:hAnsi="宋体" w:eastAsia="宋体" w:cs="宋体"/>
                <w:bCs/>
                <w:color w:val="auto"/>
                <w:sz w:val="24"/>
                <w:szCs w:val="24"/>
                <w:highlight w:val="none"/>
              </w:rPr>
              <w:t>热线咨询，联系方式：400-881-7190</w:t>
            </w:r>
            <w:r>
              <w:rPr>
                <w:rFonts w:hint="eastAsia" w:ascii="宋体" w:hAnsi="宋体" w:eastAsia="宋体" w:cs="宋体"/>
                <w:bCs/>
                <w:color w:val="auto"/>
                <w:sz w:val="24"/>
                <w:szCs w:val="24"/>
                <w:highlight w:val="none"/>
                <w:lang w:val="en-US" w:eastAsia="zh-CN"/>
              </w:rPr>
              <w:t>或95763</w:t>
            </w:r>
            <w:r>
              <w:rPr>
                <w:rFonts w:hint="eastAsia" w:ascii="宋体" w:hAnsi="宋体" w:eastAsia="宋体" w:cs="宋体"/>
                <w:bCs/>
                <w:color w:val="auto"/>
                <w:sz w:val="24"/>
                <w:szCs w:val="24"/>
                <w:highlight w:val="none"/>
              </w:rPr>
              <w:t>。</w:t>
            </w:r>
          </w:p>
        </w:tc>
      </w:tr>
      <w:tr>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rPr>
              <w:t>标前准备</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1、本项目实行网上投标，采用电子投标文件。供应商应按照相关格式要求上传投标文件即可，无需到现场开标。若供应商参与投标，自行承担投标一切费用。</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3、本项目为电子招投标，投标人需要使用CA加密设备，有意向参与新疆区域电子开评标的供应商，请访问新疆数字证书认证中心官方网站（https://www.xjca.com.cn/）或下载</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“新疆政务通”APP自行进行申领。如需咨询，请联系新疆CA服务热线0991-2819290 </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4、供应商将新疆政府采购电子交易客户端下载、安装完成后，可通过账号密码或CA登录客户端进行投标文件制作。在使用新疆政府采购投标客户端时，建议使用WIN7及以上操作系统。客户端请至新疆政府采购网（http://www.ccgp-xinjiang.gov.cn/）下载专区查看，如有问题可拨打新疆政府采购客户服务热线95763进行咨询。</w:t>
            </w:r>
          </w:p>
        </w:tc>
      </w:tr>
      <w:tr>
        <w:trPr>
          <w:trHeight w:val="270"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auto"/>
                <w:lang w:eastAsia="zh-CN"/>
              </w:rPr>
              <w:t>招标文件解密时间</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120" w:leftChars="0" w:right="62" w:rightChars="0" w:hanging="120" w:hangingChars="5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2023年10月17日</w:t>
            </w:r>
            <w:r>
              <w:rPr>
                <w:rFonts w:hint="eastAsia" w:ascii="宋体" w:hAnsi="宋体" w:eastAsia="宋体" w:cs="宋体"/>
                <w:color w:val="auto"/>
                <w:sz w:val="24"/>
                <w:szCs w:val="24"/>
                <w:highlight w:val="none"/>
                <w:lang w:val="en-US" w:eastAsia="zh-CN"/>
              </w:rPr>
              <w:t>11：00</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11：30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北京时间</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前供应商可以登录“</w:t>
            </w:r>
            <w:r>
              <w:rPr>
                <w:rFonts w:hint="eastAsia" w:ascii="宋体" w:hAnsi="宋体" w:eastAsia="宋体" w:cs="宋体"/>
                <w:b w:val="0"/>
                <w:bCs w:val="0"/>
                <w:color w:val="auto"/>
                <w:sz w:val="24"/>
                <w:szCs w:val="24"/>
                <w:highlight w:val="none"/>
                <w:lang w:val="en-US" w:eastAsia="zh-CN"/>
              </w:rPr>
              <w:t>政采云</w:t>
            </w:r>
            <w:r>
              <w:rPr>
                <w:rFonts w:hint="eastAsia" w:ascii="宋体" w:hAnsi="宋体" w:eastAsia="宋体" w:cs="宋体"/>
                <w:b w:val="0"/>
                <w:bCs w:val="0"/>
                <w:color w:val="auto"/>
                <w:sz w:val="24"/>
                <w:szCs w:val="24"/>
                <w:highlight w:val="none"/>
              </w:rPr>
              <w:t>”平台，用“项目采购</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开标评标”功能进行解密投标文件。若供应商在规定时间内（</w:t>
            </w:r>
            <w:r>
              <w:rPr>
                <w:rFonts w:hint="eastAsia" w:ascii="宋体" w:hAnsi="宋体" w:eastAsia="宋体" w:cs="宋体"/>
                <w:b w:val="0"/>
                <w:bCs w:val="0"/>
                <w:color w:val="auto"/>
                <w:sz w:val="24"/>
                <w:szCs w:val="24"/>
                <w:highlight w:val="none"/>
                <w:lang w:val="en-US" w:eastAsia="zh-CN"/>
              </w:rPr>
              <w:t>2023</w:t>
            </w:r>
            <w:r>
              <w:rPr>
                <w:rFonts w:hint="eastAsia" w:ascii="宋体" w:hAnsi="宋体" w:eastAsia="宋体" w:cs="宋体"/>
                <w:b w:val="0"/>
                <w:bCs w:val="0"/>
                <w:color w:val="auto"/>
                <w:sz w:val="24"/>
                <w:szCs w:val="24"/>
                <w:highlight w:val="none"/>
                <w:lang w:eastAsia="zh-CN"/>
              </w:rPr>
              <w:t>年</w:t>
            </w:r>
            <w:r>
              <w:rPr>
                <w:rFonts w:hint="eastAsia" w:ascii="宋体" w:hAnsi="宋体" w:cs="宋体"/>
                <w:b w:val="0"/>
                <w:bCs w:val="0"/>
                <w:color w:val="auto"/>
                <w:sz w:val="24"/>
                <w:szCs w:val="24"/>
                <w:highlight w:val="none"/>
                <w:lang w:val="en-US" w:eastAsia="zh-CN"/>
              </w:rPr>
              <w:t>10月17日</w:t>
            </w:r>
            <w:r>
              <w:rPr>
                <w:rFonts w:hint="eastAsia" w:ascii="宋体" w:hAnsi="宋体" w:eastAsia="宋体" w:cs="宋体"/>
                <w:b w:val="0"/>
                <w:bCs w:val="0"/>
                <w:color w:val="auto"/>
                <w:sz w:val="24"/>
                <w:szCs w:val="24"/>
                <w:highlight w:val="none"/>
                <w:lang w:val="en-US" w:eastAsia="zh-CN"/>
              </w:rPr>
              <w:t>上午11：30</w:t>
            </w:r>
            <w:r>
              <w:rPr>
                <w:rFonts w:hint="eastAsia" w:ascii="宋体" w:hAnsi="宋体" w:eastAsia="宋体" w:cs="宋体"/>
                <w:b w:val="0"/>
                <w:bCs w:val="0"/>
                <w:color w:val="auto"/>
                <w:sz w:val="24"/>
                <w:szCs w:val="24"/>
                <w:highlight w:val="none"/>
              </w:rPr>
              <w:t>前）未按时解密的，视为投标文件撤回。</w:t>
            </w:r>
          </w:p>
        </w:tc>
      </w:tr>
      <w:tr>
        <w:trPr>
          <w:trHeight w:val="617"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550" w:type="dxa"/>
            <w:tcBorders>
              <w:right w:val="single" w:color="auto" w:sz="4" w:space="0"/>
            </w:tcBorders>
            <w:noWrap w:val="0"/>
            <w:vAlign w:val="center"/>
          </w:tcPr>
          <w:p>
            <w:pPr>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auto"/>
              </w:rPr>
              <w:t>招标代理服务费</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代理费用收取方式及标准，采用以下方式：</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标准：参照国家发改委[2011]534号文、[2015]299号文作为协商价格的基础收取，</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lang w:val="en-US" w:eastAsia="zh-CN"/>
              </w:rPr>
              <w:t>本项目招标代理服务费：由中标供应商支付。</w:t>
            </w:r>
          </w:p>
        </w:tc>
      </w:tr>
      <w:tr>
        <w:trPr>
          <w:trHeight w:val="494"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代理服务费付款方式</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公对公转账或电汇</w:t>
            </w:r>
          </w:p>
        </w:tc>
      </w:tr>
      <w:tr>
        <w:trPr>
          <w:trHeight w:val="2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评标委员的组建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lang w:val="en-US" w:eastAsia="zh-CN"/>
              </w:rPr>
              <w:t xml:space="preserve">  5  </w:t>
            </w:r>
            <w:r>
              <w:rPr>
                <w:rFonts w:hint="eastAsia" w:ascii="宋体" w:hAnsi="宋体" w:eastAsia="宋体" w:cs="宋体"/>
                <w:color w:val="auto"/>
                <w:sz w:val="24"/>
                <w:szCs w:val="24"/>
                <w:highlight w:val="none"/>
              </w:rPr>
              <w:t>人；</w:t>
            </w:r>
          </w:p>
          <w:p>
            <w:pPr>
              <w:keepNext w:val="0"/>
              <w:keepLines w:val="0"/>
              <w:pageBreakBefore w:val="0"/>
              <w:kinsoku/>
              <w:wordWrap/>
              <w:overflowPunct/>
              <w:topLinePunct w:val="0"/>
              <w:autoSpaceDE/>
              <w:autoSpaceDN/>
              <w:bidi w:val="0"/>
              <w:adjustRightInd/>
              <w:snapToGrid/>
              <w:spacing w:line="300" w:lineRule="exact"/>
              <w:ind w:left="0" w:right="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评标专家确定方式：由招标代理在开标前</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rPr>
              <w:t>小时在新疆政府采购专家库中随机抽取此次评标专家</w:t>
            </w:r>
            <w:r>
              <w:rPr>
                <w:rFonts w:hint="eastAsia" w:ascii="宋体" w:hAnsi="宋体" w:eastAsia="宋体" w:cs="宋体"/>
                <w:color w:val="auto"/>
                <w:sz w:val="24"/>
                <w:szCs w:val="24"/>
                <w:highlight w:val="none"/>
                <w:lang w:eastAsia="zh-CN"/>
              </w:rPr>
              <w:t>。</w:t>
            </w:r>
          </w:p>
        </w:tc>
      </w:tr>
      <w:tr>
        <w:trPr>
          <w:trHeight w:val="429"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512"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合同总价的　10%　，根据《中华人民共和国政府采购法实施条例》第四十八条履约保证金的数额不得超过政府采购合同金额的10%。中标人与招标人签订合同前提交履约保证金，如中标人未按招标文件规定的工期服务、实施过程中的设计变更、施工配合、验收配合等服务完毕，则扣除履约保证金。</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sz w:val="24"/>
                <w:szCs w:val="24"/>
                <w:highlight w:val="none"/>
                <w:lang w:val="en-US" w:eastAsia="zh-CN"/>
              </w:rPr>
              <w:t>履约保证金形式：支票、汇票、本票</w:t>
            </w:r>
            <w:r>
              <w:rPr>
                <w:rFonts w:hint="eastAsia" w:ascii="宋体" w:hAnsi="宋体" w:cs="宋体"/>
                <w:sz w:val="24"/>
                <w:szCs w:val="24"/>
                <w:highlight w:val="none"/>
                <w:lang w:val="en-US" w:eastAsia="zh-CN"/>
              </w:rPr>
              <w:t>，或者</w:t>
            </w:r>
            <w:r>
              <w:rPr>
                <w:rFonts w:hint="eastAsia" w:ascii="宋体" w:hAnsi="宋体" w:eastAsia="宋体" w:cs="宋体"/>
                <w:sz w:val="24"/>
                <w:szCs w:val="24"/>
                <w:highlight w:val="none"/>
                <w:lang w:val="en-US" w:eastAsia="zh-CN"/>
              </w:rPr>
              <w:t>金融机构、担保机构出具的保函</w:t>
            </w:r>
            <w:r>
              <w:rPr>
                <w:rFonts w:hint="eastAsia" w:ascii="宋体" w:hAnsi="宋体" w:cs="宋体"/>
                <w:sz w:val="24"/>
                <w:szCs w:val="24"/>
                <w:highlight w:val="none"/>
                <w:lang w:val="en-US" w:eastAsia="zh-CN"/>
              </w:rPr>
              <w:t>等</w:t>
            </w:r>
            <w:r>
              <w:rPr>
                <w:rFonts w:hint="eastAsia" w:ascii="宋体" w:hAnsi="宋体" w:eastAsia="宋体" w:cs="宋体"/>
                <w:sz w:val="24"/>
                <w:szCs w:val="24"/>
                <w:highlight w:val="none"/>
                <w:lang w:val="en-US" w:eastAsia="zh-CN"/>
              </w:rPr>
              <w:t>非现金形式提交（履约赔付地点为项目所在地）</w:t>
            </w:r>
          </w:p>
        </w:tc>
      </w:tr>
      <w:tr>
        <w:trPr>
          <w:trHeight w:val="4255" w:hRule="atLeast"/>
          <w:jc w:val="center"/>
        </w:trPr>
        <w:tc>
          <w:tcPr>
            <w:tcW w:w="493"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right="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政府采购政策</w:t>
            </w:r>
            <w:r>
              <w:rPr>
                <w:rFonts w:hint="eastAsia" w:ascii="宋体" w:hAnsi="宋体" w:cs="宋体"/>
                <w:color w:val="auto"/>
                <w:sz w:val="24"/>
                <w:szCs w:val="24"/>
                <w:highlight w:val="none"/>
                <w:lang w:val="en-US" w:eastAsia="zh-CN"/>
              </w:rPr>
              <w:t>具有</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根据《中华人民共和国政府采购法》、财政部、 工信部《政府采购促进中小企业发展管理办法》（财 库〔2020〕46 号）、《关于进一步加大政府采购</w:t>
            </w:r>
            <w:r>
              <w:rPr>
                <w:rFonts w:hint="eastAsia" w:ascii="宋体" w:hAnsi="宋体" w:cs="宋体"/>
                <w:sz w:val="24"/>
                <w:szCs w:val="24"/>
                <w:highlight w:val="none"/>
                <w:lang w:val="en-US" w:eastAsia="zh-CN"/>
              </w:rPr>
              <w:t>具有</w:t>
            </w:r>
            <w:r>
              <w:rPr>
                <w:rFonts w:hint="eastAsia" w:ascii="宋体" w:hAnsi="宋体" w:eastAsia="宋体" w:cs="宋体"/>
                <w:sz w:val="24"/>
                <w:szCs w:val="24"/>
                <w:highlight w:val="none"/>
                <w:lang w:val="en-US" w:eastAsia="zh-CN"/>
              </w:rPr>
              <w:t xml:space="preserve">中小企业力度的通知财库〔2022〕19 号》等有关法律法规执行； </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注：供应商应当对《中小企业声明函》、监狱企业 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本项目所属行业（</w:t>
            </w:r>
            <w:r>
              <w:rPr>
                <w:rFonts w:hint="eastAsia" w:ascii="宋体" w:hAnsi="宋体" w:cs="宋体"/>
                <w:sz w:val="24"/>
                <w:szCs w:val="24"/>
                <w:highlight w:val="none"/>
                <w:lang w:val="en-US" w:eastAsia="zh-CN"/>
              </w:rPr>
              <w:t>货物</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详见采购需求</w:t>
            </w:r>
            <w:r>
              <w:rPr>
                <w:rFonts w:hint="eastAsia" w:ascii="宋体" w:hAnsi="宋体" w:eastAsia="宋体" w:cs="宋体"/>
                <w:sz w:val="24"/>
                <w:szCs w:val="24"/>
                <w:highlight w:val="none"/>
                <w:lang w:val="en-US" w:eastAsia="zh-CN"/>
              </w:rPr>
              <w:t xml:space="preserve">    </w:t>
            </w:r>
          </w:p>
        </w:tc>
      </w:tr>
      <w:tr>
        <w:trPr>
          <w:trHeight w:val="2291" w:hRule="atLeast"/>
          <w:jc w:val="center"/>
        </w:trPr>
        <w:tc>
          <w:tcPr>
            <w:tcW w:w="493" w:type="dxa"/>
            <w:tcBorders>
              <w:top w:val="single" w:color="auto" w:sz="4" w:space="0"/>
            </w:tcBorders>
            <w:noWrap w:val="0"/>
            <w:vAlign w:val="center"/>
          </w:tcPr>
          <w:p>
            <w:pPr>
              <w:bidi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550" w:type="dxa"/>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right="0" w:firstLine="0" w:firstLineChars="0"/>
              <w:jc w:val="center"/>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关于小微企业报价扣除比例说明</w:t>
            </w:r>
          </w:p>
        </w:tc>
        <w:tc>
          <w:tcPr>
            <w:tcW w:w="7512" w:type="dxa"/>
            <w:tcBorders>
              <w:top w:val="single" w:color="auto" w:sz="4" w:space="0"/>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1.投标人为非联合体投标的，对其投标货物的制造商为小微型企业的给予10%的扣除，以扣除后的报价参与评审。</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6%由采购人在幅度范围内确定）的扣除，用扣除后的价格参加评审。</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3.监狱企业、残疾人福利性单位视同小型、微型企业。</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4.如专门面向中小企业的采购项目，不再享受价格扣除。</w:t>
            </w:r>
          </w:p>
        </w:tc>
      </w:tr>
      <w:tr>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1</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特别提醒：</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1、所有投标人的报价高于本项目（标项）最高限价额度的视为无效报价（即作否决投标处理）。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相同品牌产品且通过资格审查、符合性审查的不同投标人参加同一合同项下投标的，按一家投标人计算，评审后报价最低的同品牌投标人获得中标人推荐资格；评审得分相同的，按照随机抽取方式确定一个投标人获得中标人推荐资格，其他同品牌投标人不作为中标候选人。</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4、更正补充公告请自行登录新疆政府采购网查看下载。</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5、采购代理机构将拒绝接受未在政采云平台获取招标文件的投标人的投标文件。</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6、所有投标单位对招标文件中所有条款如有疑问或异议请在开标以书面形式提出，否则不予受理。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7、为确保投标保证金的及时退还，结果公示后投标企业需提供保证金汇款凭证、开户许可证复印件、收据并注明开户行行号、联系方式（加盖公司公章）交至</w:t>
            </w:r>
            <w:r>
              <w:rPr>
                <w:rFonts w:hint="eastAsia" w:ascii="宋体" w:hAnsi="宋体" w:cs="宋体"/>
                <w:b w:val="0"/>
                <w:bCs w:val="0"/>
                <w:color w:val="000000"/>
                <w:sz w:val="24"/>
                <w:szCs w:val="24"/>
                <w:highlight w:val="none"/>
                <w:lang w:val="en-US" w:eastAsia="zh-CN"/>
              </w:rPr>
              <w:t>新疆晓君招标有限公司</w:t>
            </w:r>
            <w:r>
              <w:rPr>
                <w:rFonts w:hint="eastAsia" w:ascii="宋体" w:hAnsi="宋体" w:eastAsia="宋体" w:cs="宋体"/>
                <w:b w:val="0"/>
                <w:bCs w:val="0"/>
                <w:color w:val="000000"/>
                <w:sz w:val="24"/>
                <w:szCs w:val="24"/>
                <w:highlight w:val="none"/>
                <w:lang w:val="en-US" w:eastAsia="zh-CN"/>
              </w:rPr>
              <w:t>财务室办理。（注：废标项目投标保证金在后续项目再次招标时银行系统不做统计，投标企业及时办理退款）。</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8、本项目资格审查模块由招标代理组织进行。</w:t>
            </w:r>
          </w:p>
        </w:tc>
      </w:tr>
      <w:tr>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155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lang w:val="en-US" w:eastAsia="zh-CN"/>
              </w:rPr>
              <w:t>2</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val="zh-CN" w:eastAsia="zh-CN"/>
              </w:rPr>
              <w:t>本项目的招标投标活动以及相关当事人须接受财政监督部门依法实施的监督。</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550" w:type="dxa"/>
            <w:tcBorders>
              <w:right w:val="single" w:color="auto" w:sz="4" w:space="0"/>
            </w:tcBorders>
            <w:noWrap w:val="0"/>
            <w:vAlign w:val="center"/>
          </w:tcPr>
          <w:p>
            <w:pPr>
              <w:shd w:val="clear" w:color="auto" w:fill="auto"/>
              <w:spacing w:line="360" w:lineRule="exact"/>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重要提示</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（4）中标供应商中标后被监管部门查实存在违法行为，不满足中标条件的，由采购人取消中标资格，并做好项目后续工作； </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其他方式采购</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（1）招标文件存在不合理条款或者采购程序不符合规定的，采购人、采购代理机构改正后依法重新采购；</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000000"/>
                <w:sz w:val="24"/>
                <w:szCs w:val="24"/>
                <w:highlight w:val="none"/>
                <w:lang w:val="en-US" w:eastAsia="zh-CN"/>
              </w:rPr>
              <w:t>（2）招标文件没有不合理条款、采购程序符合规定，需要采用其他采购方式采购的，采购人应当依法报财政部门批准。</w:t>
            </w:r>
          </w:p>
        </w:tc>
      </w:tr>
      <w:tr>
        <w:trPr>
          <w:trHeight w:val="668"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供应商认为招标文件、采购过程或中标结果使自己的合法权益受到损害的，应当在知道或者应知其权益受到损害之日起在规定的期限内，以书面或邮件形式一次性向采购人（采购代理机构）提出质疑或供应商对采购人（采购代理机构）的质疑答复不满意或者采购人（采购代理机构）未在规定时间内</w:t>
            </w:r>
            <w:r>
              <w:rPr>
                <w:rFonts w:hint="eastAsia" w:ascii="宋体" w:hAnsi="宋体" w:cs="宋体"/>
                <w:b w:val="0"/>
                <w:bCs w:val="0"/>
                <w:color w:val="000000"/>
                <w:sz w:val="24"/>
                <w:szCs w:val="24"/>
                <w:highlight w:val="none"/>
                <w:lang w:val="en-US" w:eastAsia="zh-CN"/>
              </w:rPr>
              <w:t>作</w:t>
            </w:r>
            <w:r>
              <w:rPr>
                <w:rFonts w:hint="eastAsia" w:ascii="宋体" w:hAnsi="宋体" w:eastAsia="宋体" w:cs="宋体"/>
                <w:b w:val="0"/>
                <w:bCs w:val="0"/>
                <w:color w:val="000000"/>
                <w:sz w:val="24"/>
                <w:szCs w:val="24"/>
                <w:highlight w:val="none"/>
                <w:lang w:val="en-US" w:eastAsia="zh-CN"/>
              </w:rPr>
              <w:t>出答复的，可以在答复期满后五个工作日内向有关监管部门投诉。</w:t>
            </w:r>
          </w:p>
          <w:p>
            <w:pPr>
              <w:keepNext w:val="0"/>
              <w:keepLines w:val="0"/>
              <w:pageBreakBefore w:val="0"/>
              <w:kinsoku/>
              <w:wordWrap/>
              <w:overflowPunct/>
              <w:topLinePunct w:val="0"/>
              <w:autoSpaceDE/>
              <w:autoSpaceDN/>
              <w:bidi w:val="0"/>
              <w:adjustRightInd/>
              <w:snapToGrid/>
              <w:spacing w:line="300" w:lineRule="exact"/>
              <w:ind w:left="0" w:right="0" w:firstLine="482" w:firstLineChars="200"/>
              <w:jc w:val="both"/>
              <w:textAlignment w:val="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lang w:val="en-US" w:eastAsia="zh-CN"/>
              </w:rPr>
              <w:t>注：根据《中华人民共和国政府采购法》的规定，供应商质疑不得超出公开招标文件、公开招标过程及公开招标结果的范围及时效限制。</w:t>
            </w:r>
          </w:p>
        </w:tc>
      </w:tr>
      <w:tr>
        <w:trPr>
          <w:trHeight w:val="4066" w:hRule="atLeast"/>
          <w:jc w:val="center"/>
        </w:trPr>
        <w:tc>
          <w:tcPr>
            <w:tcW w:w="493" w:type="dxa"/>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1550" w:type="dxa"/>
            <w:tcBorders>
              <w:right w:val="single" w:color="auto" w:sz="4" w:space="0"/>
            </w:tcBorders>
            <w:noWrap w:val="0"/>
            <w:vAlign w:val="center"/>
          </w:tcPr>
          <w:p>
            <w:pPr>
              <w:shd w:val="clear" w:color="auto" w:fill="auto"/>
              <w:ind w:left="120" w:leftChars="0" w:right="62" w:rightChars="0" w:hanging="120" w:hanging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tc>
        <w:tc>
          <w:tcPr>
            <w:tcW w:w="7512"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（2）质疑、投诉应当采用书面或邮件形式，质疑书、投诉书均应明确阐述招标文件 、采购过程或中标结果中使自己合法权益受到损害的实质性内容，提供相关事实、依据和证据及其来源或线索，便于有关单位调查、答复和处理。</w:t>
            </w:r>
          </w:p>
          <w:p>
            <w:pPr>
              <w:keepNext w:val="0"/>
              <w:keepLines w:val="0"/>
              <w:pageBreakBefore w:val="0"/>
              <w:kinsoku/>
              <w:wordWrap/>
              <w:overflowPunct/>
              <w:topLinePunct w:val="0"/>
              <w:autoSpaceDE/>
              <w:autoSpaceDN/>
              <w:bidi w:val="0"/>
              <w:adjustRightInd/>
              <w:snapToGrid/>
              <w:spacing w:line="300" w:lineRule="exact"/>
              <w:ind w:left="0" w:righ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注：根据《中华人民共和国政府采购法实施条例》的规定，供应商投诉事项不得超出已质疑事项的范围。</w:t>
            </w:r>
          </w:p>
          <w:p>
            <w:pPr>
              <w:pStyle w:val="2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政府采购监督管理部门：</w:t>
            </w:r>
          </w:p>
          <w:p>
            <w:pPr>
              <w:pStyle w:val="2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名称：和田县政府采购办公室</w:t>
            </w:r>
          </w:p>
          <w:p>
            <w:pPr>
              <w:pStyle w:val="2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联系人：张先生</w:t>
            </w:r>
          </w:p>
          <w:p>
            <w:pPr>
              <w:pStyle w:val="2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联系电话：13279061956   </w:t>
            </w:r>
          </w:p>
        </w:tc>
      </w:tr>
      <w:tr>
        <w:trPr>
          <w:trHeight w:val="90" w:hRule="atLeast"/>
          <w:jc w:val="center"/>
        </w:trPr>
        <w:tc>
          <w:tcPr>
            <w:tcW w:w="9555" w:type="dxa"/>
            <w:gridSpan w:val="3"/>
            <w:noWrap w:val="0"/>
            <w:vAlign w:val="center"/>
          </w:tcPr>
          <w:p>
            <w:pPr>
              <w:spacing w:line="240" w:lineRule="auto"/>
              <w:ind w:left="0" w:right="0" w:firstLine="48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spacing w:line="240" w:lineRule="auto"/>
              <w:ind w:left="0" w:right="0" w:firstLine="48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请注意：供应商</w:t>
            </w:r>
            <w:r>
              <w:rPr>
                <w:rFonts w:hint="eastAsia" w:ascii="宋体" w:hAnsi="宋体" w:cs="宋体"/>
                <w:b/>
                <w:bCs/>
                <w:color w:val="auto"/>
                <w:kern w:val="2"/>
                <w:sz w:val="24"/>
                <w:szCs w:val="24"/>
                <w:highlight w:val="none"/>
                <w:lang w:val="en-US" w:eastAsia="zh-CN" w:bidi="ar-SA"/>
              </w:rPr>
              <w:t>须</w:t>
            </w:r>
            <w:r>
              <w:rPr>
                <w:rFonts w:hint="eastAsia" w:ascii="宋体" w:hAnsi="宋体" w:eastAsia="宋体" w:cs="宋体"/>
                <w:b/>
                <w:bCs/>
                <w:color w:val="auto"/>
                <w:kern w:val="2"/>
                <w:sz w:val="24"/>
                <w:szCs w:val="24"/>
                <w:highlight w:val="none"/>
                <w:lang w:val="en-US" w:eastAsia="zh-CN" w:bidi="ar-SA"/>
              </w:rPr>
              <w:t>在投标文件截止时间前，将加密投标文件上传至云平台项目采购系统，逾期上传或错误方式投递送达将导致投标无效。</w:t>
            </w:r>
          </w:p>
          <w:p>
            <w:pPr>
              <w:pStyle w:val="90"/>
              <w:ind w:firstLine="482" w:firstLineChars="20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hd w:val="clear" w:color="auto" w:fill="auto"/>
        <w:spacing w:line="3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本须知前附表内容与招标文件的内容相对应，如有矛盾，应以投标须知前附表为准。</w:t>
      </w:r>
    </w:p>
    <w:p>
      <w:pPr>
        <w:rPr>
          <w:rFonts w:hint="eastAsia" w:ascii="宋体" w:hAnsi="宋体" w:eastAsia="宋体" w:cs="宋体"/>
          <w:b/>
          <w:sz w:val="28"/>
          <w:szCs w:val="28"/>
          <w:highlight w:val="none"/>
        </w:rPr>
      </w:pPr>
      <w:r>
        <w:rPr>
          <w:rFonts w:hint="eastAsia" w:ascii="宋体" w:hAnsi="宋体" w:eastAsia="宋体" w:cs="宋体"/>
          <w:b/>
          <w:sz w:val="24"/>
          <w:szCs w:val="24"/>
          <w:highlight w:val="none"/>
        </w:rPr>
        <w:br w:type="page"/>
      </w:r>
    </w:p>
    <w:p>
      <w:pPr>
        <w:spacing w:line="500" w:lineRule="exact"/>
        <w:ind w:left="120" w:hanging="120"/>
        <w:jc w:val="center"/>
        <w:rPr>
          <w:rFonts w:hint="eastAsia" w:ascii="宋体" w:hAnsi="宋体" w:eastAsia="宋体" w:cs="宋体"/>
          <w:b/>
          <w:sz w:val="24"/>
          <w:highlight w:val="none"/>
        </w:rPr>
      </w:pPr>
      <w:r>
        <w:rPr>
          <w:rFonts w:hint="eastAsia" w:ascii="宋体" w:hAnsi="宋体" w:eastAsia="宋体" w:cs="宋体"/>
          <w:b/>
          <w:sz w:val="28"/>
          <w:szCs w:val="28"/>
          <w:highlight w:val="none"/>
        </w:rPr>
        <w:t>投标人须知正文部分</w:t>
      </w:r>
    </w:p>
    <w:p>
      <w:pPr>
        <w:spacing w:line="500" w:lineRule="exact"/>
        <w:ind w:left="120" w:hanging="120"/>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 xml:space="preserve"> </w:t>
      </w:r>
      <w:bookmarkStart w:id="32" w:name="_Toc17382"/>
      <w:r>
        <w:rPr>
          <w:rFonts w:hint="eastAsia" w:ascii="宋体" w:hAnsi="宋体" w:eastAsia="宋体" w:cs="宋体"/>
          <w:b/>
          <w:sz w:val="28"/>
          <w:szCs w:val="28"/>
          <w:highlight w:val="none"/>
          <w:lang w:val="en-US" w:eastAsia="zh-CN"/>
        </w:rPr>
        <w:t>（一）总则</w:t>
      </w:r>
      <w:bookmarkEnd w:id="32"/>
    </w:p>
    <w:p>
      <w:pPr>
        <w:pageBreakBefore w:val="0"/>
        <w:kinsoku/>
        <w:wordWrap/>
        <w:overflowPunct/>
        <w:topLinePunct w:val="0"/>
        <w:autoSpaceDE/>
        <w:autoSpaceDN/>
        <w:bidi w:val="0"/>
        <w:adjustRightInd/>
        <w:spacing w:line="30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（一）适用范围</w:t>
      </w:r>
    </w:p>
    <w:p>
      <w:pPr>
        <w:pageBreakBefore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本招标文件适用于</w:t>
      </w:r>
      <w:r>
        <w:rPr>
          <w:rFonts w:hint="eastAsia" w:ascii="宋体" w:hAnsi="宋体" w:cs="宋体"/>
          <w:sz w:val="24"/>
          <w:szCs w:val="24"/>
          <w:highlight w:val="none"/>
          <w:lang w:val="en-US" w:eastAsia="zh-CN"/>
        </w:rPr>
        <w:t>2023年现代职业教育质量提升计划建设数字信息化校园建设项目（二次）</w:t>
      </w:r>
      <w:r>
        <w:rPr>
          <w:rFonts w:hint="eastAsia" w:ascii="宋体" w:hAnsi="宋体" w:eastAsia="宋体" w:cs="宋体"/>
          <w:sz w:val="24"/>
          <w:szCs w:val="24"/>
          <w:highlight w:val="none"/>
          <w:lang w:val="en-US" w:eastAsia="zh-CN"/>
        </w:rPr>
        <w:t>的招标、投标、评标、定标、验收、合同履约、付款等行为（法律、法规另有规定的，从其规定）。</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3" w:name="_Toc21374"/>
      <w:bookmarkStart w:id="34" w:name="_Toc13192"/>
      <w:r>
        <w:rPr>
          <w:rFonts w:hint="eastAsia" w:ascii="宋体" w:hAnsi="宋体" w:eastAsia="宋体" w:cs="宋体"/>
          <w:b/>
          <w:bCs/>
          <w:sz w:val="24"/>
          <w:szCs w:val="24"/>
          <w:highlight w:val="none"/>
          <w:lang w:val="en-US" w:eastAsia="zh-CN"/>
        </w:rPr>
        <w:t>（二）定义</w:t>
      </w:r>
      <w:bookmarkEnd w:id="33"/>
      <w:bookmarkEnd w:id="34"/>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1.招标采购单位系指组织本次招标的代理机构（“招标人”）和采购单位。</w:t>
      </w:r>
    </w:p>
    <w:p>
      <w:pPr>
        <w:pageBreakBefore w:val="0"/>
        <w:kinsoku/>
        <w:wordWrap/>
        <w:overflowPunct/>
        <w:topLinePunct w:val="0"/>
        <w:autoSpaceDE/>
        <w:autoSpaceDN/>
        <w:bidi w:val="0"/>
        <w:adjustRightInd/>
        <w:spacing w:line="300" w:lineRule="auto"/>
        <w:ind w:left="210" w:leftChars="100" w:firstLine="480" w:firstLineChars="200"/>
        <w:textAlignment w:val="auto"/>
        <w:outlineLvl w:val="2"/>
        <w:rPr>
          <w:rFonts w:hint="eastAsia" w:ascii="宋体" w:hAnsi="宋体" w:eastAsia="宋体" w:cs="宋体"/>
          <w:sz w:val="24"/>
          <w:szCs w:val="24"/>
          <w:highlight w:val="none"/>
          <w:lang w:val="en-US" w:eastAsia="zh-CN"/>
        </w:rPr>
      </w:pPr>
      <w:bookmarkStart w:id="35" w:name="_Toc16199"/>
      <w:r>
        <w:rPr>
          <w:rFonts w:hint="eastAsia" w:ascii="宋体" w:hAnsi="宋体" w:eastAsia="宋体" w:cs="宋体"/>
          <w:sz w:val="24"/>
          <w:szCs w:val="24"/>
          <w:highlight w:val="none"/>
          <w:lang w:val="en-US" w:eastAsia="zh-CN"/>
        </w:rPr>
        <w:t>2.“投标人”系指向招标方提交投标文件的单位或个人。</w:t>
      </w:r>
      <w:bookmarkEnd w:id="35"/>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3.“产品”系指供方按招标文件规定，须向招标人提供的一切服务</w:t>
      </w:r>
      <w:r>
        <w:rPr>
          <w:rFonts w:hint="eastAsia" w:ascii="宋体" w:hAnsi="宋体" w:cs="宋体"/>
          <w:sz w:val="24"/>
          <w:szCs w:val="24"/>
          <w:highlight w:val="none"/>
          <w:lang w:val="en-US" w:eastAsia="zh-CN"/>
        </w:rPr>
        <w:t>及其他有关</w:t>
      </w:r>
      <w:r>
        <w:rPr>
          <w:rFonts w:hint="eastAsia" w:ascii="宋体" w:hAnsi="宋体" w:eastAsia="宋体" w:cs="宋体"/>
          <w:sz w:val="24"/>
          <w:szCs w:val="24"/>
          <w:highlight w:val="none"/>
          <w:lang w:val="en-US" w:eastAsia="zh-CN"/>
        </w:rPr>
        <w:t>技术资料和材料。</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4.“服务”系指招标文件规定投标人须承担的技术协助、校准、培训、技术指导以及其他类似的义务。</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5.“项目”系指投标人按招标文件规定向招标人提供的产品和服务。</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bookmarkStart w:id="36" w:name="_Toc20586"/>
      <w:r>
        <w:rPr>
          <w:rFonts w:hint="eastAsia" w:ascii="宋体" w:hAnsi="宋体" w:eastAsia="宋体" w:cs="宋体"/>
          <w:sz w:val="24"/>
          <w:szCs w:val="24"/>
          <w:highlight w:val="none"/>
          <w:lang w:val="en-US" w:eastAsia="zh-CN"/>
        </w:rPr>
        <w:t>6.“书面形式”包括信函、传真、电报等。</w:t>
      </w:r>
      <w:bookmarkEnd w:id="36"/>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7" w:name="_Toc15840"/>
      <w:bookmarkStart w:id="38" w:name="_Toc14030"/>
      <w:r>
        <w:rPr>
          <w:rFonts w:hint="eastAsia" w:ascii="宋体" w:hAnsi="宋体" w:eastAsia="宋体" w:cs="宋体"/>
          <w:b/>
          <w:bCs/>
          <w:sz w:val="24"/>
          <w:szCs w:val="24"/>
          <w:highlight w:val="none"/>
          <w:lang w:val="en-US" w:eastAsia="zh-CN"/>
        </w:rPr>
        <w:t>（三）招标方式</w:t>
      </w:r>
      <w:bookmarkEnd w:id="37"/>
      <w:bookmarkEnd w:id="38"/>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本次招标采用公开招标方式进行。</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39" w:name="_Toc20843"/>
      <w:bookmarkStart w:id="40" w:name="_Toc18596"/>
      <w:r>
        <w:rPr>
          <w:rFonts w:hint="eastAsia" w:ascii="宋体" w:hAnsi="宋体" w:eastAsia="宋体" w:cs="宋体"/>
          <w:b/>
          <w:bCs/>
          <w:sz w:val="24"/>
          <w:szCs w:val="24"/>
          <w:highlight w:val="none"/>
          <w:lang w:val="en-US" w:eastAsia="zh-CN"/>
        </w:rPr>
        <w:t>（四）采购文件获取</w:t>
      </w:r>
      <w:bookmarkEnd w:id="39"/>
      <w:bookmarkEnd w:id="40"/>
    </w:p>
    <w:p>
      <w:pPr>
        <w:pStyle w:val="69"/>
        <w:keepNext w:val="0"/>
        <w:keepLines w:val="0"/>
        <w:pageBreakBefore w:val="0"/>
        <w:widowControl/>
        <w:suppressLineNumbers w:val="0"/>
        <w:kinsoku/>
        <w:wordWrap/>
        <w:overflowPunct/>
        <w:topLinePunct w:val="0"/>
        <w:autoSpaceDE/>
        <w:autoSpaceDN/>
        <w:bidi w:val="0"/>
        <w:adjustRightInd/>
        <w:spacing w:before="75" w:beforeAutospacing="0" w:after="75" w:afterAutospacing="0" w:line="240" w:lineRule="auto"/>
        <w:ind w:left="0" w:leftChars="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bidi="ar-SA"/>
        </w:rPr>
        <w:t xml:space="preserve"> 供应商登录政采云平台https://www.zcygov.cn/在线申请获取采购文件（进入“项目采购”应用，在获取采购文件菜单中选择项目，申请获取采购文件）</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1" w:name="_Toc1704"/>
      <w:bookmarkStart w:id="42" w:name="_Toc17293"/>
      <w:r>
        <w:rPr>
          <w:rFonts w:hint="eastAsia" w:ascii="宋体" w:hAnsi="宋体" w:eastAsia="宋体" w:cs="宋体"/>
          <w:b/>
          <w:bCs/>
          <w:sz w:val="24"/>
          <w:szCs w:val="24"/>
          <w:highlight w:val="none"/>
          <w:lang w:val="en-US" w:eastAsia="zh-CN"/>
        </w:rPr>
        <w:t>（五）投标费用</w:t>
      </w:r>
      <w:bookmarkEnd w:id="41"/>
      <w:bookmarkEnd w:id="42"/>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不论投标结果如何，投标人均应自行承担所有与投标有关的全部费用。</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3" w:name="_Toc19554"/>
      <w:bookmarkStart w:id="44" w:name="_Toc22117"/>
      <w:r>
        <w:rPr>
          <w:rFonts w:hint="eastAsia" w:ascii="宋体" w:hAnsi="宋体" w:eastAsia="宋体" w:cs="宋体"/>
          <w:b/>
          <w:bCs/>
          <w:sz w:val="24"/>
          <w:szCs w:val="24"/>
          <w:highlight w:val="none"/>
          <w:lang w:val="en-US" w:eastAsia="zh-CN"/>
        </w:rPr>
        <w:t>（六）联合体投标</w:t>
      </w:r>
      <w:bookmarkEnd w:id="43"/>
      <w:bookmarkEnd w:id="44"/>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1联合体各方均应当满足《中华人民共和国政府采购法》第二十二条规定的条件，并在投标文件中提供联合体各方的相关证明材料。</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4联合体成员存在不良信用记录的，视同联合体存在不良信用记录。</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6联合体各方应当共同与采购人签订采购合同，就合同约定的事项对采购人承担连带责任。</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5" w:name="_Toc11478"/>
      <w:bookmarkStart w:id="46" w:name="_Toc21389"/>
      <w:r>
        <w:rPr>
          <w:rFonts w:hint="eastAsia" w:ascii="宋体" w:hAnsi="宋体" w:eastAsia="宋体" w:cs="宋体"/>
          <w:b/>
          <w:bCs/>
          <w:sz w:val="24"/>
          <w:szCs w:val="24"/>
          <w:highlight w:val="none"/>
          <w:lang w:val="en-US" w:eastAsia="zh-CN"/>
        </w:rPr>
        <w:t>（七）转包与分包</w:t>
      </w:r>
      <w:bookmarkEnd w:id="45"/>
      <w:bookmarkEnd w:id="46"/>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1.本项目不允许转包。</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2.本项目可以分包。</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3.投标人应仔细阅读招标文件的所有内容，按照招标文件的要求提交投标文件，并对所提供的全部资料的真实性承担法律责任。</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4.投标人在投标活动中提供任何虚假材料</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其投标无效，并报监管部门查处；中标后发现的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中标人须依照《中华人民共和国消费者权益保护法》第49条之规定双倍赔偿招标人，且民事赔偿并不免除违法投标人的行政与刑事责任。</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47" w:name="_Toc4294"/>
      <w:bookmarkStart w:id="48" w:name="_Toc14774"/>
      <w:r>
        <w:rPr>
          <w:rFonts w:hint="eastAsia" w:ascii="宋体" w:hAnsi="宋体" w:eastAsia="宋体" w:cs="宋体"/>
          <w:b/>
          <w:bCs/>
          <w:sz w:val="24"/>
          <w:szCs w:val="24"/>
          <w:highlight w:val="none"/>
          <w:lang w:val="en-US" w:eastAsia="zh-CN"/>
        </w:rPr>
        <w:t>（八）质疑和投诉</w:t>
      </w:r>
      <w:bookmarkEnd w:id="47"/>
      <w:bookmarkEnd w:id="48"/>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（九）纪律与保密事项</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1投标人不得相互串通投标报价，不得妨碍其他投标人的公平竞争，不得损害采购人或其他投标人的合法权益，投标人不得以向采购人、评标委员会成员行贿或者采取其他不正当手段谋取中标。</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2在确定中标供应商之前，投标人不得与采购人就投标价格、投标方案等实质性内容进行谈判，也不得私下接触评标委员会成员。</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3在确定中标供应商之前，投标人试图在投标文件审查、澄清、比较和评价时对评标委员会、采购人和采购代理机构施加任何影响都可能导致其投标无效。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4获得本招标文件者，须履行本项目下保密义务，不得将因本次项目获得的信息向第三人外传，不得将招标文件用作本次投标以外的任何用途。</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6采购人或采购代理机构有权将供应商提供的所有资料向有关政府部门或评审小组披露。</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keepNext w:val="0"/>
        <w:keepLines w:val="0"/>
        <w:pageBreakBefore w:val="0"/>
        <w:kinsoku/>
        <w:wordWrap/>
        <w:overflowPunct/>
        <w:topLinePunct w:val="0"/>
        <w:autoSpaceDE/>
        <w:autoSpaceDN/>
        <w:bidi w:val="0"/>
        <w:adjustRightInd/>
        <w:snapToGrid/>
        <w:spacing w:line="300" w:lineRule="exact"/>
        <w:ind w:left="0" w:right="0" w:firstLine="562" w:firstLineChars="200"/>
        <w:jc w:val="both"/>
        <w:textAlignment w:val="auto"/>
        <w:rPr>
          <w:rFonts w:hint="eastAsia" w:ascii="宋体" w:hAnsi="宋体" w:eastAsia="宋体" w:cs="宋体"/>
          <w:b/>
          <w:bCs/>
          <w:color w:val="000000"/>
          <w:sz w:val="28"/>
          <w:szCs w:val="28"/>
          <w:highlight w:val="none"/>
          <w:lang w:val="en-US" w:eastAsia="zh-CN"/>
        </w:rPr>
      </w:pPr>
      <w:bookmarkStart w:id="49" w:name="_Toc521014777"/>
      <w:bookmarkStart w:id="50" w:name="_Toc503212209"/>
      <w:bookmarkStart w:id="51" w:name="_Toc32144"/>
      <w:bookmarkStart w:id="52" w:name="_Toc30350"/>
      <w:bookmarkStart w:id="53" w:name="_Toc28270"/>
    </w:p>
    <w:p>
      <w:pPr>
        <w:keepNext w:val="0"/>
        <w:keepLines w:val="0"/>
        <w:pageBreakBefore w:val="0"/>
        <w:numPr>
          <w:ilvl w:val="0"/>
          <w:numId w:val="4"/>
        </w:numPr>
        <w:kinsoku/>
        <w:wordWrap/>
        <w:overflowPunct/>
        <w:topLinePunct w:val="0"/>
        <w:autoSpaceDE/>
        <w:autoSpaceDN/>
        <w:bidi w:val="0"/>
        <w:adjustRightInd/>
        <w:snapToGrid/>
        <w:spacing w:line="300" w:lineRule="exact"/>
        <w:ind w:left="0" w:right="0" w:firstLine="562" w:firstLineChars="20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招标文件</w:t>
      </w:r>
      <w:bookmarkEnd w:id="49"/>
      <w:bookmarkEnd w:id="50"/>
      <w:bookmarkEnd w:id="51"/>
      <w:bookmarkEnd w:id="52"/>
      <w:bookmarkEnd w:id="53"/>
    </w:p>
    <w:p>
      <w:pPr>
        <w:keepNext w:val="0"/>
        <w:keepLines w:val="0"/>
        <w:pageBreakBefore w:val="0"/>
        <w:numPr>
          <w:ilvl w:val="0"/>
          <w:numId w:val="0"/>
        </w:numPr>
        <w:kinsoku/>
        <w:wordWrap/>
        <w:overflowPunct/>
        <w:topLinePunct w:val="0"/>
        <w:autoSpaceDE/>
        <w:autoSpaceDN/>
        <w:bidi w:val="0"/>
        <w:adjustRightInd/>
        <w:snapToGrid/>
        <w:spacing w:line="300" w:lineRule="exact"/>
        <w:ind w:right="0" w:righ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（一）招标文件的构成。本招标文件由以下</w:t>
      </w:r>
      <w:r>
        <w:rPr>
          <w:rFonts w:hint="eastAsia" w:ascii="宋体" w:hAnsi="宋体" w:cs="宋体"/>
          <w:b/>
          <w:bCs/>
          <w:sz w:val="24"/>
          <w:szCs w:val="24"/>
          <w:highlight w:val="none"/>
          <w:lang w:val="en-US" w:eastAsia="zh-CN"/>
        </w:rPr>
        <w:t>部分</w:t>
      </w:r>
      <w:r>
        <w:rPr>
          <w:rFonts w:hint="eastAsia" w:ascii="宋体" w:hAnsi="宋体" w:eastAsia="宋体" w:cs="宋体"/>
          <w:b/>
          <w:bCs/>
          <w:sz w:val="24"/>
          <w:szCs w:val="24"/>
          <w:highlight w:val="none"/>
          <w:lang w:val="en-US" w:eastAsia="zh-CN"/>
        </w:rPr>
        <w:t>组成：</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第一章 招标公告</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第二章 投标人须知</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第三章 评标办法及标准</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第四章 招标需求</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第五章 合同主要条款</w:t>
      </w:r>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第六章 投标文件格式</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54" w:name="_Toc12877"/>
      <w:bookmarkStart w:id="55" w:name="_Toc18044"/>
      <w:r>
        <w:rPr>
          <w:rFonts w:hint="eastAsia" w:ascii="宋体" w:hAnsi="宋体" w:eastAsia="宋体" w:cs="宋体"/>
          <w:b/>
          <w:bCs/>
          <w:sz w:val="24"/>
          <w:szCs w:val="24"/>
          <w:highlight w:val="none"/>
          <w:lang w:val="en-US" w:eastAsia="zh-CN"/>
        </w:rPr>
        <w:t>（二）投标人的风险</w:t>
      </w:r>
      <w:bookmarkEnd w:id="54"/>
      <w:bookmarkEnd w:id="55"/>
    </w:p>
    <w:p>
      <w:pPr>
        <w:pageBreakBefore w:val="0"/>
        <w:kinsoku/>
        <w:wordWrap/>
        <w:overflowPunct/>
        <w:topLinePunct w:val="0"/>
        <w:autoSpaceDE/>
        <w:autoSpaceDN/>
        <w:bidi w:val="0"/>
        <w:adjustRightInd/>
        <w:spacing w:line="300" w:lineRule="auto"/>
        <w:ind w:left="210" w:leftChars="10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投标人没有按照招标文件要求提供全部资料，或者投标人没有对招标文件在各方面作出实质性响应是投标人的风险，并可能导致其投标为无效标。</w:t>
      </w:r>
    </w:p>
    <w:p>
      <w:pPr>
        <w:pageBreakBefore w:val="0"/>
        <w:kinsoku/>
        <w:wordWrap/>
        <w:overflowPunct/>
        <w:topLinePunct w:val="0"/>
        <w:autoSpaceDE/>
        <w:autoSpaceDN/>
        <w:bidi w:val="0"/>
        <w:adjustRightInd/>
        <w:spacing w:line="300" w:lineRule="auto"/>
        <w:ind w:firstLine="482" w:firstLineChars="200"/>
        <w:textAlignment w:val="auto"/>
        <w:outlineLvl w:val="1"/>
        <w:rPr>
          <w:rFonts w:hint="eastAsia" w:ascii="宋体" w:hAnsi="宋体" w:eastAsia="宋体" w:cs="宋体"/>
          <w:b/>
          <w:bCs/>
          <w:sz w:val="24"/>
          <w:szCs w:val="24"/>
          <w:highlight w:val="none"/>
          <w:lang w:val="en-US" w:eastAsia="zh-CN"/>
        </w:rPr>
      </w:pPr>
      <w:bookmarkStart w:id="56" w:name="_Toc27766"/>
      <w:bookmarkStart w:id="57" w:name="_Toc15241"/>
      <w:r>
        <w:rPr>
          <w:rFonts w:hint="eastAsia" w:ascii="宋体" w:hAnsi="宋体" w:eastAsia="宋体" w:cs="宋体"/>
          <w:b/>
          <w:bCs/>
          <w:sz w:val="24"/>
          <w:szCs w:val="24"/>
          <w:highlight w:val="none"/>
          <w:lang w:val="en-US" w:eastAsia="zh-CN"/>
        </w:rPr>
        <w:t>（三）招标文件的澄清与修改</w:t>
      </w:r>
      <w:bookmarkEnd w:id="56"/>
      <w:bookmarkEnd w:id="57"/>
      <w:r>
        <w:rPr>
          <w:rFonts w:hint="eastAsia" w:ascii="宋体" w:hAnsi="宋体" w:eastAsia="宋体" w:cs="宋体"/>
          <w:b/>
          <w:bCs/>
          <w:sz w:val="24"/>
          <w:szCs w:val="24"/>
          <w:highlight w:val="none"/>
          <w:lang w:val="en-US" w:eastAsia="zh-CN"/>
        </w:rPr>
        <w:t xml:space="preserve"> </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1.招标代理机构必须以书面形式答复投标人要求澄清的问题，并将不包含问题来源的答复书面通知所有购买招标文件的投标人；除书面答复以外的其他澄清方式及澄清内容均无效。</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2.招标文件澄清、答复、修改、补充的内容为招标文件的组成部分。当招标文件与招标文件的答复、澄清、修改、补充通知就同一内容的表述不一致时，以最后发出的书面文件为准。</w:t>
      </w:r>
    </w:p>
    <w:p>
      <w:pPr>
        <w:pageBreakBefore w:val="0"/>
        <w:kinsoku/>
        <w:wordWrap/>
        <w:overflowPunct/>
        <w:topLinePunct w:val="0"/>
        <w:autoSpaceDE/>
        <w:autoSpaceDN/>
        <w:bidi w:val="0"/>
        <w:adjustRightIn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3.招标文件的澄清、答复、修改或补充都应该通过本代理机构以法定形式发布，招标人非通过本机构，不得擅自澄清、答复、修改或补充招标文件。</w:t>
      </w:r>
    </w:p>
    <w:p>
      <w:pPr>
        <w:pStyle w:val="8"/>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58" w:name="_Toc27918"/>
      <w:bookmarkStart w:id="59" w:name="_Toc10814"/>
      <w:bookmarkStart w:id="60" w:name="_Toc8746"/>
      <w:bookmarkStart w:id="61" w:name="_Toc503212210"/>
      <w:bookmarkStart w:id="62" w:name="_Toc12173"/>
      <w:bookmarkStart w:id="63" w:name="_Toc521014778"/>
      <w:bookmarkStart w:id="64" w:name="_Toc765"/>
      <w:r>
        <w:rPr>
          <w:rFonts w:hint="eastAsia" w:ascii="宋体" w:hAnsi="宋体" w:eastAsia="宋体" w:cs="宋体"/>
          <w:b/>
          <w:bCs/>
          <w:color w:val="000000"/>
          <w:kern w:val="2"/>
          <w:sz w:val="28"/>
          <w:szCs w:val="28"/>
          <w:highlight w:val="none"/>
          <w:lang w:val="en-US" w:eastAsia="zh-CN" w:bidi="ar-SA"/>
        </w:rPr>
        <w:t>（三）投标文件的编制</w:t>
      </w:r>
      <w:bookmarkEnd w:id="58"/>
      <w:bookmarkEnd w:id="59"/>
      <w:bookmarkEnd w:id="60"/>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65" w:name="_Toc503212211"/>
      <w:bookmarkStart w:id="66" w:name="_Toc29977"/>
      <w:bookmarkStart w:id="67" w:name="_Toc521014779"/>
      <w:bookmarkStart w:id="68" w:name="_Toc23068"/>
      <w:r>
        <w:rPr>
          <w:rFonts w:hint="eastAsia" w:ascii="宋体" w:hAnsi="宋体" w:eastAsia="宋体" w:cs="宋体"/>
          <w:b/>
          <w:bCs/>
          <w:sz w:val="24"/>
          <w:szCs w:val="24"/>
          <w:highlight w:val="none"/>
        </w:rPr>
        <w:t>投标文件的组成</w:t>
      </w:r>
      <w:bookmarkEnd w:id="65"/>
      <w:bookmarkEnd w:id="66"/>
      <w:bookmarkEnd w:id="67"/>
      <w:bookmarkEnd w:id="68"/>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rPr>
      </w:pPr>
      <w:bookmarkStart w:id="69" w:name="_Toc21340"/>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投标文件由报价部分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val="en-US" w:eastAsia="zh-CN"/>
        </w:rPr>
        <w:t>部分、</w:t>
      </w:r>
      <w:r>
        <w:rPr>
          <w:rFonts w:hint="eastAsia" w:ascii="宋体" w:hAnsi="宋体" w:eastAsia="宋体" w:cs="宋体"/>
          <w:sz w:val="24"/>
          <w:szCs w:val="24"/>
          <w:highlight w:val="none"/>
        </w:rPr>
        <w:t>技术部分组成。</w:t>
      </w:r>
      <w:bookmarkEnd w:id="69"/>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、投标单位应按招标文件的要求提供招标文件，并保证所有材料的真实性，以确保其投标对招标文件做出实质性的响应。</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、招标文件使用的计量单位，应采用国家法定的计量单位。</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、投标人所递交的投标文件应包含以下文件：</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2、开标一览表；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3、投标报价明细表</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投标单位简介，并附投标人资质证件等；</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出具法人营业执照函（格式见附件）；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6、联合体协议书（如是）</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法定代表人证明书及身份证</w:t>
      </w:r>
      <w:r>
        <w:rPr>
          <w:rFonts w:hint="eastAsia" w:ascii="宋体" w:hAnsi="宋体" w:eastAsia="宋体" w:cs="宋体"/>
          <w:sz w:val="24"/>
          <w:szCs w:val="24"/>
          <w:highlight w:val="none"/>
          <w:lang w:val="en-US" w:eastAsia="zh-CN"/>
        </w:rPr>
        <w:t>复印</w:t>
      </w:r>
      <w:r>
        <w:rPr>
          <w:rFonts w:hint="eastAsia" w:ascii="宋体" w:hAnsi="宋体" w:eastAsia="宋体" w:cs="宋体"/>
          <w:sz w:val="24"/>
          <w:szCs w:val="24"/>
          <w:highlight w:val="none"/>
        </w:rPr>
        <w:t>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法人代表授权委托书及身份证</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9、拟派驻的技术/服务人员的近3个月的社保证明扫描件（社保缴纳个人明细）； </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11、投标单位的依法缴纳税收和社会保障资金的良好记录；具有良好的商业信誉和健全的财务会计制度（需提供2022年度财务审计报告；2023年成立的公司不提供；）；</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12、投标保证金打款凭证或保函文件；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 xml:space="preserve">商务偏离表（格式见附件）；  </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反商业贿赂承诺书（格式见附件）；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15、无围标、串标等违法违规行为承诺书</w:t>
      </w:r>
      <w:r>
        <w:rPr>
          <w:rFonts w:hint="eastAsia" w:ascii="宋体" w:hAnsi="宋体" w:eastAsia="宋体" w:cs="宋体"/>
          <w:sz w:val="24"/>
          <w:szCs w:val="24"/>
          <w:highlight w:val="none"/>
        </w:rPr>
        <w:t>（格式见附件）；</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16、中小企业声明函</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投标人认为有必要提供的声明及文件资料。</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对本次</w:t>
      </w:r>
      <w:r>
        <w:rPr>
          <w:rFonts w:hint="eastAsia" w:ascii="宋体" w:hAnsi="宋体" w:eastAsia="宋体" w:cs="宋体"/>
          <w:sz w:val="24"/>
          <w:szCs w:val="24"/>
          <w:highlight w:val="none"/>
          <w:lang w:val="en-US" w:eastAsia="zh-CN"/>
        </w:rPr>
        <w:t>投标项目的技术方案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投标人视需要自行编写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19、服务承诺书</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其他有利于投标人的资料（如有）</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注：法定代表人授权委托书、投标声明书、投标函、投标报价一览表必须由法定代表人签名</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盖章并加盖单位公章。</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outlineLvl w:val="1"/>
        <w:rPr>
          <w:rFonts w:hint="eastAsia" w:ascii="宋体" w:hAnsi="宋体" w:eastAsia="宋体" w:cs="宋体"/>
          <w:b/>
          <w:bCs/>
          <w:sz w:val="24"/>
          <w:szCs w:val="24"/>
          <w:highlight w:val="none"/>
        </w:rPr>
      </w:pPr>
      <w:bookmarkStart w:id="70" w:name="_Toc521014780"/>
      <w:bookmarkStart w:id="71" w:name="_Toc24112"/>
      <w:bookmarkStart w:id="72" w:name="_Toc28971"/>
      <w:bookmarkStart w:id="73" w:name="_Toc14838"/>
      <w:bookmarkStart w:id="74" w:name="_Toc503212212"/>
      <w:bookmarkStart w:id="75" w:name="_Toc18015"/>
      <w:r>
        <w:rPr>
          <w:rFonts w:hint="eastAsia" w:ascii="宋体" w:hAnsi="宋体" w:eastAsia="宋体" w:cs="宋体"/>
          <w:b/>
          <w:bCs/>
          <w:sz w:val="24"/>
          <w:szCs w:val="24"/>
          <w:highlight w:val="none"/>
        </w:rPr>
        <w:t>投标文件的语言及计量</w:t>
      </w:r>
      <w:bookmarkEnd w:id="70"/>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2.投标计量单位，招标文件已有明确规定的，使用招标文件规定的计量单位；招标文件没有规定的，应采用中华人民共和国法定计量单位（货币单位：人民币元），否则视同未响应。</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76" w:name="_Toc521014781"/>
      <w:bookmarkStart w:id="77" w:name="_Toc503212213"/>
      <w:bookmarkStart w:id="78" w:name="_Toc3970"/>
      <w:bookmarkStart w:id="79" w:name="_Toc6985"/>
      <w:r>
        <w:rPr>
          <w:rFonts w:hint="eastAsia" w:ascii="宋体" w:hAnsi="宋体" w:eastAsia="宋体" w:cs="宋体"/>
          <w:b/>
          <w:bCs/>
          <w:sz w:val="24"/>
          <w:szCs w:val="24"/>
          <w:highlight w:val="none"/>
        </w:rPr>
        <w:t>投标报价</w:t>
      </w:r>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报价应在招标报价表上标明单价和总价。单价和总价要相符。价格不一致时，根据《中华人民共和国财政部令第87号</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政府采购货物和服务招标投标管理办法》第五十九条投标文件报价出现前后不一致的，除招标文件另有规定外，按照下列规定修正：</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（一）投标文件中开标一览表（报价表）内容与投标文件中相应内容不一致的，以开标一览表（报价表）为准；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（二）大写金额和小写金额不一致的，以大写金额为准；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（三）单价金额小数点或者百分比有明显错位的，以开标一览表的总价为准，并修改单价；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（四）总价金额与单价汇总金额不一致的，以单价金额计算结果为准。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供应商应在投标报价表中标明其提供的所有货物及其相关工作范围内所在费用的总价，不接受有任何选择性报价。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3报价时应对下列几点特别注明：</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3.1招标文件中特别要求的备品备件、易损件和专用工具的费用；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3.2招标文件中特别要求的货物、运输、装卸、验收、税费和相关售后服务等费用</w:t>
      </w:r>
      <w:r>
        <w:rPr>
          <w:rFonts w:hint="eastAsia" w:ascii="宋体" w:hAnsi="宋体" w:cs="宋体"/>
          <w:sz w:val="24"/>
          <w:szCs w:val="24"/>
          <w:highlight w:val="none"/>
          <w:lang w:eastAsia="zh-CN"/>
        </w:rPr>
        <w:t>及其他</w:t>
      </w:r>
      <w:r>
        <w:rPr>
          <w:rFonts w:hint="eastAsia" w:ascii="宋体" w:hAnsi="宋体" w:eastAsia="宋体" w:cs="宋体"/>
          <w:sz w:val="24"/>
          <w:szCs w:val="24"/>
          <w:highlight w:val="none"/>
        </w:rPr>
        <w:t>附带服务的全部费用；</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算术性修正。算术性修正是指对招标响应文件的报价明细进行校核，并对其算术上和运算上的差错给予修正。修正的原则如下：</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 当以数字表示的金额与文字表示的金额有差异时，以文字表示的金额为准；</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 当单价与数量相乘不等于合价时，以单价计算为准。如果单价有明显的小数点位置差错，应以标出的合价为准，同时对单价予以修正；</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 当各明细部分的价格累计不等于合价时，应以各明细的累计计数为准，修正合价。</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 按以上原则对算术性差错修正，应取得供应商的同意，并确认修正后最终招标报价。如果供应商拒绝确认，则其招标响应文件将不予以评审并按废标处理，没收其投标担保。</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5 </w:t>
      </w:r>
      <w:r>
        <w:rPr>
          <w:rFonts w:hint="eastAsia" w:ascii="宋体" w:hAnsi="宋体" w:eastAsia="宋体" w:cs="宋体"/>
          <w:sz w:val="24"/>
          <w:szCs w:val="24"/>
          <w:highlight w:val="none"/>
        </w:rPr>
        <w:t>投标文件只允许有一个报价，有选择的或有条件的报价将不予接受。</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6 </w:t>
      </w:r>
      <w:r>
        <w:rPr>
          <w:rFonts w:hint="eastAsia" w:ascii="宋体" w:hAnsi="宋体" w:eastAsia="宋体" w:cs="宋体"/>
          <w:sz w:val="24"/>
          <w:szCs w:val="24"/>
          <w:highlight w:val="none"/>
        </w:rPr>
        <w:t>招标代理服务费由中标单位支付，投标单位在报价时请考虑。</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0" w:name="_Toc503212214"/>
      <w:bookmarkStart w:id="81" w:name="_Toc21211"/>
      <w:bookmarkStart w:id="82" w:name="_Toc21800"/>
      <w:bookmarkStart w:id="83" w:name="_Toc521014782"/>
      <w:r>
        <w:rPr>
          <w:rFonts w:hint="eastAsia" w:ascii="宋体" w:hAnsi="宋体" w:eastAsia="宋体" w:cs="宋体"/>
          <w:b/>
          <w:bCs/>
          <w:sz w:val="24"/>
          <w:szCs w:val="24"/>
          <w:highlight w:val="none"/>
        </w:rPr>
        <w:t>投标文件的有效期</w:t>
      </w:r>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1.自投标截止日起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天投标文件应保持有效。有效期不足的投标文件将被拒绝。</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2.在特殊情况下，招标人可与投标人协商延长投标书的有效期，这种要求和答复均以书面形式进行。</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3.投标人可拒绝接受延期要求而不会导致投标保证金被没收。同意延长有效期的投标人需要相应延长投标保证金的有效期，但不能修改投标文件。 </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4.中标人的投标文件自开标之日起至合同履行完毕止均应保持有效。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4" w:name="_Toc16117"/>
      <w:bookmarkStart w:id="85" w:name="_Toc503212215"/>
      <w:bookmarkStart w:id="86" w:name="_Toc22838"/>
      <w:bookmarkStart w:id="87" w:name="_Toc521014783"/>
      <w:r>
        <w:rPr>
          <w:rFonts w:hint="eastAsia" w:ascii="宋体" w:hAnsi="宋体" w:eastAsia="宋体" w:cs="宋体"/>
          <w:b/>
          <w:bCs/>
          <w:sz w:val="24"/>
          <w:szCs w:val="24"/>
          <w:highlight w:val="none"/>
        </w:rPr>
        <w:t>投标保证金</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1.投标人须按规定提交投标保证金</w:t>
      </w:r>
      <w:r>
        <w:rPr>
          <w:rFonts w:hint="eastAsia" w:ascii="宋体" w:hAnsi="宋体" w:eastAsia="宋体" w:cs="宋体"/>
          <w:sz w:val="24"/>
          <w:szCs w:val="24"/>
          <w:highlight w:val="none"/>
          <w:lang w:val="en-US" w:eastAsia="zh-CN"/>
        </w:rPr>
        <w:t>或电子保函</w:t>
      </w:r>
      <w:r>
        <w:rPr>
          <w:rFonts w:hint="eastAsia" w:ascii="宋体" w:hAnsi="宋体" w:eastAsia="宋体" w:cs="宋体"/>
          <w:sz w:val="24"/>
          <w:szCs w:val="24"/>
          <w:highlight w:val="none"/>
        </w:rPr>
        <w:t>。否则，其投标将被拒绝。</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2.保证金形式：</w:t>
      </w:r>
      <w:r>
        <w:rPr>
          <w:rFonts w:hint="eastAsia" w:ascii="宋体" w:hAnsi="宋体" w:eastAsia="宋体" w:cs="宋体"/>
          <w:sz w:val="24"/>
          <w:szCs w:val="24"/>
          <w:highlight w:val="none"/>
          <w:lang w:val="en-US" w:eastAsia="zh-CN"/>
        </w:rPr>
        <w:t>转账、汇款</w:t>
      </w:r>
      <w:r>
        <w:rPr>
          <w:rFonts w:hint="eastAsia" w:ascii="宋体" w:hAnsi="宋体" w:eastAsia="宋体" w:cs="宋体"/>
          <w:sz w:val="24"/>
          <w:szCs w:val="24"/>
          <w:highlight w:val="none"/>
        </w:rPr>
        <w:t>（必须从基本账户转出）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电子保函</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3.未中标人的投标保证金在公示期截止后退还。</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4.中标人的投标保证金在中标通知书发出签订正式采购合同，</w:t>
      </w:r>
      <w:r>
        <w:rPr>
          <w:rFonts w:hint="eastAsia" w:ascii="宋体" w:hAnsi="宋体" w:eastAsia="宋体" w:cs="宋体"/>
          <w:sz w:val="24"/>
          <w:szCs w:val="24"/>
          <w:highlight w:val="none"/>
          <w:lang w:val="en-US" w:eastAsia="zh-CN"/>
        </w:rPr>
        <w:t>需提供一份合同原件及相关材料办理退还投标保证金事宜</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5.保证金不计息。</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6.投标人有下列情形之一的，投标保证金将不予退还：</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（1）投标人在投标有效期内撤回投标文件的；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（2）投标人在投标过程中弄虚作假，提供虚假材料的；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（3）中标人无正当理由不与招标人签订合同的；</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（4）其他严重扰乱招投标程序的。</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88" w:name="_Toc503212216"/>
      <w:bookmarkStart w:id="89" w:name="_Toc25982"/>
      <w:bookmarkStart w:id="90" w:name="_Toc521014784"/>
      <w:bookmarkStart w:id="91" w:name="_Toc4584"/>
      <w:r>
        <w:rPr>
          <w:rFonts w:hint="eastAsia" w:ascii="宋体" w:hAnsi="宋体" w:eastAsia="宋体" w:cs="宋体"/>
          <w:b/>
          <w:bCs/>
          <w:sz w:val="24"/>
          <w:szCs w:val="24"/>
          <w:highlight w:val="none"/>
        </w:rPr>
        <w:t>投标文件的签署和</w:t>
      </w:r>
      <w:bookmarkEnd w:id="88"/>
      <w:bookmarkEnd w:id="89"/>
      <w:bookmarkEnd w:id="90"/>
      <w:bookmarkEnd w:id="91"/>
      <w:r>
        <w:rPr>
          <w:rFonts w:hint="eastAsia" w:ascii="宋体" w:hAnsi="宋体" w:eastAsia="宋体" w:cs="宋体"/>
          <w:b/>
          <w:bCs/>
          <w:sz w:val="24"/>
          <w:szCs w:val="24"/>
          <w:highlight w:val="none"/>
          <w:lang w:eastAsia="zh-CN"/>
        </w:rPr>
        <w:t>递交</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投标人应按本招标文件规定的格式和顺序编制、装订投标文件并标注页码，投标文件内容不完整、编排混乱</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上传不完整</w:t>
      </w:r>
      <w:r>
        <w:rPr>
          <w:rFonts w:hint="eastAsia" w:ascii="宋体" w:hAnsi="宋体" w:eastAsia="宋体" w:cs="宋体"/>
          <w:sz w:val="24"/>
          <w:szCs w:val="24"/>
          <w:highlight w:val="none"/>
        </w:rPr>
        <w:t>导致投标文件被误读、漏读或者查找不到相关内容的，是投标人的责任。</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投标人应于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2023年10月17日</w:t>
      </w:r>
      <w:r>
        <w:rPr>
          <w:rFonts w:hint="eastAsia" w:ascii="宋体" w:hAnsi="宋体" w:eastAsia="宋体" w:cs="宋体"/>
          <w:color w:val="auto"/>
          <w:sz w:val="24"/>
          <w:szCs w:val="24"/>
          <w:highlight w:val="none"/>
          <w:lang w:val="en-US" w:eastAsia="zh-CN"/>
        </w:rPr>
        <w:t>11：00（北京时间）</w:t>
      </w:r>
      <w:r>
        <w:rPr>
          <w:rFonts w:hint="eastAsia" w:ascii="宋体" w:hAnsi="宋体" w:eastAsia="宋体" w:cs="宋体"/>
          <w:sz w:val="24"/>
          <w:szCs w:val="24"/>
          <w:highlight w:val="none"/>
        </w:rPr>
        <w:t>前将电子投标文件上传到“</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”平台。应按照本项目招标文件和</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平台的要求编制、加密传输投标文件。供应商在使用系统进行投标的过程中遇到涉及平台使用的任何问题，可致电</w:t>
      </w:r>
      <w:r>
        <w:rPr>
          <w:rFonts w:hint="eastAsia" w:ascii="宋体" w:hAnsi="宋体" w:eastAsia="宋体" w:cs="宋体"/>
          <w:sz w:val="24"/>
          <w:szCs w:val="24"/>
          <w:highlight w:val="none"/>
          <w:lang w:eastAsia="zh-CN"/>
        </w:rPr>
        <w:t>新疆政府采购</w:t>
      </w:r>
      <w:r>
        <w:rPr>
          <w:rFonts w:hint="eastAsia" w:ascii="宋体" w:hAnsi="宋体" w:eastAsia="宋体" w:cs="宋体"/>
          <w:sz w:val="24"/>
          <w:szCs w:val="24"/>
          <w:highlight w:val="none"/>
        </w:rPr>
        <w:t>平台技术</w:t>
      </w:r>
      <w:r>
        <w:rPr>
          <w:rFonts w:hint="eastAsia" w:ascii="宋体" w:hAnsi="宋体" w:cs="宋体"/>
          <w:sz w:val="24"/>
          <w:szCs w:val="24"/>
          <w:highlight w:val="none"/>
          <w:lang w:eastAsia="zh-CN"/>
        </w:rPr>
        <w:t>具有</w:t>
      </w:r>
      <w:r>
        <w:rPr>
          <w:rFonts w:hint="eastAsia" w:ascii="宋体" w:hAnsi="宋体" w:eastAsia="宋体" w:cs="宋体"/>
          <w:sz w:val="24"/>
          <w:szCs w:val="24"/>
          <w:highlight w:val="none"/>
        </w:rPr>
        <w:t>热线咨询，联系方式：</w:t>
      </w:r>
      <w:r>
        <w:rPr>
          <w:rFonts w:hint="eastAsia" w:ascii="宋体" w:hAnsi="宋体" w:eastAsia="宋体" w:cs="宋体"/>
          <w:sz w:val="24"/>
          <w:szCs w:val="24"/>
          <w:highlight w:val="none"/>
          <w:lang w:val="en-US" w:eastAsia="zh-CN"/>
        </w:rPr>
        <w:t>95763</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.投标文件须由投标人在规定位置盖章并由法定代表人或法定代表人的授权委托人签署，投标人应写全称。</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.投标文件</w:t>
      </w:r>
      <w:r>
        <w:rPr>
          <w:rFonts w:hint="eastAsia" w:ascii="宋体" w:hAnsi="宋体" w:eastAsia="宋体" w:cs="宋体"/>
          <w:sz w:val="24"/>
          <w:szCs w:val="24"/>
          <w:highlight w:val="none"/>
          <w:lang w:val="en-US" w:eastAsia="zh-CN"/>
        </w:rPr>
        <w:t>应严格响应招标文件要求，有表述</w:t>
      </w:r>
      <w:r>
        <w:rPr>
          <w:rFonts w:hint="eastAsia" w:ascii="宋体" w:hAnsi="宋体" w:eastAsia="宋体" w:cs="宋体"/>
          <w:sz w:val="24"/>
          <w:szCs w:val="24"/>
          <w:highlight w:val="none"/>
        </w:rPr>
        <w:t>不清所引起的后果由投标人负责。</w:t>
      </w:r>
      <w:bookmarkStart w:id="92" w:name="_Toc9280"/>
      <w:bookmarkStart w:id="93" w:name="_Toc28926"/>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 xml:space="preserve">、本项目实行网上投标，采用电子投标文件。若供应商参与投标，自行承担投标一切费用。 </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 xml:space="preserve">、各供应商应在开标前应确保成为正式注册入库供应商，并完成CA数字证书申领。因未注册入库、未办理CA数字证书等原因造成无法投标或投标失败等后果由供应商自行承担。 </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、本项目为电子招投标，投标人需要使用CA加密设备，有意向参与新疆区域电子开评标的供应商，请访问新疆数字证书认证中心官方网站（https://www.xjca.com.cn/）或下载</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bCs/>
          <w:sz w:val="24"/>
          <w:szCs w:val="24"/>
          <w:highlight w:val="none"/>
          <w:lang w:eastAsia="zh-CN"/>
        </w:rPr>
        <w:t>http://www.ccgp-xinjiang.gov.cn/</w:t>
      </w:r>
      <w:r>
        <w:rPr>
          <w:rFonts w:hint="eastAsia" w:ascii="宋体" w:hAnsi="宋体" w:eastAsia="宋体" w:cs="宋体"/>
          <w:b/>
          <w:bCs/>
          <w:sz w:val="24"/>
          <w:szCs w:val="24"/>
          <w:highlight w:val="none"/>
        </w:rPr>
        <w:t>/）下载专区查看，如有问题可拨打政采云客户服务热线400-881-7190进行咨询。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lang w:eastAsia="zh-CN"/>
        </w:rPr>
        <w:t>开标时间后60分钟内</w:t>
      </w:r>
      <w:r>
        <w:rPr>
          <w:rFonts w:hint="eastAsia" w:ascii="宋体" w:hAnsi="宋体" w:eastAsia="宋体" w:cs="宋体"/>
          <w:b/>
          <w:bCs/>
          <w:sz w:val="24"/>
          <w:szCs w:val="24"/>
          <w:highlight w:val="none"/>
        </w:rPr>
        <w:t>供应商可以登录“政采云”平台，用“项目采购</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开标评标”功能进行解密投标文件。若供应商在规定时间内未按时解密的，视为投标文件撤回。</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因系统（非投标供应商行为）的原因，造成投标供应商未能在规定的解密时限内解密的，请及时与招标代理机构或与新疆政府采购网投标客户端进行联系。</w:t>
      </w:r>
    </w:p>
    <w:p>
      <w:pPr>
        <w:keepNext w:val="0"/>
        <w:keepLines w:val="0"/>
        <w:pageBreakBefore w:val="0"/>
        <w:widowControl w:val="0"/>
        <w:kinsoku/>
        <w:wordWrap/>
        <w:overflowPunct/>
        <w:topLinePunct w:val="0"/>
        <w:autoSpaceDE/>
        <w:autoSpaceDN/>
        <w:bidi w:val="0"/>
        <w:adjustRightInd/>
        <w:snapToGrid/>
        <w:spacing w:line="300" w:lineRule="auto"/>
        <w:ind w:left="210" w:leftChars="100"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投标文件未按规定上传的，视为其自动放弃投标。</w:t>
      </w:r>
    </w:p>
    <w:bookmarkEnd w:id="92"/>
    <w:bookmarkEnd w:id="93"/>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bookmarkStart w:id="94" w:name="_Toc4197"/>
      <w:bookmarkStart w:id="95" w:name="_Toc6355"/>
      <w:bookmarkStart w:id="96" w:name="_Toc521014786"/>
      <w:bookmarkStart w:id="97" w:name="_Toc503212218"/>
      <w:r>
        <w:rPr>
          <w:rFonts w:hint="eastAsia" w:ascii="宋体" w:hAnsi="宋体" w:eastAsia="宋体" w:cs="宋体"/>
          <w:b/>
          <w:bCs/>
          <w:sz w:val="24"/>
          <w:szCs w:val="24"/>
          <w:highlight w:val="none"/>
        </w:rPr>
        <w:t>投标文件的修改、撤回与撤销</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keepNext w:val="0"/>
        <w:keepLines w:val="0"/>
        <w:pageBreakBefore w:val="0"/>
        <w:widowControl w:val="0"/>
        <w:kinsoku/>
        <w:wordWrap/>
        <w:overflowPunct/>
        <w:topLinePunct w:val="0"/>
        <w:autoSpaceDE/>
        <w:autoSpaceDN/>
        <w:bidi w:val="0"/>
        <w:adjustRightInd/>
        <w:snapToGrid/>
        <w:spacing w:line="30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2投标人在投标截止期后不得修改、撤回投标文件。投标人在投标截止期后修改投标文件的，其投标无效。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3若供应商在规定的时间内（“投标人须知前附表”</w:t>
      </w:r>
      <w:r>
        <w:rPr>
          <w:rFonts w:hint="eastAsia" w:ascii="宋体" w:hAnsi="宋体" w:cs="宋体"/>
          <w:b/>
          <w:bCs/>
          <w:sz w:val="24"/>
          <w:szCs w:val="24"/>
          <w:highlight w:val="none"/>
          <w:lang w:eastAsia="zh-CN"/>
        </w:rPr>
        <w:t>的规定</w:t>
      </w:r>
      <w:r>
        <w:rPr>
          <w:rFonts w:hint="eastAsia" w:ascii="宋体" w:hAnsi="宋体" w:eastAsia="宋体" w:cs="宋体"/>
          <w:b/>
          <w:bCs/>
          <w:sz w:val="24"/>
          <w:szCs w:val="24"/>
          <w:highlight w:val="none"/>
        </w:rPr>
        <w:t>）未能解密的，也将被视为供应商对其投标文件的撤回。</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投标文件的解密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投标有效期</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1投标有效期内投标人撤销投标文件的，采购人或者采购代理机构可以不退还投标保证金（如有）。采用投标保函方式替代保证金的，采购人或者采购代理机构可以向担保机构索赔保证金。</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样品（演示）</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1招标文件规定投标人提交样品的，样品属于投标文件的组成部分。样品的生产、运输、安装、保全等一切费用由投标人自理。</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2投标截止时间前，投标人应将样品</w:t>
      </w:r>
      <w:r>
        <w:rPr>
          <w:rFonts w:hint="eastAsia" w:ascii="宋体" w:hAnsi="宋体" w:cs="宋体"/>
          <w:sz w:val="24"/>
          <w:szCs w:val="24"/>
          <w:highlight w:val="none"/>
          <w:lang w:eastAsia="zh-CN"/>
        </w:rPr>
        <w:t>送达</w:t>
      </w:r>
      <w:r>
        <w:rPr>
          <w:rFonts w:hint="eastAsia" w:ascii="宋体" w:hAnsi="宋体" w:eastAsia="宋体" w:cs="宋体"/>
          <w:sz w:val="24"/>
          <w:szCs w:val="24"/>
          <w:highlight w:val="none"/>
        </w:rPr>
        <w:t>指定地点。若需要现场演示的，投标人应提前做好演示准备（包括演示设备）。</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keepNext w:val="0"/>
        <w:keepLines w:val="0"/>
        <w:pageBreakBefore w:val="0"/>
        <w:widowControl w:val="0"/>
        <w:kinsoku/>
        <w:wordWrap/>
        <w:overflowPunct/>
        <w:topLinePunct w:val="0"/>
        <w:autoSpaceDE/>
        <w:autoSpaceDN/>
        <w:bidi w:val="0"/>
        <w:adjustRightInd/>
        <w:snapToGrid/>
        <w:spacing w:line="300" w:lineRule="auto"/>
        <w:ind w:righ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投标无效的情形</w:t>
      </w:r>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实质上没有响应招标文件要求的投标将被视为无效投标。投标人不得通过修正或</w:t>
      </w:r>
      <w:r>
        <w:rPr>
          <w:rFonts w:hint="eastAsia" w:ascii="宋体" w:hAnsi="宋体" w:cs="宋体"/>
          <w:sz w:val="24"/>
          <w:szCs w:val="24"/>
          <w:highlight w:val="none"/>
          <w:lang w:eastAsia="zh-CN"/>
        </w:rPr>
        <w:t>撤销</w:t>
      </w:r>
      <w:r>
        <w:rPr>
          <w:rFonts w:hint="eastAsia" w:ascii="宋体" w:hAnsi="宋体" w:eastAsia="宋体" w:cs="宋体"/>
          <w:sz w:val="24"/>
          <w:szCs w:val="24"/>
          <w:highlight w:val="none"/>
        </w:rPr>
        <w:t>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bookmarkStart w:id="98" w:name="_Toc13224"/>
      <w:bookmarkStart w:id="99" w:name="_Toc4280"/>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1投标文件未按照招标文件要求签署、盖章；</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2不符合招标文件中规定的资格要求；</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3投标报价超过招标文件中规定的预算金额或最高限价；</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4投标文件含有采购人不能接受的附加条件；</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5有关法律、法规和规章及招标文件规定的其他无效情形。</w:t>
      </w:r>
    </w:p>
    <w:p>
      <w:pPr>
        <w:pStyle w:val="8"/>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100" w:name="_Toc31877"/>
      <w:bookmarkStart w:id="101" w:name="_Toc11270"/>
      <w:bookmarkStart w:id="102" w:name="_Toc521014787"/>
      <w:bookmarkStart w:id="103" w:name="_Toc503212219"/>
      <w:bookmarkStart w:id="104" w:name="_Toc3022"/>
      <w:r>
        <w:rPr>
          <w:rFonts w:hint="eastAsia" w:ascii="宋体" w:hAnsi="宋体" w:eastAsia="宋体" w:cs="宋体"/>
          <w:b/>
          <w:bCs/>
          <w:color w:val="000000"/>
          <w:kern w:val="2"/>
          <w:sz w:val="28"/>
          <w:szCs w:val="28"/>
          <w:highlight w:val="none"/>
          <w:lang w:val="en-US" w:eastAsia="zh-CN" w:bidi="ar-SA"/>
        </w:rPr>
        <w:t>（四）开标</w:t>
      </w:r>
      <w:bookmarkEnd w:id="98"/>
      <w:bookmarkEnd w:id="99"/>
      <w:bookmarkEnd w:id="100"/>
      <w:bookmarkEnd w:id="101"/>
      <w:bookmarkEnd w:id="102"/>
      <w:bookmarkEnd w:id="103"/>
      <w:bookmarkEnd w:id="104"/>
    </w:p>
    <w:p>
      <w:pPr>
        <w:pStyle w:val="47"/>
        <w:pageBreakBefore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（一）开标准备</w:t>
      </w:r>
    </w:p>
    <w:p>
      <w:pPr>
        <w:pStyle w:val="47"/>
        <w:keepNext w:val="0"/>
        <w:keepLines w:val="0"/>
        <w:pageBreakBefore w:val="0"/>
        <w:widowControl w:val="0"/>
        <w:kinsoku/>
        <w:wordWrap/>
        <w:overflowPunct/>
        <w:topLinePunct w:val="0"/>
        <w:autoSpaceDE/>
        <w:autoSpaceDN/>
        <w:bidi w:val="0"/>
        <w:adjustRightInd/>
        <w:snapToGrid w:val="0"/>
        <w:spacing w:line="360" w:lineRule="auto"/>
        <w:ind w:left="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招标代理机构将在规定的时间和地点进行开标，投标供应商无需到场，但应按照招标文件要求按时参与网上投标文件解密。（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新疆政府采购电子交易客户端下载、安装完成后，可通过账号密码或CA登录客户端进行投标文件制作。在使用新疆政府采购投标客户端时，建议使用WIN7及以上操作系统。客户端请至新疆政府采购网（</w:t>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"http://www.ccgp-xinjiang.gov.cn/"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http://www.ccgp-xinjiang.gov.cn/</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）下载专区查看，如有问题可拨打新疆政府采购客户服务热线95763进行咨询。）</w:t>
      </w:r>
    </w:p>
    <w:p>
      <w:pPr>
        <w:pStyle w:val="47"/>
        <w:keepNext w:val="0"/>
        <w:keepLines w:val="0"/>
        <w:pageBreakBefore w:val="0"/>
        <w:widowControl w:val="0"/>
        <w:kinsoku/>
        <w:wordWrap/>
        <w:overflowPunct/>
        <w:topLinePunct w:val="0"/>
        <w:autoSpaceDE/>
        <w:autoSpaceDN/>
        <w:bidi w:val="0"/>
        <w:adjustRightInd/>
        <w:snapToGrid w:val="0"/>
        <w:spacing w:line="360" w:lineRule="auto"/>
        <w:ind w:left="0" w:right="0"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05" w:name="_Toc24853"/>
      <w:bookmarkStart w:id="106" w:name="_Toc1875"/>
      <w:r>
        <w:rPr>
          <w:rFonts w:hint="eastAsia" w:ascii="宋体" w:hAnsi="宋体" w:eastAsia="宋体" w:cs="宋体"/>
          <w:b/>
          <w:bCs/>
          <w:kern w:val="2"/>
          <w:sz w:val="24"/>
          <w:szCs w:val="24"/>
          <w:highlight w:val="none"/>
          <w:lang w:val="en-US" w:eastAsia="zh-CN" w:bidi="ar-SA"/>
        </w:rPr>
        <w:t>（二） 开标程序：</w:t>
      </w:r>
      <w:bookmarkEnd w:id="105"/>
      <w:bookmarkEnd w:id="106"/>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bookmarkStart w:id="107" w:name="_Toc521014788"/>
      <w:bookmarkStart w:id="108" w:name="_Toc3024"/>
      <w:bookmarkStart w:id="109" w:name="_Toc20288"/>
      <w:bookmarkStart w:id="110" w:name="_Toc12263"/>
      <w:bookmarkStart w:id="111" w:name="_Toc24288"/>
      <w:bookmarkStart w:id="112" w:name="_Toc20065"/>
      <w:bookmarkStart w:id="113" w:name="_Toc503212220"/>
      <w:r>
        <w:rPr>
          <w:rFonts w:hint="eastAsia" w:ascii="宋体" w:hAnsi="宋体" w:eastAsia="宋体" w:cs="宋体"/>
          <w:sz w:val="24"/>
          <w:szCs w:val="24"/>
          <w:highlight w:val="none"/>
        </w:rPr>
        <w:t>1.1 开标程序</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w:t>
      </w:r>
      <w:r>
        <w:rPr>
          <w:rFonts w:hint="eastAsia" w:ascii="宋体" w:hAnsi="宋体" w:cs="宋体"/>
          <w:sz w:val="24"/>
          <w:szCs w:val="24"/>
          <w:highlight w:val="none"/>
          <w:lang w:eastAsia="zh-CN"/>
        </w:rPr>
        <w:t>需</w:t>
      </w:r>
      <w:r>
        <w:rPr>
          <w:rFonts w:hint="eastAsia" w:ascii="宋体" w:hAnsi="宋体" w:eastAsia="宋体" w:cs="宋体"/>
          <w:sz w:val="24"/>
          <w:szCs w:val="24"/>
          <w:highlight w:val="none"/>
        </w:rPr>
        <w:t>自行对使用电脑的网络环境、驱动安装、客户端安装以及数字证书的有效性等进行检测，确保可以正常使用）。</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1.2开标异议</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投标人代表对开标过程和开标记录有疑义，以及认为采购人、采购代理机构相关工作人员有需要回避的情形的，应当场提出询问或者回避申请。投标人未参加开标的，视同认可开标结果。</w:t>
      </w:r>
    </w:p>
    <w:p>
      <w:pPr>
        <w:keepNext w:val="0"/>
        <w:keepLines w:val="0"/>
        <w:pageBreakBefore w:val="0"/>
        <w:widowControl w:val="0"/>
        <w:kinsoku/>
        <w:wordWrap/>
        <w:overflowPunct/>
        <w:topLinePunct w:val="0"/>
        <w:autoSpaceDE/>
        <w:autoSpaceDN/>
        <w:bidi w:val="0"/>
        <w:adjustRightInd/>
        <w:spacing w:line="360" w:lineRule="auto"/>
        <w:ind w:left="0"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 投标截止时间后，投标人不足须知前附表中约定的有效供应商家数的，不得开标。同时，本次采购活动结束。</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1.4开标时出现下列情况的，视为投标无效处理：</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（1）经检查数字证书无效的；</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（2）因投标人自身原因，未在规定时间内完成电子投标文件解密的；</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8"/>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（五）评标</w:t>
      </w:r>
      <w:bookmarkEnd w:id="107"/>
      <w:bookmarkEnd w:id="108"/>
      <w:bookmarkEnd w:id="109"/>
      <w:bookmarkEnd w:id="110"/>
      <w:bookmarkEnd w:id="111"/>
      <w:bookmarkEnd w:id="112"/>
      <w:bookmarkEnd w:id="113"/>
    </w:p>
    <w:p>
      <w:pPr>
        <w:pStyle w:val="47"/>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（一）组建评标委员会</w:t>
      </w:r>
    </w:p>
    <w:p>
      <w:pPr>
        <w:pStyle w:val="47"/>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评标委员会或评标小组（以下简称评标委员会）的评标工作由招标单位负责组织，具体评标事务由评标委员会负责，并独立履行其法规规定的职责。</w:t>
      </w:r>
    </w:p>
    <w:p>
      <w:pPr>
        <w:pStyle w:val="47"/>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本项目评标委员会由评审专家 5  人组成；专家由招标代理机构在开标前48小时在新疆政府采购专家中随机抽取。其中熟悉相关技术方面的专家不得少于成员总数的</w:t>
      </w:r>
      <w:r>
        <w:rPr>
          <w:rFonts w:hint="eastAsia" w:hAnsi="宋体" w:cs="宋体"/>
          <w:kern w:val="2"/>
          <w:sz w:val="24"/>
          <w:szCs w:val="24"/>
          <w:highlight w:val="none"/>
          <w:lang w:val="en-US" w:eastAsia="zh-CN" w:bidi="ar-SA"/>
        </w:rPr>
        <w:t>三分之二</w:t>
      </w:r>
      <w:r>
        <w:rPr>
          <w:rFonts w:hint="eastAsia" w:ascii="宋体" w:hAnsi="宋体" w:eastAsia="宋体" w:cs="宋体"/>
          <w:kern w:val="2"/>
          <w:sz w:val="24"/>
          <w:szCs w:val="24"/>
          <w:highlight w:val="none"/>
          <w:lang w:val="en-US" w:eastAsia="zh-CN" w:bidi="ar-SA"/>
        </w:rPr>
        <w:t>。并对投标文件进行审查、评估和比较，并做出授予合同的建议。</w:t>
      </w:r>
    </w:p>
    <w:p>
      <w:pPr>
        <w:pStyle w:val="47"/>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14" w:name="_Toc27271"/>
      <w:bookmarkStart w:id="115" w:name="_Toc26886"/>
      <w:r>
        <w:rPr>
          <w:rFonts w:hint="eastAsia" w:ascii="宋体" w:hAnsi="宋体" w:eastAsia="宋体" w:cs="宋体"/>
          <w:b/>
          <w:bCs/>
          <w:kern w:val="2"/>
          <w:sz w:val="24"/>
          <w:szCs w:val="24"/>
          <w:highlight w:val="none"/>
          <w:lang w:val="en-US" w:eastAsia="zh-CN" w:bidi="ar-SA"/>
        </w:rPr>
        <w:t>（二）评标的方式</w:t>
      </w:r>
      <w:bookmarkEnd w:id="114"/>
      <w:bookmarkEnd w:id="115"/>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本项目采用不公开方式评标，评标的依据为《中华人民共和国招标投标法》《中华人民共和国政府采购法</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中华人民共和国财政部令第87号</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政府采购货物和服务招标投标管理办法》及招标文件。</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（三）评标原则</w:t>
      </w:r>
    </w:p>
    <w:p>
      <w:pPr>
        <w:pStyle w:val="47"/>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2.1评标活动遵循公平、公正、科学和择优的原则，以招标文件和投标文件为评标的基本依据，并按照招标文件规定的评标方法和评标标准进行评标。</w:t>
      </w:r>
    </w:p>
    <w:p>
      <w:pPr>
        <w:pStyle w:val="47"/>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2.2评标委员会必须公平、公正、客观，不带任何倾向性和启发性；不得向外界透露任何与评标有关的内容；任何单位和个人不得干扰、影响评标的正常进行；评标委员会及有关工作人员不得私下与投标人接触。</w:t>
      </w:r>
    </w:p>
    <w:p>
      <w:pPr>
        <w:pStyle w:val="47"/>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2.2具体评标事项由评标委员会负责，并按招标文件的规定办法进行评审。</w:t>
      </w:r>
    </w:p>
    <w:p>
      <w:pPr>
        <w:pStyle w:val="47"/>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2.3合格投标人不足须知前附表中约定的有效供应商家数的，不得评标。</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（四）评标应遵守下列评标纪律：</w:t>
      </w:r>
    </w:p>
    <w:p>
      <w:pPr>
        <w:pStyle w:val="47"/>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（1）评标情况不得私自外泄，有关信息由</w:t>
      </w:r>
      <w:r>
        <w:rPr>
          <w:rFonts w:hint="eastAsia"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统一对外发布。</w:t>
      </w:r>
    </w:p>
    <w:p>
      <w:pPr>
        <w:pStyle w:val="47"/>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（2）对</w:t>
      </w:r>
      <w:r>
        <w:rPr>
          <w:rFonts w:hint="eastAsia"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或投标人提供的要求保密的资料，不得摘记翻印和外传。</w:t>
      </w:r>
    </w:p>
    <w:p>
      <w:pPr>
        <w:pStyle w:val="47"/>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（3）不得收受投标供应商或有关人员的任何礼物，不得串联鼓动其他人袒护某投标人。若与投标人存在利害关系，则应主动声明并回避。</w:t>
      </w:r>
    </w:p>
    <w:p>
      <w:pPr>
        <w:pStyle w:val="47"/>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（4）全体评委应按照招标文件规定进行评标，一切认定事项应查有实据且不得弄虚作假。</w:t>
      </w:r>
    </w:p>
    <w:p>
      <w:pPr>
        <w:pStyle w:val="47"/>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（5）评标委员会各成员应当独立对每个投标人的投标文件进行评价，并对评价意见承担个人责任。评审过程中，不得发表倾向性言论。</w:t>
      </w:r>
    </w:p>
    <w:p>
      <w:pPr>
        <w:pStyle w:val="47"/>
        <w:pageBreakBefore w:val="0"/>
        <w:kinsoku/>
        <w:wordWrap/>
        <w:overflowPunct/>
        <w:topLinePunct w:val="0"/>
        <w:autoSpaceDE/>
        <w:autoSpaceDN/>
        <w:bidi w:val="0"/>
        <w:adjustRightInd/>
        <w:snapToGrid w:val="0"/>
        <w:spacing w:line="360" w:lineRule="auto"/>
        <w:ind w:left="0" w:leftChars="0" w:firstLine="480" w:firstLineChars="200"/>
        <w:textAlignment w:val="auto"/>
        <w:outlineLvl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※对违反评标纪律的评委，将取消其评委资格，对评标工作造成严重损失者将予以通报批评乃至追究法律责任。</w:t>
      </w:r>
    </w:p>
    <w:p>
      <w:pPr>
        <w:pStyle w:val="47"/>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16" w:name="_Toc4747"/>
      <w:bookmarkStart w:id="117" w:name="_Toc13223"/>
      <w:r>
        <w:rPr>
          <w:rFonts w:hint="eastAsia" w:ascii="宋体" w:hAnsi="宋体" w:eastAsia="宋体" w:cs="宋体"/>
          <w:b/>
          <w:bCs/>
          <w:kern w:val="2"/>
          <w:sz w:val="24"/>
          <w:szCs w:val="24"/>
          <w:highlight w:val="none"/>
          <w:lang w:val="en-US" w:eastAsia="zh-CN" w:bidi="ar-SA"/>
        </w:rPr>
        <w:t>（五）评标程序</w:t>
      </w:r>
      <w:bookmarkEnd w:id="116"/>
      <w:bookmarkEnd w:id="117"/>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 本项目采用</w:t>
      </w:r>
      <w:r>
        <w:rPr>
          <w:rFonts w:hint="eastAsia" w:ascii="宋体" w:hAnsi="宋体" w:eastAsia="宋体" w:cs="宋体"/>
          <w:sz w:val="24"/>
          <w:szCs w:val="24"/>
          <w:highlight w:val="none"/>
        </w:rPr>
        <w:t>综合评分法</w:t>
      </w:r>
      <w:r>
        <w:rPr>
          <w:rFonts w:hint="eastAsia" w:hAnsi="宋体" w:cs="宋体"/>
          <w:sz w:val="24"/>
          <w:szCs w:val="24"/>
          <w:highlight w:val="none"/>
          <w:lang w:eastAsia="zh-CN"/>
        </w:rPr>
        <w:t>，</w:t>
      </w:r>
      <w:r>
        <w:rPr>
          <w:rFonts w:hint="eastAsia" w:ascii="宋体" w:hAnsi="宋体" w:eastAsia="宋体" w:cs="宋体"/>
          <w:sz w:val="24"/>
          <w:szCs w:val="24"/>
          <w:highlight w:val="none"/>
        </w:rPr>
        <w:t>是指投标文件满足招标文件全部实质性要求，且按照评审因素的量化指标评审得分最高的投标人为中标候选人的评标方法。（最低报价不是中标的唯一依据。）</w:t>
      </w:r>
    </w:p>
    <w:p>
      <w:pPr>
        <w:pStyle w:val="47"/>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18" w:name="_Toc17462"/>
      <w:r>
        <w:rPr>
          <w:rFonts w:hint="eastAsia" w:ascii="宋体" w:hAnsi="宋体" w:eastAsia="宋体" w:cs="宋体"/>
          <w:kern w:val="2"/>
          <w:sz w:val="24"/>
          <w:szCs w:val="24"/>
          <w:highlight w:val="none"/>
          <w:lang w:val="en-US" w:eastAsia="zh-CN" w:bidi="ar-SA"/>
        </w:rPr>
        <w:t>2. 评标的依据为招标文件和投标文件。</w:t>
      </w:r>
      <w:bookmarkEnd w:id="118"/>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 评标过程的保密性。开标后，直到授予投标人合同为止，凡是属于审查、澄清、评价和比较的有关资料以及授标建议等均不得向投标人或其他无关的人员透露。</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 投标人在评标过程中所进行的试图影响评标结果、有悖于招标规则的活动，可能导致取消其中标资格。</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 与招标文件有重大偏离的投标文件将被拒绝。且此重大偏离在开标后不许修改。</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 根据国家计委等七部委颁发的《评标委员会和评标方法暂行规定》以下为重大偏离：</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（一）投标保证金的缴纳主体与投标人不一致的，没有按照招标文件要求提供投标担保，或者所提供的投标担保有瑕疵的；</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（二）投标文件没有投标人法定代表人或其授权代表签字（章）和加盖投标单位公章的；</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（三）投标文件记载的招标项目完成期限超过招标文件规定的完成期限；</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（四）明显不符合技术规格和技术标准（技术规格、合同条款有偏离情况的）；</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（五）商务条款有偏离情况的；</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（六）投标附有招标人不能接受的条件；</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（七）不符合招标文件中规定的其他实质性要求。</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（八</w:t>
      </w:r>
      <w:r>
        <w:rPr>
          <w:rFonts w:hint="eastAsia"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 xml:space="preserve"> 投标报价不符合招标文件规定的要求。</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投标文件有上述情形之一的，视为非实质性响应招标，并按规定作废标处理。招标文件对重大偏差另有规定的，从其规定。</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评标委员会应当审查每一投标文件是否对招标文件提出的所有实质性要求和条件作出响应。未能在实质上响应招标的投标，将作废标处理。</w:t>
      </w:r>
    </w:p>
    <w:p>
      <w:pPr>
        <w:pStyle w:val="47"/>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19" w:name="_Toc3963"/>
      <w:r>
        <w:rPr>
          <w:rFonts w:hint="eastAsia" w:ascii="宋体" w:hAnsi="宋体" w:eastAsia="宋体" w:cs="宋体"/>
          <w:kern w:val="2"/>
          <w:sz w:val="24"/>
          <w:szCs w:val="24"/>
          <w:highlight w:val="none"/>
          <w:lang w:val="en-US" w:eastAsia="zh-CN" w:bidi="ar-SA"/>
        </w:rPr>
        <w:t>7.对投标文件的初步审查和响应性确定</w:t>
      </w:r>
      <w:bookmarkEnd w:id="119"/>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若投标人拒绝接受上述修正，其投标将可能被拒绝。</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10.招标人判断投标文件的响应性是基于投标文件本身而不靠外部证据。</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11.招标人将拒绝被定为非响应性的投标，投标人不能通过修正或</w:t>
      </w:r>
      <w:r>
        <w:rPr>
          <w:rFonts w:hint="eastAsia" w:hAnsi="宋体" w:cs="宋体"/>
          <w:kern w:val="2"/>
          <w:sz w:val="24"/>
          <w:szCs w:val="24"/>
          <w:highlight w:val="none"/>
          <w:lang w:val="en-US" w:eastAsia="zh-CN" w:bidi="ar-SA"/>
        </w:rPr>
        <w:t>撤销</w:t>
      </w:r>
      <w:r>
        <w:rPr>
          <w:rFonts w:hint="eastAsia" w:ascii="宋体" w:hAnsi="宋体" w:eastAsia="宋体" w:cs="宋体"/>
          <w:kern w:val="2"/>
          <w:sz w:val="24"/>
          <w:szCs w:val="24"/>
          <w:highlight w:val="none"/>
          <w:lang w:val="en-US" w:eastAsia="zh-CN" w:bidi="ar-SA"/>
        </w:rPr>
        <w:t>不符之处而使其投标成为响应性投标。</w:t>
      </w:r>
    </w:p>
    <w:p>
      <w:pPr>
        <w:pStyle w:val="47"/>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0" w:name="_Toc32133"/>
      <w:bookmarkStart w:id="121" w:name="_Toc13450"/>
      <w:r>
        <w:rPr>
          <w:rFonts w:hint="eastAsia" w:ascii="宋体" w:hAnsi="宋体" w:eastAsia="宋体" w:cs="宋体"/>
          <w:b/>
          <w:bCs/>
          <w:kern w:val="2"/>
          <w:sz w:val="24"/>
          <w:szCs w:val="24"/>
          <w:highlight w:val="none"/>
          <w:lang w:val="en-US" w:eastAsia="zh-CN" w:bidi="ar-SA"/>
        </w:rPr>
        <w:t>（六）澄清问题的形式</w:t>
      </w:r>
      <w:bookmarkEnd w:id="120"/>
      <w:bookmarkEnd w:id="121"/>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47"/>
        <w:pageBreakBefore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2" w:name="_Toc30297"/>
      <w:bookmarkStart w:id="123" w:name="_Toc31156"/>
      <w:r>
        <w:rPr>
          <w:rFonts w:hint="eastAsia" w:ascii="宋体" w:hAnsi="宋体" w:eastAsia="宋体" w:cs="宋体"/>
          <w:b/>
          <w:bCs/>
          <w:kern w:val="2"/>
          <w:sz w:val="24"/>
          <w:szCs w:val="24"/>
          <w:highlight w:val="none"/>
          <w:lang w:val="en-US" w:eastAsia="zh-CN" w:bidi="ar-SA"/>
        </w:rPr>
        <w:t>（七）错误修正</w:t>
      </w:r>
      <w:bookmarkEnd w:id="122"/>
      <w:bookmarkEnd w:id="123"/>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投标文件如果出现计算或表达上的错误，修正错误的原则如下：</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1.投标报价一览表总价与投标报价明细表汇总数不一致的，以投标报价一览表为准；</w:t>
      </w:r>
    </w:p>
    <w:p>
      <w:pPr>
        <w:pStyle w:val="47"/>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24" w:name="_Toc29280"/>
      <w:r>
        <w:rPr>
          <w:rFonts w:hint="eastAsia" w:ascii="宋体" w:hAnsi="宋体" w:eastAsia="宋体" w:cs="宋体"/>
          <w:kern w:val="2"/>
          <w:sz w:val="24"/>
          <w:szCs w:val="24"/>
          <w:highlight w:val="none"/>
          <w:lang w:val="en-US" w:eastAsia="zh-CN" w:bidi="ar-SA"/>
        </w:rPr>
        <w:t>2.投标文件的大写金额和小写金额不一致的，以大写金额为准；</w:t>
      </w:r>
      <w:bookmarkEnd w:id="124"/>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3.总价金额与按单价汇总金额不一致的，以单价金额计算结果为准；</w:t>
      </w:r>
    </w:p>
    <w:p>
      <w:pPr>
        <w:pStyle w:val="47"/>
        <w:pageBreakBefore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kern w:val="2"/>
          <w:sz w:val="24"/>
          <w:szCs w:val="24"/>
          <w:highlight w:val="none"/>
          <w:lang w:val="en-US" w:eastAsia="zh-CN" w:bidi="ar-SA"/>
        </w:rPr>
      </w:pPr>
      <w:bookmarkStart w:id="125" w:name="_Toc16465"/>
      <w:r>
        <w:rPr>
          <w:rFonts w:hint="eastAsia" w:ascii="宋体" w:hAnsi="宋体" w:eastAsia="宋体" w:cs="宋体"/>
          <w:kern w:val="2"/>
          <w:sz w:val="24"/>
          <w:szCs w:val="24"/>
          <w:highlight w:val="none"/>
          <w:lang w:val="en-US" w:eastAsia="zh-CN" w:bidi="ar-SA"/>
        </w:rPr>
        <w:t>4.对不同文字文本投标文件的解释发生异议的，以中文文本为准。</w:t>
      </w:r>
      <w:bookmarkEnd w:id="125"/>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47"/>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ascii="宋体" w:hAnsi="宋体" w:eastAsia="宋体" w:cs="宋体"/>
          <w:b/>
          <w:bCs/>
          <w:kern w:val="2"/>
          <w:sz w:val="24"/>
          <w:szCs w:val="24"/>
          <w:highlight w:val="none"/>
          <w:lang w:val="en-US" w:eastAsia="zh-CN" w:bidi="ar-SA"/>
        </w:rPr>
      </w:pPr>
      <w:bookmarkStart w:id="126" w:name="_Toc15699"/>
      <w:bookmarkStart w:id="127" w:name="_Toc19846"/>
      <w:r>
        <w:rPr>
          <w:rFonts w:hint="eastAsia" w:ascii="宋体" w:hAnsi="宋体" w:eastAsia="宋体" w:cs="宋体"/>
          <w:b/>
          <w:bCs/>
          <w:kern w:val="2"/>
          <w:sz w:val="24"/>
          <w:szCs w:val="24"/>
          <w:highlight w:val="none"/>
          <w:lang w:val="en-US" w:eastAsia="zh-CN" w:bidi="ar-SA"/>
        </w:rPr>
        <w:t>（八）</w:t>
      </w:r>
      <w:bookmarkEnd w:id="126"/>
      <w:bookmarkEnd w:id="127"/>
      <w:r>
        <w:rPr>
          <w:rFonts w:hint="eastAsia" w:ascii="宋体" w:hAnsi="宋体" w:eastAsia="宋体" w:cs="宋体"/>
          <w:b/>
          <w:bCs/>
          <w:kern w:val="2"/>
          <w:sz w:val="24"/>
          <w:szCs w:val="24"/>
          <w:highlight w:val="none"/>
          <w:lang w:val="en-US" w:eastAsia="zh-CN" w:bidi="ar-SA"/>
        </w:rPr>
        <w:t>有下列情形之一的，视为投标人串通投标，其投标无效</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bookmarkStart w:id="128" w:name="_Toc9664"/>
      <w:bookmarkStart w:id="129" w:name="_Toc29743"/>
      <w:r>
        <w:rPr>
          <w:rFonts w:hint="eastAsia" w:ascii="宋体" w:hAnsi="宋体" w:eastAsia="宋体" w:cs="宋体"/>
          <w:kern w:val="2"/>
          <w:sz w:val="24"/>
          <w:szCs w:val="24"/>
          <w:highlight w:val="none"/>
          <w:lang w:val="en-US" w:eastAsia="zh-CN" w:bidi="ar-SA"/>
        </w:rPr>
        <w:t>1不同投标人的投标文件由同一单位或者个人编制；</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2不同投标人委托同一单位或者个人办理投标事宜；</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3不同投标人的投标文件载明的项目管理成员或者联系人员为同一人；</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4不同投标人的投标文件异常一致或者投标报价呈规律性差异；</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5不同投标人的投标文件相互混装；</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6不同投标人的投标保证金或购买电子保函支付款为从同一单位或个人的账户转出；</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7投标人上传的电子投标文件使用该项目其他投标人的数字证书加密的或加盖该项目的其他投标人的电子印章的。</w:t>
      </w:r>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说明：在评标过程中发现投标人有上述情形的，评标委员会应当认定其投标无效。同时，项目评审时被认定为串通投标的投标人不得参加该合同项下的采购活动。</w:t>
      </w:r>
    </w:p>
    <w:p>
      <w:pPr>
        <w:pStyle w:val="47"/>
        <w:pageBreakBefore w:val="0"/>
        <w:kinsoku/>
        <w:wordWrap/>
        <w:overflowPunct/>
        <w:topLinePunct w:val="0"/>
        <w:autoSpaceDE/>
        <w:autoSpaceDN/>
        <w:bidi w:val="0"/>
        <w:adjustRightInd/>
        <w:snapToGrid w:val="0"/>
        <w:spacing w:line="360" w:lineRule="auto"/>
        <w:ind w:left="0" w:leftChars="0" w:firstLine="482" w:firstLineChars="200"/>
        <w:textAlignment w:val="auto"/>
        <w:outlineLvl w:val="1"/>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（九）评标过程的监控</w:t>
      </w:r>
      <w:bookmarkEnd w:id="128"/>
      <w:bookmarkEnd w:id="129"/>
    </w:p>
    <w:p>
      <w:pPr>
        <w:pStyle w:val="47"/>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本项目评标过程实行录像监控、照片记录，且由监标人员进行现场监督，评标过程中所发生的试图影响评标结果的不公正活动，可能导致其投标被拒绝。</w:t>
      </w:r>
    </w:p>
    <w:p>
      <w:pPr>
        <w:pStyle w:val="8"/>
        <w:pageBreakBefore w:val="0"/>
        <w:numPr>
          <w:ilvl w:val="0"/>
          <w:numId w:val="0"/>
        </w:numPr>
        <w:kinsoku/>
        <w:wordWrap/>
        <w:overflowPunct/>
        <w:topLinePunct w:val="0"/>
        <w:autoSpaceDE/>
        <w:autoSpaceDN/>
        <w:bidi w:val="0"/>
        <w:adjustRightInd/>
        <w:ind w:leftChars="-50" w:right="62" w:rightChars="0" w:firstLine="562" w:firstLineChars="200"/>
        <w:jc w:val="center"/>
        <w:textAlignment w:val="auto"/>
        <w:rPr>
          <w:rFonts w:hint="eastAsia" w:ascii="宋体" w:hAnsi="宋体" w:eastAsia="宋体" w:cs="宋体"/>
          <w:b/>
          <w:bCs/>
          <w:color w:val="000000"/>
          <w:kern w:val="2"/>
          <w:sz w:val="28"/>
          <w:szCs w:val="28"/>
          <w:highlight w:val="none"/>
          <w:lang w:val="en-US" w:eastAsia="zh-CN" w:bidi="ar-SA"/>
        </w:rPr>
      </w:pPr>
      <w:bookmarkStart w:id="130" w:name="_Toc521014789"/>
      <w:bookmarkStart w:id="131" w:name="_Toc21069"/>
      <w:bookmarkStart w:id="132" w:name="_Toc28372"/>
      <w:bookmarkStart w:id="133" w:name="_Toc26644"/>
      <w:bookmarkStart w:id="134" w:name="_Toc2497"/>
      <w:bookmarkStart w:id="135" w:name="_Toc503212221"/>
      <w:bookmarkStart w:id="136" w:name="_Toc10823"/>
      <w:r>
        <w:rPr>
          <w:rFonts w:hint="eastAsia" w:ascii="宋体" w:hAnsi="宋体" w:eastAsia="宋体" w:cs="宋体"/>
          <w:b/>
          <w:bCs/>
          <w:color w:val="000000"/>
          <w:kern w:val="2"/>
          <w:sz w:val="28"/>
          <w:szCs w:val="28"/>
          <w:highlight w:val="none"/>
          <w:lang w:val="en-US" w:eastAsia="zh-CN" w:bidi="ar-SA"/>
        </w:rPr>
        <w:t>（六）定标</w:t>
      </w:r>
      <w:bookmarkEnd w:id="130"/>
      <w:bookmarkEnd w:id="131"/>
      <w:bookmarkEnd w:id="132"/>
      <w:bookmarkEnd w:id="133"/>
      <w:bookmarkEnd w:id="134"/>
      <w:bookmarkEnd w:id="135"/>
      <w:bookmarkEnd w:id="136"/>
    </w:p>
    <w:p>
      <w:pPr>
        <w:pageBreakBefore w:val="0"/>
        <w:kinsoku/>
        <w:wordWrap/>
        <w:overflowPunct/>
        <w:topLinePunct w:val="0"/>
        <w:autoSpaceDE/>
        <w:autoSpaceDN/>
        <w:bidi w:val="0"/>
        <w:adjustRightInd/>
        <w:snapToGrid w:val="0"/>
        <w:spacing w:line="360" w:lineRule="auto"/>
        <w:ind w:left="10" w:leftChars="0"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确定中标人：</w:t>
      </w:r>
      <w:r>
        <w:rPr>
          <w:rFonts w:hint="eastAsia" w:ascii="宋体" w:hAnsi="宋体" w:eastAsia="宋体" w:cs="宋体"/>
          <w:kern w:val="2"/>
          <w:sz w:val="24"/>
          <w:szCs w:val="24"/>
          <w:highlight w:val="none"/>
          <w:lang w:val="en-US" w:eastAsia="zh-CN" w:bidi="ar-SA"/>
        </w:rPr>
        <w:t>本项目由招标人根据评标结果排名第一位的候选人为中标人。</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中标公告：</w:t>
      </w:r>
      <w:r>
        <w:rPr>
          <w:rFonts w:hint="eastAsia" w:ascii="宋体" w:hAnsi="宋体" w:eastAsia="宋体" w:cs="宋体"/>
          <w:sz w:val="24"/>
          <w:szCs w:val="24"/>
          <w:highlight w:val="none"/>
        </w:rPr>
        <w:t>中标供应商确定之日起2个工作日内，采购人或采购代理机构将在中国政府采购网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www.ccgp.gov.cn)、新疆政府采购网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http://www.ccgp-xinjiang.gov.cn/</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上以公告的形式发布中标结果，中标公告的公告期限为 1个工作日。中标公告同时作为采购代理机构通知除中标供应商外的其他投标人没有中标的书面形式，采购代理机构不再</w:t>
      </w:r>
      <w:r>
        <w:rPr>
          <w:rFonts w:hint="eastAsia" w:ascii="宋体" w:hAnsi="宋体" w:cs="宋体"/>
          <w:sz w:val="24"/>
          <w:szCs w:val="24"/>
          <w:highlight w:val="none"/>
          <w:lang w:eastAsia="zh-CN"/>
        </w:rPr>
        <w:t>以其他方式</w:t>
      </w:r>
      <w:r>
        <w:rPr>
          <w:rFonts w:hint="eastAsia" w:ascii="宋体" w:hAnsi="宋体" w:eastAsia="宋体" w:cs="宋体"/>
          <w:sz w:val="24"/>
          <w:szCs w:val="24"/>
          <w:highlight w:val="none"/>
        </w:rPr>
        <w:t>另行通知。</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中标通知书：</w:t>
      </w:r>
      <w:r>
        <w:rPr>
          <w:rFonts w:hint="eastAsia" w:ascii="宋体" w:hAnsi="宋体" w:eastAsia="宋体" w:cs="宋体"/>
          <w:sz w:val="24"/>
          <w:szCs w:val="24"/>
          <w:highlight w:val="none"/>
        </w:rPr>
        <w:t>中标通知书在发布中标公告时，同步</w:t>
      </w:r>
      <w:r>
        <w:rPr>
          <w:rFonts w:hint="eastAsia" w:ascii="宋体" w:hAnsi="宋体" w:cs="宋体"/>
          <w:sz w:val="24"/>
          <w:szCs w:val="24"/>
          <w:highlight w:val="none"/>
          <w:lang w:eastAsia="zh-CN"/>
        </w:rPr>
        <w:t>发出</w:t>
      </w:r>
      <w:r>
        <w:rPr>
          <w:rFonts w:hint="eastAsia" w:ascii="宋体" w:hAnsi="宋体" w:eastAsia="宋体" w:cs="宋体"/>
          <w:sz w:val="24"/>
          <w:szCs w:val="24"/>
          <w:highlight w:val="none"/>
        </w:rPr>
        <w:t>中标通知书至中标供应商。中标通知书发出后，采购人不得违法改变中标结果，中标供应商不得放弃中标。中标供应商放弃中标的，应当依法承担相应的法律责任。</w:t>
      </w:r>
    </w:p>
    <w:p>
      <w:pPr>
        <w:pageBreakBefore w:val="0"/>
        <w:kinsoku/>
        <w:wordWrap/>
        <w:overflowPunct/>
        <w:topLinePunct w:val="0"/>
        <w:autoSpaceDE/>
        <w:autoSpaceDN/>
        <w:bidi w:val="0"/>
        <w:adjustRightInd/>
        <w:spacing w:line="360" w:lineRule="auto"/>
        <w:ind w:left="10" w:leftChars="0"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项目废标处理：</w:t>
      </w:r>
      <w:r>
        <w:rPr>
          <w:rFonts w:hint="eastAsia" w:ascii="宋体" w:hAnsi="宋体" w:eastAsia="宋体" w:cs="宋体"/>
          <w:sz w:val="24"/>
          <w:szCs w:val="24"/>
          <w:highlight w:val="none"/>
        </w:rPr>
        <w:t>根据《中华人民共和国政府采购法》第三十六条及招标文件的约定，本项目或分包下列情况出现将作废标处理：</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（3）投标人的报价均超过了采购预算，采购人不能支付的。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（4）因重大变故，采购任务取消的。</w:t>
      </w:r>
    </w:p>
    <w:p>
      <w:pPr>
        <w:pageBreakBefore w:val="0"/>
        <w:kinsoku/>
        <w:wordWrap/>
        <w:overflowPunct/>
        <w:topLinePunct w:val="0"/>
        <w:autoSpaceDE/>
        <w:autoSpaceDN/>
        <w:bidi w:val="0"/>
        <w:adjustRightInd/>
        <w:spacing w:line="360" w:lineRule="auto"/>
        <w:ind w:left="1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对废标的采购项目，评标委员会应出具采购文件是否存在不合理条款的论证意见。</w:t>
      </w:r>
    </w:p>
    <w:p>
      <w:pPr>
        <w:pageBreakBefore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终止公告：</w:t>
      </w:r>
      <w:r>
        <w:rPr>
          <w:rFonts w:hint="eastAsia" w:ascii="宋体" w:hAnsi="宋体" w:eastAsia="宋体" w:cs="宋体"/>
          <w:sz w:val="24"/>
          <w:szCs w:val="24"/>
          <w:highlight w:val="none"/>
        </w:rPr>
        <w:t>项目废标后，采购人或采购代理机构将在中国政府采购网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www.ccgp.gov.cn)、新疆政府采购网</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http://www.ccgp-xinjiang.gov.cn/)、上发布终止公告，终止公告的公告期限为1个工作日。</w:t>
      </w:r>
    </w:p>
    <w:p>
      <w:pPr>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bookmarkStart w:id="137" w:name="_Toc11259"/>
      <w:bookmarkStart w:id="138" w:name="_Toc503212222"/>
      <w:bookmarkStart w:id="139" w:name="_Toc20063"/>
      <w:bookmarkStart w:id="140" w:name="_Toc15327"/>
      <w:bookmarkStart w:id="141" w:name="_Toc521014790"/>
    </w:p>
    <w:p>
      <w:pPr>
        <w:pageBreakBefore w:val="0"/>
        <w:kinsoku/>
        <w:wordWrap/>
        <w:overflowPunct/>
        <w:topLinePunct w:val="0"/>
        <w:autoSpaceDE/>
        <w:autoSpaceDN/>
        <w:bidi w:val="0"/>
        <w:adjustRightInd/>
        <w:snapToGrid w:val="0"/>
        <w:spacing w:line="360" w:lineRule="auto"/>
        <w:ind w:firstLine="562" w:firstLineChars="200"/>
        <w:jc w:val="center"/>
        <w:textAlignment w:val="auto"/>
        <w:outlineLvl w:val="1"/>
        <w:rPr>
          <w:rFonts w:hint="eastAsia" w:ascii="宋体" w:hAnsi="宋体" w:eastAsia="宋体" w:cs="宋体"/>
          <w:color w:val="000000"/>
          <w:highlight w:val="none"/>
        </w:rPr>
      </w:pPr>
      <w:bookmarkStart w:id="142" w:name="_Toc20117"/>
      <w:bookmarkStart w:id="143" w:name="_Toc20345"/>
      <w:r>
        <w:rPr>
          <w:rFonts w:hint="eastAsia" w:ascii="宋体" w:hAnsi="宋体" w:eastAsia="宋体" w:cs="宋体"/>
          <w:b/>
          <w:bCs/>
          <w:color w:val="000000"/>
          <w:kern w:val="2"/>
          <w:sz w:val="28"/>
          <w:szCs w:val="28"/>
          <w:highlight w:val="none"/>
          <w:lang w:val="en-US" w:eastAsia="zh-CN" w:bidi="ar-SA"/>
        </w:rPr>
        <w:t>（七）合同授予</w:t>
      </w:r>
      <w:bookmarkEnd w:id="137"/>
      <w:bookmarkEnd w:id="138"/>
      <w:bookmarkEnd w:id="139"/>
      <w:bookmarkEnd w:id="140"/>
      <w:bookmarkEnd w:id="141"/>
      <w:bookmarkEnd w:id="142"/>
      <w:bookmarkEnd w:id="143"/>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1.合同签订</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1.1采购人应当自《中标通知书》发出之日起</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十日内，按照招标文件和中标供应商投标文件的约定，与中标供应商签订合同。所签订的合同不得对招标文件和中标供应商投标文件作实质性修改。超过30天尚未完成政府采购合同签订的政府采购项目，采购人应当登录新疆政府采购网，填报未能依法签订政府采购合同的具体原因、整改措施和预计签订合同时间等信息。</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1.2采购人不得提出试用合格等任何不合理的要求作为签订合同的条件，且不得与中标供应商私下订立背离合同实质性内容的协议。</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1.3采购人应当自政府采购合同签订之日起2个工作日内，将政府采购合同在省级以上人民政府财政部门指定的媒体上公告，但政府采购合同中涉及国家秘密、商业秘密的内容除外。</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采购人应当自政府采购合同签订之日起2个工作日内，登录新疆政府采购网上传政府采购合同扫描版，如实填报政府采购合同的签订时间。依法签订的补充合同，也应在补充合同签订之日起2个工作日内公开并备案采购合同。</w:t>
      </w:r>
    </w:p>
    <w:p>
      <w:pPr>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2.合同的履行</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新疆政府采购网上传备案。</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2.3有融资要求的中标供应商可根据自身情况，在新疆政府采购网上自行选择金融机构及其融资产品，凭政府采购中标通知书或政府采购合同向金融机构提出融资申请。</w:t>
      </w:r>
    </w:p>
    <w:p>
      <w:pPr>
        <w:snapToGrid w:val="0"/>
        <w:spacing w:line="360" w:lineRule="auto"/>
        <w:ind w:firstLine="562" w:firstLineChars="200"/>
        <w:jc w:val="center"/>
        <w:outlineLvl w:val="1"/>
        <w:rPr>
          <w:rFonts w:hint="eastAsia" w:ascii="宋体" w:hAnsi="宋体" w:eastAsia="宋体" w:cs="宋体"/>
          <w:b/>
          <w:bCs/>
          <w:color w:val="000000"/>
          <w:kern w:val="2"/>
          <w:sz w:val="28"/>
          <w:szCs w:val="28"/>
          <w:highlight w:val="none"/>
          <w:lang w:val="en-US" w:eastAsia="zh-CN" w:bidi="ar-SA"/>
        </w:rPr>
      </w:pPr>
      <w:bookmarkStart w:id="144" w:name="_Toc115436070"/>
      <w:bookmarkStart w:id="145" w:name="_Toc17664"/>
      <w:bookmarkStart w:id="146" w:name="_Toc18703"/>
      <w:bookmarkStart w:id="147" w:name="_Toc28496"/>
      <w:r>
        <w:rPr>
          <w:rFonts w:hint="eastAsia" w:ascii="宋体" w:hAnsi="宋体" w:eastAsia="宋体" w:cs="宋体"/>
          <w:b/>
          <w:bCs/>
          <w:color w:val="000000"/>
          <w:kern w:val="2"/>
          <w:sz w:val="28"/>
          <w:szCs w:val="28"/>
          <w:highlight w:val="none"/>
          <w:lang w:val="en-US" w:eastAsia="zh-CN" w:bidi="ar-SA"/>
        </w:rPr>
        <w:t>（八）法律责任</w:t>
      </w:r>
      <w:bookmarkEnd w:id="144"/>
      <w:bookmarkEnd w:id="145"/>
    </w:p>
    <w:p>
      <w:pPr>
        <w:keepNext w:val="0"/>
        <w:keepLines w:val="0"/>
        <w:pageBreakBefore w:val="0"/>
        <w:widowControl w:val="0"/>
        <w:shd w:val="clear" w:color="auto" w:fill="auto"/>
        <w:kinsoku/>
        <w:wordWrap/>
        <w:overflowPunct/>
        <w:topLinePunct w:val="0"/>
        <w:autoSpaceDE/>
        <w:autoSpaceDN/>
        <w:bidi w:val="0"/>
        <w:adjustRightInd/>
        <w:spacing w:line="360" w:lineRule="auto"/>
        <w:ind w:righ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法律责任</w:t>
      </w:r>
    </w:p>
    <w:p>
      <w:pPr>
        <w:pStyle w:val="47"/>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47"/>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（一）提供虚假材料谋取中标的； </w:t>
      </w:r>
    </w:p>
    <w:p>
      <w:pPr>
        <w:pStyle w:val="47"/>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（二）采取不正当手段诋毁、排挤其他投标人的；</w:t>
      </w:r>
    </w:p>
    <w:p>
      <w:pPr>
        <w:pStyle w:val="47"/>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（三）与招标人、采购人、其他投标人恶意串通的； </w:t>
      </w:r>
    </w:p>
    <w:p>
      <w:pPr>
        <w:pStyle w:val="47"/>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（四）向招标人、采购人行贿或者提供其他不正当利益的； </w:t>
      </w:r>
    </w:p>
    <w:p>
      <w:pPr>
        <w:pStyle w:val="47"/>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（五）在招标过程中与招标人、采购人进行协商谈判、不按照招标文件、投标文件订立合同，或者与采购人另行订立背离合同实质性内容的协议的； </w:t>
      </w:r>
    </w:p>
    <w:p>
      <w:pPr>
        <w:pStyle w:val="47"/>
        <w:keepNext w:val="0"/>
        <w:keepLines w:val="0"/>
        <w:pageBreakBefore w:val="0"/>
        <w:widowControl w:val="0"/>
        <w:kinsoku/>
        <w:wordWrap/>
        <w:overflowPunct/>
        <w:topLinePunct w:val="0"/>
        <w:autoSpaceDE/>
        <w:autoSpaceDN/>
        <w:bidi w:val="0"/>
        <w:adjustRightInd/>
        <w:snapToGrid w:val="0"/>
        <w:spacing w:line="360" w:lineRule="auto"/>
        <w:ind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（六）拒绝有关部门监督检查或者提供虚假情况的。 </w:t>
      </w:r>
    </w:p>
    <w:p>
      <w:pPr>
        <w:pStyle w:val="47"/>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投标人有前款第（一）至（五）项情形之一的，中标无效。 </w:t>
      </w:r>
    </w:p>
    <w:p>
      <w:pPr>
        <w:pStyle w:val="47"/>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2.中标人有下列情形之一的，招标人不予退还其</w:t>
      </w:r>
      <w:r>
        <w:rPr>
          <w:rFonts w:hint="eastAsia" w:hAnsi="宋体" w:cs="宋体"/>
          <w:kern w:val="2"/>
          <w:sz w:val="24"/>
          <w:szCs w:val="24"/>
          <w:highlight w:val="none"/>
          <w:lang w:val="en-US" w:eastAsia="zh-CN" w:bidi="ar-SA"/>
        </w:rPr>
        <w:t>缴纳</w:t>
      </w:r>
      <w:r>
        <w:rPr>
          <w:rFonts w:hint="eastAsia" w:ascii="宋体" w:hAnsi="宋体" w:eastAsia="宋体" w:cs="宋体"/>
          <w:kern w:val="2"/>
          <w:sz w:val="24"/>
          <w:szCs w:val="24"/>
          <w:highlight w:val="none"/>
          <w:lang w:val="en-US" w:eastAsia="zh-CN" w:bidi="ar-SA"/>
        </w:rPr>
        <w:t>的投标保证金；情节严重的，由财政部门将其列入不良行为记录名单，在一至三年内禁止参加政府采购活动，并予以通报：</w:t>
      </w:r>
    </w:p>
    <w:p>
      <w:pPr>
        <w:pStyle w:val="47"/>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（一）中标后无正当理由不与采购人签订合同的；</w:t>
      </w:r>
    </w:p>
    <w:p>
      <w:pPr>
        <w:pStyle w:val="47"/>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（二）将中标项目转让给他人，或者在投标文件中未说明，且未经招标人同意，将中标项目分包给他人的；</w:t>
      </w:r>
    </w:p>
    <w:p>
      <w:pPr>
        <w:pStyle w:val="47"/>
        <w:keepNext w:val="0"/>
        <w:keepLines w:val="0"/>
        <w:pageBreakBefore w:val="0"/>
        <w:widowControl w:val="0"/>
        <w:kinsoku/>
        <w:wordWrap/>
        <w:overflowPunct/>
        <w:topLinePunct w:val="0"/>
        <w:autoSpaceDE/>
        <w:autoSpaceDN/>
        <w:bidi w:val="0"/>
        <w:adjustRightInd/>
        <w:snapToGrid w:val="0"/>
        <w:spacing w:line="360" w:lineRule="auto"/>
        <w:ind w:left="210" w:leftChars="10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（三）拒绝履行合同义务的。</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48" w:name="_Toc115436071"/>
      <w:bookmarkStart w:id="149" w:name="_Toc5688"/>
      <w:r>
        <w:rPr>
          <w:rFonts w:hint="eastAsia" w:ascii="宋体" w:hAnsi="宋体" w:eastAsia="宋体" w:cs="宋体"/>
          <w:b/>
          <w:bCs/>
          <w:color w:val="000000"/>
          <w:kern w:val="2"/>
          <w:sz w:val="28"/>
          <w:szCs w:val="28"/>
          <w:highlight w:val="none"/>
          <w:lang w:val="en-US" w:eastAsia="zh-CN" w:bidi="ar-SA"/>
        </w:rPr>
        <w:t>（九）</w:t>
      </w:r>
      <w:r>
        <w:rPr>
          <w:rFonts w:hint="eastAsia" w:ascii="宋体" w:hAnsi="宋体" w:eastAsia="宋体" w:cs="宋体"/>
          <w:b/>
          <w:color w:val="auto"/>
          <w:sz w:val="28"/>
          <w:szCs w:val="28"/>
          <w:highlight w:val="none"/>
        </w:rPr>
        <w:t>特别提示</w:t>
      </w:r>
      <w:bookmarkEnd w:id="146"/>
      <w:bookmarkEnd w:id="147"/>
      <w:bookmarkEnd w:id="148"/>
      <w:bookmarkEnd w:id="149"/>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1、投标人应认真研读招标文件，充分考虑招标文件中的技术要求和合同条款后编制投标文件。</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2、如招标文件中未提供的各类表格样式，投标人可另行设计表格样式，但力求内容完整，表达清晰、准确。</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3、本项目实行网上投标，采用电子投标文件。若供应商参与投标，自行承担投标一切费用。 </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4、各供应商应在开标前应确保成为正式注册入库供应商，并完成CA数字证书申领。因未注册入库、未办理CA数字证书等原因造成无法投标或投标失败等后果由供应商自行承担。 </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5、本项目为电子招投标，投标人需要使用CA加密设备，有意向参与新疆区域电子开评标的供应商，请访问新疆数字证书认证中心官方网站（https://www.xjca.com.cn/）或下载</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“新疆政务通”APP自行进行申领。如需咨询，请联系新疆CA服务热线0991-2819290</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7、本招标文件是根据《中华人民共和国招标投标法》规定编制的，解释权属新</w:t>
      </w:r>
      <w:r>
        <w:rPr>
          <w:rFonts w:hint="eastAsia" w:ascii="宋体" w:hAnsi="宋体" w:cs="宋体"/>
          <w:kern w:val="2"/>
          <w:sz w:val="24"/>
          <w:szCs w:val="24"/>
          <w:highlight w:val="none"/>
          <w:lang w:val="en-US" w:eastAsia="zh-CN" w:bidi="ar-SA"/>
        </w:rPr>
        <w:t>新疆晓君招标有限公司</w:t>
      </w:r>
      <w:r>
        <w:rPr>
          <w:rFonts w:hint="eastAsia" w:ascii="宋体" w:hAnsi="宋体" w:eastAsia="宋体" w:cs="宋体"/>
          <w:kern w:val="2"/>
          <w:sz w:val="24"/>
          <w:szCs w:val="24"/>
          <w:highlight w:val="none"/>
          <w:lang w:val="en-US" w:eastAsia="zh-CN" w:bidi="ar-SA"/>
        </w:rPr>
        <w:t>。</w:t>
      </w:r>
    </w:p>
    <w:p>
      <w:pPr>
        <w:numPr>
          <w:ilvl w:val="0"/>
          <w:numId w:val="0"/>
        </w:numPr>
        <w:shd w:val="clear" w:color="auto" w:fill="auto"/>
        <w:spacing w:line="460" w:lineRule="exact"/>
        <w:ind w:leftChars="-50" w:right="62" w:rightChars="0"/>
        <w:jc w:val="center"/>
        <w:outlineLvl w:val="1"/>
        <w:rPr>
          <w:rFonts w:hint="eastAsia" w:ascii="宋体" w:hAnsi="宋体" w:eastAsia="宋体" w:cs="宋体"/>
          <w:b/>
          <w:color w:val="auto"/>
          <w:sz w:val="28"/>
          <w:szCs w:val="28"/>
          <w:highlight w:val="none"/>
        </w:rPr>
      </w:pPr>
      <w:bookmarkStart w:id="150" w:name="_Toc4516"/>
      <w:bookmarkStart w:id="151" w:name="_Toc115436072"/>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重新招标和其他方式采购</w:t>
      </w:r>
      <w:bookmarkEnd w:id="150"/>
      <w:bookmarkEnd w:id="151"/>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1.重新招标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1.1在招标采购中，出现下列情形之一的，应当在废标后重新招标：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（1）符合专业条件的供应商或者对招标文件作实质响应的供应商不足三家的；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（2）出现影响采购公正的违法、违规行为的；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（3）投标人的报价均超过了采购预算，采购人不能支付的；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（4）因重大变故，采购任务取消的。</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1.2如果排名第一、二的中标候选人，直至排名第三的中标候选人因不可抗力或自身原因放弃中标结果，本次招标宣布失败。招标人应依法按规定重新组织招标。</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2其他方式采购</w:t>
      </w:r>
    </w:p>
    <w:p>
      <w:pPr>
        <w:shd w:val="clear" w:color="auto" w:fill="auto"/>
        <w:spacing w:line="4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2.1需要采取其他方式采购的，应当在采购活动开始前获得设区的市、自治州以上人民政府采购监督管理部门或者政府有关部门批准。</w:t>
      </w:r>
    </w:p>
    <w:p>
      <w:pPr>
        <w:shd w:val="clear" w:color="auto" w:fill="auto"/>
        <w:spacing w:line="460" w:lineRule="exact"/>
        <w:jc w:val="center"/>
        <w:outlineLvl w:val="1"/>
        <w:rPr>
          <w:rFonts w:hint="eastAsia" w:ascii="宋体" w:hAnsi="宋体" w:eastAsia="宋体" w:cs="宋体"/>
          <w:color w:val="auto"/>
          <w:sz w:val="24"/>
          <w:highlight w:val="none"/>
          <w:lang w:val="en-US" w:eastAsia="zh-CN"/>
        </w:rPr>
      </w:pPr>
      <w:bookmarkStart w:id="152" w:name="_Toc115436073"/>
      <w:bookmarkStart w:id="153" w:name="_Toc2805"/>
      <w:bookmarkStart w:id="154" w:name="_Toc13351"/>
      <w:bookmarkStart w:id="155" w:name="_Toc26775"/>
      <w:r>
        <w:rPr>
          <w:rFonts w:hint="eastAsia" w:ascii="宋体" w:hAnsi="宋体" w:eastAsia="宋体" w:cs="宋体"/>
          <w:b/>
          <w:bCs/>
          <w:color w:val="000000"/>
          <w:kern w:val="2"/>
          <w:sz w:val="28"/>
          <w:szCs w:val="28"/>
          <w:highlight w:val="none"/>
          <w:lang w:val="en-US" w:eastAsia="zh-CN" w:bidi="ar-SA"/>
        </w:rPr>
        <w:t>（十</w:t>
      </w:r>
      <w:r>
        <w:rPr>
          <w:rFonts w:hint="eastAsia" w:ascii="宋体" w:hAnsi="宋体" w:eastAsia="宋体" w:cs="宋体"/>
          <w:b/>
          <w:color w:val="auto"/>
          <w:sz w:val="28"/>
          <w:szCs w:val="28"/>
          <w:highlight w:val="none"/>
        </w:rPr>
        <w:t>一</w:t>
      </w:r>
      <w:r>
        <w:rPr>
          <w:rFonts w:hint="eastAsia" w:ascii="宋体" w:hAnsi="宋体" w:eastAsia="宋体" w:cs="宋体"/>
          <w:b/>
          <w:bCs/>
          <w:color w:val="000000"/>
          <w:kern w:val="2"/>
          <w:sz w:val="28"/>
          <w:szCs w:val="28"/>
          <w:highlight w:val="none"/>
          <w:lang w:val="en-US" w:eastAsia="zh-CN" w:bidi="ar-SA"/>
        </w:rPr>
        <w:t>）</w:t>
      </w:r>
      <w:r>
        <w:rPr>
          <w:rFonts w:hint="eastAsia" w:ascii="宋体" w:hAnsi="宋体" w:eastAsia="宋体" w:cs="宋体"/>
          <w:b/>
          <w:color w:val="auto"/>
          <w:sz w:val="28"/>
          <w:highlight w:val="none"/>
        </w:rPr>
        <w:t>质疑及答复</w:t>
      </w:r>
      <w:bookmarkEnd w:id="152"/>
      <w:bookmarkEnd w:id="153"/>
      <w:bookmarkEnd w:id="154"/>
      <w:bookmarkEnd w:id="155"/>
      <w:r>
        <w:rPr>
          <w:rFonts w:hint="eastAsia" w:ascii="宋体" w:hAnsi="宋体" w:eastAsia="宋体" w:cs="宋体"/>
          <w:b/>
          <w:color w:val="auto"/>
          <w:sz w:val="28"/>
          <w:highlight w:val="none"/>
          <w:lang w:eastAsia="zh-CN"/>
        </w:rPr>
        <w:t>、</w:t>
      </w:r>
      <w:r>
        <w:rPr>
          <w:rFonts w:hint="eastAsia" w:ascii="宋体" w:hAnsi="宋体" w:eastAsia="宋体" w:cs="宋体"/>
          <w:b/>
          <w:color w:val="auto"/>
          <w:sz w:val="28"/>
          <w:highlight w:val="none"/>
          <w:lang w:val="en-US" w:eastAsia="zh-CN"/>
        </w:rPr>
        <w:t>投诉</w:t>
      </w:r>
    </w:p>
    <w:p>
      <w:pPr>
        <w:shd w:val="clear" w:color="auto" w:fill="auto"/>
        <w:spacing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、质疑的提出</w:t>
      </w:r>
      <w:r>
        <w:rPr>
          <w:rFonts w:hint="eastAsia" w:ascii="宋体" w:hAnsi="宋体" w:eastAsia="宋体" w:cs="宋体"/>
          <w:color w:val="auto"/>
          <w:sz w:val="24"/>
          <w:highlight w:val="none"/>
        </w:rPr>
        <w:tab/>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 本采购文件中所称质疑及答复，是指参加本次采购活动的供应商对政府采购活动中的采购文件、采购过程和中标结果向采购方</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提出质疑，采购方答复质疑的行为。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 供应商认为采购文件、采购过程和中标结果使自己的权益受到损害的，可以在知道或者应知其权益受到损害之日起 7 个工作日内，以书面形式</w:t>
      </w:r>
      <w:r>
        <w:rPr>
          <w:rFonts w:hint="eastAsia" w:ascii="宋体" w:hAnsi="宋体" w:eastAsia="宋体" w:cs="宋体"/>
          <w:color w:val="auto"/>
          <w:sz w:val="24"/>
          <w:highlight w:val="none"/>
          <w:lang w:eastAsia="zh-CN"/>
        </w:rPr>
        <w:t>一次性</w:t>
      </w:r>
      <w:r>
        <w:rPr>
          <w:rFonts w:hint="eastAsia" w:ascii="宋体" w:hAnsi="宋体" w:eastAsia="宋体" w:cs="宋体"/>
          <w:color w:val="auto"/>
          <w:sz w:val="24"/>
          <w:highlight w:val="none"/>
        </w:rPr>
        <w:t>向采购方提出质疑。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供应商应知其权益受到损害之日，是指：</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（一）对可以质疑的采购文件提出质疑的，为收到采购文件之日或者采购文件公告期限届满之日；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（二）对采购过程提出质疑的，为各采购程序环节结束之日；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（三）对中标结果提出质疑的，为中标结果公告期限届满之日。</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 xml:space="preserve"> 对可以质疑的采购文件提出质疑的，质疑人为参与本项目的报价方或潜在报价方。可质疑的文件为采购公告以及采购文件（包括属于其组成部分的澄清、修改、补充文件和评审标准、合同文本等）。</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 xml:space="preserve"> 对采购过程和中标结果提出质疑的，质疑人为直接参与本项目的报价方。采购过程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即从采购项目信息公告发布起到中标结果公告止，包括采购文件的发出、提交投标文件、投标文件开启、评审等各个采购程序环节。</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 xml:space="preserve">  提出质疑应当符合下列条件：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（一）质疑主体应当符合有关规定；</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（二）在质疑法定期限内提出；</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（三）属于可以提出质疑的政府采购事项受理范围和本项目采购人的管辖权范围；</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（四）政府采购法律、法规、规章规定的其他条件。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 xml:space="preserve"> 提出质疑应当具有明确的请求和提供必要的证明材料。明确</w:t>
      </w:r>
      <w:r>
        <w:rPr>
          <w:rFonts w:hint="eastAsia" w:ascii="宋体" w:hAnsi="宋体" w:cs="宋体"/>
          <w:color w:val="auto"/>
          <w:sz w:val="24"/>
          <w:highlight w:val="none"/>
          <w:lang w:eastAsia="zh-CN"/>
        </w:rPr>
        <w:t>地</w:t>
      </w:r>
      <w:r>
        <w:rPr>
          <w:rFonts w:hint="eastAsia" w:ascii="宋体" w:hAnsi="宋体" w:eastAsia="宋体" w:cs="宋体"/>
          <w:color w:val="auto"/>
          <w:sz w:val="24"/>
          <w:highlight w:val="none"/>
        </w:rPr>
        <w:t>请求</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即质疑人在质疑函中提出的，要求采购方对其予以</w:t>
      </w:r>
      <w:r>
        <w:rPr>
          <w:rFonts w:hint="eastAsia" w:ascii="宋体" w:hAnsi="宋体" w:cs="宋体"/>
          <w:color w:val="auto"/>
          <w:sz w:val="24"/>
          <w:highlight w:val="none"/>
          <w:lang w:eastAsia="zh-CN"/>
        </w:rPr>
        <w:t>具有</w:t>
      </w:r>
      <w:r>
        <w:rPr>
          <w:rFonts w:hint="eastAsia" w:ascii="宋体" w:hAnsi="宋体" w:eastAsia="宋体" w:cs="宋体"/>
          <w:color w:val="auto"/>
          <w:sz w:val="24"/>
          <w:highlight w:val="none"/>
        </w:rPr>
        <w:t>的主张。必要的证明材料</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即能够证明质疑人的质疑请求成立的必要材料，包括相关证据、依据和其他有关材料。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 xml:space="preserve"> 质疑人所提供的证明材料应当具有真实性、合法性以及与质疑事项的关联性和证明力，否则不能作为认定该质疑事项成立的依据。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 xml:space="preserve"> 质疑人提出质疑时应当提交质疑函。质疑函包括下列内容：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（一）提出质疑的质疑人的名称、地址、邮编、联系人及联系电话等；</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（二）质疑项目的名称、编号；</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（四）事实依据和证明材料；</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（五）法律依据；</w:t>
      </w:r>
    </w:p>
    <w:p>
      <w:pPr>
        <w:shd w:val="clear" w:color="auto" w:fill="auto"/>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（六）提出质疑的日期。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1.10</w:t>
      </w:r>
      <w:r>
        <w:rPr>
          <w:rFonts w:hint="eastAsia" w:ascii="宋体" w:hAnsi="宋体" w:eastAsia="宋体" w:cs="宋体"/>
          <w:color w:val="auto"/>
          <w:sz w:val="24"/>
          <w:highlight w:val="none"/>
        </w:rPr>
        <w:t xml:space="preserve">  质疑函采用实名制。质疑人为自然人的应当由本人签字，并附有效身份证明文件；质疑人为法人或者非法人组织的应当由法定代表人或者负责人签字并加盖公章，并附有效身份证明文件。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1.11</w:t>
      </w:r>
      <w:r>
        <w:rPr>
          <w:rFonts w:hint="eastAsia" w:ascii="宋体" w:hAnsi="宋体" w:eastAsia="宋体" w:cs="宋体"/>
          <w:color w:val="auto"/>
          <w:sz w:val="24"/>
          <w:highlight w:val="none"/>
        </w:rPr>
        <w:t xml:space="preserve"> 质疑人可以委托代理人进行质疑。代理人应当提交授权委托书。授权委托书应当载明委托代理的具体权限、期限和相关事项。</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、质疑的审查和受理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采购方在收到质疑函后应当及时审查是否符合质疑受理条件，对符合质疑受理条件的，及时予以受理。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.2对不符合质疑受理条件的，分别按照下列不同情形予以处理：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（二）质疑主体不符合有关规定的，告知质疑人不予受理；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（三）超过质疑法定期限提出质疑的，告知质疑人不予受理；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（四）对不属于可以提出质疑的政府采购事项提出质疑的，告知质疑人不予受理；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（五）质疑不属于本项目采购方管辖的，告知质疑人向有管辖权的采购人提出质疑；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（六）质疑不符合其他条件的，告知质疑人不予受理。</w:t>
      </w:r>
    </w:p>
    <w:p>
      <w:pPr>
        <w:shd w:val="clear" w:color="auto" w:fill="auto"/>
        <w:spacing w:line="40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、质疑的处理和答复</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 按照《政府采购质疑和投诉办法（财政部94号令）》处理及答复质疑。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 采购方受理质疑后，将及时把质疑函发送给被质疑人，并要求其在一定限期人提交书面答复，同时提供有关证据、依据和相关材料。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 对于质疑事项中涉及的问题较多、情况比较复杂的，为了全面查清事实、取得充分的证据，采购方认为有必要时，可以进行调查取证或者组织质证。</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.4对评审过程、中标结果提出质疑的，采购方可以组织原评审委员会协助答复质疑。</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.5质疑处理过程中，质疑人书面申请撤回质疑的，将终止质疑处理程序。</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.6质疑人拒绝配合采购方依法对质疑进行调查处理的，采购方将按质疑人自动撤回质疑处理；被质疑人拒绝配合采购方依法对质疑进行调查处理的，采购方将视同其认可质疑事项。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.7 采购方将在正式受理质疑后 7 个工作日内作出答复，但处理质疑需要进行调查取证、组织专家评审、质疑人及被质疑人提交或补正材料等所需时间，不计算在质疑处理期限内。</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.8 采购方经调查、论证、核实，认定质疑不能成立的，继续开展采购活动；认定质疑成立的，按照以下情况处理：</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.9 采购方将书面答复质疑，质疑答复包括下列内容：</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（一）质疑人名称；</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（二）收到质疑函的日期、质疑项目名称及编号</w:t>
      </w:r>
      <w:r>
        <w:rPr>
          <w:rFonts w:hint="eastAsia" w:ascii="宋体" w:hAnsi="宋体" w:cs="宋体"/>
          <w:color w:val="auto"/>
          <w:sz w:val="24"/>
          <w:highlight w:val="none"/>
          <w:lang w:eastAsia="zh-CN"/>
        </w:rPr>
        <w:t>；</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（三）质疑事项、质疑答复的具体内容、事实依据和法律依据；</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（四）告知质疑人依法投诉的权利；</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（五）质疑答复日期。</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.10 质疑人有下列行为之一的，属于虚假、恶意质疑，将由采购方建议财政部门将其列入不良行为记录名单，禁止其 1 至 3 年内参加政府采购活动：</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（一）受理后发现投诉不符合法定受理条件；</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（二）投诉事项缺乏事实依据，投诉事项不成立；</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（三）投诉人捏造事实或者提供虚假材料；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（四）投诉人以非法手段取得证明材料。证据来源的合法性存在明显疑问，投诉人无法证明其取得方式合法的，视为以非法手段取得证明材料。</w:t>
      </w:r>
    </w:p>
    <w:p>
      <w:pPr>
        <w:shd w:val="clear" w:color="auto" w:fill="auto"/>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（五）法律法规规定的其他违法情形。</w:t>
      </w:r>
    </w:p>
    <w:p>
      <w:pPr>
        <w:pStyle w:val="124"/>
        <w:shd w:val="clear" w:color="auto" w:fill="auto"/>
        <w:spacing w:line="450" w:lineRule="exact"/>
        <w:jc w:val="center"/>
        <w:rPr>
          <w:rFonts w:hint="eastAsia" w:ascii="宋体" w:hAnsi="宋体" w:eastAsia="宋体" w:cs="宋体"/>
          <w:color w:val="auto"/>
          <w:sz w:val="28"/>
          <w:szCs w:val="28"/>
          <w:highlight w:val="none"/>
        </w:rPr>
      </w:pPr>
      <w:bookmarkStart w:id="156" w:name="_Toc16936"/>
      <w:bookmarkStart w:id="157" w:name="_Toc31734"/>
      <w:bookmarkStart w:id="158" w:name="_Toc25094"/>
      <w:bookmarkStart w:id="159" w:name="_Toc19742"/>
      <w:bookmarkStart w:id="160" w:name="_Toc13588"/>
      <w:bookmarkStart w:id="161" w:name="_Toc25665"/>
      <w:bookmarkStart w:id="162" w:name="_Toc4251"/>
    </w:p>
    <w:p>
      <w:pPr>
        <w:shd w:val="clear" w:color="auto" w:fill="auto"/>
        <w:spacing w:before="101" w:line="224" w:lineRule="auto"/>
        <w:outlineLvl w:val="2"/>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br w:type="page"/>
      </w:r>
      <w:bookmarkEnd w:id="156"/>
      <w:bookmarkEnd w:id="157"/>
      <w:bookmarkEnd w:id="158"/>
      <w:bookmarkEnd w:id="159"/>
      <w:bookmarkEnd w:id="160"/>
      <w:bookmarkEnd w:id="161"/>
      <w:bookmarkEnd w:id="162"/>
      <w:bookmarkStart w:id="163" w:name="_Toc110010424"/>
      <w:bookmarkStart w:id="164" w:name="_Toc21178"/>
      <w:bookmarkStart w:id="165" w:name="_Toc1224"/>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件：质疑函范本</w:t>
      </w:r>
      <w:bookmarkEnd w:id="163"/>
      <w:bookmarkEnd w:id="164"/>
      <w:bookmarkEnd w:id="165"/>
    </w:p>
    <w:p>
      <w:pPr>
        <w:shd w:val="clear" w:color="auto" w:fill="auto"/>
        <w:spacing w:line="250" w:lineRule="auto"/>
        <w:rPr>
          <w:rFonts w:hint="eastAsia" w:ascii="宋体" w:hAnsi="宋体" w:eastAsia="宋体" w:cs="宋体"/>
          <w:color w:val="auto"/>
          <w:sz w:val="24"/>
          <w:highlight w:val="none"/>
        </w:rPr>
      </w:pPr>
    </w:p>
    <w:p>
      <w:pPr>
        <w:shd w:val="clear" w:color="auto" w:fill="auto"/>
        <w:spacing w:before="101" w:line="225" w:lineRule="auto"/>
        <w:ind w:left="3656"/>
        <w:rPr>
          <w:rFonts w:hint="eastAsia" w:ascii="宋体" w:hAnsi="宋体" w:eastAsia="宋体" w:cs="宋体"/>
          <w:color w:val="auto"/>
          <w:sz w:val="24"/>
          <w:highlight w:val="none"/>
        </w:rPr>
      </w:pPr>
      <w:r>
        <w:rPr>
          <w:rFonts w:hint="eastAsia" w:ascii="宋体" w:hAnsi="宋体" w:eastAsia="宋体" w:cs="宋体"/>
          <w:color w:val="auto"/>
          <w:spacing w:val="25"/>
          <w:sz w:val="24"/>
          <w:highlight w:val="none"/>
        </w:rPr>
        <w:t>质</w:t>
      </w:r>
      <w:r>
        <w:rPr>
          <w:rFonts w:hint="eastAsia" w:ascii="宋体" w:hAnsi="宋体" w:eastAsia="宋体" w:cs="宋体"/>
          <w:color w:val="auto"/>
          <w:spacing w:val="24"/>
          <w:sz w:val="24"/>
          <w:highlight w:val="none"/>
        </w:rPr>
        <w:t>疑函</w:t>
      </w:r>
    </w:p>
    <w:p>
      <w:pPr>
        <w:shd w:val="clear" w:color="auto" w:fill="auto"/>
        <w:spacing w:before="237" w:line="468" w:lineRule="exact"/>
        <w:ind w:left="27"/>
        <w:outlineLvl w:val="2"/>
        <w:rPr>
          <w:rFonts w:hint="eastAsia" w:ascii="宋体" w:hAnsi="宋体" w:eastAsia="宋体" w:cs="宋体"/>
          <w:color w:val="auto"/>
          <w:sz w:val="24"/>
          <w:highlight w:val="none"/>
        </w:rPr>
      </w:pPr>
      <w:bookmarkStart w:id="166" w:name="_Toc110010425"/>
      <w:bookmarkStart w:id="167" w:name="_Toc5896"/>
      <w:bookmarkStart w:id="168" w:name="_Toc25739"/>
      <w:bookmarkStart w:id="169" w:name="_Toc1299"/>
      <w:r>
        <w:rPr>
          <w:rFonts w:hint="eastAsia" w:ascii="宋体" w:hAnsi="宋体" w:eastAsia="宋体" w:cs="宋体"/>
          <w:color w:val="auto"/>
          <w:spacing w:val="-2"/>
          <w:position w:val="2"/>
          <w:sz w:val="24"/>
          <w:highlight w:val="none"/>
        </w:rPr>
        <w:t>一、质</w:t>
      </w:r>
      <w:r>
        <w:rPr>
          <w:rFonts w:hint="eastAsia" w:ascii="宋体" w:hAnsi="宋体" w:eastAsia="宋体" w:cs="宋体"/>
          <w:color w:val="auto"/>
          <w:spacing w:val="-1"/>
          <w:position w:val="2"/>
          <w:sz w:val="24"/>
          <w:highlight w:val="none"/>
        </w:rPr>
        <w:t>疑供应商基本信息</w:t>
      </w:r>
      <w:bookmarkEnd w:id="166"/>
      <w:bookmarkEnd w:id="167"/>
      <w:bookmarkEnd w:id="168"/>
      <w:bookmarkEnd w:id="169"/>
    </w:p>
    <w:p>
      <w:pPr>
        <w:shd w:val="clear" w:color="auto" w:fill="auto"/>
        <w:spacing w:before="77"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疑供应商：</w:t>
      </w:r>
      <w:r>
        <w:rPr>
          <w:rFonts w:hint="eastAsia" w:ascii="宋体" w:hAnsi="宋体" w:eastAsia="宋体" w:cs="宋体"/>
          <w:color w:val="auto"/>
          <w:sz w:val="24"/>
          <w:highlight w:val="none"/>
          <w:u w:val="dotted"/>
        </w:rPr>
        <w:t xml:space="preserve">                                       </w:t>
      </w:r>
    </w:p>
    <w:p>
      <w:pPr>
        <w:shd w:val="clear" w:color="auto" w:fill="auto"/>
        <w:spacing w:before="21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11"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205"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授</w:t>
      </w:r>
      <w:r>
        <w:rPr>
          <w:rFonts w:hint="eastAsia" w:ascii="宋体" w:hAnsi="宋体" w:eastAsia="宋体" w:cs="宋体"/>
          <w:color w:val="auto"/>
          <w:spacing w:val="-2"/>
          <w:sz w:val="24"/>
          <w:highlight w:val="none"/>
        </w:rPr>
        <w:t>权代表：</w:t>
      </w:r>
      <w:r>
        <w:rPr>
          <w:rFonts w:hint="eastAsia" w:ascii="宋体" w:hAnsi="宋体" w:eastAsia="宋体" w:cs="宋体"/>
          <w:color w:val="auto"/>
          <w:sz w:val="24"/>
          <w:highlight w:val="none"/>
          <w:u w:val="dotted"/>
        </w:rPr>
        <w:t xml:space="preserve">                                         </w:t>
      </w:r>
    </w:p>
    <w:p>
      <w:pPr>
        <w:shd w:val="clear" w:color="auto" w:fill="auto"/>
        <w:spacing w:before="21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208"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209" w:line="371" w:lineRule="exact"/>
        <w:ind w:left="27"/>
        <w:outlineLvl w:val="2"/>
        <w:rPr>
          <w:rFonts w:hint="eastAsia" w:ascii="宋体" w:hAnsi="宋体" w:eastAsia="宋体" w:cs="宋体"/>
          <w:color w:val="auto"/>
          <w:sz w:val="24"/>
          <w:highlight w:val="none"/>
        </w:rPr>
      </w:pPr>
      <w:bookmarkStart w:id="170" w:name="_Toc15098"/>
      <w:bookmarkStart w:id="171" w:name="_Toc1061"/>
      <w:bookmarkStart w:id="172" w:name="_Toc110010426"/>
      <w:bookmarkStart w:id="173" w:name="_Toc3585"/>
      <w:r>
        <w:rPr>
          <w:rFonts w:hint="eastAsia" w:ascii="宋体" w:hAnsi="宋体" w:eastAsia="宋体" w:cs="宋体"/>
          <w:color w:val="auto"/>
          <w:spacing w:val="-2"/>
          <w:position w:val="1"/>
          <w:sz w:val="24"/>
          <w:highlight w:val="none"/>
        </w:rPr>
        <w:t>二、质疑项</w:t>
      </w:r>
      <w:r>
        <w:rPr>
          <w:rFonts w:hint="eastAsia" w:ascii="宋体" w:hAnsi="宋体" w:eastAsia="宋体" w:cs="宋体"/>
          <w:color w:val="auto"/>
          <w:spacing w:val="-1"/>
          <w:position w:val="1"/>
          <w:sz w:val="24"/>
          <w:highlight w:val="none"/>
        </w:rPr>
        <w:t>目基本情况</w:t>
      </w:r>
      <w:bookmarkEnd w:id="170"/>
      <w:bookmarkEnd w:id="171"/>
      <w:bookmarkEnd w:id="172"/>
      <w:bookmarkEnd w:id="173"/>
    </w:p>
    <w:p>
      <w:pPr>
        <w:shd w:val="clear" w:color="auto" w:fill="auto"/>
        <w:spacing w:before="173"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质疑项目</w:t>
      </w:r>
      <w:r>
        <w:rPr>
          <w:rFonts w:hint="eastAsia" w:ascii="宋体" w:hAnsi="宋体" w:eastAsia="宋体" w:cs="宋体"/>
          <w:color w:val="auto"/>
          <w:spacing w:val="-1"/>
          <w:sz w:val="24"/>
          <w:highlight w:val="none"/>
        </w:rPr>
        <w:t>的名称：</w:t>
      </w:r>
      <w:r>
        <w:rPr>
          <w:rFonts w:hint="eastAsia" w:ascii="宋体" w:hAnsi="宋体" w:eastAsia="宋体" w:cs="宋体"/>
          <w:color w:val="auto"/>
          <w:sz w:val="24"/>
          <w:highlight w:val="none"/>
          <w:u w:val="dotted"/>
        </w:rPr>
        <w:t xml:space="preserve">                                         </w:t>
      </w:r>
    </w:p>
    <w:p>
      <w:pPr>
        <w:shd w:val="clear" w:color="auto" w:fill="auto"/>
        <w:spacing w:before="210"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10"/>
          <w:sz w:val="24"/>
          <w:highlight w:val="none"/>
        </w:rPr>
        <w:t>质疑项</w:t>
      </w:r>
      <w:r>
        <w:rPr>
          <w:rFonts w:hint="eastAsia" w:ascii="宋体" w:hAnsi="宋体" w:eastAsia="宋体" w:cs="宋体"/>
          <w:color w:val="auto"/>
          <w:spacing w:val="-9"/>
          <w:sz w:val="24"/>
          <w:highlight w:val="none"/>
        </w:rPr>
        <w:t>目</w:t>
      </w:r>
      <w:r>
        <w:rPr>
          <w:rFonts w:hint="eastAsia" w:ascii="宋体" w:hAnsi="宋体" w:eastAsia="宋体" w:cs="宋体"/>
          <w:color w:val="auto"/>
          <w:spacing w:val="-5"/>
          <w:sz w:val="24"/>
          <w:highlight w:val="none"/>
        </w:rPr>
        <w:t>的编号：</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5"/>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21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w:t>
      </w:r>
      <w:r>
        <w:rPr>
          <w:rFonts w:hint="eastAsia" w:ascii="宋体" w:hAnsi="宋体" w:eastAsia="宋体" w:cs="宋体"/>
          <w:color w:val="auto"/>
          <w:spacing w:val="-1"/>
          <w:sz w:val="24"/>
          <w:highlight w:val="none"/>
        </w:rPr>
        <w:t>文件获取日期：</w:t>
      </w:r>
      <w:r>
        <w:rPr>
          <w:rFonts w:hint="eastAsia" w:ascii="宋体" w:hAnsi="宋体" w:eastAsia="宋体" w:cs="宋体"/>
          <w:color w:val="auto"/>
          <w:sz w:val="24"/>
          <w:highlight w:val="none"/>
          <w:u w:val="dotted"/>
        </w:rPr>
        <w:t xml:space="preserve">                                       </w:t>
      </w:r>
    </w:p>
    <w:p>
      <w:pPr>
        <w:shd w:val="clear" w:color="auto" w:fill="auto"/>
        <w:spacing w:before="213" w:line="237" w:lineRule="auto"/>
        <w:ind w:left="22"/>
        <w:outlineLvl w:val="2"/>
        <w:rPr>
          <w:rFonts w:hint="eastAsia" w:ascii="宋体" w:hAnsi="宋体" w:eastAsia="宋体" w:cs="宋体"/>
          <w:color w:val="auto"/>
          <w:sz w:val="24"/>
          <w:highlight w:val="none"/>
        </w:rPr>
      </w:pPr>
      <w:bookmarkStart w:id="174" w:name="_Toc14686"/>
      <w:bookmarkStart w:id="175" w:name="_Toc110010427"/>
      <w:bookmarkStart w:id="176" w:name="_Toc22496"/>
      <w:bookmarkStart w:id="177" w:name="_Toc32569"/>
      <w:r>
        <w:rPr>
          <w:rFonts w:hint="eastAsia" w:ascii="宋体" w:hAnsi="宋体" w:eastAsia="宋体" w:cs="宋体"/>
          <w:color w:val="auto"/>
          <w:spacing w:val="-2"/>
          <w:sz w:val="24"/>
          <w:highlight w:val="none"/>
        </w:rPr>
        <w:t>三</w:t>
      </w:r>
      <w:r>
        <w:rPr>
          <w:rFonts w:hint="eastAsia" w:ascii="宋体" w:hAnsi="宋体" w:eastAsia="宋体" w:cs="宋体"/>
          <w:color w:val="auto"/>
          <w:spacing w:val="-1"/>
          <w:sz w:val="24"/>
          <w:highlight w:val="none"/>
        </w:rPr>
        <w:t>、质疑事项具体内容</w:t>
      </w:r>
      <w:bookmarkEnd w:id="174"/>
      <w:bookmarkEnd w:id="175"/>
      <w:bookmarkEnd w:id="176"/>
      <w:bookmarkEnd w:id="177"/>
    </w:p>
    <w:p>
      <w:pPr>
        <w:shd w:val="clear" w:color="auto" w:fill="auto"/>
        <w:spacing w:before="184" w:line="221" w:lineRule="auto"/>
        <w:ind w:left="506"/>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质</w:t>
      </w:r>
      <w:r>
        <w:rPr>
          <w:rFonts w:hint="eastAsia" w:ascii="宋体" w:hAnsi="宋体" w:eastAsia="宋体" w:cs="宋体"/>
          <w:color w:val="auto"/>
          <w:spacing w:val="-11"/>
          <w:sz w:val="24"/>
          <w:highlight w:val="none"/>
        </w:rPr>
        <w:t>疑事项 1：</w:t>
      </w:r>
      <w:r>
        <w:rPr>
          <w:rFonts w:hint="eastAsia" w:ascii="宋体" w:hAnsi="宋体" w:eastAsia="宋体" w:cs="宋体"/>
          <w:color w:val="auto"/>
          <w:sz w:val="24"/>
          <w:highlight w:val="none"/>
          <w:u w:val="dotted"/>
        </w:rPr>
        <w:t xml:space="preserve">                                             </w:t>
      </w:r>
    </w:p>
    <w:p>
      <w:pPr>
        <w:shd w:val="clear" w:color="auto" w:fill="auto"/>
        <w:spacing w:before="211"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6"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30"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289" w:line="241"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227" w:line="545" w:lineRule="exact"/>
        <w:ind w:left="506"/>
        <w:rPr>
          <w:rFonts w:hint="eastAsia" w:ascii="宋体" w:hAnsi="宋体" w:eastAsia="宋体" w:cs="宋体"/>
          <w:color w:val="auto"/>
          <w:sz w:val="24"/>
          <w:highlight w:val="none"/>
        </w:rPr>
      </w:pPr>
      <w:r>
        <w:rPr>
          <w:rFonts w:hint="eastAsia" w:ascii="宋体" w:hAnsi="宋体" w:eastAsia="宋体" w:cs="宋体"/>
          <w:color w:val="auto"/>
          <w:spacing w:val="-15"/>
          <w:position w:val="19"/>
          <w:sz w:val="24"/>
          <w:highlight w:val="none"/>
        </w:rPr>
        <w:t>质</w:t>
      </w:r>
      <w:r>
        <w:rPr>
          <w:rFonts w:hint="eastAsia" w:ascii="宋体" w:hAnsi="宋体" w:eastAsia="宋体" w:cs="宋体"/>
          <w:color w:val="auto"/>
          <w:spacing w:val="-11"/>
          <w:position w:val="19"/>
          <w:sz w:val="24"/>
          <w:highlight w:val="none"/>
        </w:rPr>
        <w:t>疑事项 2</w:t>
      </w:r>
    </w:p>
    <w:p>
      <w:pPr>
        <w:shd w:val="clear" w:color="auto" w:fill="auto"/>
        <w:spacing w:line="442"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jc w:val="center"/>
        <w:rPr>
          <w:rFonts w:hint="eastAsia" w:ascii="宋体" w:hAnsi="宋体" w:eastAsia="宋体" w:cs="宋体"/>
          <w:color w:val="auto"/>
          <w:sz w:val="24"/>
          <w:highlight w:val="none"/>
        </w:rPr>
      </w:pPr>
    </w:p>
    <w:p>
      <w:pPr>
        <w:shd w:val="clear" w:color="auto" w:fill="auto"/>
        <w:spacing w:line="442" w:lineRule="exact"/>
        <w:ind w:left="522"/>
        <w:rPr>
          <w:rFonts w:hint="eastAsia" w:ascii="宋体" w:hAnsi="宋体" w:eastAsia="宋体" w:cs="宋体"/>
          <w:color w:val="auto"/>
          <w:position w:val="3"/>
          <w:sz w:val="24"/>
          <w:highlight w:val="none"/>
        </w:rPr>
      </w:pPr>
      <w:r>
        <w:rPr>
          <w:rFonts w:hint="eastAsia" w:ascii="宋体" w:hAnsi="宋体" w:eastAsia="宋体" w:cs="宋体"/>
          <w:color w:val="auto"/>
          <w:position w:val="3"/>
          <w:sz w:val="24"/>
          <w:highlight w:val="none"/>
        </w:rPr>
        <w:t>签字</w:t>
      </w:r>
      <w:r>
        <w:rPr>
          <w:rFonts w:hint="eastAsia" w:ascii="宋体" w:hAnsi="宋体" w:cs="宋体"/>
          <w:color w:val="auto"/>
          <w:position w:val="3"/>
          <w:sz w:val="24"/>
          <w:highlight w:val="none"/>
          <w:lang w:eastAsia="zh-CN"/>
        </w:rPr>
        <w:t>（</w:t>
      </w:r>
      <w:r>
        <w:rPr>
          <w:rFonts w:hint="eastAsia" w:ascii="宋体" w:hAnsi="宋体" w:eastAsia="宋体" w:cs="宋体"/>
          <w:color w:val="auto"/>
          <w:position w:val="3"/>
          <w:sz w:val="24"/>
          <w:highlight w:val="none"/>
        </w:rPr>
        <w:t>签章</w:t>
      </w:r>
      <w:r>
        <w:rPr>
          <w:rFonts w:hint="eastAsia" w:ascii="宋体" w:hAnsi="宋体" w:cs="宋体"/>
          <w:color w:val="auto"/>
          <w:position w:val="3"/>
          <w:sz w:val="24"/>
          <w:highlight w:val="none"/>
          <w:lang w:eastAsia="zh-CN"/>
        </w:rPr>
        <w:t>）</w:t>
      </w:r>
      <w:r>
        <w:rPr>
          <w:rFonts w:hint="eastAsia" w:ascii="宋体" w:hAnsi="宋体" w:eastAsia="宋体" w:cs="宋体"/>
          <w:color w:val="auto"/>
          <w:position w:val="3"/>
          <w:sz w:val="24"/>
          <w:highlight w:val="none"/>
        </w:rPr>
        <w:t>：                          日期：</w:t>
      </w:r>
    </w:p>
    <w:p>
      <w:pPr>
        <w:shd w:val="clear" w:color="auto" w:fill="auto"/>
        <w:spacing w:before="56" w:line="185" w:lineRule="auto"/>
        <w:rPr>
          <w:rFonts w:hint="eastAsia" w:ascii="宋体" w:hAnsi="宋体" w:eastAsia="宋体" w:cs="宋体"/>
          <w:color w:val="auto"/>
          <w:sz w:val="24"/>
          <w:highlight w:val="none"/>
        </w:rPr>
      </w:pPr>
    </w:p>
    <w:p>
      <w:pPr>
        <w:shd w:val="clear" w:color="auto" w:fill="auto"/>
        <w:spacing w:line="14" w:lineRule="auto"/>
        <w:rPr>
          <w:rFonts w:hint="eastAsia" w:ascii="宋体" w:hAnsi="宋体" w:eastAsia="宋体" w:cs="宋体"/>
          <w:color w:val="auto"/>
          <w:sz w:val="24"/>
          <w:highlight w:val="none"/>
        </w:rPr>
        <w:sectPr>
          <w:headerReference r:id="rId7" w:type="default"/>
          <w:footerReference r:id="rId8"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rPr>
          <w:rFonts w:hint="eastAsia" w:ascii="宋体" w:hAnsi="宋体" w:eastAsia="宋体" w:cs="宋体"/>
          <w:color w:val="auto"/>
          <w:sz w:val="24"/>
          <w:highlight w:val="none"/>
        </w:rPr>
        <w:sectPr>
          <w:footerReference r:id="rId9" w:type="default"/>
          <w:type w:val="continuous"/>
          <w:pgSz w:w="11905" w:h="16838"/>
          <w:pgMar w:top="1304" w:right="964" w:bottom="1020" w:left="1191" w:header="567" w:footer="454" w:gutter="0"/>
          <w:pgNumType w:fmt="decimal"/>
          <w:cols w:space="720" w:num="1"/>
          <w:rtlGutter w:val="0"/>
          <w:docGrid w:type="lines" w:linePitch="317" w:charSpace="0"/>
        </w:sectPr>
      </w:pPr>
    </w:p>
    <w:p>
      <w:pPr>
        <w:shd w:val="clear" w:color="auto" w:fill="auto"/>
        <w:spacing w:line="478" w:lineRule="auto"/>
        <w:rPr>
          <w:rFonts w:hint="eastAsia" w:ascii="宋体" w:hAnsi="宋体" w:eastAsia="宋体" w:cs="宋体"/>
          <w:color w:val="auto"/>
          <w:sz w:val="24"/>
          <w:highlight w:val="none"/>
        </w:rPr>
      </w:pPr>
    </w:p>
    <w:p>
      <w:pPr>
        <w:shd w:val="clear" w:color="auto" w:fill="auto"/>
        <w:spacing w:before="9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质疑函制</w:t>
      </w:r>
      <w:r>
        <w:rPr>
          <w:rFonts w:hint="eastAsia" w:ascii="宋体" w:hAnsi="宋体" w:eastAsia="宋体" w:cs="宋体"/>
          <w:color w:val="auto"/>
          <w:spacing w:val="-1"/>
          <w:sz w:val="24"/>
          <w:highlight w:val="none"/>
        </w:rPr>
        <w:t>作说明：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 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bookmarkStart w:id="178" w:name="_Toc31259"/>
      <w:bookmarkStart w:id="179" w:name="_Toc22150"/>
      <w:bookmarkStart w:id="180" w:name="_Toc110010428"/>
      <w:bookmarkStart w:id="181" w:name="_Toc23110"/>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bookmarkEnd w:id="178"/>
      <w:bookmarkEnd w:id="179"/>
      <w:bookmarkEnd w:id="180"/>
      <w:bookmarkEnd w:id="181"/>
    </w:p>
    <w:p>
      <w:pPr>
        <w:shd w:val="clear" w:color="auto" w:fill="auto"/>
        <w:spacing w:line="393" w:lineRule="auto"/>
        <w:rPr>
          <w:rFonts w:hint="eastAsia" w:ascii="宋体" w:hAnsi="宋体" w:eastAsia="宋体" w:cs="宋体"/>
          <w:color w:val="auto"/>
          <w:sz w:val="24"/>
          <w:highlight w:val="none"/>
        </w:rPr>
      </w:pPr>
    </w:p>
    <w:p>
      <w:pPr>
        <w:shd w:val="clear" w:color="auto" w:fill="auto"/>
        <w:spacing w:before="115" w:line="224" w:lineRule="auto"/>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pPr>
        <w:shd w:val="clear" w:color="auto" w:fill="auto"/>
        <w:spacing w:before="265" w:line="434" w:lineRule="exact"/>
        <w:ind w:left="27"/>
        <w:outlineLvl w:val="2"/>
        <w:rPr>
          <w:rFonts w:hint="eastAsia" w:ascii="宋体" w:hAnsi="宋体" w:eastAsia="宋体" w:cs="宋体"/>
          <w:color w:val="auto"/>
          <w:sz w:val="24"/>
          <w:highlight w:val="none"/>
        </w:rPr>
      </w:pPr>
      <w:bookmarkStart w:id="182" w:name="_Toc5746"/>
      <w:bookmarkStart w:id="183" w:name="_Toc21592"/>
      <w:bookmarkStart w:id="184" w:name="_Toc110010429"/>
      <w:bookmarkStart w:id="185" w:name="_Toc26371"/>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182"/>
      <w:bookmarkEnd w:id="183"/>
      <w:bookmarkEnd w:id="184"/>
      <w:bookmarkEnd w:id="185"/>
    </w:p>
    <w:p>
      <w:pPr>
        <w:shd w:val="clear" w:color="auto" w:fill="auto"/>
        <w:spacing w:before="1" w:line="220" w:lineRule="auto"/>
        <w:ind w:left="508"/>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r>
        <w:rPr>
          <w:rFonts w:hint="eastAsia" w:ascii="宋体" w:hAnsi="宋体" w:eastAsia="宋体" w:cs="宋体"/>
          <w:color w:val="auto"/>
          <w:sz w:val="24"/>
          <w:highlight w:val="none"/>
          <w:u w:val="dotted"/>
        </w:rPr>
        <w:t xml:space="preserve">                                                 </w:t>
      </w:r>
    </w:p>
    <w:p>
      <w:pPr>
        <w:shd w:val="clear" w:color="auto" w:fill="auto"/>
        <w:spacing w:before="102"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r>
        <w:rPr>
          <w:rFonts w:hint="eastAsia" w:ascii="宋体" w:hAnsi="宋体" w:eastAsia="宋体" w:cs="宋体"/>
          <w:color w:val="auto"/>
          <w:sz w:val="24"/>
          <w:highlight w:val="none"/>
          <w:u w:val="dotted"/>
        </w:rPr>
        <w:t xml:space="preserve">                                  </w:t>
      </w:r>
    </w:p>
    <w:p>
      <w:pPr>
        <w:shd w:val="clear" w:color="auto" w:fill="auto"/>
        <w:spacing w:before="104" w:line="222"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r>
        <w:rPr>
          <w:rFonts w:hint="eastAsia" w:ascii="宋体" w:hAnsi="宋体" w:eastAsia="宋体" w:cs="宋体"/>
          <w:color w:val="auto"/>
          <w:sz w:val="24"/>
          <w:highlight w:val="none"/>
          <w:u w:val="dotted"/>
        </w:rPr>
        <w:t xml:space="preserve">                                             </w:t>
      </w:r>
    </w:p>
    <w:p>
      <w:pPr>
        <w:shd w:val="clear" w:color="auto" w:fill="auto"/>
        <w:spacing w:before="99" w:line="220"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联系电话：</w:t>
      </w:r>
      <w:r>
        <w:rPr>
          <w:rFonts w:hint="eastAsia" w:ascii="宋体" w:hAnsi="宋体" w:eastAsia="宋体" w:cs="宋体"/>
          <w:color w:val="auto"/>
          <w:sz w:val="24"/>
          <w:highlight w:val="none"/>
          <w:u w:val="dotted"/>
        </w:rPr>
        <w:t xml:space="preserve">                </w:t>
      </w:r>
    </w:p>
    <w:p>
      <w:pPr>
        <w:shd w:val="clear" w:color="auto" w:fill="auto"/>
        <w:spacing w:before="101"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 1：</w:t>
      </w:r>
    </w:p>
    <w:p>
      <w:pPr>
        <w:shd w:val="clear" w:color="auto" w:fill="auto"/>
        <w:spacing w:before="101" w:line="185" w:lineRule="auto"/>
        <w:ind w:left="505"/>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u w:val="dotted"/>
          <w:lang w:val="en-US" w:eastAsia="zh-CN"/>
        </w:rPr>
        <w:t xml:space="preserve"> </w:t>
      </w:r>
      <w:r>
        <w:rPr>
          <w:rFonts w:hint="eastAsia" w:ascii="宋体" w:hAnsi="宋体" w:eastAsia="宋体" w:cs="宋体"/>
          <w:color w:val="auto"/>
          <w:spacing w:val="-4"/>
          <w:sz w:val="24"/>
          <w:highlight w:val="none"/>
        </w:rPr>
        <w:t>邮编：</w:t>
      </w:r>
      <w:r>
        <w:rPr>
          <w:rFonts w:hint="eastAsia" w:ascii="宋体" w:hAnsi="宋体" w:eastAsia="宋体" w:cs="宋体"/>
          <w:color w:val="auto"/>
          <w:sz w:val="24"/>
          <w:highlight w:val="none"/>
          <w:u w:val="dotted"/>
        </w:rPr>
        <w:t xml:space="preserve">                    </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联系人：</w:t>
      </w:r>
      <w:r>
        <w:rPr>
          <w:rFonts w:hint="eastAsia" w:ascii="宋体" w:hAnsi="宋体" w:eastAsia="宋体" w:cs="宋体"/>
          <w:color w:val="auto"/>
          <w:spacing w:val="-8"/>
          <w:sz w:val="24"/>
          <w:highlight w:val="none"/>
          <w:u w:val="dotted"/>
        </w:rPr>
        <w:t xml:space="preserve">   </w:t>
      </w:r>
      <w:r>
        <w:rPr>
          <w:rFonts w:hint="eastAsia" w:ascii="宋体" w:hAnsi="宋体" w:eastAsia="宋体" w:cs="宋体"/>
          <w:color w:val="auto"/>
          <w:spacing w:val="-5"/>
          <w:sz w:val="24"/>
          <w:highlight w:val="none"/>
          <w:u w:val="dotted"/>
        </w:rPr>
        <w:t xml:space="preserve"> </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17"/>
          <w:sz w:val="24"/>
          <w:highlight w:val="none"/>
        </w:rPr>
        <w:t xml:space="preserve">联系电话：     </w:t>
      </w:r>
      <w:r>
        <w:rPr>
          <w:rFonts w:hint="eastAsia" w:ascii="宋体" w:hAnsi="宋体" w:eastAsia="宋体" w:cs="宋体"/>
          <w:color w:val="auto"/>
          <w:sz w:val="24"/>
          <w:highlight w:val="none"/>
          <w:u w:val="dotted"/>
        </w:rPr>
        <w:t xml:space="preserve">           </w:t>
      </w:r>
    </w:p>
    <w:p>
      <w:pPr>
        <w:shd w:val="clear" w:color="auto" w:fill="auto"/>
        <w:spacing w:before="100" w:line="371" w:lineRule="exact"/>
        <w:ind w:left="27"/>
        <w:outlineLvl w:val="2"/>
        <w:rPr>
          <w:rFonts w:hint="eastAsia" w:ascii="宋体" w:hAnsi="宋体" w:eastAsia="宋体" w:cs="宋体"/>
          <w:color w:val="auto"/>
          <w:sz w:val="24"/>
          <w:highlight w:val="none"/>
        </w:rPr>
      </w:pPr>
      <w:bookmarkStart w:id="186" w:name="_Toc377"/>
      <w:bookmarkStart w:id="187" w:name="_Toc25199"/>
      <w:bookmarkStart w:id="188" w:name="_Toc110010430"/>
      <w:bookmarkStart w:id="189" w:name="_Toc27620"/>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186"/>
      <w:bookmarkEnd w:id="187"/>
      <w:bookmarkEnd w:id="188"/>
      <w:bookmarkEnd w:id="189"/>
    </w:p>
    <w:p>
      <w:pPr>
        <w:shd w:val="clear" w:color="auto" w:fill="auto"/>
        <w:spacing w:before="6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w:t>
      </w:r>
      <w:r>
        <w:rPr>
          <w:rFonts w:hint="eastAsia" w:ascii="宋体" w:hAnsi="宋体" w:eastAsia="宋体" w:cs="宋体"/>
          <w:color w:val="auto"/>
          <w:spacing w:val="-4"/>
          <w:sz w:val="24"/>
          <w:highlight w:val="none"/>
          <w:u w:val="dotted"/>
        </w:rPr>
        <w:t xml:space="preserve">                        </w:t>
      </w:r>
      <w:r>
        <w:rPr>
          <w:rFonts w:hint="eastAsia" w:ascii="宋体" w:hAnsi="宋体" w:eastAsia="宋体" w:cs="宋体"/>
          <w:color w:val="auto"/>
          <w:spacing w:val="-4"/>
          <w:sz w:val="24"/>
          <w:highlight w:val="none"/>
        </w:rPr>
        <w:t>包号：</w:t>
      </w:r>
      <w:r>
        <w:rPr>
          <w:rFonts w:hint="eastAsia" w:ascii="宋体" w:hAnsi="宋体" w:eastAsia="宋体" w:cs="宋体"/>
          <w:color w:val="auto"/>
          <w:sz w:val="24"/>
          <w:highlight w:val="none"/>
          <w:u w:val="dotted"/>
        </w:rPr>
        <w:t xml:space="preserve">              </w:t>
      </w:r>
    </w:p>
    <w:p>
      <w:pPr>
        <w:shd w:val="clear" w:color="auto" w:fill="auto"/>
        <w:spacing w:before="102"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5"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r>
        <w:rPr>
          <w:rFonts w:hint="eastAsia" w:ascii="宋体" w:hAnsi="宋体" w:eastAsia="宋体" w:cs="宋体"/>
          <w:color w:val="auto"/>
          <w:sz w:val="24"/>
          <w:highlight w:val="none"/>
          <w:u w:val="dotted"/>
        </w:rPr>
        <w:t xml:space="preserve">                                           </w:t>
      </w:r>
    </w:p>
    <w:p>
      <w:pPr>
        <w:shd w:val="clear" w:color="auto" w:fill="auto"/>
        <w:spacing w:before="104" w:line="219" w:lineRule="auto"/>
        <w:ind w:left="503"/>
        <w:rPr>
          <w:rFonts w:hint="eastAsia" w:ascii="宋体" w:hAnsi="宋体" w:eastAsia="宋体" w:cs="宋体"/>
          <w:color w:val="auto"/>
          <w:sz w:val="24"/>
          <w:highlight w:val="none"/>
        </w:rPr>
      </w:pPr>
      <w:r>
        <w:rPr>
          <w:rFonts w:hint="eastAsia" w:ascii="宋体" w:hAnsi="宋体" w:eastAsia="宋体" w:cs="宋体"/>
          <w:color w:val="auto"/>
          <w:spacing w:val="7"/>
          <w:sz w:val="24"/>
          <w:highlight w:val="none"/>
        </w:rPr>
        <w:t>采购文件公告</w:t>
      </w:r>
      <w:r>
        <w:rPr>
          <w:rFonts w:hint="eastAsia" w:ascii="宋体" w:hAnsi="宋体" w:cs="宋体"/>
          <w:color w:val="auto"/>
          <w:spacing w:val="7"/>
          <w:sz w:val="24"/>
          <w:highlight w:val="none"/>
          <w:lang w:eastAsia="zh-CN"/>
        </w:rPr>
        <w:t>：</w:t>
      </w:r>
      <w:r>
        <w:rPr>
          <w:rFonts w:hint="eastAsia" w:ascii="宋体" w:hAnsi="宋体" w:eastAsia="宋体" w:cs="宋体"/>
          <w:color w:val="auto"/>
          <w:spacing w:val="7"/>
          <w:sz w:val="24"/>
          <w:highlight w:val="none"/>
          <w:u w:val="single"/>
        </w:rPr>
        <w:t xml:space="preserve">  是/否 </w:t>
      </w:r>
      <w:r>
        <w:rPr>
          <w:rFonts w:hint="eastAsia" w:ascii="宋体" w:hAnsi="宋体" w:eastAsia="宋体" w:cs="宋体"/>
          <w:color w:val="auto"/>
          <w:spacing w:val="7"/>
          <w:sz w:val="24"/>
          <w:highlight w:val="none"/>
        </w:rPr>
        <w:t xml:space="preserve"> 公告期限</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22" w:right="12" w:firstLine="481"/>
        <w:rPr>
          <w:rFonts w:hint="eastAsia" w:ascii="宋体" w:hAnsi="宋体" w:eastAsia="宋体" w:cs="宋体"/>
          <w:color w:val="auto"/>
          <w:sz w:val="24"/>
          <w:highlight w:val="none"/>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 xml:space="preserve">  是/否 </w:t>
      </w:r>
      <w:r>
        <w:rPr>
          <w:rFonts w:hint="eastAsia" w:ascii="宋体" w:hAnsi="宋体" w:eastAsia="宋体" w:cs="宋体"/>
          <w:color w:val="auto"/>
          <w:spacing w:val="-1"/>
          <w:sz w:val="24"/>
          <w:highlight w:val="none"/>
        </w:rPr>
        <w:t xml:space="preserve"> 公告期限：</w:t>
      </w:r>
      <w:r>
        <w:rPr>
          <w:rFonts w:hint="eastAsia" w:ascii="宋体" w:hAnsi="宋体" w:eastAsia="宋体" w:cs="宋体"/>
          <w:color w:val="auto"/>
          <w:spacing w:val="-1"/>
          <w:sz w:val="24"/>
          <w:highlight w:val="none"/>
          <w:u w:val="dotted"/>
        </w:rPr>
        <w:t xml:space="preserve">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年</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月</w:t>
      </w:r>
      <w:r>
        <w:rPr>
          <w:rFonts w:hint="eastAsia" w:ascii="宋体" w:hAnsi="宋体" w:eastAsia="宋体" w:cs="宋体"/>
          <w:color w:val="auto"/>
          <w:spacing w:val="-6"/>
          <w:sz w:val="24"/>
          <w:highlight w:val="none"/>
          <w:u w:val="dotted"/>
        </w:rPr>
        <w:t xml:space="preserve">            </w:t>
      </w:r>
      <w:r>
        <w:rPr>
          <w:rFonts w:hint="eastAsia" w:ascii="宋体" w:hAnsi="宋体" w:eastAsia="宋体" w:cs="宋体"/>
          <w:color w:val="auto"/>
          <w:spacing w:val="-6"/>
          <w:sz w:val="24"/>
          <w:highlight w:val="none"/>
        </w:rPr>
        <w:t>日 ，向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r>
        <w:rPr>
          <w:rFonts w:hint="eastAsia" w:ascii="宋体" w:hAnsi="宋体" w:eastAsia="宋体" w:cs="宋体"/>
          <w:color w:val="auto"/>
          <w:sz w:val="24"/>
          <w:highlight w:val="none"/>
          <w:u w:val="dotted"/>
        </w:rPr>
        <w:t xml:space="preserve">                                           </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年</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月</w:t>
      </w:r>
      <w:r>
        <w:rPr>
          <w:rFonts w:hint="eastAsia" w:ascii="宋体" w:hAnsi="宋体" w:eastAsia="宋体" w:cs="宋体"/>
          <w:color w:val="auto"/>
          <w:spacing w:val="-2"/>
          <w:sz w:val="24"/>
          <w:highlight w:val="none"/>
          <w:u w:val="dotted"/>
        </w:rPr>
        <w:t xml:space="preserve">      </w:t>
      </w:r>
      <w:r>
        <w:rPr>
          <w:rFonts w:hint="eastAsia" w:ascii="宋体" w:hAnsi="宋体" w:eastAsia="宋体" w:cs="宋体"/>
          <w:color w:val="auto"/>
          <w:spacing w:val="-2"/>
          <w:sz w:val="24"/>
          <w:highlight w:val="none"/>
        </w:rPr>
        <w:t xml:space="preserve"> 日，就质疑</w:t>
      </w:r>
      <w:r>
        <w:rPr>
          <w:rFonts w:hint="eastAsia" w:ascii="宋体" w:hAnsi="宋体" w:eastAsia="宋体" w:cs="宋体"/>
          <w:color w:val="auto"/>
          <w:sz w:val="24"/>
          <w:highlight w:val="none"/>
        </w:rPr>
        <w:t xml:space="preserve"> </w:t>
      </w:r>
      <w:r>
        <w:rPr>
          <w:rFonts w:hint="eastAsia" w:ascii="宋体" w:hAnsi="宋体" w:eastAsia="宋体" w:cs="宋体"/>
          <w:color w:val="auto"/>
          <w:spacing w:val="-1"/>
          <w:sz w:val="24"/>
          <w:highlight w:val="none"/>
        </w:rPr>
        <w:t>事项做出了答复/没有在</w:t>
      </w:r>
      <w:r>
        <w:rPr>
          <w:rFonts w:hint="eastAsia" w:ascii="宋体" w:hAnsi="宋体" w:eastAsia="宋体" w:cs="宋体"/>
          <w:color w:val="auto"/>
          <w:sz w:val="24"/>
          <w:highlight w:val="none"/>
        </w:rPr>
        <w:t>法定期限内</w:t>
      </w:r>
      <w:r>
        <w:rPr>
          <w:rFonts w:hint="eastAsia" w:ascii="宋体" w:hAnsi="宋体" w:cs="宋体"/>
          <w:color w:val="auto"/>
          <w:sz w:val="24"/>
          <w:highlight w:val="none"/>
          <w:lang w:eastAsia="zh-CN"/>
        </w:rPr>
        <w:t>作</w:t>
      </w:r>
      <w:r>
        <w:rPr>
          <w:rFonts w:hint="eastAsia" w:ascii="宋体" w:hAnsi="宋体" w:eastAsia="宋体" w:cs="宋体"/>
          <w:color w:val="auto"/>
          <w:sz w:val="24"/>
          <w:highlight w:val="none"/>
        </w:rPr>
        <w:t>出答复。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 1 ：</w:t>
      </w:r>
      <w:r>
        <w:rPr>
          <w:rFonts w:hint="eastAsia" w:ascii="宋体" w:hAnsi="宋体" w:eastAsia="宋体" w:cs="宋体"/>
          <w:color w:val="auto"/>
          <w:sz w:val="24"/>
          <w:highlight w:val="none"/>
          <w:u w:val="dotted"/>
        </w:rPr>
        <w:t xml:space="preserve">                                            </w:t>
      </w:r>
    </w:p>
    <w:p>
      <w:pPr>
        <w:shd w:val="clear" w:color="auto" w:fill="auto"/>
        <w:spacing w:before="100" w:line="219" w:lineRule="auto"/>
        <w:ind w:left="505"/>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r>
        <w:rPr>
          <w:rFonts w:hint="eastAsia" w:ascii="宋体" w:hAnsi="宋体" w:eastAsia="宋体" w:cs="宋体"/>
          <w:color w:val="auto"/>
          <w:sz w:val="24"/>
          <w:highlight w:val="none"/>
          <w:u w:val="dotted"/>
        </w:rPr>
        <w:t xml:space="preserve">                                             </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 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
          <w:position w:val="11"/>
          <w:sz w:val="24"/>
          <w:highlight w:val="none"/>
        </w:rPr>
        <w:t>签字</w:t>
      </w:r>
      <w:r>
        <w:rPr>
          <w:rFonts w:hint="eastAsia" w:ascii="宋体" w:hAnsi="宋体" w:cs="宋体"/>
          <w:color w:val="auto"/>
          <w:spacing w:val="-2"/>
          <w:position w:val="11"/>
          <w:sz w:val="24"/>
          <w:highlight w:val="none"/>
          <w:lang w:eastAsia="zh-CN"/>
        </w:rPr>
        <w:t>（</w:t>
      </w:r>
      <w:r>
        <w:rPr>
          <w:rFonts w:hint="eastAsia" w:ascii="宋体" w:hAnsi="宋体" w:eastAsia="宋体" w:cs="宋体"/>
          <w:color w:val="auto"/>
          <w:spacing w:val="-2"/>
          <w:position w:val="11"/>
          <w:sz w:val="24"/>
          <w:highlight w:val="none"/>
        </w:rPr>
        <w:t>签</w:t>
      </w:r>
      <w:r>
        <w:rPr>
          <w:rFonts w:hint="eastAsia" w:ascii="宋体" w:hAnsi="宋体" w:eastAsia="宋体" w:cs="宋体"/>
          <w:color w:val="auto"/>
          <w:spacing w:val="-1"/>
          <w:position w:val="11"/>
          <w:sz w:val="24"/>
          <w:highlight w:val="none"/>
        </w:rPr>
        <w:t>章</w:t>
      </w:r>
      <w:r>
        <w:rPr>
          <w:rFonts w:hint="eastAsia" w:ascii="宋体" w:hAnsi="宋体" w:cs="宋体"/>
          <w:color w:val="auto"/>
          <w:spacing w:val="-1"/>
          <w:position w:val="11"/>
          <w:sz w:val="24"/>
          <w:highlight w:val="none"/>
          <w:lang w:eastAsia="zh-CN"/>
        </w:rPr>
        <w:t>）</w:t>
      </w:r>
      <w:r>
        <w:rPr>
          <w:rFonts w:hint="eastAsia" w:ascii="宋体" w:hAnsi="宋体" w:eastAsia="宋体" w:cs="宋体"/>
          <w:color w:val="auto"/>
          <w:spacing w:val="-1"/>
          <w:position w:val="11"/>
          <w:sz w:val="24"/>
          <w:highlight w:val="none"/>
        </w:rPr>
        <w:t xml:space="preserve">： </w:t>
      </w:r>
    </w:p>
    <w:p>
      <w:pPr>
        <w:shd w:val="clear" w:color="auto" w:fill="auto"/>
        <w:spacing w:before="56" w:line="437" w:lineRule="exact"/>
        <w:ind w:left="505"/>
        <w:rPr>
          <w:rFonts w:hint="eastAsia" w:ascii="宋体" w:hAnsi="宋体" w:eastAsia="宋体" w:cs="宋体"/>
          <w:color w:val="auto"/>
          <w:spacing w:val="-1"/>
          <w:position w:val="11"/>
          <w:sz w:val="24"/>
          <w:highlight w:val="none"/>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r>
        <w:rPr>
          <w:rFonts w:hint="eastAsia" w:ascii="宋体" w:hAnsi="宋体" w:eastAsia="宋体" w:cs="宋体"/>
          <w:color w:val="auto"/>
          <w:spacing w:val="-1"/>
          <w:position w:val="11"/>
          <w:sz w:val="24"/>
          <w:highlight w:val="none"/>
        </w:rPr>
        <w:t xml:space="preserve"> </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 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 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 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shd w:val="clear" w:color="auto" w:fill="auto"/>
        <w:spacing w:line="460" w:lineRule="exact"/>
        <w:ind w:firstLine="420" w:firstLineChars="200"/>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kern w:val="2"/>
          <w:sz w:val="21"/>
          <w:szCs w:val="24"/>
          <w:highlight w:val="none"/>
          <w:lang w:val="en-US" w:eastAsia="zh-CN" w:bidi="ar-SA"/>
        </w:rPr>
        <w:br w:type="page"/>
      </w:r>
    </w:p>
    <w:p>
      <w:pPr>
        <w:spacing w:line="360" w:lineRule="auto"/>
        <w:jc w:val="center"/>
        <w:outlineLvl w:val="0"/>
        <w:rPr>
          <w:rFonts w:hint="eastAsia" w:ascii="宋体" w:hAnsi="宋体" w:eastAsia="宋体" w:cs="宋体"/>
          <w:b/>
          <w:sz w:val="36"/>
          <w:szCs w:val="36"/>
          <w:highlight w:val="none"/>
        </w:rPr>
      </w:pPr>
      <w:bookmarkStart w:id="190" w:name="_Toc99301421"/>
      <w:bookmarkStart w:id="191" w:name="_Toc23291"/>
      <w:bookmarkStart w:id="192" w:name="_Toc503212223"/>
      <w:bookmarkStart w:id="193" w:name="_Toc23028"/>
      <w:bookmarkStart w:id="194" w:name="_Toc4147"/>
      <w:bookmarkStart w:id="195" w:name="_Toc521014791"/>
      <w:bookmarkStart w:id="196" w:name="_Toc115436075"/>
      <w:bookmarkStart w:id="197" w:name="_Toc6417"/>
      <w:bookmarkStart w:id="198" w:name="_Toc2362"/>
      <w:bookmarkStart w:id="199" w:name="_Toc17238"/>
      <w:bookmarkStart w:id="200" w:name="_Toc29710"/>
      <w:bookmarkStart w:id="201" w:name="_Toc20110"/>
      <w:bookmarkStart w:id="202" w:name="_Toc24395"/>
      <w:bookmarkStart w:id="203" w:name="_Toc1354"/>
      <w:bookmarkStart w:id="204" w:name="_Toc115435536"/>
      <w:r>
        <w:rPr>
          <w:rFonts w:hint="eastAsia" w:ascii="宋体" w:hAnsi="宋体" w:eastAsia="宋体" w:cs="宋体"/>
          <w:b/>
          <w:sz w:val="36"/>
          <w:szCs w:val="36"/>
          <w:highlight w:val="none"/>
        </w:rPr>
        <w:t>第三章   资格审查</w:t>
      </w:r>
      <w:bookmarkEnd w:id="190"/>
      <w:bookmarkStart w:id="205" w:name="_Toc487900382"/>
    </w:p>
    <w:p>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206" w:name="_Toc99301422"/>
      <w:r>
        <w:rPr>
          <w:rFonts w:hint="eastAsia" w:ascii="宋体" w:hAnsi="宋体" w:eastAsia="宋体" w:cs="宋体"/>
          <w:b/>
          <w:sz w:val="24"/>
          <w:highlight w:val="none"/>
        </w:rPr>
        <w:t>一、资格审查程序</w:t>
      </w:r>
      <w:bookmarkEnd w:id="206"/>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开标结束后，采购人或采购代理机构将根据《资格审查要求》中的规定，对投标人进行资格审查，并形成资格审查结果。</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《资格审查要求》中对格式有要求的，除招标文件另有规定外，均为“实质性格式”文件。</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投标人《资格证明文件》有任何一项不符合《资格审查要求》的，资格审查不合格，其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numPr>
          <w:ilvl w:val="0"/>
          <w:numId w:val="5"/>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资格审查合格的投标人不足3家的，不进行评标。</w:t>
      </w:r>
    </w:p>
    <w:p>
      <w:pPr>
        <w:widowControl/>
        <w:jc w:val="left"/>
        <w:rPr>
          <w:rFonts w:hint="eastAsia" w:ascii="宋体" w:hAnsi="宋体" w:eastAsia="宋体" w:cs="宋体"/>
          <w:sz w:val="24"/>
          <w:highlight w:val="none"/>
        </w:rPr>
      </w:pPr>
    </w:p>
    <w:p>
      <w:pPr>
        <w:tabs>
          <w:tab w:val="left" w:pos="360"/>
          <w:tab w:val="left" w:pos="900"/>
        </w:tabs>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二、资格审查要求</w:t>
      </w:r>
    </w:p>
    <w:tbl>
      <w:tblPr>
        <w:tblStyle w:val="7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
        <w:gridCol w:w="2127"/>
        <w:gridCol w:w="5174"/>
        <w:gridCol w:w="1759"/>
      </w:tblGrid>
      <w:tr>
        <w:trPr>
          <w:cantSplit/>
          <w:trHeight w:val="468" w:hRule="atLeast"/>
          <w:tblHeader/>
        </w:trPr>
        <w:tc>
          <w:tcPr>
            <w:tcW w:w="455" w:type="pct"/>
            <w:noWrap w:val="0"/>
            <w:vAlign w:val="center"/>
          </w:tcPr>
          <w:p>
            <w:pPr>
              <w:tabs>
                <w:tab w:val="left" w:pos="1080"/>
              </w:tabs>
              <w:snapToGrid w:val="0"/>
              <w:jc w:val="center"/>
              <w:rPr>
                <w:rFonts w:hint="eastAsia" w:ascii="宋体" w:hAnsi="宋体" w:eastAsia="宋体" w:cs="宋体"/>
                <w:b/>
                <w:sz w:val="24"/>
                <w:highlight w:val="none"/>
              </w:rPr>
            </w:pPr>
            <w:bookmarkStart w:id="207" w:name="_Hlt487972895"/>
            <w:bookmarkEnd w:id="207"/>
            <w:r>
              <w:rPr>
                <w:rFonts w:hint="eastAsia" w:ascii="宋体" w:hAnsi="宋体" w:eastAsia="宋体" w:cs="宋体"/>
                <w:b/>
                <w:sz w:val="24"/>
                <w:highlight w:val="none"/>
              </w:rPr>
              <w:t>序号</w:t>
            </w:r>
          </w:p>
        </w:tc>
        <w:tc>
          <w:tcPr>
            <w:tcW w:w="1067"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审查因素</w:t>
            </w:r>
          </w:p>
        </w:tc>
        <w:tc>
          <w:tcPr>
            <w:tcW w:w="2596"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882" w:type="pct"/>
            <w:noWrap w:val="0"/>
            <w:vAlign w:val="center"/>
          </w:tcPr>
          <w:p>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满足《中华人民共和国政府采购法》第二十二条规定及法律法规的其他规定</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具体规定见第一章《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营业执照等证明文件</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投标人为企业（包括合伙企业）的，应提供有效的“营业执照”；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投标人为事业单位的，应提供有效的“事业单位法人证书”；</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投标人是非企业机构的，应提供有效的“执业许可证</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登记证书”等证明文件；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投标人是个体工商户的，应提供有效的“个体工商户营业执照”；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投标人是自然人的，应提供有效的自然人身份证明。</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若本项目允许分支机构参加投标，则分支机构参加投标的，此处可提供该分支机构或其所属法人或其他组织的相应证明文件。</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rPr>
          <w:cantSplit/>
          <w:trHeight w:val="468" w:hRule="atLeast"/>
        </w:trPr>
        <w:tc>
          <w:tcPr>
            <w:tcW w:w="455" w:type="pct"/>
            <w:noWrap w:val="0"/>
            <w:vAlign w:val="center"/>
          </w:tcPr>
          <w:p>
            <w:pPr>
              <w:tabs>
                <w:tab w:val="left" w:pos="1080"/>
              </w:tabs>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投标人资格声明书</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提供了符合招标文件要求的《投标人资格声明书》。</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投标人信用记录</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查询渠道：信用中国网站和中国政府采购网（www.creditchina.gov.cn、www.ccgp.gov.cn）；</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截止时点：投标截止时间以后、资格审查阶段采购人或采购代理机构的实际查询时间；</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信用信息查询记录和证据留存具体方式：查询结果网页打印页作为查询记录和证据，与其他采购文件一并保存；</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无须投标人提供，由采购人或采购代理机构查询。</w:t>
            </w:r>
          </w:p>
        </w:tc>
      </w:tr>
      <w:tr>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落实政府采购政策需满足的资格要求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具体要求见第一章《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中小企业声明函</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当本项目（包）涉及预留份额专门面向中小企业采购，此时建议在《资格证明文件》中提供。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1、投标人单独投标的，应提供中小企业声明函；如为监狱企业或残疾人福利性单位，不必提供中小企业声明函，但须按注1或注2要求提供证明材料。</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spacing w:line="240" w:lineRule="auto"/>
              <w:rPr>
                <w:rFonts w:hint="eastAsia" w:ascii="宋体" w:hAnsi="宋体" w:eastAsia="宋体" w:cs="宋体"/>
                <w:sz w:val="21"/>
                <w:szCs w:val="21"/>
                <w:highlight w:val="none"/>
              </w:rPr>
            </w:pP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注1：监狱企业须提供由省级以上监狱管理局（北京市含教育矫治局）、戒毒管理局（含新疆生产建设兵团）出具的属于监狱企业的证明文件。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注2：残疾人福利性单位须按招标文件要求提供《残疾人福利性单位声明函》。</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拟分包情况说明及分包意向协议（类型一）</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如本项目（包）要求通过分包措施预留部分采购份额面向中小企业采购、且投标人因落实政府采购政策拟进行分包的，必须提供；否则无须提供。</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对于预留份额专门面向中小企业采购的项目（包），组成联合体或者接受分包合同的中小企业与联合体内其他企业、分包企业之间不得存在直接控股、管理关系。</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cs="宋体"/>
                <w:sz w:val="21"/>
                <w:szCs w:val="21"/>
                <w:highlight w:val="none"/>
                <w:lang w:eastAsia="zh-CN"/>
              </w:rPr>
              <w:t>其他</w:t>
            </w:r>
            <w:r>
              <w:rPr>
                <w:rFonts w:hint="eastAsia" w:ascii="宋体" w:hAnsi="宋体" w:eastAsia="宋体" w:cs="宋体"/>
                <w:sz w:val="21"/>
                <w:szCs w:val="21"/>
                <w:highlight w:val="none"/>
              </w:rPr>
              <w:t>落实政府采购政策的资格要求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本项目的特定资格要求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tr>
      <w:tr>
        <w:trPr>
          <w:cantSplit/>
          <w:trHeight w:val="454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3-1</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是否接受联合体投标</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2、联合体各成员单位均须提供本表中序号1-1、1-2的证明文件。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3、本表序号3-2项规定的其他特定资格要求中的每一小项要求，联合体各方中至少应当有一方符合本表中其他资格要求并提供证明文件。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4、联合体中有同类资质的供应商按照联合体分工承担相同工作的，应当按照资质等级较低的供应商确定资质等级。</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5、以联合体形式参加政府采购活动的，联合体各方不得再单独参加或者与其他供应商另外组成联合体参加同一合同项下的政府采购活动。</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6、若联合体中任一成员单位中途退出，则该联合体的投标无效。</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7、本项目不接受联合体投标时，投标人不得为联合体。</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提供《联合协议》原件的电子件</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格式见《投标文件格式》</w:t>
            </w:r>
          </w:p>
        </w:tc>
      </w:tr>
      <w:tr>
        <w:trPr>
          <w:cantSplit/>
          <w:trHeight w:val="460"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3-2</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其他特定资格要求</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如有，见第一章《</w:t>
            </w:r>
            <w:r>
              <w:rPr>
                <w:rFonts w:hint="eastAsia" w:ascii="宋体" w:hAnsi="宋体" w:eastAsia="宋体" w:cs="宋体"/>
                <w:sz w:val="21"/>
                <w:szCs w:val="21"/>
                <w:highlight w:val="none"/>
                <w:lang w:val="en-US" w:eastAsia="zh-CN"/>
              </w:rPr>
              <w:t>招标公告</w:t>
            </w:r>
            <w:r>
              <w:rPr>
                <w:rFonts w:hint="eastAsia" w:ascii="宋体" w:hAnsi="宋体" w:eastAsia="宋体" w:cs="宋体"/>
                <w:sz w:val="21"/>
                <w:szCs w:val="21"/>
                <w:highlight w:val="none"/>
              </w:rPr>
              <w:t>》</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提供证明文件的电子件或电子证照</w:t>
            </w:r>
          </w:p>
        </w:tc>
      </w:tr>
      <w:tr>
        <w:trPr>
          <w:cantSplit/>
          <w:trHeight w:val="468" w:hRule="atLeast"/>
        </w:trPr>
        <w:tc>
          <w:tcPr>
            <w:tcW w:w="45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067"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投标保证金</w:t>
            </w:r>
          </w:p>
        </w:tc>
        <w:tc>
          <w:tcPr>
            <w:tcW w:w="2596"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按照招标文件的规定提交投标保证金。</w:t>
            </w:r>
          </w:p>
        </w:tc>
        <w:tc>
          <w:tcPr>
            <w:tcW w:w="882" w:type="pct"/>
            <w:noWrap w:val="0"/>
            <w:vAlign w:val="center"/>
          </w:tcPr>
          <w:p>
            <w:pPr>
              <w:tabs>
                <w:tab w:val="left" w:pos="1080"/>
              </w:tabs>
              <w:snapToGrid w:val="0"/>
              <w:spacing w:line="240" w:lineRule="auto"/>
              <w:rPr>
                <w:rFonts w:hint="eastAsia" w:ascii="宋体" w:hAnsi="宋体" w:eastAsia="宋体" w:cs="宋体"/>
                <w:sz w:val="21"/>
                <w:szCs w:val="21"/>
                <w:highlight w:val="none"/>
              </w:rPr>
            </w:pPr>
          </w:p>
        </w:tc>
        <w:bookmarkStart w:id="208" w:name="_Hlt522424701"/>
        <w:bookmarkStart w:id="209" w:name="_Hlt487900425"/>
      </w:tr>
      <w:bookmarkEnd w:id="205"/>
      <w:bookmarkEnd w:id="208"/>
      <w:bookmarkEnd w:id="209"/>
    </w:tbl>
    <w:p>
      <w:pPr>
        <w:spacing w:line="360" w:lineRule="auto"/>
        <w:jc w:val="center"/>
        <w:outlineLvl w:val="0"/>
        <w:rPr>
          <w:rFonts w:hint="eastAsia" w:ascii="宋体" w:hAnsi="宋体" w:eastAsia="宋体" w:cs="宋体"/>
          <w:b/>
          <w:sz w:val="36"/>
          <w:szCs w:val="36"/>
          <w:highlight w:val="none"/>
        </w:rPr>
      </w:pPr>
      <w:bookmarkStart w:id="210" w:name="_Toc99301423"/>
      <w:r>
        <w:rPr>
          <w:rFonts w:hint="eastAsia" w:ascii="宋体" w:hAnsi="宋体" w:eastAsia="宋体" w:cs="宋体"/>
          <w:b/>
          <w:sz w:val="36"/>
          <w:szCs w:val="36"/>
          <w:highlight w:val="none"/>
        </w:rPr>
        <w:br w:type="page"/>
      </w:r>
      <w:r>
        <w:rPr>
          <w:rFonts w:hint="eastAsia" w:ascii="宋体" w:hAnsi="宋体" w:eastAsia="宋体" w:cs="宋体"/>
          <w:b/>
          <w:sz w:val="36"/>
          <w:szCs w:val="36"/>
          <w:highlight w:val="none"/>
        </w:rPr>
        <w:t xml:space="preserve">第四章   </w:t>
      </w:r>
      <w:bookmarkStart w:id="211" w:name="_Hlt164229061"/>
      <w:bookmarkEnd w:id="211"/>
      <w:r>
        <w:rPr>
          <w:rFonts w:hint="eastAsia" w:ascii="宋体" w:hAnsi="宋体" w:eastAsia="宋体" w:cs="宋体"/>
          <w:b/>
          <w:sz w:val="36"/>
          <w:szCs w:val="36"/>
          <w:highlight w:val="none"/>
        </w:rPr>
        <w:t>评标程序、评标方法和评标标准</w:t>
      </w:r>
      <w:bookmarkEnd w:id="210"/>
    </w:p>
    <w:p>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一、评标方法</w:t>
      </w:r>
    </w:p>
    <w:p>
      <w:pPr>
        <w:numPr>
          <w:ilvl w:val="0"/>
          <w:numId w:val="6"/>
        </w:numPr>
        <w:tabs>
          <w:tab w:val="left" w:pos="360"/>
        </w:tabs>
        <w:snapToGrid w:val="0"/>
        <w:spacing w:line="360" w:lineRule="auto"/>
        <w:ind w:left="900" w:leftChars="0" w:hanging="900" w:firstLineChars="0"/>
        <w:outlineLvl w:val="1"/>
        <w:rPr>
          <w:rFonts w:hint="eastAsia" w:ascii="宋体" w:hAnsi="宋体" w:eastAsia="宋体" w:cs="宋体"/>
          <w:sz w:val="24"/>
          <w:highlight w:val="none"/>
        </w:rPr>
      </w:pPr>
      <w:bookmarkStart w:id="212" w:name="_Toc164229382"/>
      <w:bookmarkStart w:id="213" w:name="_Toc151190168"/>
      <w:bookmarkStart w:id="214" w:name="_Toc305158883"/>
      <w:bookmarkStart w:id="215" w:name="_Toc164351635"/>
      <w:bookmarkStart w:id="216" w:name="_Toc151193929"/>
      <w:bookmarkStart w:id="217" w:name="_Toc305158809"/>
      <w:bookmarkStart w:id="218" w:name="_Toc150480779"/>
      <w:bookmarkStart w:id="219" w:name="_Toc226965731"/>
      <w:bookmarkStart w:id="220" w:name="_Toc164229236"/>
      <w:bookmarkStart w:id="221" w:name="_Toc151193783"/>
      <w:bookmarkStart w:id="222" w:name="_Toc195842906"/>
      <w:bookmarkStart w:id="223" w:name="_Toc149720834"/>
      <w:bookmarkStart w:id="224" w:name="_Toc151193639"/>
      <w:bookmarkStart w:id="225" w:name="_Toc151193855"/>
      <w:bookmarkStart w:id="226" w:name="_Toc127161455"/>
      <w:bookmarkStart w:id="227" w:name="_Toc127151742"/>
      <w:bookmarkStart w:id="228" w:name="_Toc127151541"/>
      <w:bookmarkStart w:id="229" w:name="_Toc265228379"/>
      <w:bookmarkStart w:id="230" w:name="_Toc142311043"/>
      <w:bookmarkStart w:id="231" w:name="_Toc150509292"/>
      <w:bookmarkStart w:id="232" w:name="_Toc164608655"/>
      <w:bookmarkStart w:id="233" w:name="_Toc264969231"/>
      <w:bookmarkStart w:id="234" w:name="_Toc226309785"/>
      <w:bookmarkStart w:id="235" w:name="_Toc226965814"/>
      <w:bookmarkStart w:id="236" w:name="_Toc164608810"/>
      <w:bookmarkStart w:id="237" w:name="_Toc150774746"/>
      <w:bookmarkStart w:id="238" w:name="_Toc226337237"/>
      <w:bookmarkStart w:id="239" w:name="_Toc151193711"/>
      <w:bookmarkStart w:id="240" w:name="_Toc150774641"/>
      <w:bookmarkStart w:id="241" w:name="_Toc353873941"/>
      <w:bookmarkStart w:id="242" w:name="_Toc353825551"/>
      <w:r>
        <w:rPr>
          <w:rFonts w:hint="eastAsia" w:ascii="宋体" w:hAnsi="宋体" w:eastAsia="宋体" w:cs="宋体"/>
          <w:sz w:val="24"/>
          <w:highlight w:val="none"/>
        </w:rPr>
        <w:t>投标文件的符合性审查</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pPr>
        <w:numPr>
          <w:ilvl w:val="1"/>
          <w:numId w:val="6"/>
        </w:numPr>
        <w:tabs>
          <w:tab w:val="left" w:pos="1080"/>
        </w:tabs>
        <w:snapToGrid w:val="0"/>
        <w:spacing w:line="360" w:lineRule="auto"/>
        <w:ind w:left="1468" w:leftChars="0" w:hanging="900" w:firstLineChars="0"/>
        <w:rPr>
          <w:rFonts w:hint="eastAsia" w:ascii="宋体" w:hAnsi="宋体" w:eastAsia="宋体" w:cs="宋体"/>
          <w:sz w:val="24"/>
          <w:highlight w:val="none"/>
        </w:rPr>
      </w:pPr>
      <w:r>
        <w:rPr>
          <w:rFonts w:hint="eastAsia" w:ascii="宋体" w:hAnsi="宋体" w:eastAsia="宋体" w:cs="宋体"/>
          <w:sz w:val="24"/>
          <w:highlight w:val="none"/>
        </w:rPr>
        <w:t>评标委员会对资格审查合格的投标人的投标文件进行符合性审查，以确定其是否满足招标文件的实质性要求。</w:t>
      </w:r>
      <w:bookmarkStart w:id="243" w:name="_Toc520356167"/>
    </w:p>
    <w:p>
      <w:pPr>
        <w:numPr>
          <w:ilvl w:val="1"/>
          <w:numId w:val="6"/>
        </w:numPr>
        <w:tabs>
          <w:tab w:val="left" w:pos="1080"/>
        </w:tabs>
        <w:snapToGrid w:val="0"/>
        <w:spacing w:line="360" w:lineRule="auto"/>
        <w:ind w:left="1468" w:leftChars="0" w:hanging="900" w:firstLineChars="0"/>
        <w:rPr>
          <w:rFonts w:hint="eastAsia" w:ascii="宋体" w:hAnsi="宋体" w:eastAsia="宋体" w:cs="宋体"/>
          <w:sz w:val="24"/>
          <w:highlight w:val="none"/>
        </w:rPr>
      </w:pPr>
      <w:r>
        <w:rPr>
          <w:rFonts w:hint="eastAsia" w:ascii="宋体" w:hAnsi="宋体" w:eastAsia="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3"/>
      <w:r>
        <w:rPr>
          <w:rFonts w:hint="eastAsia" w:ascii="宋体" w:hAnsi="宋体" w:eastAsia="宋体" w:cs="宋体"/>
          <w:sz w:val="24"/>
          <w:highlight w:val="none"/>
        </w:rPr>
        <w:t>要求的，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000000"/>
          <w:sz w:val="24"/>
          <w:highlight w:val="none"/>
          <w:lang w:eastAsia="zh-CN"/>
        </w:rPr>
      </w:pPr>
      <w:r>
        <w:rPr>
          <w:rFonts w:hint="eastAsia" w:ascii="宋体" w:hAnsi="宋体" w:eastAsia="宋体" w:cs="宋体"/>
          <w:b/>
          <w:sz w:val="24"/>
          <w:highlight w:val="none"/>
        </w:rPr>
        <w:t>符合性审查要求</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44"/>
        <w:gridCol w:w="7218"/>
      </w:tblGrid>
      <w:tr>
        <w:trPr>
          <w:trHeight w:val="300" w:hRule="atLeast"/>
          <w:jc w:val="center"/>
        </w:trPr>
        <w:tc>
          <w:tcPr>
            <w:tcW w:w="403"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975"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3620"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授权委托书</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按招标文件要求提供授权委托书；</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投标完整性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未将一个采购包中的内容拆开投标；</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投标报价未超过招标文件中规定的项目/采购包预算金额或者项目/采购包最高限价；</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报价唯一性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投标文件未出现可选择性或可调整的报价（招标文件另有规定的除外）；</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投标文件中承诺的投标有效期满足招标文件中载明的投标有效期的；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签署、盖章</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按照招标文件要求签署、盖章的；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实质性格式</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标记为“实质性格式”的文件均按招标文件要求提供；</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★号条款响应</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投标文件满足招标文件第五章《采购需求》中★号条款要求的；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分包承担主体资质（如有）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分包承担主体具备《投标人须知资料表》载明的资质条件且提供了资质证书电子件（如有）；</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分包意向协议</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按招标文件规定签订并提供分包意向协议原件的电子件的；（如有）</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报价的修正（如有）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不涉及报价修正，或投标文件报价出现前后不一致时，投标人对修正后的报价予以确认；（如有）</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进口产品（如有）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招标文件不接受进口产品投标的内容时，投标人所投产品非进口产品的；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公平竞争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投标人遵循公平竞争的原则，不存在恶意串通，妨碍其他投标人的竞争行为，不存在损害采购人或者其他投标人的合法权益情形的；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串通投标</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附加条件</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投标文件未含有采购人不能接受的附加条件的；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其他无效情形</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投标人、投标文件不存在不符合</w:t>
            </w:r>
            <w:r>
              <w:rPr>
                <w:rFonts w:hint="eastAsia" w:ascii="宋体" w:hAnsi="宋体" w:cs="宋体"/>
                <w:sz w:val="21"/>
                <w:szCs w:val="21"/>
                <w:highlight w:val="none"/>
                <w:lang w:eastAsia="zh-CN"/>
              </w:rPr>
              <w:t>法律法规</w:t>
            </w:r>
            <w:r>
              <w:rPr>
                <w:rFonts w:hint="eastAsia" w:ascii="宋体" w:hAnsi="宋体" w:eastAsia="宋体" w:cs="宋体"/>
                <w:sz w:val="21"/>
                <w:szCs w:val="21"/>
                <w:highlight w:val="none"/>
              </w:rPr>
              <w:t>和招标文件规定的其他无效情形。</w:t>
            </w:r>
          </w:p>
        </w:tc>
      </w:tr>
    </w:tbl>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投标文件有关事项的澄清或者说明</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highlight w:val="none"/>
        </w:rPr>
        <w:t>无效投标处理</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投标文件报价出现前后不一致的，按照下列规定修正：</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招标文件对于报价修正是否另有规定：</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□有，具体规定为：______________</w:t>
      </w:r>
    </w:p>
    <w:p>
      <w:pPr>
        <w:keepNext w:val="0"/>
        <w:keepLines w:val="0"/>
        <w:pageBreakBefore w:val="0"/>
        <w:widowControl w:val="0"/>
        <w:tabs>
          <w:tab w:val="left" w:pos="1080"/>
          <w:tab w:val="left" w:pos="1589"/>
          <w:tab w:val="left" w:pos="2035"/>
          <w:tab w:val="left" w:pos="2114"/>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无，按下述2.4.2-2.4.7项规定修正。</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cs="宋体"/>
          <w:sz w:val="24"/>
          <w:highlight w:val="none"/>
          <w:lang w:val="en-US" w:eastAsia="zh-CN"/>
        </w:rPr>
        <w:t>开标一览表与政采云系统中填报的价格及其他信息不一致时，以开标一览表为准；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投标文件中开标一览表（报价表）内容与投标文件中相应内容不一致的，以开标一览表（报价表）为准；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大写金额和小写金额不一致的，以大写金额为准；</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单价金额小数点或者百分比有明显错位的，以开标一览表的总价为准，并修改单价；</w:t>
      </w:r>
    </w:p>
    <w:p>
      <w:pPr>
        <w:keepNext w:val="0"/>
        <w:keepLines w:val="0"/>
        <w:pageBreakBefore w:val="0"/>
        <w:widowControl w:val="0"/>
        <w:numPr>
          <w:ilvl w:val="2"/>
          <w:numId w:val="6"/>
        </w:numPr>
        <w:tabs>
          <w:tab w:val="left" w:pos="2035"/>
          <w:tab w:val="left" w:pos="2114"/>
          <w:tab w:val="left" w:pos="2977"/>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总价金额与按单价汇总金额不一致的，以单价金额计算结果为准。</w:t>
      </w:r>
    </w:p>
    <w:p>
      <w:pPr>
        <w:keepNext w:val="0"/>
        <w:keepLines w:val="0"/>
        <w:pageBreakBefore w:val="0"/>
        <w:widowControl w:val="0"/>
        <w:numPr>
          <w:ilvl w:val="2"/>
          <w:numId w:val="6"/>
        </w:numPr>
        <w:tabs>
          <w:tab w:val="left" w:pos="1080"/>
          <w:tab w:val="left" w:pos="1589"/>
          <w:tab w:val="left" w:pos="2035"/>
          <w:tab w:val="left" w:pos="21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落实政府采购政策的价格调整：只有符合第二章《投标人须知》规定情形的，可以享受中小企业扶持政策，用扣除后的价格参加评审；否则，评标时价格不予扣除。</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10</w:t>
      </w:r>
      <w:r>
        <w:rPr>
          <w:rFonts w:hint="eastAsia" w:ascii="宋体" w:hAnsi="宋体" w:eastAsia="宋体" w:cs="宋体"/>
          <w:sz w:val="24"/>
          <w:highlight w:val="none"/>
        </w:rPr>
        <w:t>%的扣除，用扣除后的价格参加评审。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0%以上的联合体或者大中型企业的报价给予</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%的扣除，用扣除后的价格参加评审。</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中小企业参加政府采购活动，应当按照招标文件给定的格式出具《中小企业声明函》，否则不得享受相关中小企业扶持政策。</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监狱企业提供了由省级以上监狱管理局（北京市含教育矫治局）、戒毒管理局（含新疆生产建设兵团）出具的属于监狱企业的证明文件的，视同小微企业。</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残疾人福利性单位按招标文件要求提供了《残疾人福利性单位声明函》（见附件）的，视同小微企业。</w:t>
      </w:r>
    </w:p>
    <w:p>
      <w:pPr>
        <w:keepNext w:val="0"/>
        <w:keepLines w:val="0"/>
        <w:pageBreakBefore w:val="0"/>
        <w:widowControl w:val="0"/>
        <w:numPr>
          <w:ilvl w:val="2"/>
          <w:numId w:val="6"/>
        </w:numPr>
        <w:tabs>
          <w:tab w:val="left" w:pos="1080"/>
          <w:tab w:val="left" w:pos="1589"/>
          <w:tab w:val="left" w:pos="2014"/>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若投标人同时属于小型或微型企业、监狱企业、残疾人福利性单位中的两种及以上，将不重复享受小微企业价格扣减的优惠政策。</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投标文件的比较和评价</w:t>
      </w:r>
      <w:bookmarkEnd w:id="241"/>
      <w:bookmarkEnd w:id="242"/>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评标方法和评标标准</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本项目采用的评标方法为：</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keepNext w:val="0"/>
        <w:keepLines w:val="0"/>
        <w:pageBreakBefore w:val="0"/>
        <w:widowControl w:val="0"/>
        <w:tabs>
          <w:tab w:val="left" w:pos="900"/>
          <w:tab w:val="left" w:pos="1589"/>
          <w:tab w:val="left" w:pos="1701"/>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□最低评标价法，指投标文件满足招标文件全部实质性要求，且投标报价最低的投标人为中标候选人的评标方法。</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随机抽取</w:t>
      </w:r>
    </w:p>
    <w:p>
      <w:pPr>
        <w:keepNext w:val="0"/>
        <w:keepLines w:val="0"/>
        <w:pageBreakBefore w:val="0"/>
        <w:widowControl w:val="0"/>
        <w:tabs>
          <w:tab w:val="left" w:pos="1080"/>
          <w:tab w:val="left" w:pos="1589"/>
          <w:tab w:val="left" w:pos="2035"/>
        </w:tabs>
        <w:kinsoku/>
        <w:wordWrap/>
        <w:overflowPunct/>
        <w:topLinePunct w:val="0"/>
        <w:autoSpaceDE/>
        <w:autoSpaceDN/>
        <w:bidi w:val="0"/>
        <w:snapToGrid w:val="0"/>
        <w:spacing w:line="360" w:lineRule="auto"/>
        <w:ind w:left="0" w:right="0" w:firstLine="0" w:firstLineChars="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□其他方式，具体要求：_____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w:t>
      </w:r>
    </w:p>
    <w:p>
      <w:pPr>
        <w:keepNext w:val="0"/>
        <w:keepLines w:val="0"/>
        <w:pageBreakBefore w:val="0"/>
        <w:widowControl w:val="0"/>
        <w:numPr>
          <w:ilvl w:val="2"/>
          <w:numId w:val="6"/>
        </w:numPr>
        <w:tabs>
          <w:tab w:val="left" w:pos="1080"/>
          <w:tab w:val="left" w:pos="1589"/>
          <w:tab w:val="left" w:pos="2035"/>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关于无线局域网认证产品政府采购清单中的产品，优先采购的具体规定（如涉及）_____。</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244" w:name="_Toc195842911"/>
      <w:bookmarkStart w:id="245" w:name="_Toc151193934"/>
      <w:bookmarkStart w:id="246" w:name="_Toc226965736"/>
      <w:bookmarkStart w:id="247" w:name="_Toc226337242"/>
      <w:bookmarkStart w:id="248" w:name="_Toc151193788"/>
      <w:bookmarkStart w:id="249" w:name="_Toc151193716"/>
      <w:bookmarkStart w:id="250" w:name="_Toc151193644"/>
      <w:bookmarkStart w:id="251" w:name="_Toc164229387"/>
      <w:bookmarkStart w:id="252" w:name="_Toc127151747"/>
      <w:bookmarkStart w:id="253" w:name="_Toc127151546"/>
      <w:bookmarkStart w:id="254" w:name="_Toc164608660"/>
      <w:bookmarkStart w:id="255" w:name="_Toc149720839"/>
      <w:bookmarkStart w:id="256" w:name="_Toc150509297"/>
      <w:bookmarkStart w:id="257" w:name="_Toc164229241"/>
      <w:bookmarkStart w:id="258" w:name="_Toc264969236"/>
      <w:bookmarkStart w:id="259" w:name="_Toc150480784"/>
      <w:bookmarkStart w:id="260" w:name="_Toc151190173"/>
      <w:bookmarkStart w:id="261" w:name="_Toc226965819"/>
      <w:bookmarkStart w:id="262" w:name="_Toc226309790"/>
      <w:bookmarkStart w:id="263" w:name="_Toc164351640"/>
      <w:bookmarkStart w:id="264" w:name="_Toc127161460"/>
      <w:bookmarkStart w:id="265" w:name="_Toc150774646"/>
      <w:bookmarkStart w:id="266" w:name="_Ref467307010"/>
      <w:bookmarkStart w:id="267" w:name="_Toc520356170"/>
      <w:bookmarkStart w:id="268" w:name="_Toc305158814"/>
      <w:bookmarkStart w:id="269" w:name="_Toc164608815"/>
      <w:bookmarkStart w:id="270" w:name="_Toc150774751"/>
      <w:bookmarkStart w:id="271" w:name="_Toc265228384"/>
      <w:bookmarkStart w:id="272" w:name="_Toc151193860"/>
      <w:bookmarkStart w:id="273" w:name="_Toc142311048"/>
      <w:bookmarkStart w:id="274" w:name="_Toc305158888"/>
      <w:r>
        <w:rPr>
          <w:rFonts w:hint="eastAsia" w:ascii="宋体" w:hAnsi="宋体" w:eastAsia="宋体" w:cs="宋体"/>
          <w:sz w:val="24"/>
          <w:highlight w:val="none"/>
        </w:rPr>
        <w:t>中标候选人名单</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47"/>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□随机抽取</w:t>
      </w:r>
    </w:p>
    <w:p>
      <w:pPr>
        <w:pStyle w:val="47"/>
        <w:keepNext w:val="0"/>
        <w:keepLines w:val="0"/>
        <w:pageBreakBefore w:val="0"/>
        <w:widowControl w:val="0"/>
        <w:tabs>
          <w:tab w:val="left" w:pos="900"/>
          <w:tab w:val="left" w:pos="2127"/>
        </w:tabs>
        <w:kinsoku/>
        <w:wordWrap/>
        <w:overflowPunct/>
        <w:topLinePunct w:val="0"/>
        <w:autoSpaceDE/>
        <w:autoSpaceDN/>
        <w:bidi w:val="0"/>
        <w:adjustRightInd w:val="0"/>
        <w:snapToGrid w:val="0"/>
        <w:spacing w:line="36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□其他方式，具体要求：_____</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评标委员会要对评分汇总情况进行复核，特别是对排名第一的、报价最低的、投标或响应文件被认定为无效的情形进行重点复核。</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评标委员会将根据各投标人的评标排序，依次推荐本项目（各采购包）的中标候选人，起草并签署评标报告。本项目（各采购包）评标委员会共推荐</w:t>
      </w:r>
      <w:r>
        <w:rPr>
          <w:rFonts w:hint="eastAsia" w:ascii="宋体" w:hAnsi="宋体" w:cs="宋体"/>
          <w:sz w:val="24"/>
          <w:highlight w:val="none"/>
          <w:u w:val="single"/>
          <w:lang w:val="en-US" w:eastAsia="zh-CN"/>
        </w:rPr>
        <w:t>3</w:t>
      </w:r>
      <w:r>
        <w:rPr>
          <w:rFonts w:hint="eastAsia" w:ascii="宋体" w:hAnsi="宋体" w:eastAsia="宋体" w:cs="宋体"/>
          <w:sz w:val="24"/>
          <w:highlight w:val="none"/>
        </w:rPr>
        <w:t>名中标候选人。</w:t>
      </w:r>
    </w:p>
    <w:p>
      <w:pPr>
        <w:keepNext w:val="0"/>
        <w:keepLines w:val="0"/>
        <w:pageBreakBefore w:val="0"/>
        <w:widowControl w:val="0"/>
        <w:numPr>
          <w:ilvl w:val="0"/>
          <w:numId w:val="6"/>
        </w:numPr>
        <w:tabs>
          <w:tab w:val="left" w:pos="360"/>
        </w:tabs>
        <w:kinsoku/>
        <w:wordWrap/>
        <w:overflowPunct/>
        <w:topLinePunct w:val="0"/>
        <w:autoSpaceDE/>
        <w:autoSpaceDN/>
        <w:bidi w:val="0"/>
        <w:snapToGrid w:val="0"/>
        <w:spacing w:line="360" w:lineRule="auto"/>
        <w:ind w:left="0" w:leftChars="0" w:right="0" w:firstLine="0" w:firstLineChars="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pPr>
        <w:keepNext w:val="0"/>
        <w:keepLines w:val="0"/>
        <w:pageBreakBefore w:val="0"/>
        <w:widowControl w:val="0"/>
        <w:numPr>
          <w:ilvl w:val="1"/>
          <w:numId w:val="6"/>
        </w:numPr>
        <w:tabs>
          <w:tab w:val="left" w:pos="1080"/>
        </w:tabs>
        <w:kinsoku/>
        <w:wordWrap/>
        <w:overflowPunct/>
        <w:topLinePunct w:val="0"/>
        <w:autoSpaceDE/>
        <w:autoSpaceDN/>
        <w:bidi w:val="0"/>
        <w:snapToGrid w:val="0"/>
        <w:spacing w:line="360" w:lineRule="auto"/>
        <w:ind w:left="0" w:leftChars="0" w:right="0" w:firstLine="0" w:firstLineChars="0"/>
        <w:textAlignment w:val="auto"/>
        <w:rPr>
          <w:rFonts w:hint="eastAsia" w:ascii="宋体" w:hAnsi="宋体" w:eastAsia="宋体" w:cs="宋体"/>
          <w:sz w:val="24"/>
          <w:highlight w:val="none"/>
        </w:rPr>
        <w:sectPr>
          <w:headerReference r:id="rId10" w:type="default"/>
          <w:footerReference r:id="rId11" w:type="default"/>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highlight w:val="none"/>
        </w:rPr>
        <w:t>评标委员会在评标过程中发现投标人有行贿、提供虚假材料或者串通等违法行为时，有向采购人、采购代理机构或者有关部门报告的职责。</w:t>
      </w:r>
    </w:p>
    <w:p>
      <w:pPr>
        <w:tabs>
          <w:tab w:val="left" w:pos="360"/>
          <w:tab w:val="left" w:pos="900"/>
          <w:tab w:val="left" w:pos="1080"/>
          <w:tab w:val="left" w:pos="2014"/>
        </w:tabs>
        <w:snapToGrid w:val="0"/>
        <w:spacing w:line="360" w:lineRule="auto"/>
        <w:rPr>
          <w:rFonts w:hint="eastAsia" w:ascii="宋体" w:hAnsi="宋体" w:eastAsia="宋体" w:cs="宋体"/>
          <w:sz w:val="24"/>
          <w:szCs w:val="24"/>
          <w:highlight w:val="none"/>
          <w:lang w:val="en-US" w:eastAsia="zh-CN"/>
        </w:rPr>
      </w:pPr>
      <w:bookmarkStart w:id="275" w:name="_Toc99301424"/>
      <w:r>
        <w:rPr>
          <w:rFonts w:hint="eastAsia" w:ascii="宋体" w:hAnsi="宋体" w:cs="宋体"/>
          <w:sz w:val="24"/>
          <w:szCs w:val="24"/>
          <w:highlight w:val="none"/>
          <w:lang w:val="en-US" w:eastAsia="zh-CN"/>
        </w:rPr>
        <w:t>2023年现代职业教育质量提升计划建设数字信息化校园建设项目（二次）</w:t>
      </w:r>
    </w:p>
    <w:tbl>
      <w:tblPr>
        <w:tblStyle w:val="72"/>
        <w:tblW w:w="1367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2207"/>
        <w:gridCol w:w="1052"/>
        <w:gridCol w:w="9194"/>
      </w:tblGrid>
      <w:tr>
        <w:trPr>
          <w:trHeight w:val="90" w:hRule="atLeast"/>
        </w:trPr>
        <w:tc>
          <w:tcPr>
            <w:tcW w:w="12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序号</w:t>
            </w:r>
          </w:p>
        </w:tc>
        <w:tc>
          <w:tcPr>
            <w:tcW w:w="22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项目</w:t>
            </w:r>
          </w:p>
        </w:tc>
        <w:tc>
          <w:tcPr>
            <w:tcW w:w="105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分值</w:t>
            </w:r>
          </w:p>
        </w:tc>
        <w:tc>
          <w:tcPr>
            <w:tcW w:w="91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评分标准</w:t>
            </w:r>
          </w:p>
        </w:tc>
      </w:tr>
      <w:tr>
        <w:trPr>
          <w:trHeight w:val="90" w:hRule="atLeast"/>
        </w:trPr>
        <w:tc>
          <w:tcPr>
            <w:tcW w:w="12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p>
        </w:tc>
        <w:tc>
          <w:tcPr>
            <w:tcW w:w="2207" w:type="dxa"/>
            <w:tcBorders>
              <w:top w:val="single" w:color="auto" w:sz="4" w:space="0"/>
              <w:left w:val="single" w:color="auto" w:sz="4" w:space="0"/>
              <w:bottom w:val="single" w:color="auto" w:sz="4" w:space="0"/>
              <w:right w:val="single" w:color="auto" w:sz="4" w:space="0"/>
            </w:tcBorders>
            <w:vAlign w:val="top"/>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30分</w:t>
            </w:r>
            <w:r>
              <w:rPr>
                <w:rFonts w:hint="eastAsia" w:ascii="宋体" w:hAnsi="宋体" w:eastAsia="宋体" w:cs="宋体"/>
                <w:sz w:val="24"/>
                <w:szCs w:val="24"/>
                <w:lang w:eastAsia="zh-CN"/>
              </w:rPr>
              <w:t>）</w:t>
            </w:r>
          </w:p>
        </w:tc>
        <w:tc>
          <w:tcPr>
            <w:tcW w:w="1052"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30</w:t>
            </w:r>
          </w:p>
        </w:tc>
        <w:tc>
          <w:tcPr>
            <w:tcW w:w="9194" w:type="dxa"/>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r>
        <w:trPr>
          <w:trHeight w:val="2195" w:hRule="atLeast"/>
        </w:trPr>
        <w:tc>
          <w:tcPr>
            <w:tcW w:w="12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1</w:t>
            </w:r>
          </w:p>
        </w:tc>
        <w:tc>
          <w:tcPr>
            <w:tcW w:w="22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技术参数响应部分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15分</w:t>
            </w:r>
            <w:r>
              <w:rPr>
                <w:rFonts w:hint="eastAsia" w:ascii="宋体" w:hAnsi="宋体" w:eastAsia="宋体" w:cs="宋体"/>
                <w:color w:val="auto"/>
                <w:sz w:val="24"/>
                <w:szCs w:val="24"/>
                <w:lang w:eastAsia="zh-CN"/>
              </w:rPr>
              <w:t>）</w:t>
            </w:r>
          </w:p>
        </w:tc>
        <w:tc>
          <w:tcPr>
            <w:tcW w:w="105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9194" w:type="dxa"/>
            <w:tcBorders>
              <w:top w:val="single" w:color="auto" w:sz="4" w:space="0"/>
              <w:left w:val="single" w:color="auto" w:sz="4" w:space="0"/>
              <w:bottom w:val="single" w:color="auto" w:sz="4" w:space="0"/>
              <w:right w:val="single" w:color="auto" w:sz="4" w:space="0"/>
            </w:tcBorders>
            <w:vAlign w:val="center"/>
          </w:tcPr>
          <w:p>
            <w:pPr>
              <w:ind w:left="120" w:leftChars="0" w:right="62" w:rightChars="0" w:hanging="120" w:hanging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根据各投标人所投货物产品技术性能，所有产品和需求项要求的响应情况打分，全部</w:t>
            </w:r>
          </w:p>
          <w:p>
            <w:pPr>
              <w:ind w:left="120" w:leftChars="0" w:right="62" w:rightChars="0" w:hanging="120" w:hangingChars="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响应得 15 分。投标人所投的产品不能响应或负偏离非标注“▲”的技术条款扣 1 分/项；不能响应或负偏离非标注“▲”的技术条款扣 0.5 分/项。（注：1.同一产品的同一技术条款不能响应或负偏离的，只扣一次分。2.标注“▲”部分内容要求需要提供相关证明文件的，须按其要求提供方可得分，未提供或未按要求提供的则按响应负偏离进行扣分。）</w:t>
            </w:r>
          </w:p>
        </w:tc>
      </w:tr>
      <w:tr>
        <w:trPr>
          <w:trHeight w:val="1272" w:hRule="atLeast"/>
        </w:trPr>
        <w:tc>
          <w:tcPr>
            <w:tcW w:w="12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2</w:t>
            </w:r>
          </w:p>
        </w:tc>
        <w:tc>
          <w:tcPr>
            <w:tcW w:w="22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设备、仪器产品性能 （</w:t>
            </w:r>
            <w:r>
              <w:rPr>
                <w:rFonts w:hint="eastAsia" w:ascii="宋体" w:hAnsi="宋体" w:eastAsia="宋体" w:cs="宋体"/>
                <w:color w:val="auto"/>
                <w:sz w:val="24"/>
                <w:szCs w:val="24"/>
                <w:lang w:val="en-US" w:eastAsia="zh-CN"/>
              </w:rPr>
              <w:t>6分</w:t>
            </w:r>
            <w:r>
              <w:rPr>
                <w:rFonts w:hint="eastAsia" w:ascii="宋体" w:hAnsi="宋体" w:eastAsia="宋体" w:cs="宋体"/>
                <w:color w:val="auto"/>
                <w:sz w:val="24"/>
                <w:szCs w:val="24"/>
                <w:lang w:eastAsia="zh-CN"/>
              </w:rPr>
              <w:t>）</w:t>
            </w:r>
          </w:p>
        </w:tc>
        <w:tc>
          <w:tcPr>
            <w:tcW w:w="105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91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1．所投交互智能平板的生产厂家具有十星级售后成熟度服务认证证书（提供复印件加盖厂家公章），提供得</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分，不提供不得分。</w:t>
            </w: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 所投交互智能平板的生产厂家具有信息安全管理体系认证证书（提供复印件加盖厂家公章），提供得</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分，不提供不得分。</w:t>
            </w: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3．所投交互智能平板的生产厂家应具有业务连续性管理体系认证证书（提供证书复印件加盖厂家公章），提供得</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分，不提供不得分。</w:t>
            </w: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4.所投交互智能平板生产厂家符合工业和信息化部组织制定的信息技术服务标准，具有ITSS运行维护评估等级达到三级或以上的证书。（提供证书复印件加盖厂家公章）。提供得</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分，不提供不得分。</w:t>
            </w:r>
          </w:p>
          <w:p>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 所投交互智能平板的生产厂家应具有供应链安全管理体系认证证书（提供证书复印件加盖厂家公章），提供得2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分，不提供不得分。</w:t>
            </w:r>
          </w:p>
          <w:p>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投标人所投监控产品制造商应具备优秀的质量管理水平，获得过国家级部门颁发的质量奖项或提名得0.5分，曾获得由省级政府部门颁发的政府质量奖项的，得0,5分，提供相关证书复印件并加盖单位公章。未提供的不得分。</w:t>
            </w:r>
          </w:p>
          <w:p>
            <w:pPr>
              <w:ind w:left="120" w:leftChars="0" w:right="62" w:rightChars="0" w:hanging="120" w:hangingChars="5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投标人所投监控产品制造商应具备较好的系统集成能力、系统服务能力、研发创新能力，可提供关键性技术支撑，能提供发展和改革委员会印发的国家地方联合工程研究中心或国家地方联合工程实验室的证明复印件并加盖公章的，得0.5分</w:t>
            </w:r>
            <w:r>
              <w:rPr>
                <w:rFonts w:hint="eastAsia" w:ascii="宋体" w:hAnsi="宋体" w:eastAsia="宋体" w:cs="宋体"/>
                <w:color w:val="000000" w:themeColor="text1"/>
                <w:sz w:val="24"/>
                <w:szCs w:val="24"/>
                <w:highlight w:val="none"/>
                <w14:textFill>
                  <w14:solidFill>
                    <w14:schemeClr w14:val="tx1"/>
                  </w14:solidFill>
                </w14:textFill>
              </w:rPr>
              <w:t>，不提供不得分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trPr>
          <w:trHeight w:val="90" w:hRule="atLeast"/>
        </w:trPr>
        <w:tc>
          <w:tcPr>
            <w:tcW w:w="12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3</w:t>
            </w:r>
          </w:p>
        </w:tc>
        <w:tc>
          <w:tcPr>
            <w:tcW w:w="22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方案设计</w:t>
            </w:r>
          </w:p>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105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w:t>
            </w:r>
          </w:p>
        </w:tc>
        <w:tc>
          <w:tcPr>
            <w:tcW w:w="91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color w:val="auto"/>
                <w:sz w:val="24"/>
                <w:szCs w:val="24"/>
                <w:highlight w:val="none"/>
                <w:lang w:val="en-US" w:eastAsia="zh-CN"/>
              </w:rPr>
              <w:t>供应商根据本项目的实际情况，所编制项目实施方案包含</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1.劳动力及设备安排计划；方案合理、科学、全面的得2分，方案简单、不细致的得1分、无此项说明不得分；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2.技术服务方案；方案可行、科学、合理的得5分，方案不全面、操作性不合理的得1分，无此项说明不得分；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3.文明施工及环境保护措施；施工及环境保护措施方案的合理、科学、全面、先进的得2 分，方案表述不细致、不全面的得 1分，无此项说明不得分；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配送安装及验收方案：配送货物到指定地点并完成安装的时间，是否能承诺按采购人要求配送到指定地点并完成安装、验收方案等）能完成基本要求且能节约配送安装时间，验收方案合理有效的得2分；不满足得0分。</w:t>
            </w:r>
          </w:p>
        </w:tc>
      </w:tr>
      <w:tr>
        <w:trPr>
          <w:trHeight w:val="1122" w:hRule="atLeast"/>
        </w:trPr>
        <w:tc>
          <w:tcPr>
            <w:tcW w:w="12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rPr>
              <w:t>4</w:t>
            </w:r>
          </w:p>
        </w:tc>
        <w:tc>
          <w:tcPr>
            <w:tcW w:w="22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培训计划（4分）</w:t>
            </w:r>
          </w:p>
        </w:tc>
        <w:tc>
          <w:tcPr>
            <w:tcW w:w="105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919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（1）投标公司根据用户情况，分批、分层次、分人员提供培训计划和方案，每个月1次，1年不得少于12次得4分；</w:t>
            </w:r>
          </w:p>
          <w:p>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（2）投标公司根据用户情况，分批、分层次、分人员提供培训计划和方案，每个季度1次，1年不得少于4次得2分，</w:t>
            </w:r>
          </w:p>
          <w:p>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（3）投标公司根据用户情况，分批、分层次、分人员提供培训计划和方案，半年1次，1年不得少于2次得1分，</w:t>
            </w:r>
          </w:p>
          <w:p>
            <w:pP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（4）未提供方案或方案不全的不得分。</w:t>
            </w:r>
          </w:p>
          <w:p>
            <w:pP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（培训地点为用户工作地点）</w:t>
            </w:r>
          </w:p>
        </w:tc>
      </w:tr>
      <w:tr>
        <w:trPr>
          <w:trHeight w:val="788" w:hRule="atLeast"/>
        </w:trPr>
        <w:tc>
          <w:tcPr>
            <w:tcW w:w="12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2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质量保证措施</w:t>
            </w:r>
            <w:r>
              <w:rPr>
                <w:rFonts w:hint="eastAsia" w:ascii="宋体" w:hAnsi="宋体" w:eastAsia="宋体" w:cs="宋体"/>
                <w:sz w:val="24"/>
                <w:szCs w:val="24"/>
                <w:lang w:val="en-US" w:eastAsia="zh-CN"/>
              </w:rPr>
              <w:t>（5分）</w:t>
            </w:r>
          </w:p>
        </w:tc>
        <w:tc>
          <w:tcPr>
            <w:tcW w:w="1052" w:type="dxa"/>
            <w:tcBorders>
              <w:top w:val="single" w:color="auto" w:sz="4" w:space="0"/>
              <w:left w:val="single" w:color="auto" w:sz="4" w:space="0"/>
              <w:bottom w:val="single" w:color="auto" w:sz="4" w:space="0"/>
              <w:right w:val="single" w:color="auto" w:sz="4" w:space="0"/>
            </w:tcBorders>
            <w:vAlign w:val="center"/>
          </w:tcPr>
          <w:p>
            <w:pPr>
              <w:pStyle w:val="173"/>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w:t>
            </w:r>
          </w:p>
        </w:tc>
        <w:tc>
          <w:tcPr>
            <w:tcW w:w="9194" w:type="dxa"/>
            <w:tcBorders>
              <w:top w:val="single" w:color="auto" w:sz="4" w:space="0"/>
              <w:left w:val="single" w:color="auto" w:sz="4" w:space="0"/>
              <w:bottom w:val="single" w:color="auto" w:sz="4" w:space="0"/>
              <w:right w:val="single" w:color="auto" w:sz="4" w:space="0"/>
            </w:tcBorders>
            <w:vAlign w:val="top"/>
          </w:tcPr>
          <w:p>
            <w:pPr>
              <w:pStyle w:val="173"/>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质量保证方案及措施详细，实施计划、组织方案等方面均合理可行，方案总体相对优秀的，得5分；</w:t>
            </w:r>
          </w:p>
          <w:p>
            <w:pPr>
              <w:pStyle w:val="173"/>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质量保证方案及措施较详细，有实施计划组织方案等方面的描述，方案总体相对较好的，得3分；</w:t>
            </w:r>
          </w:p>
          <w:p>
            <w:pPr>
              <w:pStyle w:val="173"/>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提供了项目质量保证方案及措施，方案总体相对一般的，得2分；</w:t>
            </w:r>
          </w:p>
        </w:tc>
      </w:tr>
    </w:tbl>
    <w:p>
      <w:pP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商务资信部分</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30</w:t>
      </w:r>
      <w:r>
        <w:rPr>
          <w:rFonts w:hint="eastAsia" w:asciiTheme="minorEastAsia" w:hAnsiTheme="minorEastAsia" w:eastAsiaTheme="minorEastAsia"/>
          <w:sz w:val="24"/>
          <w:szCs w:val="24"/>
          <w:highlight w:val="none"/>
          <w:lang w:eastAsia="zh-CN"/>
        </w:rPr>
        <w:t>分）</w:t>
      </w:r>
    </w:p>
    <w:tbl>
      <w:tblPr>
        <w:tblStyle w:val="72"/>
        <w:tblW w:w="48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2194"/>
        <w:gridCol w:w="1066"/>
        <w:gridCol w:w="9279"/>
      </w:tblGrid>
      <w:tr>
        <w:trPr>
          <w:trHeight w:val="124"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序号</w:t>
            </w:r>
          </w:p>
        </w:tc>
        <w:tc>
          <w:tcPr>
            <w:tcW w:w="7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项目</w:t>
            </w:r>
          </w:p>
        </w:tc>
        <w:tc>
          <w:tcPr>
            <w:tcW w:w="387"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分值</w:t>
            </w:r>
          </w:p>
        </w:tc>
        <w:tc>
          <w:tcPr>
            <w:tcW w:w="3367"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评分标准</w:t>
            </w:r>
          </w:p>
        </w:tc>
      </w:tr>
      <w:tr>
        <w:trPr>
          <w:trHeight w:val="1546"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7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业绩</w:t>
            </w:r>
          </w:p>
          <w:p>
            <w:pP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387"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3367"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投标人的业绩：根据投标提供的最近三年（2020年1月1日－至今）内成功实施的类似项目的业绩情况（须提供中标通知书、合同复印件等有关证明材料）进行评分。每提供一个业绩得1分。最高得</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分，未提供业绩证明的或提供不全面的，本项不得分。</w:t>
            </w:r>
          </w:p>
        </w:tc>
      </w:tr>
      <w:tr>
        <w:trPr>
          <w:trHeight w:val="405"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rPr>
            </w:pPr>
            <w:r>
              <w:rPr>
                <w:rFonts w:hint="eastAsia" w:ascii="宋体" w:hAnsi="宋体" w:eastAsia="宋体" w:cs="宋体"/>
                <w:sz w:val="24"/>
                <w:szCs w:val="24"/>
              </w:rPr>
              <w:t>2</w:t>
            </w:r>
          </w:p>
        </w:tc>
        <w:tc>
          <w:tcPr>
            <w:tcW w:w="7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投标人综合实力（10分）</w:t>
            </w:r>
          </w:p>
        </w:tc>
        <w:tc>
          <w:tcPr>
            <w:tcW w:w="387"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367" w:type="pct"/>
            <w:tcBorders>
              <w:top w:val="single" w:color="auto" w:sz="4" w:space="0"/>
              <w:left w:val="single" w:color="auto" w:sz="4" w:space="0"/>
              <w:bottom w:val="single" w:color="auto" w:sz="4" w:space="0"/>
              <w:right w:val="single" w:color="auto" w:sz="4" w:space="0"/>
            </w:tcBorders>
            <w:vAlign w:val="center"/>
          </w:tcPr>
          <w:p>
            <w:pPr>
              <w:pStyle w:val="173"/>
              <w:numPr>
                <w:ilvl w:val="0"/>
                <w:numId w:val="7"/>
              </w:numPr>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信息技术服务标准符合性证书（业务领域为运行维护）三级；</w:t>
            </w:r>
          </w:p>
          <w:p>
            <w:pPr>
              <w:pStyle w:val="173"/>
              <w:numPr>
                <w:ilvl w:val="0"/>
                <w:numId w:val="7"/>
              </w:numPr>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信息安全服务资质认证证书（软件安全开发服务）</w:t>
            </w:r>
            <w:r>
              <w:rPr>
                <w:rFonts w:hint="eastAsia" w:ascii="宋体" w:hAnsi="宋体" w:eastAsia="宋体" w:cs="宋体"/>
                <w:color w:val="auto"/>
                <w:sz w:val="24"/>
                <w:szCs w:val="24"/>
                <w:highlight w:val="none"/>
                <w:lang w:val="en-US" w:eastAsia="zh-CN" w:bidi="ar-SA"/>
              </w:rPr>
              <w:t>；</w:t>
            </w:r>
          </w:p>
          <w:p>
            <w:pPr>
              <w:pStyle w:val="173"/>
              <w:numPr>
                <w:ilvl w:val="0"/>
                <w:numId w:val="7"/>
              </w:numPr>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信息安全服务资质认证证书（信息系统安全集成）、</w:t>
            </w:r>
          </w:p>
          <w:p>
            <w:pPr>
              <w:pStyle w:val="173"/>
              <w:numPr>
                <w:ilvl w:val="0"/>
                <w:numId w:val="7"/>
              </w:numPr>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信息安全服务资质认证证书（信息系统安全运维）</w:t>
            </w:r>
          </w:p>
          <w:p>
            <w:pPr>
              <w:pStyle w:val="173"/>
              <w:numPr>
                <w:ilvl w:val="0"/>
                <w:numId w:val="7"/>
              </w:numPr>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计算机信息系统集成（信息工程）企业能力评估证书甲级；</w:t>
            </w:r>
          </w:p>
          <w:p>
            <w:pPr>
              <w:pStyle w:val="173"/>
              <w:numPr>
                <w:ilvl w:val="0"/>
                <w:numId w:val="7"/>
              </w:numPr>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质量管理体系认证证书ISO9001；</w:t>
            </w:r>
          </w:p>
          <w:p>
            <w:pPr>
              <w:pStyle w:val="173"/>
              <w:numPr>
                <w:ilvl w:val="0"/>
                <w:numId w:val="7"/>
              </w:numPr>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环境管理体系认证证书24001；</w:t>
            </w:r>
          </w:p>
          <w:p>
            <w:pPr>
              <w:pStyle w:val="173"/>
              <w:numPr>
                <w:ilvl w:val="0"/>
                <w:numId w:val="7"/>
              </w:numPr>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职业健康安全管理体系认证证书45001；</w:t>
            </w:r>
          </w:p>
          <w:p>
            <w:pPr>
              <w:pStyle w:val="173"/>
              <w:numPr>
                <w:ilvl w:val="0"/>
                <w:numId w:val="7"/>
              </w:numPr>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信息安全管理体系认证证书ISO/IEC 27001（以上证书需包含：计算机信息系统集成）；</w:t>
            </w:r>
          </w:p>
          <w:p>
            <w:pPr>
              <w:pStyle w:val="173"/>
              <w:numPr>
                <w:ilvl w:val="0"/>
                <w:numId w:val="7"/>
              </w:numPr>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信息技术服务管理体系认证证书20000（证书需包含：计算机信息系统、安防系统相关软硬件运维）；部具备得10分，每缺一项扣1分，扣完为止。</w:t>
            </w:r>
          </w:p>
        </w:tc>
      </w:tr>
      <w:tr>
        <w:trPr>
          <w:trHeight w:val="405"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项目实施保障（10分）</w:t>
            </w:r>
          </w:p>
        </w:tc>
        <w:tc>
          <w:tcPr>
            <w:tcW w:w="387"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3367" w:type="pct"/>
            <w:tcBorders>
              <w:top w:val="single" w:color="auto" w:sz="4" w:space="0"/>
              <w:left w:val="single" w:color="auto" w:sz="4" w:space="0"/>
              <w:bottom w:val="single" w:color="auto" w:sz="4" w:space="0"/>
              <w:right w:val="single" w:color="auto" w:sz="4" w:space="0"/>
            </w:tcBorders>
            <w:vAlign w:val="center"/>
          </w:tcPr>
          <w:p>
            <w:pPr>
              <w:pStyle w:val="173"/>
              <w:numPr>
                <w:ilvl w:val="0"/>
                <w:numId w:val="0"/>
              </w:numPr>
              <w:ind w:lef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1、项目经理（4分）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（1）学历要求：获得与信息化相关专业的本科或以上学历，须提供学历证书证明扫描件；</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（2）项目管理资质要求：网络工程师、通信专业技术人员职业资格证书（中级）、系统集成项目管理工程师、PMP证书，具备其中3个以上证书，须提供证书证明扫描件；</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以上全部具备得4分，缺少其中一项不得分。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（须提供项目经理的社保缴纳证明）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2、项目团队成员要求：（6分）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（1）信息通讯专业技术人员职业资格认证（高级）≥1人</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（2）网络工程师（中级）≥1人，本科或以上学历</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（3）ITSS服务项目经理≥2人</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（4）注册信息安全管理人员≥2人</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（5）OCP数据库认证专家≥2人</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（6）注册渗透测试工程师≥1人</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（7）红帽认证工程师≥1人</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（8）信息系统项目管理师（高级）≥1人</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（9）系统集成项目管理工程师（中级）≥1人</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以上人员全部具备得6分，缺少其中一人扣0.5分，扣完即止</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（须提供项目实施人员的社保缴纳证明、资质证书及特别备注人员的学历证书扫描件，</w:t>
            </w:r>
            <w:r>
              <w:rPr>
                <w:rFonts w:hint="eastAsia" w:ascii="宋体" w:hAnsi="宋体" w:eastAsia="宋体" w:cs="宋体"/>
                <w:i w:val="0"/>
                <w:iCs w:val="0"/>
                <w:color w:val="000000"/>
                <w:kern w:val="0"/>
                <w:sz w:val="24"/>
                <w:szCs w:val="24"/>
                <w:highlight w:val="none"/>
                <w:u w:val="none"/>
                <w:lang w:val="en-US" w:eastAsia="zh-CN" w:bidi="ar"/>
              </w:rPr>
              <w:t>成员证书若同一人同时具备的，只计分一次，不重复累计</w:t>
            </w:r>
            <w:r>
              <w:rPr>
                <w:rFonts w:hint="eastAsia" w:ascii="宋体" w:hAnsi="宋体" w:eastAsia="宋体" w:cs="宋体"/>
                <w:color w:val="auto"/>
                <w:sz w:val="24"/>
                <w:szCs w:val="24"/>
                <w:highlight w:val="none"/>
                <w:lang w:val="en-US" w:eastAsia="zh-CN"/>
              </w:rPr>
              <w:t>）。</w:t>
            </w:r>
          </w:p>
        </w:tc>
      </w:tr>
      <w:tr>
        <w:trPr>
          <w:trHeight w:val="639"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96"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售后服务（5分）</w:t>
            </w:r>
          </w:p>
        </w:tc>
        <w:tc>
          <w:tcPr>
            <w:tcW w:w="387"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367" w:type="pct"/>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lang w:val="en-US" w:eastAsia="zh-CN"/>
              </w:rPr>
              <w:t>根据</w:t>
            </w:r>
            <w:r>
              <w:rPr>
                <w:rFonts w:hint="eastAsia" w:ascii="宋体" w:hAnsi="宋体" w:eastAsia="宋体" w:cs="宋体"/>
                <w:sz w:val="24"/>
                <w:szCs w:val="24"/>
              </w:rPr>
              <w:t>售后服务机构、人员设置是否合理，售后服务计划是否详细、合理，是否能够承诺针对本项目提供及时、优质、专业的售后服务：</w:t>
            </w:r>
          </w:p>
          <w:p>
            <w:pPr>
              <w:numPr>
                <w:ilvl w:val="0"/>
                <w:numId w:val="8"/>
              </w:numPr>
              <w:ind w:left="105"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具有完善具体可行的售后服务方案，售后服务便捷、响应速度快，各阶段服务方案详尽，满足或优于采购人需求并提出合理化的建议，得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numPr>
                <w:ilvl w:val="0"/>
                <w:numId w:val="8"/>
              </w:numPr>
              <w:ind w:left="105"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售后服务方案有一定的可行性，售后服务较便捷，响应及时，各阶段服务方案完整，较好满足采购人需求的，得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pPr>
              <w:rPr>
                <w:rFonts w:hint="eastAsia" w:ascii="宋体" w:hAnsi="宋体" w:eastAsia="宋体" w:cs="宋体"/>
                <w:color w:val="000000"/>
                <w:kern w:val="0"/>
                <w:sz w:val="24"/>
                <w:szCs w:val="24"/>
                <w:highlight w:val="none"/>
              </w:rPr>
            </w:pPr>
            <w:r>
              <w:rPr>
                <w:rFonts w:hint="eastAsia" w:ascii="宋体" w:hAnsi="宋体" w:eastAsia="宋体" w:cs="宋体"/>
                <w:sz w:val="24"/>
                <w:szCs w:val="24"/>
                <w:lang w:val="en-US" w:eastAsia="zh-CN"/>
              </w:rPr>
              <w:t>3</w:t>
            </w:r>
            <w:r>
              <w:rPr>
                <w:rFonts w:hint="eastAsia" w:ascii="宋体" w:hAnsi="宋体" w:eastAsia="宋体" w:cs="宋体"/>
                <w:sz w:val="24"/>
                <w:szCs w:val="24"/>
              </w:rPr>
              <w:t>、售后服务方案可行性较差，售后服务内容及各阶段服务计划完整性缺漏的，得0分。</w:t>
            </w:r>
          </w:p>
        </w:tc>
      </w:tr>
    </w:tbl>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注：1、评委按分项的规定分数范围内给各供应商进行打分，并统计总分。</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价格评分：</w:t>
      </w:r>
      <w:r>
        <w:rPr>
          <w:rFonts w:hint="eastAsia" w:ascii="宋体" w:hAnsi="宋体" w:eastAsia="宋体" w:cs="宋体"/>
          <w:color w:val="auto"/>
          <w:sz w:val="24"/>
          <w:szCs w:val="24"/>
          <w:highlight w:val="none"/>
          <w:lang w:val="en-US" w:eastAsia="zh-CN"/>
        </w:rPr>
        <w:t>评标基准价</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highlight w:val="none"/>
        </w:rPr>
        <w:t>价格分采用低价优先法计算，即满足招标文件要求和招标人采购产品</w:t>
      </w:r>
      <w:r>
        <w:rPr>
          <w:rFonts w:hint="eastAsia" w:ascii="宋体" w:hAnsi="宋体" w:eastAsia="宋体" w:cs="宋体"/>
          <w:color w:val="000000"/>
          <w:kern w:val="0"/>
          <w:sz w:val="24"/>
          <w:szCs w:val="24"/>
          <w:highlight w:val="none"/>
          <w:lang w:val="en-US" w:eastAsia="zh-CN"/>
        </w:rPr>
        <w:t>/服务</w:t>
      </w:r>
      <w:r>
        <w:rPr>
          <w:rFonts w:hint="eastAsia" w:ascii="宋体" w:hAnsi="宋体" w:eastAsia="宋体" w:cs="宋体"/>
          <w:color w:val="000000"/>
          <w:kern w:val="0"/>
          <w:sz w:val="24"/>
          <w:szCs w:val="24"/>
          <w:highlight w:val="none"/>
        </w:rPr>
        <w:t>主要技术参数要求且投标价格最低的投标报价为评标基准价</w:t>
      </w:r>
      <w:r>
        <w:rPr>
          <w:rFonts w:hint="eastAsia" w:ascii="宋体" w:hAnsi="宋体" w:eastAsia="宋体" w:cs="宋体"/>
          <w:color w:val="000000"/>
          <w:kern w:val="0"/>
          <w:sz w:val="24"/>
          <w:szCs w:val="24"/>
          <w:highlight w:val="none"/>
          <w:lang w:eastAsia="zh-CN"/>
        </w:rPr>
        <w:t>。</w:t>
      </w:r>
    </w:p>
    <w:p>
      <w:pPr>
        <w:shd w:val="clear" w:color="auto" w:fill="auto"/>
        <w:tabs>
          <w:tab w:val="left" w:pos="360"/>
          <w:tab w:val="left" w:pos="1030"/>
        </w:tabs>
        <w:snapToGrid w:val="0"/>
        <w:spacing w:before="60" w:line="360" w:lineRule="auto"/>
        <w:ind w:left="797" w:leftChars="208" w:hanging="360" w:hangingChars="150"/>
        <w:rPr>
          <w:rFonts w:hint="eastAsia" w:ascii="宋体" w:hAnsi="宋体" w:eastAsia="宋体" w:cs="宋体"/>
          <w:color w:val="auto"/>
          <w:sz w:val="24"/>
          <w:szCs w:val="24"/>
          <w:highlight w:val="none"/>
          <w:lang w:val="en-US" w:eastAsia="zh-CN"/>
        </w:rPr>
        <w:sectPr>
          <w:headerReference r:id="rId12" w:type="default"/>
          <w:footerReference r:id="rId13" w:type="default"/>
          <w:pgSz w:w="16840" w:h="11907" w:orient="landscape"/>
          <w:pgMar w:top="1418" w:right="1440" w:bottom="1418" w:left="1559" w:header="851" w:footer="851" w:gutter="0"/>
          <w:pgNumType w:fmt="decimal"/>
          <w:cols w:space="720" w:num="1"/>
          <w:docGrid w:linePitch="285" w:charSpace="0"/>
        </w:sectPr>
      </w:pPr>
      <w:r>
        <w:rPr>
          <w:rFonts w:hint="eastAsia" w:ascii="宋体" w:hAnsi="宋体" w:eastAsia="宋体" w:cs="宋体"/>
          <w:color w:val="000000"/>
          <w:kern w:val="0"/>
          <w:sz w:val="24"/>
          <w:szCs w:val="24"/>
          <w:highlight w:val="none"/>
        </w:rPr>
        <w:t>注：未通过初步评审的投标不参与投标报价得分的计算。评标过程中，评标委员会发现供应商的投标报价明显低于其他报价，使其投标报价可能低于其个别成本的，评标委员会应对其质询，并要求该供应商做出书面说明和提供相关的证明材料；该供应商不能合理说明或提供证明材料的，其投标将被否决</w:t>
      </w:r>
      <w:r>
        <w:rPr>
          <w:rFonts w:hint="eastAsia" w:ascii="宋体" w:hAnsi="宋体" w:eastAsia="宋体" w:cs="宋体"/>
          <w:color w:val="000000"/>
          <w:kern w:val="0"/>
          <w:sz w:val="24"/>
          <w:szCs w:val="24"/>
          <w:highlight w:val="none"/>
          <w:lang w:eastAsia="zh-CN"/>
        </w:rPr>
        <w:t>。</w:t>
      </w:r>
    </w:p>
    <w:p>
      <w:pPr>
        <w:spacing w:line="360" w:lineRule="auto"/>
        <w:ind w:left="0" w:leftChars="0" w:firstLine="0" w:firstLineChars="0"/>
        <w:jc w:val="center"/>
        <w:outlineLvl w:val="0"/>
        <w:rPr>
          <w:rFonts w:hint="eastAsia" w:ascii="宋体" w:hAnsi="宋体" w:eastAsia="宋体" w:cs="宋体"/>
          <w:b/>
          <w:sz w:val="36"/>
          <w:szCs w:val="36"/>
          <w:highlight w:val="none"/>
        </w:rPr>
      </w:pPr>
      <w:r>
        <w:rPr>
          <w:rFonts w:hint="eastAsia" w:ascii="宋体" w:hAnsi="宋体" w:eastAsia="宋体" w:cs="宋体"/>
          <w:b/>
          <w:sz w:val="36"/>
          <w:szCs w:val="36"/>
          <w:highlight w:val="none"/>
        </w:rPr>
        <w:t>第五章   采购需求</w:t>
      </w:r>
      <w:bookmarkEnd w:id="275"/>
    </w:p>
    <w:p>
      <w:pPr>
        <w:pStyle w:val="47"/>
        <w:numPr>
          <w:ilvl w:val="0"/>
          <w:numId w:val="9"/>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有关说明</w:t>
      </w:r>
    </w:p>
    <w:p>
      <w:pPr>
        <w:numPr>
          <w:ilvl w:val="0"/>
          <w:numId w:val="10"/>
        </w:numPr>
        <w:snapToGrid w:val="0"/>
        <w:spacing w:line="360" w:lineRule="auto"/>
        <w:ind w:left="567" w:hanging="567"/>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投标人须对本项目的采购标的进行整体投标，任何只对本项目采购标的其中一部分内容、数量进行的投标都被视为无效投标。</w:t>
      </w:r>
    </w:p>
    <w:p>
      <w:pPr>
        <w:numPr>
          <w:ilvl w:val="0"/>
          <w:numId w:val="10"/>
        </w:numPr>
        <w:snapToGrid w:val="0"/>
        <w:spacing w:line="360" w:lineRule="auto"/>
        <w:ind w:left="567" w:hanging="567"/>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产品属于国家强制采购的节能产品，响应供应商必须提供属于国家强制性节能产品品目清单内的产品进行响应，并提供有效的强制性节能产品认证证书复印件。</w:t>
      </w:r>
    </w:p>
    <w:p>
      <w:pPr>
        <w:numPr>
          <w:ilvl w:val="0"/>
          <w:numId w:val="10"/>
        </w:numPr>
        <w:snapToGrid w:val="0"/>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采购需求中标注“▲”号条款为重要技术参数，但不作为无效投标条款。</w:t>
      </w:r>
    </w:p>
    <w:p>
      <w:pPr>
        <w:pStyle w:val="47"/>
        <w:numPr>
          <w:ilvl w:val="0"/>
          <w:numId w:val="9"/>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项目基本概况</w:t>
      </w:r>
    </w:p>
    <w:p>
      <w:pPr>
        <w:pStyle w:val="47"/>
        <w:tabs>
          <w:tab w:val="left" w:pos="420"/>
          <w:tab w:val="left" w:pos="540"/>
        </w:tabs>
        <w:snapToGrid w:val="0"/>
        <w:spacing w:line="360" w:lineRule="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rPr>
        <w:tab/>
      </w:r>
      <w:r>
        <w:rPr>
          <w:rFonts w:hint="eastAsia" w:ascii="宋体" w:hAnsi="宋体" w:eastAsia="宋体" w:cs="宋体"/>
          <w:bCs/>
          <w:color w:val="000000"/>
          <w:sz w:val="24"/>
          <w:szCs w:val="24"/>
          <w:highlight w:val="none"/>
        </w:rPr>
        <w:t>项目需求概述</w:t>
      </w:r>
    </w:p>
    <w:p>
      <w:pPr>
        <w:pStyle w:val="69"/>
        <w:spacing w:before="50" w:beforeAutospacing="0" w:after="50" w:afterAutospacing="0" w:line="360" w:lineRule="auto"/>
        <w:ind w:firstLine="420"/>
        <w:rPr>
          <w:rFonts w:hint="eastAsia" w:ascii="宋体" w:hAnsi="宋体" w:eastAsia="宋体" w:cs="宋体"/>
          <w:color w:val="000000"/>
          <w:highlight w:val="none"/>
          <w:lang w:val="en-US" w:eastAsia="zh-CN"/>
        </w:rPr>
      </w:pPr>
      <w:r>
        <w:rPr>
          <w:rFonts w:hint="eastAsia" w:cs="宋体"/>
          <w:color w:val="000000"/>
          <w:highlight w:val="none"/>
          <w:lang w:val="en-US" w:eastAsia="zh-CN"/>
        </w:rPr>
        <w:t>2023年现代职业教育质量提升计划建设数字信息化校园建设项目（二次）</w:t>
      </w:r>
    </w:p>
    <w:p>
      <w:pPr>
        <w:pStyle w:val="69"/>
        <w:spacing w:before="50" w:beforeAutospacing="0" w:after="50" w:afterAutospacing="0" w:line="360" w:lineRule="auto"/>
        <w:ind w:firstLine="420"/>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供货期</w:t>
      </w:r>
      <w:r>
        <w:rPr>
          <w:rFonts w:hint="eastAsia" w:ascii="宋体" w:hAnsi="宋体" w:eastAsia="宋体" w:cs="宋体"/>
          <w:color w:val="000000"/>
          <w:highlight w:val="none"/>
        </w:rPr>
        <w:t>：</w:t>
      </w:r>
      <w:r>
        <w:rPr>
          <w:rFonts w:hint="eastAsia" w:cs="宋体"/>
          <w:color w:val="000000"/>
          <w:highlight w:val="none"/>
          <w:lang w:val="en-US" w:eastAsia="zh-CN"/>
        </w:rPr>
        <w:t>30天</w:t>
      </w:r>
    </w:p>
    <w:p>
      <w:pPr>
        <w:pStyle w:val="47"/>
        <w:numPr>
          <w:ilvl w:val="0"/>
          <w:numId w:val="9"/>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采购项目清单及技术参数</w:t>
      </w:r>
    </w:p>
    <w:p>
      <w:pPr>
        <w:pStyle w:val="47"/>
        <w:numPr>
          <w:ilvl w:val="0"/>
          <w:numId w:val="11"/>
        </w:numPr>
        <w:tabs>
          <w:tab w:val="left" w:pos="540"/>
        </w:tabs>
        <w:snapToGrid w:val="0"/>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采购项目一览表</w:t>
      </w:r>
    </w:p>
    <w:p>
      <w:pPr>
        <w:pStyle w:val="47"/>
        <w:numPr>
          <w:ilvl w:val="0"/>
          <w:numId w:val="0"/>
        </w:numPr>
        <w:tabs>
          <w:tab w:val="left" w:pos="540"/>
        </w:tabs>
        <w:snapToGrid w:val="0"/>
        <w:spacing w:line="360" w:lineRule="auto"/>
        <w:rPr>
          <w:rFonts w:hint="eastAsia" w:ascii="宋体" w:hAnsi="宋体" w:eastAsia="宋体" w:cs="宋体"/>
          <w:b/>
          <w:color w:val="000000"/>
          <w:sz w:val="24"/>
          <w:szCs w:val="24"/>
          <w:highlight w:val="none"/>
        </w:rPr>
      </w:pPr>
    </w:p>
    <w:tbl>
      <w:tblPr>
        <w:tblStyle w:val="72"/>
        <w:tblW w:w="9418" w:type="dxa"/>
        <w:tblInd w:w="-1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2"/>
        <w:gridCol w:w="879"/>
        <w:gridCol w:w="2459"/>
        <w:gridCol w:w="3698"/>
      </w:tblGrid>
      <w:tr>
        <w:trPr>
          <w:cantSplit/>
          <w:trHeight w:val="691" w:hRule="atLeast"/>
        </w:trPr>
        <w:tc>
          <w:tcPr>
            <w:tcW w:w="2382"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采购内容</w:t>
            </w:r>
          </w:p>
        </w:tc>
        <w:tc>
          <w:tcPr>
            <w:tcW w:w="879"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2459" w:type="dxa"/>
            <w:tcBorders>
              <w:top w:val="single" w:color="auto" w:sz="12" w:space="0"/>
              <w:left w:val="single" w:color="auto" w:sz="6" w:space="0"/>
              <w:bottom w:val="single" w:color="auto" w:sz="6" w:space="0"/>
              <w:right w:val="single" w:color="auto" w:sz="12"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最高限价</w:t>
            </w:r>
          </w:p>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（人民币</w:t>
            </w:r>
            <w:r>
              <w:rPr>
                <w:rFonts w:hint="eastAsia" w:ascii="宋体" w:hAnsi="宋体" w:cs="宋体"/>
                <w:b/>
                <w:color w:val="000000"/>
                <w:sz w:val="24"/>
                <w:highlight w:val="none"/>
                <w:lang w:val="en-US" w:eastAsia="zh-CN"/>
              </w:rPr>
              <w:t>万</w:t>
            </w:r>
            <w:r>
              <w:rPr>
                <w:rFonts w:hint="eastAsia" w:ascii="宋体" w:hAnsi="宋体" w:eastAsia="宋体" w:cs="宋体"/>
                <w:b/>
                <w:color w:val="000000"/>
                <w:sz w:val="24"/>
                <w:highlight w:val="none"/>
              </w:rPr>
              <w:t>元）</w:t>
            </w:r>
          </w:p>
        </w:tc>
        <w:tc>
          <w:tcPr>
            <w:tcW w:w="3698" w:type="dxa"/>
            <w:tcBorders>
              <w:top w:val="single" w:color="auto" w:sz="12" w:space="0"/>
              <w:left w:val="single" w:color="auto" w:sz="6" w:space="0"/>
              <w:bottom w:val="single" w:color="auto" w:sz="6" w:space="0"/>
              <w:right w:val="single" w:color="auto" w:sz="6" w:space="0"/>
            </w:tcBorders>
            <w:shd w:val="clear" w:color="auto" w:fill="EEECE1"/>
            <w:noWrap w:val="0"/>
            <w:vAlign w:val="center"/>
          </w:tcPr>
          <w:p>
            <w:pPr>
              <w:snapToGrid w:val="0"/>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供货期</w:t>
            </w:r>
          </w:p>
        </w:tc>
      </w:tr>
      <w:tr>
        <w:trPr>
          <w:cantSplit/>
          <w:trHeight w:val="1367" w:hRule="atLeast"/>
        </w:trPr>
        <w:tc>
          <w:tcPr>
            <w:tcW w:w="2382" w:type="dxa"/>
            <w:tcBorders>
              <w:top w:val="single" w:color="auto" w:sz="6" w:space="0"/>
              <w:left w:val="single" w:color="auto" w:sz="6" w:space="0"/>
              <w:bottom w:val="single" w:color="auto" w:sz="12" w:space="0"/>
              <w:right w:val="single" w:color="auto" w:sz="6" w:space="0"/>
            </w:tcBorders>
            <w:noWrap w:val="0"/>
            <w:vAlign w:val="center"/>
          </w:tcPr>
          <w:p>
            <w:pPr>
              <w:pStyle w:val="69"/>
              <w:spacing w:before="50" w:beforeAutospacing="0" w:after="50" w:afterAutospacing="0" w:line="360" w:lineRule="auto"/>
              <w:ind w:firstLine="420"/>
              <w:rPr>
                <w:rFonts w:hint="eastAsia" w:ascii="宋体" w:hAnsi="宋体" w:eastAsia="宋体" w:cs="宋体"/>
                <w:color w:val="000000"/>
                <w:highlight w:val="none"/>
                <w:lang w:val="en-US" w:eastAsia="zh-CN"/>
              </w:rPr>
            </w:pPr>
            <w:r>
              <w:rPr>
                <w:rFonts w:hint="eastAsia" w:cs="宋体"/>
                <w:color w:val="000000"/>
                <w:highlight w:val="none"/>
                <w:lang w:val="en-US" w:eastAsia="zh-CN"/>
              </w:rPr>
              <w:t>2023年现代职业教育质量提升计划建设数字信息化校园建设项目（二次）</w:t>
            </w:r>
          </w:p>
          <w:p>
            <w:pPr>
              <w:snapToGrid w:val="0"/>
              <w:jc w:val="center"/>
              <w:rPr>
                <w:rFonts w:hint="eastAsia" w:ascii="宋体" w:hAnsi="宋体" w:eastAsia="宋体" w:cs="宋体"/>
                <w:bCs/>
                <w:color w:val="000000"/>
                <w:sz w:val="24"/>
                <w:highlight w:val="none"/>
                <w:lang w:eastAsia="zh-CN"/>
              </w:rPr>
            </w:pPr>
          </w:p>
        </w:tc>
        <w:tc>
          <w:tcPr>
            <w:tcW w:w="879" w:type="dxa"/>
            <w:tcBorders>
              <w:top w:val="single" w:color="auto" w:sz="6" w:space="0"/>
              <w:left w:val="single" w:color="auto" w:sz="6" w:space="0"/>
              <w:bottom w:val="single" w:color="auto" w:sz="12" w:space="0"/>
              <w:right w:val="single" w:color="auto" w:sz="6" w:space="0"/>
            </w:tcBorders>
            <w:noWrap w:val="0"/>
            <w:vAlign w:val="center"/>
          </w:tcPr>
          <w:p>
            <w:pPr>
              <w:snapToGrid w:val="0"/>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一批</w:t>
            </w:r>
          </w:p>
        </w:tc>
        <w:tc>
          <w:tcPr>
            <w:tcW w:w="2459" w:type="dxa"/>
            <w:tcBorders>
              <w:top w:val="single" w:color="auto" w:sz="6" w:space="0"/>
              <w:left w:val="single" w:color="auto" w:sz="6" w:space="0"/>
              <w:bottom w:val="single" w:color="auto" w:sz="12" w:space="0"/>
              <w:right w:val="single" w:color="auto" w:sz="12" w:space="0"/>
            </w:tcBorders>
            <w:noWrap w:val="0"/>
            <w:vAlign w:val="center"/>
          </w:tcPr>
          <w:p>
            <w:pPr>
              <w:keepNext/>
              <w:snapToGrid w:val="0"/>
              <w:jc w:val="center"/>
              <w:textAlignment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241.536645万元</w:t>
            </w:r>
          </w:p>
        </w:tc>
        <w:tc>
          <w:tcPr>
            <w:tcW w:w="3698" w:type="dxa"/>
            <w:tcBorders>
              <w:top w:val="single" w:color="auto" w:sz="6" w:space="0"/>
              <w:left w:val="single" w:color="auto" w:sz="6" w:space="0"/>
              <w:bottom w:val="single" w:color="auto" w:sz="12" w:space="0"/>
              <w:right w:val="single" w:color="auto" w:sz="6" w:space="0"/>
            </w:tcBorders>
            <w:noWrap w:val="0"/>
            <w:vAlign w:val="center"/>
          </w:tcPr>
          <w:p>
            <w:pPr>
              <w:keepNext/>
              <w:snapToGrid w:val="0"/>
              <w:jc w:val="center"/>
              <w:textAlignment w:val="center"/>
              <w:rPr>
                <w:rFonts w:hint="default" w:ascii="宋体" w:hAnsi="宋体" w:eastAsia="宋体" w:cs="宋体"/>
                <w:color w:val="000000"/>
                <w:sz w:val="24"/>
                <w:highlight w:val="none"/>
                <w:lang w:val="en-US" w:eastAsia="zh-CN"/>
              </w:rPr>
            </w:pPr>
            <w:r>
              <w:rPr>
                <w:rFonts w:hint="eastAsia" w:ascii="宋体" w:hAnsi="宋体" w:cs="宋体"/>
                <w:bCs/>
                <w:color w:val="000000"/>
                <w:sz w:val="24"/>
                <w:highlight w:val="none"/>
                <w:lang w:val="en-US" w:eastAsia="zh-CN"/>
              </w:rPr>
              <w:t>30天</w:t>
            </w:r>
          </w:p>
        </w:tc>
      </w:tr>
    </w:tbl>
    <w:p>
      <w:pPr>
        <w:rPr>
          <w:rFonts w:hint="eastAsia"/>
          <w:lang w:val="en-US" w:eastAsia="zh-CN"/>
        </w:rPr>
      </w:pPr>
      <w:r>
        <w:rPr>
          <w:rFonts w:hint="eastAsia"/>
          <w:lang w:val="en-US" w:eastAsia="zh-CN"/>
        </w:rPr>
        <w:br w:type="page"/>
      </w:r>
    </w:p>
    <w:p>
      <w:pPr>
        <w:pStyle w:val="5"/>
        <w:rPr>
          <w:rFonts w:hint="eastAsia"/>
          <w:lang w:val="en-US" w:eastAsia="zh-CN"/>
        </w:rPr>
        <w:sectPr>
          <w:footerReference r:id="rId14" w:type="default"/>
          <w:pgSz w:w="11905" w:h="16838"/>
          <w:pgMar w:top="1020" w:right="964" w:bottom="1020" w:left="1191" w:header="567" w:footer="454" w:gutter="0"/>
          <w:pgNumType w:fmt="decimal"/>
          <w:cols w:space="720" w:num="1"/>
          <w:rtlGutter w:val="0"/>
          <w:docGrid w:type="lines" w:linePitch="317" w:charSpace="0"/>
        </w:sectPr>
      </w:pPr>
    </w:p>
    <w:p>
      <w:pPr>
        <w:pStyle w:val="9"/>
        <w:rPr>
          <w:rFonts w:hint="default" w:ascii="宋体" w:hAnsi="宋体" w:eastAsia="宋体" w:cs="宋体"/>
          <w:b/>
          <w:bCs w:val="0"/>
          <w:color w:val="000000"/>
          <w:kern w:val="2"/>
          <w:sz w:val="24"/>
          <w:szCs w:val="24"/>
          <w:highlight w:val="none"/>
          <w:lang w:val="en-US" w:eastAsia="zh-CN" w:bidi="ar-SA"/>
        </w:rPr>
      </w:pPr>
      <w:r>
        <w:rPr>
          <w:rFonts w:hint="eastAsia" w:ascii="宋体" w:hAnsi="宋体" w:eastAsia="宋体" w:cs="宋体"/>
          <w:b/>
          <w:bCs w:val="0"/>
          <w:color w:val="000000"/>
          <w:kern w:val="2"/>
          <w:sz w:val="24"/>
          <w:szCs w:val="24"/>
          <w:highlight w:val="none"/>
          <w:lang w:val="en-US" w:eastAsia="zh-CN" w:bidi="ar-SA"/>
        </w:rPr>
        <w:t>四、技术参数</w:t>
      </w:r>
    </w:p>
    <w:tbl>
      <w:tblPr>
        <w:tblStyle w:val="73"/>
        <w:tblW w:w="14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618"/>
        <w:gridCol w:w="735"/>
        <w:gridCol w:w="1393"/>
        <w:gridCol w:w="6849"/>
        <w:gridCol w:w="980"/>
        <w:gridCol w:w="1024"/>
        <w:gridCol w:w="986"/>
        <w:gridCol w:w="986"/>
      </w:tblGrid>
      <w:tr>
        <w:trPr>
          <w:trHeight w:val="347"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b/>
                <w:bCs/>
                <w:i w:val="0"/>
                <w:iCs w:val="0"/>
                <w:color w:val="000000"/>
                <w:kern w:val="0"/>
                <w:sz w:val="24"/>
                <w:szCs w:val="24"/>
                <w:u w:val="none"/>
                <w:lang w:val="en-US" w:eastAsia="zh-CN" w:bidi="ar"/>
              </w:rPr>
              <w:t>序号</w:t>
            </w:r>
          </w:p>
        </w:tc>
        <w:tc>
          <w:tcPr>
            <w:tcW w:w="1353" w:type="dxa"/>
            <w:gridSpan w:val="2"/>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b/>
                <w:bCs/>
                <w:i w:val="0"/>
                <w:iCs w:val="0"/>
                <w:color w:val="000000"/>
                <w:kern w:val="0"/>
                <w:sz w:val="24"/>
                <w:szCs w:val="24"/>
                <w:u w:val="none"/>
                <w:lang w:val="en-US" w:eastAsia="zh-CN" w:bidi="ar"/>
              </w:rPr>
              <w:t>系统</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cs="宋体"/>
                <w:b/>
                <w:bCs/>
                <w:i w:val="0"/>
                <w:iCs w:val="0"/>
                <w:color w:val="000000"/>
                <w:kern w:val="0"/>
                <w:sz w:val="24"/>
                <w:szCs w:val="24"/>
                <w:u w:val="none"/>
                <w:lang w:val="en-US" w:eastAsia="zh-CN" w:bidi="ar"/>
              </w:rPr>
              <w:t>标的</w:t>
            </w:r>
            <w:r>
              <w:rPr>
                <w:rFonts w:hint="eastAsia" w:ascii="宋体" w:hAnsi="宋体" w:eastAsia="宋体" w:cs="宋体"/>
                <w:b/>
                <w:bCs/>
                <w:i w:val="0"/>
                <w:iCs w:val="0"/>
                <w:color w:val="000000"/>
                <w:kern w:val="0"/>
                <w:sz w:val="24"/>
                <w:szCs w:val="24"/>
                <w:u w:val="none"/>
                <w:lang w:val="en-US" w:eastAsia="zh-CN" w:bidi="ar"/>
              </w:rPr>
              <w:t>名称</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b/>
                <w:bCs/>
                <w:i w:val="0"/>
                <w:iCs w:val="0"/>
                <w:color w:val="000000"/>
                <w:kern w:val="0"/>
                <w:sz w:val="24"/>
                <w:szCs w:val="24"/>
                <w:u w:val="none"/>
                <w:lang w:val="en-US" w:eastAsia="zh-CN" w:bidi="ar"/>
              </w:rPr>
              <w:t>参数</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b/>
                <w:bCs/>
                <w:i w:val="0"/>
                <w:iCs w:val="0"/>
                <w:color w:val="000000"/>
                <w:kern w:val="0"/>
                <w:sz w:val="24"/>
                <w:szCs w:val="24"/>
                <w:u w:val="none"/>
                <w:lang w:val="en-US" w:eastAsia="zh-CN" w:bidi="ar"/>
              </w:rPr>
              <w:t>单位</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b/>
                <w:bCs/>
                <w:i w:val="0"/>
                <w:iCs w:val="0"/>
                <w:color w:val="000000"/>
                <w:kern w:val="0"/>
                <w:sz w:val="24"/>
                <w:szCs w:val="24"/>
                <w:u w:val="none"/>
                <w:lang w:val="en-US" w:eastAsia="zh-CN" w:bidi="ar"/>
              </w:rPr>
              <w:t>数量</w:t>
            </w:r>
          </w:p>
        </w:tc>
        <w:tc>
          <w:tcPr>
            <w:tcW w:w="986" w:type="dxa"/>
            <w:vAlign w:val="top"/>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所属行业</w:t>
            </w:r>
          </w:p>
        </w:tc>
        <w:tc>
          <w:tcPr>
            <w:tcW w:w="986" w:type="dxa"/>
            <w:vAlign w:val="top"/>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核心产品</w:t>
            </w: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1353" w:type="dxa"/>
            <w:gridSpan w:val="2"/>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校园监控系统</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室内半球</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高清半球摄像机，视频压缩标准需具有H.265和H.264，具有水平、垂直、旋转三轴调节，红外补光距离≥25米，防护等级不低于IP66；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摄像机靶面尺寸≥1/2.4英寸，内置麦克风，分辨率和帧率≥3200×1800、20帧/秒，水平分辨力不低于1800线；（需提供公安部所属检验机构出具的检测报告复印件)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宽动态能力综合评价得分应≥140，最低照度：彩色≤0.005 lx、黑白≤0.0005 lx。（需提供公安部所属检验机构出具的检测报告复印件)</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40</w:t>
            </w:r>
          </w:p>
        </w:tc>
        <w:tc>
          <w:tcPr>
            <w:tcW w:w="986" w:type="dxa"/>
            <w:vAlign w:val="top"/>
          </w:tcPr>
          <w:p>
            <w:pPr>
              <w:jc w:val="center"/>
              <w:rPr>
                <w:rFonts w:hint="eastAsia" w:ascii="宋体" w:hAnsi="宋体" w:eastAsia="宋体" w:cs="宋体"/>
                <w:sz w:val="24"/>
                <w:szCs w:val="24"/>
                <w:vertAlign w:val="baseline"/>
              </w:rPr>
            </w:pPr>
          </w:p>
          <w:p>
            <w:pPr>
              <w:bidi w:val="0"/>
              <w:jc w:val="center"/>
              <w:rPr>
                <w:rFonts w:hint="eastAsia" w:ascii="宋体" w:hAnsi="宋体" w:eastAsia="宋体" w:cs="宋体"/>
                <w:kern w:val="2"/>
                <w:sz w:val="24"/>
                <w:szCs w:val="24"/>
                <w:lang w:val="en-US" w:eastAsia="zh-CN" w:bidi="ar-SA"/>
              </w:rPr>
            </w:pPr>
          </w:p>
          <w:p>
            <w:pPr>
              <w:bidi w:val="0"/>
              <w:jc w:val="center"/>
              <w:rPr>
                <w:rFonts w:hint="eastAsia" w:ascii="宋体" w:hAnsi="宋体" w:eastAsia="宋体" w:cs="宋体"/>
                <w:sz w:val="24"/>
                <w:szCs w:val="24"/>
                <w:lang w:val="en-US" w:eastAsia="zh-CN"/>
              </w:rPr>
            </w:pPr>
          </w:p>
          <w:p>
            <w:pPr>
              <w:bidi w:val="0"/>
              <w:jc w:val="center"/>
              <w:rPr>
                <w:rFonts w:hint="eastAsia" w:ascii="宋体" w:hAnsi="宋体" w:eastAsia="宋体" w:cs="宋体"/>
                <w:sz w:val="24"/>
                <w:szCs w:val="24"/>
                <w:lang w:val="en-US" w:eastAsia="zh-CN"/>
              </w:rPr>
            </w:pPr>
          </w:p>
          <w:p>
            <w:pPr>
              <w:bidi w:val="0"/>
              <w:jc w:val="center"/>
              <w:rPr>
                <w:rFonts w:hint="eastAsia" w:ascii="宋体" w:hAnsi="宋体" w:eastAsia="宋体" w:cs="宋体"/>
                <w:sz w:val="24"/>
                <w:szCs w:val="24"/>
                <w:lang w:val="en-US" w:eastAsia="zh-CN"/>
              </w:rPr>
            </w:pPr>
          </w:p>
          <w:p>
            <w:pPr>
              <w:bidi w:val="0"/>
              <w:jc w:val="center"/>
              <w:rPr>
                <w:rFonts w:hint="eastAsia" w:ascii="宋体" w:hAnsi="宋体" w:eastAsia="宋体" w:cs="宋体"/>
                <w:sz w:val="24"/>
                <w:szCs w:val="24"/>
                <w:lang w:val="en-US" w:eastAsia="zh-CN"/>
              </w:rPr>
            </w:pPr>
          </w:p>
          <w:p>
            <w:pPr>
              <w:bidi w:val="0"/>
              <w:jc w:val="center"/>
              <w:rPr>
                <w:rFonts w:hint="eastAsia" w:ascii="宋体" w:hAnsi="宋体" w:eastAsia="宋体" w:cs="宋体"/>
                <w:sz w:val="24"/>
                <w:szCs w:val="24"/>
                <w:lang w:val="en-US" w:eastAsia="zh-CN"/>
              </w:rPr>
            </w:pPr>
          </w:p>
          <w:p>
            <w:pPr>
              <w:bidi w:val="0"/>
              <w:jc w:val="center"/>
              <w:rPr>
                <w:rFonts w:hint="eastAsia" w:ascii="宋体" w:hAnsi="宋体" w:eastAsia="宋体" w:cs="宋体"/>
                <w:sz w:val="24"/>
                <w:szCs w:val="24"/>
                <w:lang w:val="en-US" w:eastAsia="zh-CN"/>
              </w:rPr>
            </w:pPr>
          </w:p>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工业</w:t>
            </w:r>
          </w:p>
        </w:tc>
        <w:tc>
          <w:tcPr>
            <w:tcW w:w="986" w:type="dxa"/>
            <w:vAlign w:val="top"/>
          </w:tcPr>
          <w:p>
            <w:pPr>
              <w:bidi w:val="0"/>
              <w:jc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室外枪机</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摄像机靶面尺寸≥1/2.4英寸，内置麦克风，分辨率和帧率≥3200×1800、20帧/秒，水平分辨力不低于1800线；（需提供公安部所属检验机构出具的检测报告复印件)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最低照度彩色：0.005 lx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区域入侵、越界、进入区域、离开区域、人员聚集、快速移动、徘徊、物品移除、物品遗留、停车智能分析功能，当以上智能分析行为达到设定的阈值时，可通过客户端软件或IE浏览器给出报警提示（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同一静止场景相同图像质量下，设备在H.264或H.265编码方式时，开启智能编码功能和不开启智能编码相比，码率节约80%。（需提供公安部所属检验机构出具的检测报告复印件)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不低于IP66防尘防水等级。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带电源支架</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40</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室外球机</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细节镜头具有23倍光学变倍，最大焦距不小于110mm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输出两路视频图像（1路全景视频图像、1路细节视频图像），内置≥2颗GPU芯片，全景视频图像内置镜头、≥2颗补光灯，靶面尺寸≥1/1.9英寸；细节相机内置镜头、≥4颗补光灯（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全景枪球一体化摄像机，全景画面最大分辨率和帧率≥2560×1440@25fps，细节画面最大分辨率和帧率≥1920×1080@25fps，具有H.265、H.264编码，具有GB35114安全加密；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具有循环跟踪功能，当全景视频图像中有多个目标触发报警事件后，细节视频图像可联动对多个目标循环跟踪（需提供公安部所属检验机构出具的检测报告复印件)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需具有深度学习算法，具有人车分类侦测、报警、联动跟踪；具有区域入侵侦测、越界侦测、进入区域侦测和离开区域侦等智能侦测并联动跟踪；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具有对镜头前盖玻璃加热，去除玻璃上的冰状和水状附着物（需提供公安部所属检验机构出具的检测报告复印件)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具有智能分析抗干扰功能，当篮球、小狗、树叶等非人或车辆目标经过检测区域时，不会触发报警（需提供公安部所属检验机构出具的检测报告复印件)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需具有≥1对音频输入/输出接口、≥2路报警输入、≥1路报警输出，内置红外+可见光补光灯，红外补光距离≥150m，白光补光距离≥30m，工作温度≥-30℃-65℃，防护等级≥IP66。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带电源支架</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室外全景</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主视频具有不小于40倍光学变倍，具有检测当前镜头指向方向与地平面夹角，并可根据夹角变化自动调整倍率（需提供公安部所属检验机构出具的检测报告复印件)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主视频图像：2592×1520@25fps，辅视频图像：8160×2400@30fps，其中主视频图像分辨力不小于1600线。（需提供公安部所属检验机构出具的检测报告复印件)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摄像机全景镜头光圈均不小于F1.0（需提供公安部所属检验机构出具的检测报告复印件)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一体化AR全景联动智能球机，具有辅视频图像全景拼接与主视频图像细节特写，具有对全景区域内的多个目标进行智能侦测，并可输出报警信号和联动云台跟踪；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带镜头，另配6个图像采集模块，可输出1路主视频图像和6路辅视频图像。可将辅视频图像进行无缝拼接，拼接后的辅视频图像：水平视场角为270°，垂直视场角为80°（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AR视频标签添加，修改，删除和标准等系列管理功能，具有全景通道添加最多1000个标签，细节通道添加最多500个标签；标签类型包括：警务站视频标签，建筑物视频标签，卡口视频标签，普通视频标签等（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具备AR视频标签联动功能，并可对高-高，高-低，低-高三种标签的位置的视频图像，进行切换预览。（需提供公安部所属检验机构出具的检测报告复印件)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标签跟踪和同步功能，可对全景通道、细节通道监控画面中移动标签进行跟踪且跟踪时间、跟踪倍率可设置。在跟踪过程中，移动标签应始终位于画面中心位置。在细节通道上添加或删除指定标签时，全景通道的相同位置应自动添加或删除该标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摄像机内置除湿器，可对样机内部进行除湿，除去玻璃罩上的水状附着物。（需提供公安部所属检验机构出具的检测报告复印件)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内置不少于3个GPU芯片 。（需提供公安部所属检验机构出具的检测报告复印件)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镜头需具备良好的防刮性能，应采用蓝宝石单晶透光片，在使用淬硬的钢针以不小于10牛的作用力，不小于20毫米每秒的速度划痕，钢针移动距离不小于15厘米的情况下，设备透光片无明显划痕且不被刺透。（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彩色：0.0003lux；黑白：0.0001lux（（需提供公安部所属检验机构出具的检测报告复印件)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电源具有较强适应性，电源电压在DC36V±50%范围内变化时，摄像机可以正常工作（需提供公安部所属检验机构出具的检测报告复印件)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红外灯开启时，样机可根据被摄物的距离自动调节红外灯功率密度。红外夜视距离：可识别距离样机800m外人体轮廓（需提供公安部所属检验机构出具的检测报告复印件)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带电源支架</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2658"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POE交换机</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配置：可用千兆PoE电接口数量≥24，千兆光接口数量≥4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交换容量：336Gbps；包转发率：92Mpps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整机最大供电功率：370W；端口最大供电功率：30W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具有静态聚合 ，具有端口镜像和流镜像功能 ，具有虚拟化技术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具有vlan；具有端口限速功能 ，具有静态路由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提供工信部入网许可证，入网检测报告证明及CQC认证证书</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存储服务器</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服务器配置：≥1颗64位多核处理器，≥4GB内存，内存具有扩展到≥32GB，配置≥6个风扇，具有风扇热插拔冗余温控调速风扇。（需提供公安部所属检验机构出具的检测报告复印件)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具有热插拔1+1AC220V 或 1+1 直流冗余金牌电源供电（照片证明），机箱具备防尘滤网，采用双立柱设计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单设备应标配≥2个千兆网口，可增扩≥2个千兆网口或增配≥2个10Gb光纤接口或增配≥4个HDMI接口或≥3个SAS3.0接口可接入2T/3T/4T/6T/8T/10T/12T/14T/16T/18T/20T SATA/SAS硬盘；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可接入硬盘≥48块，具有SATA和SAS混插，并具有≥12级扩展柜级联扩展；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RAID模式下，当RAID内某一块硬盘发生故障，更换该硬盘或热备盘替换时，可自动进行RAID重构。RAID模式下，当RAID内某一块硬盘发生故障，更换该硬盘或热备盘替换时，可自动进行RAID重构。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设备可对视音频、图片、智能数据（智能行为分析录像）流进行混合直存，无须存储服务器和图片服务器的参与，平台服务器宕机时，存储业务正常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可通过IE浏览器对一台、多台设备或扩展柜中的磁盘进行定位，使对应的磁盘指示灯闪烁，闪烁的时长可设（需提供公安部所属检验机构出具的检测报告复印件)</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企业级硬盘</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3.5 HDD,8TB,7200RPM, 256MB, SATA 6Gb/s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高转速：7200RPM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具有硬盘健康管理功能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MTBF(平均故障间隔时间)：不小于200万小时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年写入负载：不小于360TB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具有5年有限质保服务</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20</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8</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智慧校园综合管理平台</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系统基础包，提供业务应用依赖的基础资源信息及基础服务能力，包括组织管理、区域管理、人员管理、车辆管理、用户管理、设备管理、低代码引擎、门户工作台、云眸与本地EDU融合等。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系统基础信息管理：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一、组织资源管理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1、具有组织基础信息的增删改查、导入、导出等功能；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二、区域资源管理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1、具有区域基础信息的增删改查、导入、导出等功能；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三、人员信息管理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1、具有人员信息的增删改查、导入、导出，包括人脸、指纹采集；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2、具有人员基础信息自定义扩展；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四、卡片信息管理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1、具有卡片基本信息的增删改查、导入、导出；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2、具有人员开卡、退卡、挂失、解挂、换卡及卡扇区加密；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五、车辆信息管理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1、具有车辆基本信息的增删改查、导入、导出；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六、设备信息管理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1、提供设备统一接入管理，包括：视频设备、出入口设备、门禁设备、梯控设备、可视对讲设备、食堂消费设备、寻车诱导设备、卡口设备、车载设备、报警设备等。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七、系统用户管理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1、具有账户基本信息和角色信息的增删改查；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2、具有配置不同角色权限，包括菜单权限、组织权限、区域权限、资源权限、功能控制权限；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3、具有用户组权限分配；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4、具有用户安全管理，可绑定用户mac地址及IP，可自行修改用户密码或者管理员重置密码；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5、具有从Windows域同步用户信息，用于域账户进行平台登录；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八、低代码引擎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1、具有流程表单引擎、报表引擎、巡检引擎、规则引擎、界面编排引擎等</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6025"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9</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视频监控系统_视频通道数量</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视频监控应用提供视频管理服务，具有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一、视频预览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1、具有视频实时预览能力，实现预览窗口布局切换、预览画面自适应及全屏切换；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2、具有云台控制、实时抓图、紧急录像、即时回放、主子码流切换、声音开启\\关闭、辅屏预览（1个辅屏）、对讲、广播、报警输出控制的能力；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3、具有智能规则展示的能力（如：针对热成像设备温度信息实时展示）；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4、具有资源视图管理能力，以视图形式管理监控点、视频预览轮巡等自定义资源组，其中视图类型包含公有视图和私有视图；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5、具有全景视频监控预览能力，具有球型鹰眼、全景摄像机的全景模式；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二、录像回放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1、具有录像计划管理能力，具有实时录像计划、录像回传计划；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2、具有录像回放能力，具有多画面同步回放和异步回放切换、超高倍速回放、分段回放、录像下载、录像剪辑、录像标签、录像锁定、录像抓图；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三、图片监控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1、具有视频预览与图片实时监控模式切换能力，实现图片监控模式；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2、具有图片查询回放能力，实现按监控点、时间段展示抓拍图片；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3、具有图片自动播放能力，具有图片自动播放速度可设置；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4、具有图片下载能力；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四、视频上墙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1、具有电视墙场景管理能力，实现场景窗口配置、场景切换计划配置以及轮巡计划的管理；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2、具有上墙控制能力，实现场景一键上墙、场景切换、电视墙切换、监控点上下墙、轮巡控制操作；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五、视频事件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1、具有视频事件布撤防能力，可按计划模版进行布防，事件类型包括移动侦测、视频丢失、视频遮挡、报警输入、报警输出；</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96</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320040"/>
                  <wp:effectExtent l="0" t="0" r="0" b="0"/>
                  <wp:wrapNone/>
                  <wp:docPr id="31" name="Picture_1"/>
                  <wp:cNvGraphicFramePr/>
                  <a:graphic xmlns:a="http://schemas.openxmlformats.org/drawingml/2006/main">
                    <a:graphicData uri="http://schemas.openxmlformats.org/drawingml/2006/picture">
                      <pic:pic xmlns:pic="http://schemas.openxmlformats.org/drawingml/2006/picture">
                        <pic:nvPicPr>
                          <pic:cNvPr id="31" name="Picture_1"/>
                          <pic:cNvPicPr/>
                        </pic:nvPicPr>
                        <pic:blipFill>
                          <a:blip r:embed="rId23"/>
                          <a:stretch>
                            <a:fillRect/>
                          </a:stretch>
                        </pic:blipFill>
                        <pic:spPr>
                          <a:xfrm>
                            <a:off x="0" y="0"/>
                            <a:ext cx="0" cy="32004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234315"/>
                  <wp:effectExtent l="0" t="0" r="0" b="0"/>
                  <wp:wrapNone/>
                  <wp:docPr id="32" name="Picture_1_SpCnt_1"/>
                  <wp:cNvGraphicFramePr/>
                  <a:graphic xmlns:a="http://schemas.openxmlformats.org/drawingml/2006/main">
                    <a:graphicData uri="http://schemas.openxmlformats.org/drawingml/2006/picture">
                      <pic:pic xmlns:pic="http://schemas.openxmlformats.org/drawingml/2006/picture">
                        <pic:nvPicPr>
                          <pic:cNvPr id="32" name="Picture_1_SpCnt_1"/>
                          <pic:cNvPicPr/>
                        </pic:nvPicPr>
                        <pic:blipFill>
                          <a:blip r:embed="rId23"/>
                          <a:stretch>
                            <a:fillRect/>
                          </a:stretch>
                        </pic:blipFill>
                        <pic:spPr>
                          <a:xfrm>
                            <a:off x="0" y="0"/>
                            <a:ext cx="0" cy="2343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234315"/>
                  <wp:effectExtent l="0" t="0" r="0" b="0"/>
                  <wp:wrapNone/>
                  <wp:docPr id="33" name="Picture_1_SpCnt_2"/>
                  <wp:cNvGraphicFramePr/>
                  <a:graphic xmlns:a="http://schemas.openxmlformats.org/drawingml/2006/main">
                    <a:graphicData uri="http://schemas.openxmlformats.org/drawingml/2006/picture">
                      <pic:pic xmlns:pic="http://schemas.openxmlformats.org/drawingml/2006/picture">
                        <pic:nvPicPr>
                          <pic:cNvPr id="33" name="Picture_1_SpCnt_2"/>
                          <pic:cNvPicPr/>
                        </pic:nvPicPr>
                        <pic:blipFill>
                          <a:blip r:embed="rId23"/>
                          <a:stretch>
                            <a:fillRect/>
                          </a:stretch>
                        </pic:blipFill>
                        <pic:spPr>
                          <a:xfrm>
                            <a:off x="0" y="0"/>
                            <a:ext cx="0" cy="2343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234315"/>
                  <wp:effectExtent l="0" t="0" r="0" b="0"/>
                  <wp:wrapNone/>
                  <wp:docPr id="34" name="Picture_1_SpCnt_3"/>
                  <wp:cNvGraphicFramePr/>
                  <a:graphic xmlns:a="http://schemas.openxmlformats.org/drawingml/2006/main">
                    <a:graphicData uri="http://schemas.openxmlformats.org/drawingml/2006/picture">
                      <pic:pic xmlns:pic="http://schemas.openxmlformats.org/drawingml/2006/picture">
                        <pic:nvPicPr>
                          <pic:cNvPr id="34" name="Picture_1_SpCnt_3"/>
                          <pic:cNvPicPr/>
                        </pic:nvPicPr>
                        <pic:blipFill>
                          <a:blip r:embed="rId23"/>
                          <a:stretch>
                            <a:fillRect/>
                          </a:stretch>
                        </pic:blipFill>
                        <pic:spPr>
                          <a:xfrm>
                            <a:off x="0" y="0"/>
                            <a:ext cx="0" cy="2343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234315"/>
                  <wp:effectExtent l="0" t="0" r="0" b="0"/>
                  <wp:wrapNone/>
                  <wp:docPr id="35" name="Picture_1_SpCnt_4"/>
                  <wp:cNvGraphicFramePr/>
                  <a:graphic xmlns:a="http://schemas.openxmlformats.org/drawingml/2006/main">
                    <a:graphicData uri="http://schemas.openxmlformats.org/drawingml/2006/picture">
                      <pic:pic xmlns:pic="http://schemas.openxmlformats.org/drawingml/2006/picture">
                        <pic:nvPicPr>
                          <pic:cNvPr id="35" name="Picture_1_SpCnt_4"/>
                          <pic:cNvPicPr/>
                        </pic:nvPicPr>
                        <pic:blipFill>
                          <a:blip r:embed="rId23"/>
                          <a:stretch>
                            <a:fillRect/>
                          </a:stretch>
                        </pic:blipFill>
                        <pic:spPr>
                          <a:xfrm>
                            <a:off x="0" y="0"/>
                            <a:ext cx="0" cy="2343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320040"/>
                  <wp:effectExtent l="0" t="0" r="0" b="0"/>
                  <wp:wrapNone/>
                  <wp:docPr id="36" name="Picture_1_SpCnt_5"/>
                  <wp:cNvGraphicFramePr/>
                  <a:graphic xmlns:a="http://schemas.openxmlformats.org/drawingml/2006/main">
                    <a:graphicData uri="http://schemas.openxmlformats.org/drawingml/2006/picture">
                      <pic:pic xmlns:pic="http://schemas.openxmlformats.org/drawingml/2006/picture">
                        <pic:nvPicPr>
                          <pic:cNvPr id="36" name="Picture_1_SpCnt_5"/>
                          <pic:cNvPicPr/>
                        </pic:nvPicPr>
                        <pic:blipFill>
                          <a:blip r:embed="rId23"/>
                          <a:stretch>
                            <a:fillRect/>
                          </a:stretch>
                        </pic:blipFill>
                        <pic:spPr>
                          <a:xfrm>
                            <a:off x="0" y="0"/>
                            <a:ext cx="0" cy="32004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234315"/>
                  <wp:effectExtent l="0" t="0" r="0" b="0"/>
                  <wp:wrapNone/>
                  <wp:docPr id="37" name="Picture_1_SpCnt_6"/>
                  <wp:cNvGraphicFramePr/>
                  <a:graphic xmlns:a="http://schemas.openxmlformats.org/drawingml/2006/main">
                    <a:graphicData uri="http://schemas.openxmlformats.org/drawingml/2006/picture">
                      <pic:pic xmlns:pic="http://schemas.openxmlformats.org/drawingml/2006/picture">
                        <pic:nvPicPr>
                          <pic:cNvPr id="37" name="Picture_1_SpCnt_6"/>
                          <pic:cNvPicPr/>
                        </pic:nvPicPr>
                        <pic:blipFill>
                          <a:blip r:embed="rId23"/>
                          <a:stretch>
                            <a:fillRect/>
                          </a:stretch>
                        </pic:blipFill>
                        <pic:spPr>
                          <a:xfrm>
                            <a:off x="0" y="0"/>
                            <a:ext cx="0" cy="2343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234315"/>
                  <wp:effectExtent l="0" t="0" r="0" b="0"/>
                  <wp:wrapNone/>
                  <wp:docPr id="38" name="Picture_1_SpCnt_7"/>
                  <wp:cNvGraphicFramePr/>
                  <a:graphic xmlns:a="http://schemas.openxmlformats.org/drawingml/2006/main">
                    <a:graphicData uri="http://schemas.openxmlformats.org/drawingml/2006/picture">
                      <pic:pic xmlns:pic="http://schemas.openxmlformats.org/drawingml/2006/picture">
                        <pic:nvPicPr>
                          <pic:cNvPr id="38" name="Picture_1_SpCnt_7"/>
                          <pic:cNvPicPr/>
                        </pic:nvPicPr>
                        <pic:blipFill>
                          <a:blip r:embed="rId23"/>
                          <a:stretch>
                            <a:fillRect/>
                          </a:stretch>
                        </pic:blipFill>
                        <pic:spPr>
                          <a:xfrm>
                            <a:off x="0" y="0"/>
                            <a:ext cx="0" cy="2343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320040"/>
                  <wp:effectExtent l="0" t="0" r="0" b="0"/>
                  <wp:wrapNone/>
                  <wp:docPr id="39" name="Picture_1_SpCnt_8"/>
                  <wp:cNvGraphicFramePr/>
                  <a:graphic xmlns:a="http://schemas.openxmlformats.org/drawingml/2006/main">
                    <a:graphicData uri="http://schemas.openxmlformats.org/drawingml/2006/picture">
                      <pic:pic xmlns:pic="http://schemas.openxmlformats.org/drawingml/2006/picture">
                        <pic:nvPicPr>
                          <pic:cNvPr id="39" name="Picture_1_SpCnt_8"/>
                          <pic:cNvPicPr/>
                        </pic:nvPicPr>
                        <pic:blipFill>
                          <a:blip r:embed="rId23"/>
                          <a:stretch>
                            <a:fillRect/>
                          </a:stretch>
                        </pic:blipFill>
                        <pic:spPr>
                          <a:xfrm>
                            <a:off x="0" y="0"/>
                            <a:ext cx="0" cy="32004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320040"/>
                  <wp:effectExtent l="0" t="0" r="0" b="0"/>
                  <wp:wrapNone/>
                  <wp:docPr id="40" name="Picture_1_SpCnt_9"/>
                  <wp:cNvGraphicFramePr/>
                  <a:graphic xmlns:a="http://schemas.openxmlformats.org/drawingml/2006/main">
                    <a:graphicData uri="http://schemas.openxmlformats.org/drawingml/2006/picture">
                      <pic:pic xmlns:pic="http://schemas.openxmlformats.org/drawingml/2006/picture">
                        <pic:nvPicPr>
                          <pic:cNvPr id="40" name="Picture_1_SpCnt_9"/>
                          <pic:cNvPicPr/>
                        </pic:nvPicPr>
                        <pic:blipFill>
                          <a:blip r:embed="rId23"/>
                          <a:stretch>
                            <a:fillRect/>
                          </a:stretch>
                        </pic:blipFill>
                        <pic:spPr>
                          <a:xfrm>
                            <a:off x="0" y="0"/>
                            <a:ext cx="0" cy="32004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320040"/>
                  <wp:effectExtent l="0" t="0" r="0" b="0"/>
                  <wp:wrapNone/>
                  <wp:docPr id="41" name="Picture_1_SpCnt_10"/>
                  <wp:cNvGraphicFramePr/>
                  <a:graphic xmlns:a="http://schemas.openxmlformats.org/drawingml/2006/main">
                    <a:graphicData uri="http://schemas.openxmlformats.org/drawingml/2006/picture">
                      <pic:pic xmlns:pic="http://schemas.openxmlformats.org/drawingml/2006/picture">
                        <pic:nvPicPr>
                          <pic:cNvPr id="41" name="Picture_1_SpCnt_10"/>
                          <pic:cNvPicPr/>
                        </pic:nvPicPr>
                        <pic:blipFill>
                          <a:blip r:embed="rId23"/>
                          <a:stretch>
                            <a:fillRect/>
                          </a:stretch>
                        </pic:blipFill>
                        <pic:spPr>
                          <a:xfrm>
                            <a:off x="0" y="0"/>
                            <a:ext cx="0" cy="32004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234315"/>
                  <wp:effectExtent l="0" t="0" r="0" b="0"/>
                  <wp:wrapNone/>
                  <wp:docPr id="42" name="Picture_1_SpCnt_11"/>
                  <wp:cNvGraphicFramePr/>
                  <a:graphic xmlns:a="http://schemas.openxmlformats.org/drawingml/2006/main">
                    <a:graphicData uri="http://schemas.openxmlformats.org/drawingml/2006/picture">
                      <pic:pic xmlns:pic="http://schemas.openxmlformats.org/drawingml/2006/picture">
                        <pic:nvPicPr>
                          <pic:cNvPr id="42" name="Picture_1_SpCnt_11"/>
                          <pic:cNvPicPr/>
                        </pic:nvPicPr>
                        <pic:blipFill>
                          <a:blip r:embed="rId23"/>
                          <a:stretch>
                            <a:fillRect/>
                          </a:stretch>
                        </pic:blipFill>
                        <pic:spPr>
                          <a:xfrm>
                            <a:off x="0" y="0"/>
                            <a:ext cx="0" cy="2343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320040"/>
                  <wp:effectExtent l="0" t="0" r="0" b="0"/>
                  <wp:wrapNone/>
                  <wp:docPr id="43" name="Picture_1_SpCnt_12"/>
                  <wp:cNvGraphicFramePr/>
                  <a:graphic xmlns:a="http://schemas.openxmlformats.org/drawingml/2006/main">
                    <a:graphicData uri="http://schemas.openxmlformats.org/drawingml/2006/picture">
                      <pic:pic xmlns:pic="http://schemas.openxmlformats.org/drawingml/2006/picture">
                        <pic:nvPicPr>
                          <pic:cNvPr id="43" name="Picture_1_SpCnt_12"/>
                          <pic:cNvPicPr/>
                        </pic:nvPicPr>
                        <pic:blipFill>
                          <a:blip r:embed="rId23"/>
                          <a:stretch>
                            <a:fillRect/>
                          </a:stretch>
                        </pic:blipFill>
                        <pic:spPr>
                          <a:xfrm>
                            <a:off x="0" y="0"/>
                            <a:ext cx="0" cy="32004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320040"/>
                  <wp:effectExtent l="0" t="0" r="0" b="0"/>
                  <wp:wrapNone/>
                  <wp:docPr id="44" name="Picture_1_SpCnt_13"/>
                  <wp:cNvGraphicFramePr/>
                  <a:graphic xmlns:a="http://schemas.openxmlformats.org/drawingml/2006/main">
                    <a:graphicData uri="http://schemas.openxmlformats.org/drawingml/2006/picture">
                      <pic:pic xmlns:pic="http://schemas.openxmlformats.org/drawingml/2006/picture">
                        <pic:nvPicPr>
                          <pic:cNvPr id="44" name="Picture_1_SpCnt_13"/>
                          <pic:cNvPicPr/>
                        </pic:nvPicPr>
                        <pic:blipFill>
                          <a:blip r:embed="rId23"/>
                          <a:stretch>
                            <a:fillRect/>
                          </a:stretch>
                        </pic:blipFill>
                        <pic:spPr>
                          <a:xfrm>
                            <a:off x="0" y="0"/>
                            <a:ext cx="0" cy="32004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0" cy="234315"/>
                  <wp:effectExtent l="0" t="0" r="0" b="0"/>
                  <wp:wrapNone/>
                  <wp:docPr id="45" name="Picture_1_SpCnt_14"/>
                  <wp:cNvGraphicFramePr/>
                  <a:graphic xmlns:a="http://schemas.openxmlformats.org/drawingml/2006/main">
                    <a:graphicData uri="http://schemas.openxmlformats.org/drawingml/2006/picture">
                      <pic:pic xmlns:pic="http://schemas.openxmlformats.org/drawingml/2006/picture">
                        <pic:nvPicPr>
                          <pic:cNvPr id="45" name="Picture_1_SpCnt_14"/>
                          <pic:cNvPicPr/>
                        </pic:nvPicPr>
                        <pic:blipFill>
                          <a:blip r:embed="rId23"/>
                          <a:stretch>
                            <a:fillRect/>
                          </a:stretch>
                        </pic:blipFill>
                        <pic:spPr>
                          <a:xfrm>
                            <a:off x="0" y="0"/>
                            <a:ext cx="0" cy="23431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智慧校园综合管理平台服务器</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2U单路标准机架式服务器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CPU：配置1颗 x86架构HYGON 7263处理器，核数≥16核，主频≥2.5GHz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内存：配置64G DDR4，16根内存插槽，最大具有扩展至1TB内存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硬盘：配置2块600G 10K SAS硬盘；最高可选具有12块3.5寸(兼容2.5寸)热插拔SATA/SAS硬盘，可选具有2块后置2.5寸热插拔SATA/SAS硬盘;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阵列卡：配置SAS+HBA卡（具有RAID 0/1/10）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PCIE扩展：最大可选具有6个PCIe扩展插槽；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网口：板载2个千兆电口，具有选配10GbE、25GbE SFP+等多种网络接口；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其他接口：配置1个千兆RJ-45管理接口，4个USB 3.0接口，2个位于机箱后部，2个位于机箱前部；1个VGA口，位于机箱后部；可选1个COM口位于机箱后部；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电源：配置550W（1+1）高效铂金CRPS冗余电源</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11</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解码器</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4路HDMI输入+24路HDMI输出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U标准机架式机箱，运营级ATCA机箱系统，满足中小规模的监控需求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插拔式模块化设计，可根据需求灵活选择机型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业务模块具有智能风扇自动调温，确保系统稳定可靠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具有HDMI信号输入输出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具有H.264/H.265编码，默认采用H.265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解码具有H.265、H.264、MJPEG等主流的编码格式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具有4路高清视频编码能力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具有192路高清视频解码能力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视频输出最大的LED带载能力为单口230 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具有3200 W高清视频解码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具有24个显示屏的任意大屏拼接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单输出口具有1/4/6/8/9/16画面分割显示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具有开窗和漫游，最多具有192个窗口，单屏具有3个图层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具有电视墙预览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最大具有128个预设场景，用户可以自定义每个场景电视墙布局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具有虚拟LED功能，最多添加字幕8个，单墙3个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具有WEB方式、Android和IOS客户端访问和操作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具有ONVIF协议接入设备解码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具有GB协议接入平台实现管理和操作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可在客户端软件中进行用户添加、删除、修改、密码设置等操作，可为不同用户设置不同管理权限（资源权限、配置权限、操作权限），最多可设置 64 个用户（提供公安部出具的CNAS报告复印件）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具有解码格式： H.265、Smart264、Smart265、MJPEG；单板最大解码能力具有 32 路分辨率为 200W或 2 路分辨率为 3200W 的视频（提供公安部出具的CNAS报告复印件）</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网络键盘</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全触控网络键盘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屏幕区和摇杆区采用分体设计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具有网络方式接入本司全系列DVR、DVS、NVR、网络摄像机、球机等设备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具有在触控屏上预览图像或通过HDMI/DVI将图像投到外接显示屏上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具有控制视频综合平台、解码器、多屏控制器或NVR&amp;解码上墙一体机，直观展示电视墙布局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具有云台控制，具有预置点、巡航设置与调用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具有回放硬盘录像机上的录像文件，具有控制解码器回放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具有抓图、录像功能，文件保存至U盘或上传至FTP服务器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具有最多添加8000台设备，具有以ONVIF协议接入设备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具有通过excel批量添加点位，借助U盘导入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两级用户权限，具有32个用户 ，1个admin管理员用户和31个操作员用户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具有接入iSecure（海豚）平台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具有U盘升级及导入/导出配置文件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具有接入综合安防平台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具有语音识别，通过指定的语音指令实现快捷切换操作。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显示屏：10.1英寸TFT LCD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控制方式：网络方式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电源：DC12V/POE</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功耗：≤15W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尺寸(宽*高*深)：404mm（长）*180mm（宽）*163mm（高）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重量：≈1.7KG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最大解码分辨率：4路1080P或1路4K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工作湿度：10％--90％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网络接口：1个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WiFi：1个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串行接口：不具有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语音对讲输入：1个，3.5mm立体声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语音对讲输出：1个，3.5mm立体声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摇杆类型：四维单按键摇杆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USB接口：USB2.0x2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视频接口：DVIx1;HDMIx1</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9265"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13</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拼接屏</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LCD显示单元为：55“超窄边液晶屏；单元物理拼缝≤3.5mm，物理分辨率达到1920×1080，响应时间≤6.5ms。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LCD显示单元亮度达到600cd/㎡，静态对比度达到3500：1，图像显示清晰度≥950TVL，亮度鉴别等级为11级。（提供封面具有CMA、ilac-MRA、CNAS标志的权威检测机构的检测报告）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平均无故障运行时间在30万小时。（提供封面具有CMA、ilac-MRA、CNAS标志的权威检测机构的检测报告）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平均无故障运行时间在30万小时。（提供封面具有CMA、ilac-MRA、CNAS标志的权威检测机构的检测报告）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垂直可视视角≥178°，显示色彩≥16.7M。（提供封面具有CMA、ilac-MRA、CNAS标志的权威检测机构的检测报告）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采用宽动态技术，能自动适应不同场频状下的高速图像信号，可使图像动态对比度到60000:1。（提供封面具有CMA、ilac-MRA、CNAS标志的权威检测机构的检测报告）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设备外壳金属表面具备达到盐雾10级要求。（提供封面具有CMA、ilac-MRA、CNAS标志的权威检测机构的检测报告）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拼接屏具备去蓝光护眼功能，蓝光辐射不超过RG1，符合IEC/TR62778-2014标准。（提供封面具有CMA、ilac-MRA、CNAS标志的权威检测机构的检测报告）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LCD产品具备CCC、CQC节能认证证书</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块</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9</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591"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14</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底座</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模块化配套底座</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4637"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15</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线缆</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HDMI 1.4 4K30Hz铜缆 （15米）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端子镀金，耐氧化，阻抗小，信号传输更稳定。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端子内部特殊设计，增强端子和线缆连接强度。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环保加厚外被，耐磨不易破裂，经久耐用。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具有HDMI 4K30Hz型号稳定传输。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即插即用，无需驱动程序。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线缆类型（音视频线）：铜缆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视频版本：HDMI 1.4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具有最大分辨率：4K 30Hz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接口类型：HDMI</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9</w:t>
            </w:r>
          </w:p>
        </w:tc>
        <w:tc>
          <w:tcPr>
            <w:tcW w:w="986" w:type="dxa"/>
            <w:vAlign w:val="top"/>
          </w:tcPr>
          <w:p>
            <w:pPr>
              <w:jc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jc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16</w:t>
            </w:r>
          </w:p>
        </w:tc>
        <w:tc>
          <w:tcPr>
            <w:tcW w:w="618"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IP广播</w:t>
            </w: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主控设备</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智慧“云”广播系统触摸屏服务器</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铝合金面板,全金属设计，机箱可抗接触式4KV强电磁干扰；AC90-264V 宽压输入；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采用17.3寸触摸屏，纯屏10点工规电容触控，A+规工业级液晶屏，抽拉一体化键鼠，操作更便利；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具有接入ISAPI与ISUP5.0协议的广播设备，包括网络音箱、网络音柱、网络功放、网络寻呼话筒；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具有最大1500路广播点接入（默认接入500路，超过需要按照路数收费），具有高达500路并发广播，响应时间≤5秒；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具有广播设备按分区管理，广播点位与广播分区之间可以任意关联；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具有本地音频文件管理，按媒体库文件夹与文件分级管理；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具有广播设备定时任务配置，并按时间计划模板进行统一管理，并可控制定时任务的使能状态；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具有一键预案广播，将需要进行广播的内容预先设置好，使用时一键触发；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具有用户权限控制，按广播点位、广播分区、功能模块进行精细化权限管理；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 具有音频文件广播，将本地音频文件实时发送到广播设备上进行播放；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 具有实时喊话广播与紧急广播，通过主机上接入的采集设备将采集到的音频数据实时播放到前端设备；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 具有调节所管理广播设备的音量，可以单独调节，也可以批量调节；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具有所有广播操作的记录，便于用户对广播数据进行分析；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具有NTP校时，使所管理设备的时间与主机时间统一；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具有显示所有管理的广播设备的在线状态，并可以设备状态发生变更时实时更新；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 具有将所管理内容一键下发给网络寻呼话筒，在网络寻呼话筒上可以进行一键寻呼；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 具有数据自动备份与手动恢复功能，保证数据的可持续性与可移植性。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显示屏：17.3寸宽屏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分辨率：1920(H)*1080(V)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亮度：300 cd/m²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可视角度：89/89/89/89(上/下/左/右)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触摸屏：十点工规电容触摸屏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键鼠：抽拉式键盘鼠标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处理器：i5-2400 CPU(主频3.1GHz,四核四线程)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芯片组：B75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BIOS：AMI UEFI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内存：8GB DDR3内存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显示：Intel® HD Graphics(VGA+HDMI)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扩展插槽：1* PCIEx16；1* PCIEx4；2* PCI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主板：EC9-H7562E-2P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有线网：2*10/100/1000Mbps自适应网口，具有远程唤醒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硬盘位：128G固态硬盘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接口：1*VGA；1*HDMI；2* LAN，具有10/100/1000Mbps（Intel82583 + Intel82579）；6*COM (5*RS232，COM1具有RS232/422/485) ；6*USB(4*USB3.0,2*USB2.0)；1*MIC in,1* Line out,1* Line in；1*金属带灯开关；1*PS/2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设备接入：具有最大1500路广播点接入（默认授权500路，超过500路时需购买授权扩容）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广播并发：具有最大500路广播点实时喊话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工作温度：-10℃-60℃,5%～95%（非凝结状态）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存储温度：-20℃-70℃,5%～95%（非凝结状态）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供电方式：AC 90-264V ATX300W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ESD：接触式4Kv，气隙6Kv电磁干扰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抗振：GB/T2423.10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箱体材质：高强度铝合金面板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安装方式：上架式或桌面式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操作系统：Windows® 10企业版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外形尺寸(W*H*D)：</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8801"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17</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智慧“云”广播系统管理软件</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实时广播通过接入网络寻呼话筒、网络功放、网络音箱\音柱设备实现公共广播能力，提供分区广播、实时广播、紧急广播、媒体库管理、广播录音功能服务。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1、分区广播，具有广播点分区管理，可选择单个\多个分区进行广播操作；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2、实时喊话广播，具有通过实时喊话进行实时广播；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3、媒体广播，具有选择媒体文件进行实时广播和媒体库管理；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4、媒体轮巡广播，具有轮巡模式进行媒体广播播放；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5、紧急广播，具有一键全区广播，优先级最高可抢断所有正在执行的广播任务；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6、具有实时喊话广播录音。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定时广播通过定时任务编排管理，可制定某个时间点在某些广播点位播放特定内容的广播任务。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1、具有定时广播管理，可对定时广播任务执行暂停操作；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2、广播内容具有选择媒体文件，也具有文字转语音模式；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3、具有下发定时任务至广播终端，由终端定时触发广播任务；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4、具有在终端离线时也可执行定时广播任务；</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591"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18</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广播话筒</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话筒杆：采集现场声音；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扬声器：还原本地声音；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广播按键：按BROADCAST键，指示灯亮，话筒会自动播放开始提示音，然后即可进行语音广播；结束时，再按BROADCAST键，结束提示音播放完毕后，话筒进入待机状态。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换能方式：电容式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频率响应：40HZ－16KHz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指向性：心形指向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输出阻抗：200欧姆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灵敏度：－42DB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供应电压：DV9V-12V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换能方式：电容式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频率响应：40HZ－16KHz</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265"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19</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智慧“云”广播系统四合一音源/ DVD/MP3/收音/蓝牙</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1U铝合金面板，人性化的抽手设计，美观实用。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微电脑控制，轻触式按键操作，高亮度动态LED显示，清晰醒目。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采用进口数码机芯，吸入式防震设备，具有纠错功能。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自动播放控制，全数码伺服。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带USB接口，具有1G至32G U盘，具有MP3、WMA、FLAC等格式播放。可播放：CD/VCD/MP3/DVD碟片，U盘播放。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1路音频信号左右声道（L /R）输出。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可通过面板按键或红外遥控器控制操作。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可扩展红外遥控面板，对其进行控制。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频率响应：20-20KHz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播放类型：CD/VCD/ MP3/DVD碟片，U盘播放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播放格式：MP3、WMA、CD、FLAC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动态范围：90dB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音频输出：1KΩ 0-1.5V 非平衡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音频失真度：0.05%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信噪比：92dB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保护：AC FUSE×1A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工作电压：AC 220V/50Hz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功率消耗：20W</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20</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智慧“云”广播系统音频采集器</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1.前面板7寸彩色IPS 触摸屏，分辨率：1024*600；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2.具有对指定的分区或终端进行实时广播、喊话或者播放媒体库文件；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3.可选择一个或者多个终端,设定快捷键对外进行广播；最多可定义F1-F6六种快捷选择；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4.1路4段式3.5mm输入、2路6.5mm音频输入接口、1路RCA输入接口、蓝牙输入；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1路3.5mm输出；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6.本地音量调节旋钮调节；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7.寻呼话筒可查看主叫设备名称、呼叫，广播记录；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8.设备本地可具有音频存储功能，包括对讲录音、广播录音等；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9.具有配置使用者的用户权限；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10.设备具有通过账号及密码登录设备；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11.具有长按一键紧急呼叫（长按3秒）指定终端或者所有终端进行紧急喊话；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12.寻呼话筒可显示当前来电和翻阅未接来电、已接来电历史，记录里可以直接回呼通话；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13.具有sub1g，具有通过遥控器远程遥控，快捷操作；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14.设备具备蓝牙功能，具有通过手机进行蓝牙广播（距离不大于10米）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：64M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Flash：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 ：7寸触摸屏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 1024*600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音频输入：1路4段式3.5mm输入、2路6.5mm音频输入接口、1路RCA输入接口、蓝牙输入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1路3.5mm输出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G.711U/G.711A/OPUS/MP3/AAC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：100Hz-16KHz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有线网： 一个10M/100M/自适应全双工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无线网： 不具有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TCP/IP、SIP、RTSP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：RJ45*1，音频输入*4，音频输出*1， TYPE C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：1路，红、绿双色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按键： 接听、F1-F6快捷键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设备电源： DC 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设备功率： ≤10W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不防水</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21</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智慧“云”广播系统语音播控台</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1.前面板7寸彩色IPS 触摸屏，分辨率：1024*600；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2.具有对指定的分区或终端进行实时广播、喊话或者播放媒体库文件；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3.可选择一个或者多个终端,设定快捷键对外进行广播；最多可定义F1-F6六种快捷选择；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4.1路USB鹅颈喊话输入、1路4段式3.5mm输入；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5.1路3.5mm输出；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6.寻呼话筒可查看主叫设备名称、呼叫，广播记录；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7.设备本地可具有音频存储功能，包括对讲录音、广播录音等；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8.具有配置使用者的用户权限；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9.设备具有通过账号及密码登录设备；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10.具有长按一键紧急呼叫（长按3秒）指定终端或者所有终端进行紧急喊话；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11.寻呼话筒可显示当前来电和翻阅未接来电、已接来电历史，记录里可以直接回呼通话；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64M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Flash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 ：7寸触摸屏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 ：1024*600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：1路鹅颈喊话输入、1路4段式3.5mm输入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 1路3.5mm输出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G.711U/G.711A/OPUS/MP3/AAC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100Hz-16KHz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有线网 ：一个10M/100M/自适应全双工网口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TCP/IP、SIP、RTSP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：RJ45*1，USB*1（鹅颈话筒），音频输入*2，音频输出*1， TYPE C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：1路，红、绿双色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按键 ：接听、F1-F6快捷键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设备电源 ：DC 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设备功率 ：≤10W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不防水</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22</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智慧“云”广播系统音频终端（木制壁挂音箱）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1.一体化壁挂式设计、整合网络音频解码，数字功放及音箱；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2.采用高速工业级双核(ARM+DSP)芯片、启动时间≤1秒；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3.具有通过远程IP网络（局域网/公网）、本地采集（3.5mm接口音频输入）、远程无线（蓝牙话筒/手机蓝牙）进行实时广播；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4.具有通过远程IP网络（局域网/公网）下发定时广播任务，到点后自动播放定时广播任务；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5.具有离线广播功能，内置大容量存储器，具有接收通过管理机或平台远程下发的音频文件、定时广播任务和报警触发任务；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6.具有NTP自动校时功能，离线时自动与时钟服务器对时，避免长时间离线造成离线任务差异；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7.具有通过定阻输出接口对外接副音箱（10W）进行广播；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8.具有通过音量调节旋钮进行广播输出音量的调节；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10.音箱不进行广播时，自动关闭扬声器电源，节能环保；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11.具有Web进行系统配置、网络配置、系统维护等操作；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12.具有通过复位按钮进行信息（IP地址）播报或恢复出厂设置；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13.标准RJ45网络接口，有以太网口的地方即可接入，具有跨网段和跨路由；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音频输入：网络音频输入接口*1；3.5mm音频输入接口*1；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音频输出：模拟音频线路输出接口*1；广播扬声器输出*1；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广播采样率：8KHz～48KHz；对讲采样率：8kHz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MIC：无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信噪比：≥90dB；灵敏度：90dB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频率响应：100Hz-16KHz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音频压缩标准：/G.711U/G.711A/MP3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物理接口：网口*1；音量调节旋钮*1；复位按钮*1； RTC*1路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指示灯：红、绿双色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电源：DC 24V供电（外置适配器）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材质：木材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负载需求：可外接一路副音箱（10W音箱）</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6951"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23</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智慧“云”广播系统32路消防采集器</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采用32位高速处理器，性能强劲、速度快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具有TCP/IP和RS485两种通讯方式，可独立通讯也可冗余备份通讯，通讯数据加密处理，更安全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具有20路报警输入（IO信号），具有防短、防剪功能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具有丰富多样的联动功能，如I/O联动、事件联动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内置RTC，具有NTP校时、手动校时、自动校时功能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具有离线事件保存功能和离线事件满90%警告功能，断电后数据可以永久保存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具有备用电池设计，外部供电断开时可不间断切换蓄电池供电（蓄电池需另配）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输入接口：报警输入*20、防拆*1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输出接口：报警继电器*4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功耗：≤4W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工作温度：-40℃ - +70℃；工作湿度 ：10%至90%</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24</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智慧“云”广播系统智慧电源管理器</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采用数字化技术，可控制电源按顺序开启/关闭，保护电网不受冲击，设有安全锁供手动紧急控制；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最大具有~220V/5000W功率输入，分为10路国标电源接口输出，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每路接口可承受~220V/2000W功率输出；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设有1路短路紧急接口输入，方便与其他设备连接使用；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2U标准机箱设计，铝合金面板，美观实用。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电源：AC220V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单路最大容量：2000KV.A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通讯协议：485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2787"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25</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广播专业机柜</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42U，网孔门，落地 空机柜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承重：静态800KG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前后门材质：前单开网孔门，后双开网孔门，冷轧板 T=1.5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门敞开百分比：前门78%，后门77.2%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侧门材质：冷轧板 T=1.0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门框左右立柱材质：冷轧板 T=2.0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左右支架：冷轧板 T=1.5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横梁：冷轧板 T=1.5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层板：1个，承重60KG，宽470*深350*高48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L型隔条/支架：1对，承重30KG，长350*宽38*高38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PDU：1个，8口PDU，输入10A，带2M线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滚轮：具有，4个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脚撑：具有，4个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风扇：不含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辅件：50套安装螺丝，前/后侧门钥匙各两把</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1162"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26</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校园广播站设备</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台式电脑</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台式电脑I5-10代及以上/16G/512G/集显/21FHD</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3712"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27</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智慧“云”广播系统四合一音源/ DVD/MP3/收音/蓝牙</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1U铝合金面板，人性化的抽手设计，美观实用。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微电脑控制，轻触式按键操作，高亮度动态LED显示，清晰醒目。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采用进口数码机芯，吸入式防震设备，具有纠错功能。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自动播放控制，全数码伺服。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带USB接口，具有1G至32G U盘，具有MP3、WMA、FLAC等格式播放。可播放：CD/VCD/MP3/DVD碟片，U盘播放。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1路音频信号左右声道（L /R）输出。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可通过面板按键或红外遥控器控制操作。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可扩展红外遥控面板，对其进行控制。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频率响应：20-20KHz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播放类型：CD/VCD/ MP3/DVD碟片，U盘播放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播放格式：MP3、WMA、CD、FLAC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动态范围：90dB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音频输出：1KΩ 0-1.5V 非平衡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音频失真度：0.05%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信噪比：92dB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保护：AC FUSE×1A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工作电压：AC 220V/50Hz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功率消耗：20W</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28</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有线鹅颈会议话筒</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话筒杆：采集现场声音；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扬声器：还原本地声音；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广播按键：按BROADCAST键，指示灯亮，话筒会自动播放开始提示音，然后即可进行语音广播；结束时，再按BROADCAST键，结束提示音播放完毕后，话筒进入待机状态。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换能方式：电容式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频率响应：40HZ－16KHz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指向性：心形指向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输出阻抗：200欧姆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灵敏度：－42DB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供应电压：DV9V-12V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换能方式：电容式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频率响应：40HZ－16KHz</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支</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29</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智慧“云”广播系统数字音频播控台</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13路输入(8 MIC +插入点+ 1组TRACK + 1组立体声+ 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2组+ 48 V幻像电压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两组立体声输出（卡侬+大三芯（平衡输出）+插入点）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一路效果输出（AUX 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二路辅助（AUX 1，（AUX 2复用））输出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1组监听输出（耳机）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一组录音输出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效果可以发送至AUX 1，与立体声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多媒体可以发送至AUX 1、与立体声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具有蓝牙接收,USB声卡功能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内置99种DSP效果器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具有三段均衡，中频带参量EQ</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采用70 mm衰减推子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具有通道监听。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最大输入电平：≥ 16 dBu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总谐波失真：20 Hz~20 kHz ≤ 0.01 %@ + 4 dBu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100 dB（A计权）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频率响应：20 Hz~20 kHz（+ 1，- 3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最大输出电平：≥ 10 dBu</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串音：≤ - 50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话筒增益：70 ± 2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一般规范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净重：4.5 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额定电源电压：AC 220 V，50/60 Hz</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30</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智慧“云”广播系统语音播控台</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1.前面板7寸彩色IPS 触摸屏，分辨率：1024*600；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2.具有对指定的分区或终端进行实时广播、喊话或者播放媒体库文件；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3.可选择一个或者多个终端,设定快捷键对外进行广播；最多可定义F1-F6六种快捷选择；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4.1路USB鹅颈喊话输入、1路4段式3.5mm输入；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5.1路3.5mm输出；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6.寻呼话筒可查看主叫设备名称、呼叫，广播记录；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7.设备本地可具有音频存储功能，包括对讲录音、广播录音等；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8.具有配置使用者的用户权限；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9.设备具有通过账号及密码登录设备；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10.具有长按一键紧急呼叫（长按3秒）指定终端或者所有终端进行紧急喊话；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11.寻呼话筒可显示当前来电和翻阅未接来电、已接来电历史，记录里可以直接回呼通话；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1.5GHz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64M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Flash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显示屏 ：7寸触摸屏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分辨率 ：1024*600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：1路鹅颈喊话输入、1路4段式3.5mm输入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 1路3.5mm输出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G.711U/G.711A/OPUS/MP3/AAC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100Hz-16KHz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有线网 ：一个10M/100M/自适应全双工网口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TCP/IP、SIP、RTSP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：RJ45*1，USB*1（鹅颈话筒），音频输入*2，音频输出*1， TYPE C *1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：1路，红、绿双色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按键 ：接听、F1-F6快捷键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设备电源 ：DC 12V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设备功率 ：≤10W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桌面安装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31</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智慧“云”广播系统音频终端（木制壁挂音箱）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1.一体化壁挂式设计、整合网络音频解码，数字功放及音箱；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2.采用高速工业级双核(ARM+DSP)芯片、启动时间≤1秒；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3.具有通过远程IP网络（局域网/公网）、本地采集（3.5mm接口音频输入）、远程无线（蓝牙话筒/手机蓝牙）进行实时广播；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4.具有通过远程IP网络（局域网/公网）下发定时广播任务，到点后自动播放定时广播任务；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5.具有离线广播功能，内置大容量存储器，具有接收通过管理机或平台远程下发的音频文件、定时广播任务和报警触发任务；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6.具有NTP自动校时功能，离线时自动与时钟服务器对时，避免长时间离线造成离线任务差异；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7.具有通过定阻输出接口对外接副音箱（10W）进行广播；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8.具有通过音量调节旋钮进行广播输出音量的调节；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10.音箱不进行广播时，自动关闭扬声器电源，节能环保；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11.具有Web进行系统配置、网络配置、系统维护等操作；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12.具有通过复位按钮进行信息（IP地址）播报或恢复出厂设置；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13.标准RJ45网络接口，有以太网口的地方即可接入，具有跨网段和跨路由；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音频输入：网络音频输入接口*1；3.5mm音频输入接口*1；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音频输出：模拟音频线路输出接口*1；广播扬声器输出*1；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广播采样率：8KHz～48KHz；对讲采样率：8kHz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MIC：无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信噪比：≥90dB；灵敏度：90dB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频率响应：100Hz-16KHz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音频压缩标准：/G.711U/G.711A/MP3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物理接口：网口*1；音量调节旋钮*1；复位按钮*1； RTC*1路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指示灯：红、绿双色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电源：DC 24V供电（外置适配器）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材质：木材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负载需求：可外接一路副音箱（10W音箱）</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6951"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32</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简易机柜</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18U，网孔门，落地 空机柜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承重：静态800KG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前后门材质：前单开网孔门，后双开网孔门，冷轧板 T=1.5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门敞开百分比：前门78%，后门77.2%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侧门材质：冷轧板 T=1.0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门框左右立柱材质：冷轧板 T=2.0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左右支架：冷轧板 T=1.5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横梁：冷轧板 T=1.5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层板：1个，承重60KG，宽470*深350*高48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L型隔条/支架：1对，承重30KG，长350*宽38*高38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PDU：1个，8口PDU，输入10A，带2M线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滚轮：具有，4个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脚撑：具有，4个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风扇：不含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辅件：50套安装螺丝，前/后侧门钥匙各两把</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33</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教室汇总</w:t>
            </w:r>
          </w:p>
        </w:tc>
        <w:tc>
          <w:tcPr>
            <w:tcW w:w="1393" w:type="dxa"/>
            <w:vAlign w:val="top"/>
          </w:tcPr>
          <w:p>
            <w:pPr>
              <w:keepNext w:val="0"/>
              <w:keepLines w:val="0"/>
              <w:widowControl/>
              <w:suppressLineNumbers w:val="0"/>
              <w:jc w:val="center"/>
              <w:textAlignment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智慧“云”广播系统音频终端（木制壁挂音箱）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 一体化壁挂式设计、整合网络音频解码，数字功放及音箱；</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 采用高速工业级双核(ARM+DSP)芯片、启动时间≤1秒；</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 具有通过远程IP网络（局域网/公网）、本地采集（3.5mm接口音频输入）、远程无线（蓝牙话筒/手机蓝牙）进行实时广播；</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 具有通过远程IP网络（局域网/公网）下发定时广播任务，到点后自动播放定时广播任务；</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 具有定压备份，可自动切换到定压备份输入广播，符合教委高考须有备用系统要求，当网络异常时，自动从“数字网络广播”切换到“模拟定压广播”；</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 具有3.5mm本地输入检测，同时具有与蓝牙输入进行混音；</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 具有利用蓝牙话筒通过音箱进行本地扩音；</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 具有离线广播功能，内置大容量存储器，具有接收通过管理机或平台远程下发的音频文件、定时广播任务和报警触发任务；</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 具有NTP自动校时功能，离线时自动与时钟服务器对时，避免长时间离线造成离线任务差异；</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 具有通过定阻输出接口对外接副音箱（10W）进行广播；</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 具有通过音量调节旋钮进行广播输出音量的调节；</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 具有红绿双色指示灯，显示设备工作状态；</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 音箱不进行广播时，自动关闭扬声器电源，节能环保；</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 具有Web进行系统配置、网络配置、系统维护等操作；</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 具有通过复位按钮进行信息（IP地址）播报或恢复出厂设置；</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 标准RJ45网络接口，有以太网口的地方即可接入，具有跨网段和跨路由；具有POE供电；</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音频输入：网络音频输入接口*1；3.5mm音频输入接口*1；定压输入*1 ；</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音频输出：模拟音频线路输出接口*1；广播扬声器输出*1；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广播采样率：8KHz～48KHz；对讲采样率：8kHz</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量化位数：16bit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MIC：无</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信噪比：≥90dB；灵敏度 90dB</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频率响应：100Hz-16KHz</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音频压缩标准：/G.711U/G.711A/MP3</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音频压缩码率：64 Kbps</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音频文件格式：.mp3/.wav</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蓝牙：2.4G蓝牙</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物理接口：网口*1；音量调节旋钮*1；复位按钮*1； RTC*1路</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指示灯：红、绿双色</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功耗：≤10W</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电源：DC 24V供电（外置适配器）</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工作温度：-10～+50℃</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工作湿度：10-90%</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防水等级：室内使用，无需防水</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安装方式：壁挂安装</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负载需求：可外接一路副音箱（10W音箱）</w:t>
            </w:r>
          </w:p>
        </w:tc>
        <w:tc>
          <w:tcPr>
            <w:tcW w:w="980" w:type="dxa"/>
            <w:vAlign w:val="top"/>
          </w:tcPr>
          <w:p>
            <w:pPr>
              <w:keepNext w:val="0"/>
              <w:keepLines w:val="0"/>
              <w:widowControl/>
              <w:suppressLineNumbers w:val="0"/>
              <w:jc w:val="center"/>
              <w:textAlignment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86" w:type="dxa"/>
            <w:vAlign w:val="top"/>
          </w:tcPr>
          <w:p>
            <w:pPr>
              <w:keepNext w:val="0"/>
              <w:keepLines w:val="0"/>
              <w:widowControl/>
              <w:suppressLineNumbers w:val="0"/>
              <w:jc w:val="center"/>
              <w:textAlignment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34</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393" w:type="dxa"/>
            <w:vAlign w:val="top"/>
          </w:tcPr>
          <w:p>
            <w:pPr>
              <w:keepNext w:val="0"/>
              <w:keepLines w:val="0"/>
              <w:widowControl/>
              <w:suppressLineNumbers w:val="0"/>
              <w:jc w:val="center"/>
              <w:textAlignment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智慧“云”广播系统副箱（木制壁挂音箱）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 具有通过线路输入连接主音箱进行广播。</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音频输入：线路输入接口*1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音频输出：广播扬声器输出*1</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采样率：8KHz～48KHz</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量化位数：16bit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信噪比：≥90dB</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灵敏度：90dB</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频率响应：100Hz-16KHz</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音频压缩标准：PCM/G.711U/G.711A/MP3</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音频压缩码率：64 Kbps</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音频文件格式：.mp3/.wav</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功耗：≤10W</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工作温度：-10～+50℃</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工作湿度：10-90%</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防水等级：室内使用，无需防水</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材质：木材</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安装方式：壁挂安装</w:t>
            </w:r>
          </w:p>
        </w:tc>
        <w:tc>
          <w:tcPr>
            <w:tcW w:w="980" w:type="dxa"/>
            <w:vAlign w:val="top"/>
          </w:tcPr>
          <w:p>
            <w:pPr>
              <w:keepNext w:val="0"/>
              <w:keepLines w:val="0"/>
              <w:widowControl/>
              <w:suppressLineNumbers w:val="0"/>
              <w:jc w:val="center"/>
              <w:textAlignment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100</w:t>
            </w:r>
          </w:p>
        </w:tc>
        <w:tc>
          <w:tcPr>
            <w:tcW w:w="986" w:type="dxa"/>
            <w:vAlign w:val="top"/>
          </w:tcPr>
          <w:p>
            <w:pPr>
              <w:keepNext w:val="0"/>
              <w:keepLines w:val="0"/>
              <w:widowControl/>
              <w:suppressLineNumbers w:val="0"/>
              <w:jc w:val="center"/>
              <w:textAlignment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color w:val="000000" w:themeColor="text1"/>
                <w:sz w:val="24"/>
                <w:szCs w:val="24"/>
                <w:lang w:val="en-US" w:eastAsia="zh-CN"/>
                <w14:textFill>
                  <w14:solidFill>
                    <w14:schemeClr w14:val="tx1"/>
                  </w14:solidFill>
                </w14:textFill>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35</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1#教学楼走廊及报告厅</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智慧“云”广播系统功率放大器（500W)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2.内置650W高效率数字功放，定压100V输出，效率高达90%以上；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：6.5mmMIC输入接口*1,莲花头输入*1，网络音频输入*1；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650W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：报警输入*2；报警输出*1；音量调节按钮*1；RTC*1路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2787"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36</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壁挂音箱小型白色塑料结构6.5寸低音纸盆壁挂音箱。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音质清晰,明亮，结构坚固,轻便安装,可以室内墙上或自由放置。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壁挂音箱可以直接连接100VX线路输出端。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输入接口：弹簧卡扣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壳体：白色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网罩：铝网喷涂银色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5563"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37</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天花喇叭</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6.5寸同轴吸顶音箱。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人声干净，高音清晰，低音丰富。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无边框网罩设计，完美与平顶相结合。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扬声器单元：6.5寸纸盆/13芯高音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最大功率：2.5W/5W/10W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额定功率（PHC）：2.5W/5W/10W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灵敏度（1kHz,1米）：90dB±3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有效频率范围（-10dB）：80-20kHz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输入接口：4-芯连接线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接线端颜色：黑色、红色×3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安装方式：弹簧金属卡扣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38</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1#宿舍楼走廊及报告厅</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智慧“云”广播系统功率放大器（500W)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2.内置650W高效率数字功放，定压100V输出，效率高达90%以上；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：6.5mmMIC输入接口*1,莲花头输入*1，网络音频输入*1；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650W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：报警输入*2；报警输出*1；音量调节按钮*1；RTC*1路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39</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壁挂音箱小型白色塑料结构6.5寸低音纸盆壁挂音箱。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音质清晰,明亮，结构坚固,轻便安装,可以室内墙上或自由放置。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壁挂音箱可以直接连接100VX线路输出端。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输入接口：弹簧卡扣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壳体：白色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网罩：铝网喷涂银色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40</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天花喇叭</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6.5寸同轴吸顶音箱。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人声干净，高音清晰，低音丰富。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无边框网罩设计，完美与平顶相结合。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扬声器单元：6.5寸纸盆/13芯高音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最大功率：2.5W/5W/10W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额定功率（PHC）：2.5W/5W/10W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灵敏度（1kHz,1米）：90dB±3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有效频率范围（-10dB）：80-20kHz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输入接口：4-芯连接线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接线端颜色：黑色、红色×3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产品包装后重量：18kg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安装方式：弹簧金属卡扣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41</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1#地下室区域</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智慧“云”广播系统功率放大器（500W)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2.内置650W高效率数字功放，定压100V输出，效率高达90%以上；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：6.5mmMIC输入接口*1,莲花头输入*1，网络音频输入*1；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650W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：报警输入*2；报警输出*1；音量调节按钮*1；RTC*1路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3249"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42</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壁挂音箱小型白色塑料结构6.5寸低音纸盆壁挂音箱。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音质清晰,明亮，结构坚固,轻便安装,可以室内墙上或自由放置。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壁挂音箱可以直接连接100VX线路输出端。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输入接口：弹簧卡扣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壳体：白色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网罩：铝网喷涂银色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8</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6025"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43</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2#教学楼走廊及报告厅</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智慧“云”广播系统功率放大器（500W)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2.内置650W高效率数字功放，定压100V输出，效率高达90%以上；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：6.5mmMIC输入接口*1,莲花头输入*1，网络音频输入*1；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650W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：报警输入*2；报警输出*1；音量调节按钮*1；RTC*1路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 ：490x89x437.2mm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7414"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44</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壁挂音箱小型白色塑料结构6.5寸低音纸盆壁挂音箱。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音质清晰,明亮，结构坚固,轻便安装,可以室内墙上或自由放置。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壁挂音箱可以直接连接100VX线路输出端。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输入接口：弹簧卡扣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产品尺寸：275(L)x185(W)x120(H)mm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产品净重：1.2kg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壳体：白色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网罩：铝网喷涂银色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265"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45</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天花喇叭</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6.5寸同轴吸顶音箱。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人声干净，高音清晰，低音丰富。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无边框网罩设计，完美与平顶相结合。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扬声器单元：6.5寸纸盆/13芯高音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最大功率：2.5W/5W/10W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额定功率（PHC）：2.5W/5W/10W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灵敏度（1kHz,1米）：90dB±3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有效频率范围（-10dB）：80-20kHz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输入接口：4-芯连接线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接线端颜色：黑色、红色×3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产品尺寸：Φ222×75mm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产品净重：0.84kg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包装尺寸(20Pcs) ：450(L)×425 (W)×425(H)mm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产品包装后重量：18kg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安装方式：弹簧金属卡扣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46</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2#宿舍楼走廊及报告厅</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智慧“云”广播系统功率放大器（500W)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2.内置650W高效率数字功放，定压100V输出，效率高达90%以上；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：6.5mmMIC输入接口*1,莲花头输入*1，网络音频输入*1；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650W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：报警输入*2；报警输出*1；音量调节按钮*1；RTC*1路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 ：490x89x437.2mm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8006"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47</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壁挂音箱小型白色塑料结构6.5寸低音纸盆壁挂音箱。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音质清晰,明亮，结构坚固,轻便安装,可以室内墙上或自由放置。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壁挂音箱可以直接连接100VX线路输出端。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输入接口：弹簧卡扣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产品尺寸：275(L)x185(W)x120(H)mm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产品净重：1.2kg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壳体：白色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网罩：铝网喷涂银色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48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48</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天花喇叭</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6.5寸同轴吸顶音箱。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人声干净，高音清晰，低音丰富。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无边框网罩设计，完美与平顶相结合。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扬声器单元：6.5寸纸盆/13芯高音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最大功率：2.5W/5W/10W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额定功率（PHC）：2.5W/5W/10W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灵敏度（1kHz,1米）：90dB±3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有效频率范围（-10dB）：80-20kHz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输入接口：4-芯连接线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接线端颜色：黑色、红色×3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产品尺寸：Φ222×75mm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产品净重：0.84kg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包装尺寸(20Pcs) ：450(L)×425 (W)×425(H)mm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产品包装后重量：18kg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安装方式：弹簧金属卡扣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49</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2#地下室区域</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智慧“云”广播系统功率放大器（500W)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2.内置650W高效率数字功放，定压100V输出，效率高达90%以上；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：6.5mmMIC输入接口*1,莲花头输入*1，网络音频输入*1；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650W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：报警输入*2；报警输出*1；音量调节按钮*1；RTC*1路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 ：490x89x437.2mm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50</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壁挂音箱小型白色塑料结构6.5寸低音纸盆壁挂音箱。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音质清晰,明亮，结构坚固,轻便安装,可以室内墙上或自由放置。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壁挂音箱可以直接连接100VX线路输出端。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输入接口：弹簧卡扣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产品尺寸：275(L)x185(W)x120(H)mm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产品净重：1.2kg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壳体：白色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网罩：铝网喷涂银色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8</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51</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食堂区域</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智慧“云”广播系统功率放大器（250W)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2.内置240W高效率数字功放，定压100V输出，效率高达90%以上；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240W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：J45网口*1，6.5mm音频输入*1，RCA莲花头音频输入*1， RCA莲花头音频输出*1，100V定压输出*1，报警输入*2，报警输出*1，音量调节按钮*1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 ：490x89x437.2mm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2787"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52</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壁挂音箱小型白色塑料结构6.5寸低音纸盆壁挂音箱。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音质清晰,明亮，结构坚固,轻便安装,可以室内墙上或自由放置。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壁挂音箱可以直接连接100VX线路输出端。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输入接口：弹簧卡扣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产品尺寸：275(L)x185(W)x120(H)mm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产品净重：1.2kg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壳体：白色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网罩：铝网喷涂银色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4174"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53</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5#宿舍楼区域</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智慧“云”广播系统功率放大器（350W)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2.内置360W高效率数字功放，定压100V输出，效率高达90%以上；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360W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：J45网口*1，6.5mm音频输入*1，RCA莲花头音频输入*1， RCA莲花头音频输出*1，100V定压输出*1，报警输入*2，报警输出*1，音量调节按钮*1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 ：490x89x437.2mm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6951"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54</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壁挂音箱小型白色塑料结构6.5寸低音纸盆壁挂音箱。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音质清晰,明亮，结构坚固,轻便安装,可以室内墙上或自由放置。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壁挂音箱可以直接连接100VX线路输出端。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输入接口：弹簧卡扣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产品尺寸：275(L)x185(W)x120(H)mm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产品净重：1.2kg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壳体：白色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网罩：铝网喷涂银色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55</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6#教学楼区域</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智慧“云”广播系统功率放大器（250W)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2.内置240W高效率数字功放，定压100V输出，效率高达90%以上；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240W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：J45网口*1，6.5mm音频输入*1，RCA莲花头音频输入*1， RCA莲花头音频输出*1，100V定压输出*1，报警输入*2，报警输出*1，音量调节按钮*1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 ：490x89x437.2mm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7414"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56</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壁挂音箱小型白色塑料结构6.5寸低音纸盆壁挂音箱。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音质清晰,明亮，结构坚固,轻便安装,可以室内墙上或自由放置。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壁挂音箱可以直接连接100VX线路输出端。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输入接口：弹簧卡扣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产品尺寸：275(L)x185(W)x120(H)mm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产品净重：1.2kg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壳体：白色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网罩：铝网喷涂银色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57</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10#宿舍楼区域</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智慧“云”广播系统功率放大器（350W)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2.内置360W高效率数字功放，定压100V输出，效率高达90%以上；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360W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：J45网口*1，6.5mm音频输入*1，RCA莲花头音频输入*1， RCA莲花头音频输出*1，100V定压输出*1，报警输入*2，报警输出*1，音量调节按钮*1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 ：490x89x437.2mm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7414"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58</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壁挂音箱小型白色塑料结构6.5寸低音纸盆壁挂音箱。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音质清晰,明亮，结构坚固,轻便安装,可以室内墙上或自由放置。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壁挂音箱可以直接连接100VX线路输出端。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输入接口：弹簧卡扣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产品尺寸：275(L)x185(W)x120(H)mm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产品净重：1.2kg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壳体：白色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网罩：铝网喷涂银色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59</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体育馆区域</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智慧“云”广播系统功率放大器（500W)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2.内置650W高效率数字功放，定压100V输出，效率高达90%以上；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：6.5mmMIC输入接口*1,莲花头输入*1，网络音频输入*1；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650W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：报警输入*2；报警输出*1；音量调节按钮*1；RTC*1路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 ：490x89x437.2mm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7349"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60</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室外音柱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采用高性能驱动高音，声音传播远，中高频清晰；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整体铝型材成型，防水防锈防腐蚀。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适用环境：室内/室外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扬声器单元：5寸低音×1/25芯驱动高音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额定功率（PHC）：40W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灵敏度（1kHz,1米）：92dB±3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有效频率范围（-10dB）：80-18kHz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输入接口：2-芯连接线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接线端颜色：黑色、红色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产品尺寸：160(L)×160 (W)×392 (H)mm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产品净重：3.5kg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包装尺寸(1Pcs)：180 (L)×180 (W)×425(H)mm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产品包装后重量：3.8kg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壳体：整体铝型材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16</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61</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图书信息中心</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智慧“云”广播系统功率放大器（350W)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2.内置360W高效率数字功放，定压100V输出，效率高达90%以上；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360W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：J45网口*1，6.5mm音频输入*1，RCA莲花头音频输入*1， RCA莲花头音频输出*1，100V定压输出*1，报警输入*2，报警输出*1，音量调节按钮*1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 ：490x89x437.2mm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6446"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62</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壁挂音箱小型白色塑料结构6.5寸低音纸盆壁挂音箱。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音质清晰,明亮，结构坚固,轻便安装,可以室内墙上或自由放置。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壁挂音箱可以直接连接100VX线路输出端。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输入接口：弹簧卡扣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产品尺寸：275(L)x185(W)x120(H)mm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产品净重：1.2kg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壳体：白色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网罩：铝网喷涂银色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63</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阶梯教室</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智慧“云”广播系统功率放大器（250W)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2.内置360W高效率数字功放，定压100V输出，效率高达90%以上；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360W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：J45网口*1，6.5mm音频输入*1，RCA莲花头音频输入*1， RCA莲花头音频输出*1，100V定压输出*1，报警输入*2，报警输出*1，音量调节按钮*1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 ：490x89x437.2mm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64</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壁挂音箱小型白色塑料结构6.5寸低音纸盆壁挂音箱。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音质清晰,明亮，结构坚固,轻便安装,可以室内墙上或自由放置。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壁挂音箱可以直接连接100VX线路输出端。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输入接口：弹簧卡扣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产品尺寸：275(L)x185(W)x120(H)mm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产品净重：1.2kg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壳体：白色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网罩：铝网喷涂银色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16</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65</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实训楼大会议室</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智慧“云”广播系统功率放大器（250W)</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1.2U机架式设计，高性能的网络定压功放，启动时间≤1秒；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2.内置360W高效率数字功放，定压100V输出，效率高达90%以上；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4.设备具有音量环形指示灯，具有远程或本地音量调节旋钮调节所有通道的输出音量；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5.具有被广播主机或平台发起实时广播，可对单个通道进行广播；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6.具有通过6.5mm或莲花头输入进行实时广播；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11.内置完备的保护电路，具有短路、超负载线路保护等多种保护功能；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 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单通道100V输出；莲花头输出*1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输出功率： 360W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：J45网口*1，6.5mm音频输入*1，RCA莲花头音频输入*1， RCA莲花头音频输出*1，100V定压输出*1，报警输入*2，报警输出*1，音量调节按钮*1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 ：490x89x437.2mm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66</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壁挂音箱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壁挂音箱小型白色塑料结构6.5寸低音纸盆壁挂音箱。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音质清晰,明亮，结构坚固,轻便安装,可以室内墙上或自由放置。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壁挂音箱可以直接连接100VX线路输出端。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扬声器单元：6.5寸纸盆喇叭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输入接口：弹簧卡扣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产品尺寸：275(L)x185(W)x120(H)mm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产品净重：1.2kg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壳体：白色 ABS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网罩：铝网喷涂银色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8</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67</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运动场区域</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智慧“云”广播系统机架式解码终端</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1.2U机架式设计，机柜式单通道网络音频解码设备，具有将网络音频解码成模拟音源，解码完成后可通过外接的功放进行扩音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3.设备具有音量环形指示灯，具有远程调节所有通道的输出音量；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4.具有被广播主机或平台发起实时广播，可对单个通道或多个通道进行广播；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5.具有通过6.5mm或莲花头输入进行实时广播；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12.国际通用的宽电压供电设计（200-240V），电源电压适应能力强；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13.具有1路负载强电控制开关；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：1路莲花头输出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负载强电控制 ：1路负载强电控制开关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：报警输入*2；报警输出*1；音量调节按钮*1；RTC*1路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 490*89*423.2mm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3712"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68</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前置放大器</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4路线阵输入，3路话筒输入，3路线路输入，4路线路输出功能；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话筒1与EMC输入同级具有优先功能，切入强行打断话筒（2、3）与线路(1、2）；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话筒和线路音量独立可调；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设有4路总音量输出独立调节；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2U标准机箱设计，铝合金面板，美观实用。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电源电压范围：AC220V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功耗：10W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MIC灵敏度：-40dB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AUX灵敏度：-12dB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线路输出：0dB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频率响应：20-20KHZ(≤±3dB)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信噪比：≥75dB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谐波失真：≤1%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工作温度：5℃-45℃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工作湿度：20%-80%相对湿度，无结露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机器尺寸：483x350.5x90mm</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8</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69</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纯后级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定压功放</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"1.采用D类功率放大器，具有高效节能、重量轻、体积小、功率大、带载能力强等特点。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2.1路平衡XLR输入，1路非平衡RCA输入，1路平衡XLR输出，1路非平衡RCA输出，可级联到下一级功放。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3.设有音量调节功能。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4.设有先进短路、过热、过载保护功能。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5.线路设有限幅功能，可预防功放输出过大保护喇叭。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6.具有多种指示灯显示(电源、信号、削峰、保护LED指示灯)。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7.采用风机强制散热结构，可以让机器长期时间工作。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8.具有市电波动保护功能，具有过压保护，欠压保护。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技术参数：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输出额定功率 ：2000W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定压输出：100V±5%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：AC220V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频响：20～20KHz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灵敏度：0dB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信噪比：&gt;85dB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效率 ：&gt;90%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谐波失真：THD ≤ 1% (1/8额定功率)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工作湿度：20%～80%相对湿度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工作温度：-10～60度</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4174"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70</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室外音柱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采用高性能驱动高音，声音传播远，中高频清晰；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整体铝型材成型，防水防锈防腐蚀。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适用环境：室内/室外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扬声器单元：5寸低音×4/25芯驱动高音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额定功率（PHC）：120W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灵敏度（1kHz,1米）：92dB±3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有效频率范围（-10dB）：80-18kHz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输入接口：2-芯连接线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接线端颜色：黑色、红色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产品尺寸：160(L)×160 (W)×780 (H)mm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产品净重：7.5kg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包装尺寸(1Pcs)：180 (L)×180 (W)×820(H)mm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产品包装后重量：7.9kg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 整体铝型材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4637"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71</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UHF一拖二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真分集无线话筒</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采用LCD液晶显示屏，实时显示工作频道或频率，PF和AF信号强度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自动选频，具有(IR)红外线自动对频功能，只要一按(SET)按键就能立即使发射器自动精确锁定主机预设的频道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稳定的PLL相应锁定振荡电路，配合（杂音检测）静音控制功能，能有效地阻隔工作环境中的电脑设备，点歌机及DVD等噪杂射频干扰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一键编组功能，轻松设置多机同时使用。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信道数目：2 × 100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音频频率响应：50 Hz~13 kHz(± 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调制方式：FM调频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载波频率范围：612~668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有效工作距离：40米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供电电压：DC 12 V/1 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可用带宽：每通道25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最大声压级：126 dB SPL（典型值）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动态范围：＞ 95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总谐波失真：＜ 0.8%@1 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60 dBA@1 kHz（声测法）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频率稳定性：± 0.005 %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通道数量：双通道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天线接口：BNC座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天线阻抗：50 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一般规范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指向性：心形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连续工作时间：约8小时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换能原理：动圈式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供电：2 × AA电池</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72</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专业天线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放大器</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UHF天线分配器，单机能够让四套无线麦克风接收机共用一对接收天线，级联端口能够连接到第五套无线麦克风接收机或级联到下一套天线分配器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配置有源对数周期定向天线，确保使用方向信号稳定接收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有源对数周期天线配置板载放大器，为用户提供3 dB/10 dB可调增益，增益具备两个LED指示灯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分配器天线输入端口提供12 V直流供电，通过同轴线缆为远端有源对数周期天线供电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有源对数周期天线具有多种安装方式（话筒支架、壁装、悬挂吊装)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具备四组 DC 12/1A直流输出。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电流消耗：＞ 60 mA/DC 12 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天线级联口：1路双通道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射频范围：450~972 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直流输出：4 × DC 12 V/1 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接收角度：65°（垂直角），120°（水平角）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天线输出口：4路双通道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天线接头类型：BNC插座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天线输入端口：2 × DC 12 V/150 mA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天线增益：3 dB/10 dB两档可调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天线阻抗：50欧姆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一般规范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电源输入：DC 12V/5 A</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套</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7876"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73</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广播专业机柜</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18U，网孔门，落地 空机柜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承重：静态800KG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前后门材质：前单开网孔门，后双开网孔门，冷轧板 T=1.5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门敞开百分比：前门78%，后门77.2%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侧门材质：冷轧板 T=1.0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门框左右立柱材质：冷轧板 T=2.0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左右支架：冷轧板 T=1.5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横梁：冷轧板 T=1.5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层板：1个，承重60KG，宽470*深350*高48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L型隔条/支架：1对，承重30KG，长350*宽38*高38  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PDU：1个，8口PDU，输入10A，带2M线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滚轮：具有，4个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脚撑：具有，4个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风扇：不含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辅件：50套安装螺丝，前/后侧门钥匙各两把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净重：约50KG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尺寸（宽*深*高）：600*600*998 mm</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5563"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74</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8路电源时序器</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采用数字化技术，可控制电源按顺序开启/关闭，保护电网不受冲击，设有安全锁供手动紧急控制；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最大具有~220V/5000W功率输入，分为10路国标电源接口输出，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每路接口可承受~220V/2000W功率输出；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设有1路短路紧急接口输入，方便与其他设备连接使用；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2U标准机箱设计，铝合金面板，美观实用。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电源：AC220V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单路最大容量：2000KV.A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通讯协议：485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尺寸（mm）：483x350.5x90mm</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75</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室外区域(1#2#教学楼外围16只，1#2#宿舍楼外围16只，综合楼外围8只,图书馆外围4只，体育馆外围4只，实训楼4只)</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智慧“云”广播系统机架式解码终端</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1.2U机架式设计，机柜式单通道网络音频解码设备，具有将网络音频解码成模拟音源，解码完成后可通过外接的功放进行扩音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2.带前置信号输入功能(1路话筒输入、1路辅助线路输入、1路网络音频)；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3.设备具有音量环形指示灯，具有远程调节所有通道的输出音量；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4.具有被广播主机或平台发起实时广播，可对单个通道或多个通道进行广播；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5.具有通过6.5mm或莲花头输入进行实时广播；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6.内置大容量存储器，具有接收通过管理机或平台远程下发的音频文件、定时广播任务和报警触发任务；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7.具有离线广播，当网络中断时、可自动开启本地播放；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8.具有网络输入和本地一路音频输入进行混音；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9.具有中心下发报警联动信息、或检测到本地报警输入时，联动输出报警信号、或联动播放指定的音频文件；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10.具有通过Web进行参数配置、系统维护等操作；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11.具有红绿双色指示灯，显示设备工作状态；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12.国际通用的宽电压供电设计（200-240V），电源电压适应能力强；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13.具有1路负载强电控制开关；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14.标准RJ45接口，有以太网口地方即可接入，具有跨网段和跨路由。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操作系统： 嵌入式Linux</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处理器主频：1GHz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 ：512MB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EMMC ：4GB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音频输入 ：6.5mmMIC输入接口*1,莲花头输入*1；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音频输出 ：1路莲花头输出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采样率： 8kHz～48kHz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量化位数： 16bit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频率响应 ：50Hz-20KHz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音量调节： 具有本地及远程音量调节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负载强电控制 ：1路负载强电控制开关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音频压缩标准 ：PCM/G.711U/G.711A/MP3/OPUS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音频文件格式： .mp3/.wav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音频压缩码率： 64 Kbps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音质 ：16位，高保真音质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通讯方式： 一个10M/100M/1000Mbps 自适应全双工网口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网络协议： ARP、ICMP、IGMP、TCP/IP、UDP、SIP、RTSP、RTP、NTP、HTTP、HTTPS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物理接口 ：报警输入*2；报警输出*1；音量调节按钮*1；RTC*1路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指示灯： 电源指示灯*1，红、绿双色状态指示灯*1，总音量大小指示灯*1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220V供电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 ：-10℃～50℃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 ：10-90%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防水等级 ：室内使用，无需防水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 ：镀锌钢板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外形尺寸： 490*89*423.2mm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 ：2U机架安装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303"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76</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纯后级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定压功放</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"1.采用D类功率放大器，具有高效节能、重量轻、体积小、功率大、带载能力强等特点。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2.1路平衡XLR输入，1路非平衡RCA输入，1路平衡XLR输出，1路非平衡RCA输出，可级联到下一级功放。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3.设有音量调节功能。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4.设有先进短路、过热、过载保护功能。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5.线路设有限幅功能，可预防功放输出过大保护喇叭。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6.具有多种指示灯显示(电源、信号、削峰、保护LED指示灯)。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7.采用风机强制散热结构，可以让机器长期时间工作。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8.具有市电波动保护功能，具有过压保护，欠压保护。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技术参数：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输出额定功率 ：2000W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定压输出：100V±5%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：AC220V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频响：20～20KHz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灵敏度：0dB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信噪比：&gt;85dB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效率 ：&gt;90%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谐波失真：THD ≤ 1% (1/8额定功率)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工作湿度：20%～80%相对湿度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工作温度：-10～60度</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77</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室外音柱</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 5寸单元×2，采用高性能驱动高音，声音传播远，中高频清晰；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整体铝型材成型，防水防锈防腐蚀。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适用环境：室内/室外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扬声器单元：5寸低音×2/23芯驱动高音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最大功率：120W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额定功率（PHC）：60W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灵敏度（1kHz,1米）：91dB±3 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有效频率范围（-10dB）：80-18kHz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额定电压：100V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输入接口：2-芯连接线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接线端颜色：黑色、红色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产品尺寸：126(L)×185 (W)×514 (H)mm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产品净重：5.9kg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包装尺寸(4Pcs)：720 (L)×420 (W)×280(H)mm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产品包装后重量：25kg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安装方式：壁挂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壳体：整体铝型材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工作温度：-25℃至+55℃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存储湿度：-40℃至+70℃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相对湿度：﹤95%</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只</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7435"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78</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辅助设备</w:t>
            </w: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3.5转双莲花信号线（5米）</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主要功能特点：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1.产品规格：5米  OD6mm(直径6毫米)；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2.产品接头：3.5立体声转双莲花(RCA)；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3.产品用途：适用于计算机.MP3.DVD.电视机.收音机.电脑.CD机与功放机.音箱之间的连接并传输他们的音频信号；                                                                                                                  4.将线缆的3.5MM插头插入MP3.DVD.电视机.CD机的3.5MM立体声输出口或耳机，另一端的插头插入相应设备的3.5MM立体声插座即可。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1.品名：3.5转双莲花信号线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2.型号：JC-BR5；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3.长度：5米；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4.线芯数量：2芯；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5.线芯材质：裸铜线；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6.颜色：黑色；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7.包装：袋装（1条独立包装）。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条</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79</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单莲花转卡侬母信号线（1米）</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主要功能特点：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1.产品规格：1米  OD6mm(直径6毫米)；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2.产品接头：3.5立体声转双莲花(RCA)；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3.产品用途：适用于计算机.MP3.DVD.电视机.收音机.电脑.CD机与功放机.音箱之间的连接并传输他们的音频信号；                                                                                                                  4.将线缆的3.5MM插头插入MP3.DVD.电视机.CD机的3.5MM立体声输出口或耳机，另一端的插头插入相应设备的3.5MM立体声插座即可。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主要技术参数：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1.品名：单莲花转卡侬母信号线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2.型号：JC-BR13；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3.长度：1米；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4.线芯数量：2芯；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5.线芯材质：裸铜线；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6.颜色：黑色；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7.包装：袋装（1条独立包装）。</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条</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80</w:t>
            </w:r>
          </w:p>
        </w:tc>
        <w:tc>
          <w:tcPr>
            <w:tcW w:w="618" w:type="dxa"/>
            <w:vMerge w:val="continue"/>
            <w:vAlign w:val="top"/>
          </w:tcPr>
          <w:p>
            <w:pPr>
              <w:jc w:val="center"/>
              <w:rPr>
                <w:rFonts w:hint="eastAsia" w:ascii="宋体" w:hAnsi="宋体" w:eastAsia="宋体" w:cs="宋体"/>
                <w:sz w:val="24"/>
                <w:szCs w:val="24"/>
                <w:vertAlign w:val="baseline"/>
              </w:rPr>
            </w:pPr>
          </w:p>
        </w:tc>
        <w:tc>
          <w:tcPr>
            <w:tcW w:w="735" w:type="dxa"/>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双莲花转双莲花信号线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（1.5米）</w:t>
            </w:r>
          </w:p>
        </w:tc>
        <w:tc>
          <w:tcPr>
            <w:tcW w:w="6849"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双莲花转双莲花信号线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（1.5米）</w:t>
            </w:r>
          </w:p>
        </w:tc>
        <w:tc>
          <w:tcPr>
            <w:tcW w:w="980"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条</w:t>
            </w:r>
          </w:p>
        </w:tc>
        <w:tc>
          <w:tcPr>
            <w:tcW w:w="1024"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20</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1353" w:type="dxa"/>
            <w:gridSpan w:val="2"/>
            <w:vMerge w:val="restart"/>
            <w:vAlign w:val="top"/>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智慧教育管理互动平台</w:t>
            </w: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75寸交互智能平板</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1.整体采用包边设计，表面钢化玻璃在合金边框内，四角圆弧，双重保护，安全抗冲击。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2.产品具有两个笔槽设计，分别在底部两端，具有触控笔吸附；具有前置挡板设计,保护前置接口及接入的设备。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3.屏幕尺寸≥75英寸，分辨率≥3840×2160，表面采用耐磨、防眩光、防划伤、高安全系数钢化玻璃。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4.产品内置喇叭，采用防尘设计，功率不低于2x15W。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不少于8个前置物理按键，至少包含电源键、菜单、主页、信号源、音量、OPS，按键具备明显标识；具有电源按键三合一功能，可选择关闭产品、内置电脑、节能等，具有供电保护功能@。(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产品采用红外多点触控技术，需具有手指轻触式多点（不少于20点触控）互动体验，触摸免驱动，即插即用，需具有主流多种操作系统。(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7.具有触摸防遮挡功能，触摸屏具有防遮挡功能，触摸接收器在单点或单边遮挡后仍能正常触控书写和操作；触控连续响应无间断，有效识别≤2毫米，触控精准度32768x32768。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8.内置无线网络模块，采用全向信号接发设计，具有无线网络连接。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9.具有五指熄屏功能，具有五指智能手势识别开关产品背光，操作者可在显示区域任意位置，任意信号下，通过五指按压屏幕实现对屏幕的开关，五指触控实现产品背光的关闭与开启。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采用智能电子产品一键式设计：同一物理按键完成Android、Windows系统的节能熄屏操作，通过按键实现节能熄屏/唤醒，并可与触摸菜单节能熄屏、遥控器熄屏、五指触控熄屏功能互通互用；产品在任意通道下，具有手势识别调出板擦工具擦除批注内容，具有调整板擦工具的大小。(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11.产品处于关机通电状态，外接电脑显示信号通过传输线连接至产品时，产品可智能识别外接电脑设备信号输入并自动开机；产品外接信号源时，具有自动跳转到外接信号源通道。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12.需具有锁定屏幕触摸，可通过软件菜单（调试菜单）锁定屏幕触摸，锁定应用、锁定USB。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内置触摸中控菜单，需具有信号源通道切换、背光、声音等，无须实体按键，在任意显示通道下均可通过手势在屏幕上调取触摸菜单，方便快捷；触摸中控菜单上的通道信号源名称需具有自定义，需具有中文、英文、数字、符号命名修改，方便识别。(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14.产品需具有环境感光功能，能感应并自动调节屏幕亮度来达到在不同光照环境下的最佳显示效果；需具有开启护眼模式。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15.需具有安卓系统启动后可自动启动内置ops系统，需具有无信号接收状态时能够自动熄屏，自动熄屏的时间间隔可选，具有定时开关机。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具有触摸悬浮菜单功能，需具有三指罗盘跟随，可通过三指调用此悬浮菜单到屏幕任意位置，悬浮菜单中需具有输入源选择、截屏、下拉等功能，并可自定义功能菜单，需具有任意通道下无需点击物理按键，可随时调用计算器、日历等小工具，具有拖拽及关闭。(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内置安卓系统，系统版本不低于11.0，内存不低于2G,存储不低于16G；需具有对内置电脑进行还原操作，可通过安卓系统对内置电脑系统进行还原。(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18.具有无PC状态下，内置互动白板具有书写及擦除，具有单点书写和多点书写切换。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19.需具有网络共享功能（双系统单网口上网），单根网线接入产品，即可实现产品安卓系统和内置的电脑同时有线上网。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需具有展板、会议功能，可快速完成欢迎界面和会议主题设置，全屏显示，具有不少于12种模板，可对欢迎文字的字体、大小、颜色进行编辑；需具有会议签名功能，并可扫码带走签名及模板。(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具有设置开机画面/动画，具有更换主题风格，包括会议主题、教育主题、科技主题等。(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需具有侧边栏功能，具有无操作自动隐藏，侧边栏可设置返回、主页、任务、批注、信号源等功能调用，批注；需具有任意通道下使用，并可设置颜色和画笔大小，可选择二维码分享批注内容也可以以图片格式导入白板。(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23.侧边栏需具有日历、童锁、节能、截屏（具有全屏和自由截屏）、护眼、聚光灯、幕布、亮度调节、声音调节等功能应用，需具有快捷自定义程序应用。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整机内置非独立的高清摄像头，摄像头像素≥1300万，视角≥110°，需具有阵列数字音频MIC，具有调用，实现场景音视录制。(具有第三方实验室出具的检测报告，报告编号可在全国认证认可信息公共服务平台查询，提供报告复印件和查询截图并加盖制造商公章)</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265"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投屏软件</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1.具有手机、笔记本电脑等移动端通过自动搜索接收端设备和六位识别码两种方式无线连接到产品。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不少于6个投屏客户端图像画面对比展示，在产品上可以反向控制操作笔记本电脑上的内容,具有单击、双击、右键控制。(具有第三方实验室出具的检测报告，报告编号可在全国认证认可信息公共服务平台查询，提供报告复印件和查询截图并加盖制造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3.具有将手机中的音视频文件无线推送至产品@ ,并能进行播放和进行音量大小调节。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4.具有鼠标遥控器功能,通过软件一键进行鼠标左键、右键、上下滚轮滑动、触摸板操控等功能。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5.要求产品显示桌面可以实时同步到手机上,手机通过两个手指对产品桌面进行放大、缩小和漫游操作 ,方便手机端对产品进行远程控制。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Windows客户端投屏至少具有桌面同步、镜像投屏和拓展投屏功能，点击功能会跳转至对应控制页面；Windows客户端进入控制页面，具有调节投屏清晰度，至少具有超清、高清等标准@。(具有第三方实验室出具的检测报告，报告编号可在全国认证认可信息公共服务平台查询，提供报告复印件和查询截图并加盖制造商公章)</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推拉黑板</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1、材质：铝合金边框、专业书写绿板。2、尺寸：4000*1300(mm)。3、面板：选用成卷成品文教用彩钢板（绿色）厚度 0.4 ㎜，表面有保护膜。</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2016"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OPS电脑</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1．采用OPS插拔式架构，针脚数80pin，屏体与插拔式电脑无单独接线；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2．处理器配置不低于Intel Core i5处理器；内存不低于8G；硬盘不低于256G-SSD 固态硬盘；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3．具有独立非外扩展接口：HDMI out≥1 、Mic in≥1、 LINE-out≥1个、USB口≥6个，Rj45≥1个；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4．内置有线网卡和无线网卡@。</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教学应用系统</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Style w:val="195"/>
                <w:rFonts w:hint="eastAsia" w:ascii="宋体" w:hAnsi="宋体" w:eastAsia="宋体" w:cs="宋体"/>
                <w:sz w:val="24"/>
                <w:szCs w:val="24"/>
                <w:lang w:val="en-US" w:eastAsia="zh-CN" w:bidi="ar"/>
              </w:rPr>
              <w:t>一、白板软件</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备课</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1.备课具有插入本地PPT，并保持原有格式无变化，动效动画无丢失，具有批注，批注可设置保存；具有显示保存在云端的课件信息，可接收或忽略其他用户分享的课件。</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2.具有对课件进行分享、下载、重命名、移动、删除操作，分享可按照手机号码及链接的方式进行分享，链接分享形式具有设置文件有效期（具有不少于永久、30天、7天等）、私密和公开的设置。</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3.课件具有自动同步至云端，具有设置课件自动保存时间，至少可设置为1分钟、3分钟、5分钟、10分钟、20分钟、30分钟等。(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4.新建课件具有选择课件主题，提供预设课件主题，至少包含学科主题、创意主题，可在编辑课件的过程中更改。</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5.具有同时打开多个课件窗口，具有新建课件页面，可拖动、移动、删除、复制页面；具有课件页面切换，提供淡入、推入、旋转、分割、交换、圆形、揭开等不少于7种形式的特效；具有顺序调整，具有应用到全部。</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6.具有对对象进行复制、剪切、粘贴、删除、置于顶层、置于底层、锁定、设置蒙层等操作。</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7.具有对对象设置元素动画和播放顺序，提供进入（无效果、百叶窗、擦入、浮入、放大、旋转、掉落）、动作（无效果、闪烁、抖动、心跳、旋转、翻转）、退出（无效果、淡出、百叶窗、擦出、浮出、缩小、旋转、飞出）等不少于20种元素动画形式。</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8.具有插入和导出文件，可将制作的课件导出为课件、图片、pdf格式；具有插入文本，可对文本进行字体、字号、颜色、对齐、缩进等多种设置；具有插入本地素材，包括视频、音频、图片、文档等多种格式。</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9.具有插入网页，可选择合适的网页内容，插入后点击可直接进入该网页进行浏览；具有插入表格，可设置表格行列、添加行列，可双击表格输入内容，具有自动换行；具有插入思维导图，提供思维导图、组织结构图、鱼骨图三种形式；具有插入各类预置形状，可对形状进行填充色、边框颜色及粗细、透明度的设置。</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10.具有插入教学资源，可打开预置资源库，按照教材、年级、学科、知识进行筛选，并将选择的资源插入页面中，教师教学时可直接打开使用。</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11.具有插入工具，提供汉字、拼音、四线三格、尺规、几何、数学公式、函数、化学方程式、网络画板等学科工具，以及截图、幕布等通用工具。(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12.具有创建课堂活动，提供分类达人、选词填空、匹配能手等多种互动练习形式，可插入至页面中进行游戏交互练习；具有通过模板制作个人活动，个人活动可保存至云端。(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授课</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1.具有从备课状态一键进入授课状态，并可快速返回备课状态；具有交换底部索引栏，教师可根据授课时的站立位置选择与另一侧的按钮进行互换；具有将软件最小化，可将软件缩至状态栏。</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2.工具栏包括菜单、选择、笔、橡皮、工具、学科等功能；云课件具有导出分享功能，具有生成二维码分享，可使用微信扫码可预览、保存课件。</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3.具有对象选择功能，选中的对象可进行形状、角度的调整，可进行置顶、克隆、删除等操作；具有书写功能，可设置硬笔、荧光笔、图章笔、纹理笔，可改变笔迹的粗细和颜色，具有最多十指同时书写。</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4.具有橡皮功能，可擦除书写的笔迹，可设置擦除的面积，可一键清空画布中的笔迹和形状。</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5.提供小黑板、截图、录屏、撤销、还原、放大镜、计时器、形状、思维导图、幕布、分屏、漫游等通用工具。(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6.具有语文、数学、英语、物理、化学、生物、历史、地理、道德与法治、科学、书法、音乐、美术、体育等不少于14种学科教学工具。(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7.语文提供汉字、拼音工具；数学提供数学公式、函数、三角板、直尺、量角器、圆规、平面图形、立体图形工具；英语提供四线三格、音标、字母工具；物理提供公式和实验器具工具；化学提供元素周期表、化学方程式、实验器皿工具；生物提供人体结构、心脏结构、动物细胞图；历史提供中国历史朝代表；地理提供中国地图、世界地图；道德与法治提供礼貌用语、文明用语；科学提供各种动物卡通形象；书法提供兰亭集序、</w:t>
            </w:r>
            <w:r>
              <w:rPr>
                <w:rStyle w:val="157"/>
                <w:rFonts w:hint="eastAsia" w:ascii="宋体" w:hAnsi="宋体" w:eastAsia="宋体" w:cs="宋体"/>
                <w:sz w:val="24"/>
                <w:szCs w:val="24"/>
                <w:lang w:val="en-US" w:eastAsia="zh-CN" w:bidi="ar"/>
              </w:rPr>
              <w:t>鹡鸰</w:t>
            </w:r>
            <w:r>
              <w:rPr>
                <w:rStyle w:val="195"/>
                <w:rFonts w:hint="eastAsia" w:ascii="宋体" w:hAnsi="宋体" w:eastAsia="宋体" w:cs="宋体"/>
                <w:sz w:val="24"/>
                <w:szCs w:val="24"/>
                <w:lang w:val="en-US" w:eastAsia="zh-CN" w:bidi="ar"/>
              </w:rPr>
              <w:t>颂、九成宫醴泉铭、书法对联；音乐提供高音谱号、低音谱号、强音记号、弱音记号、升记号、重升记号、重降记号、二分音符、四分音符、八分音符、十六分音符、全音符；美术提供各种世界名画；体育提供各种运动简图。</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8.数学画板功能：能在白板中插入在线画板，授课时可以一键打开,方便老师配合课件内容进行讲解；提供不少于500个数学画板资源，覆盖小学、初中、高中学段数学学科主要知识点，并按照知识点分类。(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二、微课软件</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1.具有对音源、分辨率、录制区域进行设置；录制音源至少具有仅系统、仅麦克风、系统与麦克风。(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2.具有打开录课列表窗口，查看文件列表；具有打开云微课窗口，查看云端存储的文件列表。</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3.具有倒计时功能，开始录制倒计时3S后开始录制；具有录制过程中，录制工具条不影响录制画面。(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4.录制结束后，具有弹出视频预览画面，展示用户录制的整个视频，可任意拖动进度条查看内容，调整音量大小，全屏播放。</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5.具有将录制的视频内容保存至本地硬盘；并可将本地的录制文件上传到个人云端，数据存储更方便、更安全。</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6.具有对录制后的视频进行剪辑，剪辑包括视频合并、视频剪切、视频预览、并且可以添加水印；剪辑功能具有添加至少25字文字水印，具有字号选择、透明度调整，具有多种颜色，水印显示位置可选择。(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7.具有打开录课列表窗口，查看文件列表，在录课列表的任意目录下对文件或文件夹进行移动、删除、重命名等操作，可新建文件夹，快速搜索文件或文件夹。</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8.具有将视频文件上传至云端存储；具有在上传列表查看所有上传中的文件状态，可进行暂停、开始、取消等操作。(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9.具有点击录课列表中的视频文件，可预览播放；具有打开云微课窗口，查看云端存储的文件列表；具有在云微课的任意目录下对文件或文件夹进行分享、下载、移动、删除、重命名等操作，可新建文件夹，快速搜索文件或文件夹。</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10.具有将云微课中的视频文件或文件夹下载至本地；具有在下载列表中查看所有下载中的文件状态，可进行暂停、开始、取消等操作；具有分享功能，包含手机号分享和链接分享，被分享用户登录后可打开并查看分享文件。</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三、教学管理软件</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1.软件可最小化至任务栏或退出应用，方便老师按照个人习惯使用；需具有组件及应用，默认显示天气组件，并显示我的电脑、白板、传屏、展台、资源中心、我的云盘、文件快传、回收站等；需具有快速调起白板、传屏、展台等应用；需具有将任意路径下的文件一键发送至教学桌面。(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2.可快速打开平台查看对应的资源中心及个人云盘；教师的个人云盘存储空间不少于50G，教师可查看自己的个人资源、云微课、云课件；教师可将本地资源进行上传，也可将云端资源下载到本地。</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3.具有查看课程列表，至少包括常规课程、互动课程、直播课程；课表以日历的形式呈现，可直接切换点击日期查看对应的课程数量及列表。</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4.具有常规课程创建，可设置课程名称、上课日期、时间，选择班级、关联课件，设置课件自动打开时间。</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5.具有远程互动课程创建，可设置课程主题、开课日期、时间，设置成员加入课程自动上台、设置成员加入课程自动静音、设置课程密码、设置课程模式。</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6.具有直播课程创建，可在教育专属桌面直接打开平台并创建直播课程，创建完成后，在平台端可观看直播。</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7.具有对云端资源的文件/文件夹的操作，至少包含移动、重命名、分享、下载、删除、新建文件夹、刷新列表、搜索，也可通过文件名、文件更新时间、文件大小进行排序。</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8.具有云微课功能，可自动获取该账号下使用微课软件录制并上传至云端的全部文件列表；具有云课件功能，可自动获取该账号下使用白板软件制作并上传至云端的全部文件列表。</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9.具有手机和大屏/电脑之间的文件互传，具有文件快传弹窗，用户可使用app扫码选择上传文件；也可选择电脑/大屏端文件进行下发，选择文件后刷新二维码弹窗，用户扫码带走文件，实现文件共享；具有查看上传的文件列表，查看文件名称、上传者及上传进度，也可打开、删除、取消文件；具有查看下载的文件列表，可查看文件名称、类型、大小、也可打开、删除、取消下载的文件。(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10.具有查看Windows内的应用列表，可自动获取Windows系统内的应用，按名称由A-Z进行排列，可任意添加、移除应用到教学桌面上；具有预置多种桌面组件，包含推荐应用、天气、课表、日历、每日一言、时钟、欢迎语、我的云盘、资源中心、我的电脑、回收站、文件快传、白板、传屏、微课。可任意添加或移除组件，已添加到桌面上的组件可任意拖动改变位置。(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11.具有查看多个桌面列表，可任意增加/删除桌面，并对桌面进行命名，点击桌面可快速定位到桌面；具有基础信息设置，可设置桌面背景、欢迎语、数据同步、开机自启等设置；具有设置欢迎语，展示在桌面顶部，可设置文本内容、颜色、字体、字号、下划线、加粗、斜体等。(具有第三方实验室出具的检测报告，报告编号可在全国认证认可信息公共服务平台查询，提供报告复印件和查询截图并加盖制造商公章)</w:t>
            </w:r>
            <w:r>
              <w:rPr>
                <w:rStyle w:val="195"/>
                <w:rFonts w:hint="eastAsia" w:ascii="宋体" w:hAnsi="宋体" w:eastAsia="宋体" w:cs="宋体"/>
                <w:sz w:val="24"/>
                <w:szCs w:val="24"/>
                <w:lang w:val="en-US" w:eastAsia="zh-CN" w:bidi="ar"/>
              </w:rPr>
              <w:br w:type="textWrapping"/>
            </w:r>
            <w:r>
              <w:rPr>
                <w:rStyle w:val="195"/>
                <w:rFonts w:hint="eastAsia" w:ascii="宋体" w:hAnsi="宋体" w:eastAsia="宋体" w:cs="宋体"/>
                <w:sz w:val="24"/>
                <w:szCs w:val="24"/>
                <w:lang w:val="en-US" w:eastAsia="zh-CN" w:bidi="ar"/>
              </w:rPr>
              <w:t>▲12.具有设置开启/关闭数据同步，开启后，所有数据均会自动上传至云端，异地登录后也可选择下载并覆盖原有数据；具有设置开启/关闭开机自启；开启后，设备开机则会直接打开教学桌面；关闭后，设备开机则不会打开教学桌面，用户可以选择通过点击图标再打开@。(具有第三方实验室出具的检测报告，报告编号可在全国认证认可信息公共服务平台查询，提供报告复印件和查询截图并加盖制造商公章)</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超级互动录播终端</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1、要求设备为非OEM或贴牌产品，须采用安卓系统架构，不接受服务器和PC架构，也不可采用编码盒采集模式的产品。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音视频接口：至少具备≥1个HDMI输入接口；至少具备≥2路HDMI输出接口（HDMI1具有音视频同步输出）；至少具备≥4个LAN口，其中3个POE；至少具备≥2路凤凰端子音频接口输入，且具有拨码开关，mic1与3.5mm输入切换。至少具备≥1路3.5mm音频输入；至少具备≥1路3.5mm音频输出；至少具备≥1路CAS网口音频级联输出。至少具备2路USB接口。具有TF存储卡拓展本地存储空间。（以上接口要求为原生物理固化接口，转接视为负偏离，须提供设备接口实拍照片，并加盖生产制造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3、视频具有H.264 SVC编解码协议，能够适应不同线路带宽、不同设备能力、不同网络环境的组网需求。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4、图像格式应具有720p、1080p，具有网络自适应。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5、呼叫带宽为256Kbps～4096Kbps，可根据实际网络变化，自动动态调整互联带宽。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6、具备回音消除、噪音抑制、自动增益等音频处理能力。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7、为了方便用户操作，终端可配套专用遥控器或专用控制终端设备来实现终端互动控制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8、要求主机通过中国国家强制性产品认证，须提供认证证书复印件并加盖生产厂家公章。</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老师云镜摄像机</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1、具有4K超高清分辨率图像，最大可提供4K@30fps/25fps图像编码输出，同时向下兼容1080p，720p等分辨率。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2、传感器要求：传感器尺寸≥1/2.8英寸, 具有逐行扫描，有效像素≥800万;（要求提供具有CMA、CNAS机构认可的权威实验室出具的检测报告，需检测以上内容，提供检测报告复印件并加盖生产厂商公章。）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跟踪分析功能，无需辅助跟踪摄像头即可完成对象跟踪捕捉，具有教师全景和特写切换跟踪模式。跟踪具备人脸检测辅助识别功能。具有屏蔽区域设定。（要求提供具有CMA、CNAS机构认可的权威实验室出具的检测报告，需检测以上内容，提供检测报告复印件并加盖生产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4、镜头具有自动聚焦功能，可清楚的拍摄教学画面。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5、摄像机可同时输出4路码流的图像，具有全景画面和特写画面同时输出，且至少一路视频具有自动导切视频输出，全景画面和特写画面分辨率同时具有1920x1080@25fps以上；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6、USB接口兼容会议软件和平台软件；USB接口具有自动导切视频输出；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7、具有H.265/H.264/MJEPG三种视频编码标准，音频AAC编码标准；具有RTSP、RTMP、Onvif、组播等网络协议;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8、具有EPTZ功能，可以远程控制摄像机的视角、焦距和角度，从而实现远程缩放和平移等功能；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9、具有LINE IN外接音频输入，可与视频同步编码后网络输出;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10、具有WDR，可以应对不同光照环境；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11、具有图像2D和3D降噪，采用2D和基于运动估计的3D降噪算法，保障图像画面清晰。（要求提供具有CMA、CNAS机构认可的权威实验室出具的检测报告，需检测以上内容，提供检测报告复印件并加盖生产厂商公章。）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12、具有POE供电。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13、具有结合录播系统导播策略实现定制化场景切换需求。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14、设备无故障运行时间不低于10万小时。（要求提供具有CMA、CNAS机构认可的权威实验室出具的检测报告，需检测以上内容，提供检测报告复印件并加盖生产厂商公章。）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15、要求摄像头与录播主机为同一品牌。</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学生云镜摄像机</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1、具有4K超高清分辨率图像，最大可提供4K@30fps/25fps图像编码输出，同时向下兼容1080p，720p等分辨率;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2、传感器要求：传感器尺寸≥1/2.8英寸, 具有逐行扫描，有效像素≥800万;（要求提供具有CMA、CNAS机构认可的权威实验室出具的检测报告，需检测以上内容，提供检测报告复印件并加盖生产厂商公章。）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内置跟踪分析功能，无需辅助跟踪摄像头即可完成对象跟踪捕捉，具有教师全景和特写切换跟踪模式。跟踪具备人脸检测辅助识别功能。具有屏蔽区域设定。（要求提供具有CMA、CNAS机构认可的权威实验室出具的检测报告，需检测以上内容，提供检测报告复印件并加盖生产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4、镜头具有自动聚焦功能，可清楚的拍摄教学画面。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5、摄像机可同时输出4路码流的图像，具有全景画面和特写画面同时输出，且至少一路视频具有自动导切视频输出，全景画面和特写画面分辨率同时具有1920x1080@25fps以上；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6、USB接口兼容会议软件和平台软件；USB接口具有自动导切视频输出；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7、具有H.265/H.264/MJEPG三种视频编码标准，音频AAC编码标准；具有RTSP、RTMP、Onvif、组播等网络协议;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8、具有EPTZ功能，可以远程控制摄像机的视角、焦距和角度，从而实现远程缩放和平移等功能；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9、具有LINE IN外接音频输入，可与视频同步编码后网络输出;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10、具有WDR，可以应对不同光照环境;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11、具有图像2D和3D降噪，采用2D和基于运动估计的3D降噪算法，保障图像画面清晰。（要求提供具有CMA、CNAS机构认可的权威实验室出具的检测报告，需检测以上内容，提供检测报告复印件并加盖生产厂商公章。）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12、具有POE供电;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13、具有结合录播系统导播策略实现定制化场景切换需求。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14、设备无故障运行时间不低于10万小时。（要求提供具有CMA、CNAS机构认可的权威实验室出具的检测报告，需检测以上内容，提供检测报告复印件并加盖生产厂商公章。）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15、要求摄像头与录播主机为同一品牌。</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全向拾音球麦</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1、拾音半径：8m max，最大可以具有120㎡教室。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2、独有的声腔结构设计，有效抑制因采集范围广泛带来的混淆问题，高保真拾音效果；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3、频响：50Hz-20KHz；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4、灵敏度:-47±3dB；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5、额定输出阻抗：2.2KΩ；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6、最小负载阻抗：1000Ω。</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云教平台系统V1.0</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1.平台须使用B/S架构设计，具有Chrome、Firefox、360等主流浏览器访问，方便用户使用平台。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2.须具有网页观看直播、录播，无须安装任何第三方插件。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3.具有用户数据权限分离，须具有自定义权限设置。不同角色具备不同访问权限功能。具有自定义角色和角色权限。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4.平台须具有安全登录策略，保障用户数据安全。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5.平台须具有公有云、私有云、混合云等多种部署方式，具有私有化部署。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6.平台功能须包含专递课堂、名师课堂、名校网络课堂、录播课堂、直播课堂、资源中心、数据看板、个人中心、后台管理等功能。具有针对单个模块开启或关闭功能。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7.具有互动教学、常态化录课、教学研讨、视频会议、活动评审、在线监课巡课等场景应用。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8.平台须具有专栏大幅宣传图片轮换，从而设计出每个模块特定的风采展示。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▲9.提供平台相关软件著作权复印件并加盖供应商公章。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二．课表管理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1.平台具有展示本周课程表，也可查看其他时间课表情况。具有在线快速创建课程，仅需三步即可创建好课程。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2.平台须具有专递课堂、教研活动、评课活动、名校课堂等四种课堂形式。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3.具有批量导入导出课表，可将线下课表导入生成在线电子课表。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4.具有课表对接，可对接到智慧校园，智慧教务等第三方平台，实现课表化自动录制，自动开启等功能。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三．专递课堂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1.平台须具有专递课堂功能。具有互动教学授课，可由中心校1 V N多个教学点班级授课，单个界面最大具有显示1V9 十路画面同时显示，具有翻页查看多个班级教室同时听课功能。（提供软件功能截图证明文件并加盖公章）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台须具有主讲老师文件上传、课程直播点播。具有创建互动课和推流直播课，以适应不同场景需求。具有统计已开课数量和课程列表展示。具有按照时间、课程状态以及课程名称、学校名称、老师名称等信息进行查询课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平台须具有校校结对组功能。具有展示结对组成员校名单，已开课时数量，主讲老师数量，以及针对结对组模式带给的受益用户数量。具有查看单个结对组空间，可展示结对组课程详情，具有搜索查询功能。具有管理员对成员校添加和删除功能。具有按课程课时数量展示成员校活跃榜单功能。（提供软件功能截图证明文件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四．名师课堂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平台须具有名师课堂模块。该模块可以将传统线下的示范课、公开课等上传至“名师课堂”管理平台，供全省/市教师进行晒课、听课、评课、研讨等活动。这将有助于提升教研效率，整体改善学校的教育教学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台须具有管理名师工作室，具有创建、解散工作室。具有工作室成员管理，具有展示工作室封面和工作室简介，可查看单个工作室空间，可对名师工作室进行动态查看，名师资源收藏和下载。具有查看工作室成员和粉丝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3.平台须具有开展教研活动、评课活动。用户可在线观看名师课程的直播和回放、在线评课打分、在线笔记教研。具有在线文字讨论、师生问答等功能。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4.平台须具有多种排课方式，包含单节排课（单节课程排课）、多节排课（多节课程周期性排课）。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五．名校课堂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1.平台须具有名校优质资源共建共享功能，学生可以通过网络在线学习优质课程内容，实现优质资源广泛共享。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2.平台须具有管理名校直播课程和点播课程，具有创建多种场景课程，具有互动课，点播课，推流直播课等场景课程。具有课程编辑、查询、删除等功能。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3.平台须具有用户可在线观看课程的直播或回放视频。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六．直播频道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1.平台须具有直播功能，可针对校园活动，公开课、体育活动等进行场景直播。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2.具有须具有在线直播观看，具有网页观看专题直播活动。具有以日期、课程状态以及课程名称进行直播活动搜索，精准查看在线直播课程。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3.课程列表须具有显示课程信息，包含课程名称，活动时间，主办学校、主讲人和学科，具有课程展示特定封面。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4.须具有直播回看，可显示直播后的录制回放状态，具有封面显示有无回放课程视频内容。（提供软件功能截图证明文件并加盖公章）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5.须具有直播过程中绑定课件资源，方便用户一边观看直播，一边观看课件内容。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6.须具有在线评论，可记录直播问题在线问答。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7.须具有直播分享，可分享链接，二维码等方式分享他人观看。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七．录播课堂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1.须具有课程常态化录课。针对即时发起的录课需求，可一键开启录制，完成后自动上传到录播课堂界面。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2.须具有按照课表时间自主录课。具有全自动跟踪教学场景，可实时跟踪老师教学过程，学生回答问题画面等。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3.须自查课程结束后自动上传到平台录播课堂。具有课程资源管理，可对课程上架展示。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4.须具有二次编辑课程信息，具有资源封面展示设定。具有知识点视频打点功能，可一键导入知识点。（提供软件功能截图证明文件并加盖公章）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5.须具有学习笔记记录，笔记自带视频播放时间点，帮助梳理笔记记录情况。（提供软件功能截图证明文件并加盖公章）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6.须具有录播课程分享，具有分享链接、二维码等方式。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八.在线监课巡课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平台须具有在线巡看功能，可以对正在上课课程或回放课程的教室进行在线查看，无需到线下教室观看。具有在线通过双击教室视频窗口可放大单个教室直播画面，具有听取教室音频和查看视频功能。（提供软件功能截图证明文件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2.平台须具有通过课程信息来查找课程监课内容。可查找直播课程，回放课程等。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3.平台须具有针对线下班级进行监课，如教室监控的功能，做到设备一机多用。具有音视频在线听取、放大查看的家搜功能。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九．AI学情分析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1.平台须具有通过AI智能服务器，智能分析教室视频数据。提供完善的数据统计维度，数据可以直观的在后台查看，也可导出或者同步到客户数据库，方便做多维度分析。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2.平台须具有Ai课程查看管理，针对排好的课程查看教室学期数据。具有添加课程。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▲3.平台须具有对课程学情报告展示，包含综合评定，参与度、活跃度、活跃度分时、详情数据、课堂实况等，具有课后学情报告下载保存功能。（提供软件功能截图证明文件并加盖公章）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4.平台须具有对举手、站立、玩手机、趴桌子四种动作识别，记录课堂行为数据，为课后教学评价提供数据具有。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▲5.平台须具有管理员自定义学情权重比例，具有对各个参数进行比例设定，满足不同学科对课堂的要求。（提供软件功能截图证明文件并加盖公章）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十、数据看板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1.平台须具有对全部、今日、本周、本月的资源数据进行查看，资源数据类型分为PDF、图片、视频、PPT、Word。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2.具有针对各个模块的课堂数据进行展示，包含了每日、每周以及每月的数据，可使用柱状图显示形式查看。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3.平台须具有地图显示，可多级查看。展示本地教育信息化部署的情况。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4.平台须具有课程直播在线巡课功能，具有对线上课程。具有线上课程回放视频查看。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5.平台须具有通过数据查看新闻资讯的类型，分为新闻资讯和消息通知，并可以查看发布的日期。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十一．资源中心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平台须具有对优质教育视频资源自定义，课程录制完成后，平台可把区域内的课程资源自动进行上传平台，按照学校、年级、学科自动归到相应的类别中，对课程资源进行有效的分类管理，并便于学生的点播学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2.平台须具有聚合展示多种资源类型，资源类型：视频、word、pdf、ppt、图片。无需下载其他插件，可在线预览资源内容。（提供软件功能截图证明文件并加盖公章）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3.平台须具有资源在后台管理系统中统一进行管理和分类，具有管理员管理教学资源。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十二．设备运维管理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1.具有设备运维管理，可展示设备已部署的情况，包含学校名称，教室名称，设备码，设备是否在线等；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2.具有通过运维管理直接跳转到设备远程后台界面，具有远程访问完成设备系统信息修改。具有禁用、删除设备。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3.具有批量导入设备情况，可一键导入整体区域要部署的设备信息。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4.具有组织架构管理，可建立多级组织架构，适应多种场景需求。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十三．个人中心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1.平台须具有个人中心空间管理功能，包括个人信息、我的工作室、我的收藏功能。为不同类型用户量身定制了不同的视频管理权限和专属个人空间（教师、管理员空间），实现网络空间人人通。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2.平台须具有个人信息管理。展示个人基本信息，具有上传头像、修改基本信息。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3.平台须具有查看我的工作室。分类展示加入和收藏的工作室，具有退出和取消关注功能。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4.平台须具有查看我的收藏：分类展示个人搜藏的专递课堂、名师课堂、名校网络课堂、资源、直播频道和录播课程，具有取消收藏功能。</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rPr>
          <w:trHeight w:val="5477"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云视讯平台系统V1.0</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一、总体要求：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1、云平台整体必须规划合理，采用业界成熟先进的云视讯技术进行建设，具有公有云部署和教育局私有云本地化部署方式。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2、云平台须具有跨运营商、跨网络接入，不论从运营商宽带网络接入，还是3G/4G/5G无线网络移动接入，均能稳定互联。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云平台须具备网络抗丢包算法，在网络丢包率达到50%的情况下能保证视频流畅传输；在网络丢包率达到80%的情况下，声音清楚连贯，语义依然可理解。（要求提供具有CMA、CNAS机构认可的权威实验室出具的检测报告，需检测以上内容，提供检测报告复印件并加盖生产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4、云平台须具备负载均衡功能，可根据互动课程资源占用情况自行选择合适的服务平台召开同步课堂及教学会议，避免造成资源拥塞。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5、云平台通讯具有DTLS信令加密传输协议、SRTP/SRTCP媒体加密传输、AES 128/512bit媒体存储加密；具有第三方安全秘钥系统对接。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6、云平台具有直播推流功能，无需辅助设备即可直接向第三方流媒体服务推流实现大规模直播应用。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7、云平台具有超级互动录播终端、专属客户端PC端，移动端等多种互动方式接入；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二、应用要求：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1、私有云平台须能基于通用服务器Linux系统进行部署，可部署在用户指定的硬件服务器上或云主机上。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2、私有云平台须具有一次性产品功能和许可买断，系统功能激活及升级具有软件授权码方式。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3、云平台视频具有H.263、H.264、H.265、VP8、VP9、VC2视频编解码，具有1Mbps带宽实现720P/30fps，2Mbps带宽实现1080P/30fps。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4、云平台视频具有720p、1080P分辨率以及网络自适应，保障课程的流畅性。音频具有G.711a、G.711u、G.722、G.722.1、G.722.1C、G.729、G.729A、iLBC、Opus、AAC-LD 音频编码。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三、应具备自主知识产权，需提供平台相关的软件著作权登记证书复印件，并加盖生产厂商公章。</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音视频通讯终端系统V1.0</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1、整体采用安卓系统架构，不接受服务器和PC架构架构。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录播功能，具有控制器APP控制录制开始和停止。具有教室画面预览，可实时查看录制情况。具有导播功能，可选择老师近景，老师全景，老师电脑PPT，学生近景，学生全景等画面预览查看。具有自动导播功能，各画面可根据设定的切换逻辑实现画面自动导播，无需再添加策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3、具有直播功能。可一键开启推流直播，开启教室教学平台实时直播。具有大规模并发同时观看直播。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4、具有无线投屏功能，可使用专属客户端实现无线投屏功能，免去线路连接复杂。（以上功能需要提供功能界面截图证明，并加盖生产厂商公章）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教室课表日程展示，临近的课程时间会按照当前时间点进行排序展示。具有课程标签展示，包含周期课，课程属性等，如教研活动，评课活动等。具有课程状态显示。针对临近课程可一键选择进入直播间上课。（以上功能需要提供功能界面截图证明，并加盖生产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6、具有互动课程。具有1V N的多教室接入互动课程。具有展示教室宫格布局，可配置学生端观看情况。具有互动课堂模式配置，可配置学生端只观看老师和互动的学生，或使用会议研讨模式，老师和学生布局一样，互相都可以观看到。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7、具有点播功能。可直接点击观看教室录制情况。具有最近的课程录制回放播放。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8、具有录制文件FTP上传功能，具有课后视频课程自动化上传。上传成功后可智能化删除本地文件，避免存储重复占用问题。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视频会议功能。具有预约会议日程和即时会议。具有显示日程安排。具有多种会议布局，具有1+7分屏、2+8分屏以及四分屏显示。具有全终端接入，包括PC端、网页端、移动端等接入。（提供软件功能截图证明文件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10、具有屏幕共享功能。可共享本地化桌面，也可共享白板，在线书写内容给学生观看。具有屏幕共享和程序共享功能。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直播间内签到功能。可有主讲人来发起签到，具有签到时间设定，可自由签到和强制签到。具有查看在直播间内的教室列表，也列明未加入的教室名单，方便教务老师及时高效了解情况。（提供软件功能截图证明文件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12、具有邀请其他班级加入直播间，可根据组织架构来直接邀请其他教室接入。具有锁定会议，其他教室无法再进入直播间。（提供软件功能截图证明文件并加盖公章）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13、具有听讲端举手功能，当有问题时可以直播间举手，方便主讲老师看到有教学问题咨询，可一键开启互动问答，即时帮助听课端学员解答问题。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14、具有私有化IP地址配置，可在局域网网络内客户端应用使用。具有配置IP地址和端口号，具有PC端、移动端（ios、Android）使用。（提供软件功能截图证明文件并加盖公章）</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3344"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有源音箱</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有源音箱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１.扬声器单元：4英寸加强低音单元，2.5英寸丝膜高音单元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2.扬声器箱体采用专用木质一体成形。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音箱参数：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 频率响应：60Hz-20kHz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1.2 喇叭单元：LF:2X 4″, HF:2 X 2.5″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 功率：20W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 阻抗：4Ω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 灵敏度： 89dB/1W/1M</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服务器</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1*6142 CPU/2*32G 内存/4*8T SATA/8222 RAID卡/双口千兆/双电源/导轨</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机柜</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19寸标准机柜</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005"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1353" w:type="dxa"/>
            <w:gridSpan w:val="2"/>
            <w:vMerge w:val="continue"/>
            <w:vAlign w:val="top"/>
          </w:tcPr>
          <w:p>
            <w:pPr>
              <w:jc w:val="center"/>
              <w:rPr>
                <w:rFonts w:hint="eastAsia" w:ascii="宋体" w:hAnsi="宋体" w:eastAsia="宋体" w:cs="宋体"/>
                <w:sz w:val="24"/>
                <w:szCs w:val="24"/>
                <w:vertAlign w:val="baseline"/>
              </w:rPr>
            </w:pPr>
          </w:p>
        </w:tc>
        <w:tc>
          <w:tcPr>
            <w:tcW w:w="1393"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安装服务</w:t>
            </w:r>
          </w:p>
        </w:tc>
        <w:tc>
          <w:tcPr>
            <w:tcW w:w="6849" w:type="dxa"/>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对电子督学设备进行安装（包括设备安装，综合布线）</w:t>
            </w:r>
          </w:p>
        </w:tc>
        <w:tc>
          <w:tcPr>
            <w:tcW w:w="980"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24"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86" w:type="dxa"/>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工业</w:t>
            </w:r>
          </w:p>
        </w:tc>
        <w:tc>
          <w:tcPr>
            <w:tcW w:w="986" w:type="dxa"/>
            <w:vAlign w:val="top"/>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rPr>
          <w:trHeight w:val="90" w:hRule="atLeast"/>
        </w:trPr>
        <w:tc>
          <w:tcPr>
            <w:tcW w:w="14576" w:type="dxa"/>
            <w:gridSpan w:val="9"/>
            <w:vAlign w:val="top"/>
          </w:tcPr>
          <w:p>
            <w:pPr>
              <w:pStyle w:val="47"/>
              <w:numPr>
                <w:ilvl w:val="0"/>
                <w:numId w:val="0"/>
              </w:numPr>
              <w:tabs>
                <w:tab w:val="left" w:pos="540"/>
              </w:tabs>
              <w:snapToGrid w:val="0"/>
              <w:spacing w:line="360" w:lineRule="auto"/>
              <w:ind w:leftChars="-50" w:right="62" w:rightChars="0"/>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rPr>
              <w:t>技术指标参数</w:t>
            </w:r>
            <w:r>
              <w:rPr>
                <w:rFonts w:hint="eastAsia" w:ascii="宋体" w:hAnsi="宋体" w:eastAsia="宋体" w:cs="宋体"/>
                <w:b/>
                <w:color w:val="000000"/>
                <w:sz w:val="24"/>
                <w:szCs w:val="24"/>
                <w:highlight w:val="none"/>
                <w:lang w:val="en-US" w:eastAsia="zh-CN"/>
              </w:rPr>
              <w:t>说明：</w:t>
            </w:r>
          </w:p>
          <w:p>
            <w:pPr>
              <w:pStyle w:val="47"/>
              <w:numPr>
                <w:ilvl w:val="0"/>
                <w:numId w:val="0"/>
              </w:numPr>
              <w:tabs>
                <w:tab w:val="left" w:pos="540"/>
              </w:tabs>
              <w:snapToGrid w:val="0"/>
              <w:spacing w:line="360" w:lineRule="auto"/>
              <w:ind w:leftChars="-50" w:right="62" w:rightChars="0"/>
              <w:jc w:val="center"/>
              <w:rPr>
                <w:rFonts w:hint="eastAsia" w:ascii="宋体" w:hAnsi="宋体" w:eastAsia="宋体" w:cs="宋体"/>
                <w:sz w:val="24"/>
                <w:szCs w:val="24"/>
                <w:lang w:val="en-US" w:eastAsia="zh-CN"/>
              </w:rPr>
            </w:pPr>
            <w:r>
              <w:rPr>
                <w:rFonts w:hint="eastAsia" w:ascii="宋体" w:hAnsi="宋体" w:eastAsia="宋体" w:cs="宋体"/>
                <w:b/>
                <w:color w:val="000000"/>
                <w:sz w:val="24"/>
                <w:szCs w:val="24"/>
                <w:highlight w:val="none"/>
              </w:rPr>
              <w:t>(以</w:t>
            </w:r>
            <w:r>
              <w:rPr>
                <w:rFonts w:hint="eastAsia" w:ascii="宋体" w:hAnsi="宋体" w:eastAsia="宋体" w:cs="宋体"/>
                <w:b/>
                <w:color w:val="000000"/>
                <w:sz w:val="24"/>
                <w:szCs w:val="24"/>
                <w:highlight w:val="none"/>
                <w:lang w:val="en-US" w:eastAsia="zh-CN"/>
              </w:rPr>
              <w:t>上</w:t>
            </w:r>
            <w:r>
              <w:rPr>
                <w:rFonts w:hint="eastAsia" w:ascii="宋体" w:hAnsi="宋体" w:eastAsia="宋体" w:cs="宋体"/>
                <w:b/>
                <w:color w:val="000000"/>
                <w:sz w:val="24"/>
                <w:szCs w:val="24"/>
                <w:highlight w:val="none"/>
              </w:rPr>
              <w:t>技术参数为参照或相当于需求最低配置要求，若有涉及具体品牌、工艺、材料、标准等参数，仅为方便描述项目质量水平的参考值，各潜在投标人可以在其提供的文件资料中选择更优的产品替代)</w:t>
            </w:r>
          </w:p>
        </w:tc>
      </w:tr>
    </w:tbl>
    <w:p>
      <w:pPr>
        <w:pStyle w:val="9"/>
        <w:rPr>
          <w:rFonts w:hint="default" w:ascii="宋体" w:hAnsi="宋体" w:eastAsia="宋体" w:cs="宋体"/>
          <w:b/>
          <w:bCs w:val="0"/>
          <w:color w:val="000000"/>
          <w:kern w:val="2"/>
          <w:sz w:val="24"/>
          <w:szCs w:val="24"/>
          <w:highlight w:val="none"/>
          <w:lang w:val="en-US" w:eastAsia="zh-CN" w:bidi="ar-SA"/>
        </w:rPr>
        <w:sectPr>
          <w:pgSz w:w="16838" w:h="11905" w:orient="landscape"/>
          <w:pgMar w:top="1191" w:right="1304" w:bottom="964" w:left="1020" w:header="567" w:footer="454" w:gutter="0"/>
          <w:pgNumType w:fmt="decimal"/>
          <w:cols w:space="720" w:num="1"/>
          <w:rtlGutter w:val="0"/>
          <w:docGrid w:type="lines" w:linePitch="317" w:charSpace="0"/>
        </w:sectPr>
      </w:pPr>
    </w:p>
    <w:p>
      <w:pPr>
        <w:spacing w:line="560" w:lineRule="exact"/>
        <w:ind w:firstLine="482" w:firstLineChars="200"/>
        <w:outlineLvl w:val="1"/>
        <w:rPr>
          <w:rStyle w:val="185"/>
          <w:rFonts w:hint="eastAsia" w:ascii="宋体" w:hAnsi="宋体" w:eastAsia="宋体" w:cs="宋体"/>
          <w:b/>
          <w:bCs/>
          <w:color w:val="auto"/>
          <w:sz w:val="24"/>
          <w:szCs w:val="24"/>
          <w:highlight w:val="none"/>
          <w:lang w:val="en-US" w:eastAsia="zh-CN"/>
        </w:rPr>
      </w:pPr>
      <w:r>
        <w:rPr>
          <w:rStyle w:val="185"/>
          <w:rFonts w:hint="eastAsia" w:ascii="宋体" w:hAnsi="宋体" w:eastAsia="宋体" w:cs="宋体"/>
          <w:b/>
          <w:bCs/>
          <w:color w:val="auto"/>
          <w:sz w:val="24"/>
          <w:szCs w:val="24"/>
          <w:highlight w:val="none"/>
          <w:lang w:val="en-US" w:eastAsia="zh-CN"/>
        </w:rPr>
        <w:t>五、商务要求</w:t>
      </w:r>
    </w:p>
    <w:p>
      <w:pPr>
        <w:pStyle w:val="47"/>
        <w:numPr>
          <w:ilvl w:val="0"/>
          <w:numId w:val="12"/>
        </w:numPr>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供货要求：</w:t>
      </w:r>
    </w:p>
    <w:p>
      <w:pPr>
        <w:pStyle w:val="47"/>
        <w:tabs>
          <w:tab w:val="left" w:pos="540"/>
        </w:tabs>
        <w:snapToGrid w:val="0"/>
        <w:spacing w:line="360" w:lineRule="auto"/>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1.1</w:t>
      </w:r>
      <w:r>
        <w:rPr>
          <w:rFonts w:hint="eastAsia" w:ascii="宋体" w:hAnsi="宋体" w:eastAsia="宋体" w:cs="宋体"/>
          <w:bCs/>
          <w:color w:val="000000"/>
          <w:sz w:val="24"/>
          <w:highlight w:val="none"/>
          <w:lang w:val="en-US" w:eastAsia="zh-CN"/>
        </w:rPr>
        <w:t>★</w:t>
      </w:r>
      <w:r>
        <w:rPr>
          <w:rFonts w:hint="eastAsia" w:ascii="宋体" w:hAnsi="宋体" w:eastAsia="宋体" w:cs="宋体"/>
          <w:color w:val="000000"/>
          <w:sz w:val="24"/>
          <w:szCs w:val="24"/>
          <w:highlight w:val="none"/>
        </w:rPr>
        <w:t>货物为本次招标前原制造商制造的非淘汰类全新产品，无污染，无侵权行为、表面无划损、无任何缺陷隐患，在中国境内可依常规安全合法使用。货物为原厂商未启封全新包装，具出厂合格证，序列号、包装箱号与出厂批号一致，并可追索查阅。应附关键设备的用户手册、保修手册、有关单证资料及配备件、随机工具等，设备使用操作及安全须知等重要资料应附有中文说明。</w:t>
      </w:r>
    </w:p>
    <w:p>
      <w:pPr>
        <w:pStyle w:val="47"/>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1.2本次采购所采购商品的基本参数要求为最基本配置，如无特别说明，任何产品不得低于上述基本配置供货，并作为产品到货最终验收标准。</w:t>
      </w:r>
    </w:p>
    <w:p>
      <w:pPr>
        <w:pStyle w:val="47"/>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1.3所提供货物的技术规格和标准要符合中华人民共和国有关部门最新颁布的标准及规范，并附产品合格证书。</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1.4投标人报价时所提供的货物如在实际供货时已经停产（不列入该厂家当时的产品系统），如果未能按原价提供更优质的货物，则按违约处理，赔偿合同金额5%的违约金。</w:t>
      </w:r>
    </w:p>
    <w:p>
      <w:pPr>
        <w:pStyle w:val="47"/>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w:t>
      </w:r>
      <w:r>
        <w:rPr>
          <w:rFonts w:hint="eastAsia" w:ascii="宋体" w:hAnsi="宋体" w:eastAsia="宋体" w:cs="宋体"/>
          <w:bCs/>
          <w:color w:val="000000"/>
          <w:sz w:val="24"/>
          <w:highlight w:val="none"/>
          <w:lang w:val="en-US" w:eastAsia="zh-CN"/>
        </w:rPr>
        <w:t>★</w:t>
      </w:r>
      <w:r>
        <w:rPr>
          <w:rFonts w:hint="eastAsia" w:ascii="宋体" w:hAnsi="宋体" w:eastAsia="宋体" w:cs="宋体"/>
          <w:color w:val="000000"/>
          <w:sz w:val="24"/>
          <w:szCs w:val="24"/>
          <w:highlight w:val="none"/>
        </w:rPr>
        <w:t>成交供应商应保证采购人在使用设备或设备的任何一部分，都不受第三方关于侵犯其所有权、专利权的指控，如因此指控为采购人带来的损失均由中标供应商承担，供应商必须就此点做出</w:t>
      </w:r>
      <w:r>
        <w:rPr>
          <w:rFonts w:hint="eastAsia" w:ascii="宋体" w:hAnsi="宋体" w:eastAsia="宋体" w:cs="宋体"/>
          <w:color w:val="000000"/>
          <w:sz w:val="24"/>
          <w:szCs w:val="24"/>
          <w:highlight w:val="none"/>
          <w:lang w:val="en-US" w:eastAsia="zh-CN"/>
        </w:rPr>
        <w:t>单独</w:t>
      </w:r>
      <w:r>
        <w:rPr>
          <w:rFonts w:hint="eastAsia" w:ascii="宋体" w:hAnsi="宋体" w:eastAsia="宋体" w:cs="宋体"/>
          <w:color w:val="000000"/>
          <w:sz w:val="24"/>
          <w:szCs w:val="24"/>
          <w:highlight w:val="none"/>
        </w:rPr>
        <w:t>书面承诺</w:t>
      </w:r>
      <w:r>
        <w:rPr>
          <w:rFonts w:hint="eastAsia" w:ascii="宋体" w:hAnsi="宋体" w:eastAsia="宋体" w:cs="宋体"/>
          <w:color w:val="000000"/>
          <w:sz w:val="24"/>
          <w:szCs w:val="24"/>
          <w:highlight w:val="none"/>
          <w:lang w:val="en-US" w:eastAsia="zh-CN"/>
        </w:rPr>
        <w:t>书</w:t>
      </w:r>
      <w:r>
        <w:rPr>
          <w:rFonts w:hint="eastAsia" w:ascii="宋体" w:hAnsi="宋体" w:eastAsia="宋体" w:cs="宋体"/>
          <w:color w:val="000000"/>
          <w:sz w:val="24"/>
          <w:szCs w:val="24"/>
          <w:highlight w:val="none"/>
        </w:rPr>
        <w:t>。</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1.6投标人在实际供货时，若被发现提供的货物未能达到招标文件和投标文件中的有关要求，采购人将有权单方面中止合同的执行，并追究因中标人所提供的未达到所承诺准确率产品而产生的所有损失和责任。</w:t>
      </w:r>
    </w:p>
    <w:p>
      <w:pPr>
        <w:pStyle w:val="47"/>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1.7投标人针对本项目所投标的货物需提供所供设备的维护保养方案，所投产品应易于维护，或免维护。</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bCs/>
          <w:color w:val="000000"/>
          <w:sz w:val="24"/>
          <w:highlight w:val="none"/>
          <w:lang w:val="en-US" w:eastAsia="zh-CN"/>
        </w:rPr>
        <w:t>★</w:t>
      </w:r>
      <w:r>
        <w:rPr>
          <w:rFonts w:hint="eastAsia" w:ascii="宋体" w:hAnsi="宋体" w:eastAsia="宋体" w:cs="宋体"/>
          <w:color w:val="000000"/>
          <w:sz w:val="24"/>
          <w:szCs w:val="24"/>
          <w:highlight w:val="none"/>
        </w:rPr>
        <w:t>报价要求：报价应包括供货方设计、安装、随机零配件、标配工具、运输费用及保险、安装调试、培训、质保期服务、各项税费及合同实施过程中不可预见费用等。</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w:t>
      </w:r>
      <w:r>
        <w:rPr>
          <w:rFonts w:hint="eastAsia" w:ascii="宋体" w:hAnsi="宋体" w:eastAsia="宋体" w:cs="宋体"/>
          <w:bCs/>
          <w:color w:val="000000"/>
          <w:sz w:val="24"/>
          <w:highlight w:val="none"/>
          <w:lang w:val="en-US" w:eastAsia="zh-CN"/>
        </w:rPr>
        <w:t>★</w:t>
      </w:r>
      <w:r>
        <w:rPr>
          <w:rFonts w:hint="eastAsia" w:ascii="宋体" w:hAnsi="宋体" w:eastAsia="宋体" w:cs="宋体"/>
          <w:color w:val="000000"/>
          <w:sz w:val="24"/>
          <w:szCs w:val="24"/>
          <w:highlight w:val="none"/>
        </w:rPr>
        <w:t>交货期：</w:t>
      </w:r>
      <w:r>
        <w:rPr>
          <w:rFonts w:hint="eastAsia" w:ascii="宋体" w:hAnsi="宋体" w:eastAsia="宋体" w:cs="宋体"/>
          <w:color w:val="000000"/>
          <w:sz w:val="24"/>
          <w:szCs w:val="24"/>
          <w:highlight w:val="none"/>
          <w:lang w:val="en-US" w:eastAsia="zh-CN"/>
        </w:rPr>
        <w:t>采购人发出交货指令30日</w:t>
      </w:r>
      <w:r>
        <w:rPr>
          <w:rFonts w:hint="eastAsia" w:ascii="宋体" w:hAnsi="宋体" w:eastAsia="宋体" w:cs="宋体"/>
          <w:color w:val="000000"/>
          <w:sz w:val="24"/>
          <w:szCs w:val="24"/>
          <w:highlight w:val="none"/>
        </w:rPr>
        <w:t>内完成</w:t>
      </w:r>
      <w:r>
        <w:rPr>
          <w:rFonts w:hint="eastAsia" w:ascii="宋体" w:hAnsi="宋体" w:eastAsia="宋体" w:cs="宋体"/>
          <w:color w:val="000000"/>
          <w:sz w:val="24"/>
          <w:szCs w:val="24"/>
          <w:highlight w:val="none"/>
          <w:lang w:eastAsia="zh-CN"/>
        </w:rPr>
        <w:t>供货、</w:t>
      </w:r>
      <w:r>
        <w:rPr>
          <w:rFonts w:hint="eastAsia" w:ascii="宋体" w:hAnsi="宋体" w:eastAsia="宋体" w:cs="宋体"/>
          <w:color w:val="000000"/>
          <w:sz w:val="24"/>
          <w:szCs w:val="24"/>
          <w:highlight w:val="none"/>
          <w:lang w:val="en-US" w:eastAsia="zh-CN"/>
        </w:rPr>
        <w:t>安装</w:t>
      </w:r>
      <w:r>
        <w:rPr>
          <w:rFonts w:hint="eastAsia" w:ascii="宋体" w:hAnsi="宋体" w:eastAsia="宋体" w:cs="宋体"/>
          <w:color w:val="000000"/>
          <w:sz w:val="24"/>
          <w:szCs w:val="24"/>
          <w:highlight w:val="none"/>
        </w:rPr>
        <w:t>并交付验收，除双方对推迟工期书面达成一致外，中标人要在规定的工期内完工。</w:t>
      </w:r>
    </w:p>
    <w:p>
      <w:pPr>
        <w:pStyle w:val="47"/>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4、交货地点：采购人指定地点。</w:t>
      </w:r>
    </w:p>
    <w:p>
      <w:pPr>
        <w:pStyle w:val="47"/>
        <w:numPr>
          <w:ilvl w:val="0"/>
          <w:numId w:val="13"/>
        </w:numPr>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质量保证及售后服务：</w:t>
      </w:r>
    </w:p>
    <w:p>
      <w:pPr>
        <w:pStyle w:val="47"/>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r>
        <w:rPr>
          <w:rFonts w:hint="eastAsia" w:ascii="宋体" w:hAnsi="宋体" w:eastAsia="宋体" w:cs="宋体"/>
          <w:bCs/>
          <w:color w:val="000000"/>
          <w:sz w:val="24"/>
          <w:highlight w:val="none"/>
          <w:lang w:val="en-US" w:eastAsia="zh-CN"/>
        </w:rPr>
        <w:t>★</w:t>
      </w:r>
      <w:r>
        <w:rPr>
          <w:rFonts w:hint="eastAsia" w:ascii="宋体" w:hAnsi="宋体" w:eastAsia="宋体" w:cs="宋体"/>
          <w:color w:val="000000"/>
          <w:sz w:val="24"/>
          <w:szCs w:val="24"/>
          <w:highlight w:val="none"/>
        </w:rPr>
        <w:t>货物质量保证投标人提供的货物必须是原厂生产的、全新的、未使用过的正品（包括零部件），并完全符合国家质量标准，所有设备按照厂家规定的产品包装，附使用说明、合格证、随机标准附件。所有产品符合《中华人民共和国产品质量法</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中华人民共和国计量法</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中华人民共和国标准化法》要求、相关行业管理规定。</w:t>
      </w:r>
    </w:p>
    <w:p>
      <w:pPr>
        <w:pStyle w:val="47"/>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w:t>
      </w:r>
      <w:r>
        <w:rPr>
          <w:rFonts w:hint="eastAsia" w:ascii="宋体" w:hAnsi="宋体" w:eastAsia="宋体" w:cs="宋体"/>
          <w:bCs/>
          <w:color w:val="000000"/>
          <w:sz w:val="24"/>
          <w:highlight w:val="none"/>
          <w:lang w:val="en-US" w:eastAsia="zh-CN"/>
        </w:rPr>
        <w:t>★</w:t>
      </w:r>
      <w:r>
        <w:rPr>
          <w:rFonts w:hint="eastAsia" w:ascii="宋体" w:hAnsi="宋体" w:eastAsia="宋体" w:cs="宋体"/>
          <w:color w:val="000000"/>
          <w:sz w:val="24"/>
          <w:szCs w:val="24"/>
          <w:highlight w:val="none"/>
        </w:rPr>
        <w:t>中标供应商应按招标文件所要求的参数及投标文件中所响应的参数进行供货，在货物验收时，采购人组成验收小组按国家有关规定、规范及中标人的投标文件中承诺的内容进行验收，</w:t>
      </w:r>
      <w:r>
        <w:rPr>
          <w:rFonts w:hint="eastAsia" w:ascii="宋体" w:hAnsi="宋体" w:eastAsia="宋体" w:cs="宋体"/>
          <w:color w:val="000000"/>
          <w:sz w:val="24"/>
          <w:szCs w:val="24"/>
          <w:highlight w:val="none"/>
          <w:lang w:val="en-US" w:eastAsia="zh-CN"/>
        </w:rPr>
        <w:t>并由相关企业出具验收意见作为参考，必要时将</w:t>
      </w:r>
      <w:r>
        <w:rPr>
          <w:rFonts w:hint="eastAsia" w:ascii="宋体" w:hAnsi="宋体" w:eastAsia="宋体" w:cs="宋体"/>
          <w:color w:val="000000"/>
          <w:sz w:val="24"/>
          <w:szCs w:val="24"/>
          <w:highlight w:val="none"/>
        </w:rPr>
        <w:t>相关的第三方专业人员、机构或参与本次项目的其他投标人参与验收。因货物质量问题发生争议时，由本地质量技术监督部门鉴定。鉴定费由中标人垫付，货物符合质量技术标准的，鉴定费由采购人承担；否则鉴定费由中标人承担，投标人针对本条在投标文件中做出</w:t>
      </w:r>
      <w:r>
        <w:rPr>
          <w:rFonts w:hint="eastAsia" w:ascii="宋体" w:hAnsi="宋体" w:eastAsia="宋体" w:cs="宋体"/>
          <w:color w:val="000000"/>
          <w:sz w:val="24"/>
          <w:szCs w:val="24"/>
          <w:highlight w:val="none"/>
          <w:lang w:val="en-US" w:eastAsia="zh-CN"/>
        </w:rPr>
        <w:t>单独</w:t>
      </w:r>
      <w:r>
        <w:rPr>
          <w:rFonts w:hint="eastAsia" w:ascii="宋体" w:hAnsi="宋体" w:eastAsia="宋体" w:cs="宋体"/>
          <w:color w:val="000000"/>
          <w:sz w:val="24"/>
          <w:szCs w:val="24"/>
          <w:highlight w:val="none"/>
        </w:rPr>
        <w:t>书面承诺</w:t>
      </w:r>
      <w:r>
        <w:rPr>
          <w:rFonts w:hint="eastAsia" w:ascii="宋体" w:hAnsi="宋体" w:eastAsia="宋体" w:cs="宋体"/>
          <w:color w:val="000000"/>
          <w:sz w:val="24"/>
          <w:szCs w:val="24"/>
          <w:highlight w:val="none"/>
          <w:lang w:val="en-US" w:eastAsia="zh-CN"/>
        </w:rPr>
        <w:t>书</w:t>
      </w:r>
      <w:r>
        <w:rPr>
          <w:rFonts w:hint="eastAsia" w:ascii="宋体" w:hAnsi="宋体" w:eastAsia="宋体" w:cs="宋体"/>
          <w:color w:val="000000"/>
          <w:sz w:val="24"/>
          <w:szCs w:val="24"/>
          <w:highlight w:val="none"/>
        </w:rPr>
        <w:t>，否则投标无效。</w:t>
      </w:r>
    </w:p>
    <w:p>
      <w:pPr>
        <w:pStyle w:val="47"/>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中标人应将关键主机设备的用户手册、保修手册、有关单证资料及配备件、随机工具等交付给采购人，使用操作及安全须知等重要资料应附有中文说明。</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售后服务要求</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质保期为一年。从验收合格之日起一年内，采购人所购设备各部件发生非人为故障，投标人应上门更换同种品牌不低于原规格型号的新部件，费用包含在本项目的投标报价内。投标人投标产品属于国家规定“三包”范围的，其产品质量保证期不得低于“三包”规定；投标人的质量保证期承诺优于国家“三包”规定的，按投标人实际承诺执行。</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bCs/>
          <w:color w:val="000000"/>
          <w:sz w:val="24"/>
          <w:highlight w:val="none"/>
          <w:lang w:val="en-US" w:eastAsia="zh-CN"/>
        </w:rPr>
        <w:t>★</w:t>
      </w:r>
      <w:r>
        <w:rPr>
          <w:rFonts w:hint="eastAsia" w:ascii="宋体" w:hAnsi="宋体" w:eastAsia="宋体" w:cs="宋体"/>
          <w:color w:val="000000"/>
          <w:sz w:val="24"/>
          <w:szCs w:val="24"/>
          <w:highlight w:val="none"/>
        </w:rPr>
        <w:t>采购人报修后，除招标文件有特殊要求外，投标人须在2小时内派员上门现场维护，并在24小时内解决问题，在规定时间内不能解决问题的设备，应提供不低于原档次的零部件给采购人代用，在投标文件中做出</w:t>
      </w:r>
      <w:r>
        <w:rPr>
          <w:rFonts w:hint="eastAsia" w:ascii="宋体" w:hAnsi="宋体" w:eastAsia="宋体" w:cs="宋体"/>
          <w:color w:val="000000"/>
          <w:sz w:val="24"/>
          <w:szCs w:val="24"/>
          <w:highlight w:val="none"/>
          <w:lang w:val="en-US" w:eastAsia="zh-CN"/>
        </w:rPr>
        <w:t>单独</w:t>
      </w:r>
      <w:r>
        <w:rPr>
          <w:rFonts w:hint="eastAsia" w:ascii="宋体" w:hAnsi="宋体" w:eastAsia="宋体" w:cs="宋体"/>
          <w:color w:val="000000"/>
          <w:sz w:val="24"/>
          <w:szCs w:val="24"/>
          <w:highlight w:val="none"/>
        </w:rPr>
        <w:t>书面承诺</w:t>
      </w:r>
      <w:r>
        <w:rPr>
          <w:rFonts w:hint="eastAsia" w:ascii="宋体" w:hAnsi="宋体" w:eastAsia="宋体" w:cs="宋体"/>
          <w:color w:val="000000"/>
          <w:sz w:val="24"/>
          <w:szCs w:val="24"/>
          <w:highlight w:val="none"/>
          <w:lang w:val="en-US" w:eastAsia="zh-CN"/>
        </w:rPr>
        <w:t>书</w:t>
      </w:r>
      <w:r>
        <w:rPr>
          <w:rFonts w:hint="eastAsia" w:ascii="宋体" w:hAnsi="宋体" w:eastAsia="宋体" w:cs="宋体"/>
          <w:color w:val="000000"/>
          <w:sz w:val="24"/>
          <w:szCs w:val="24"/>
          <w:highlight w:val="none"/>
        </w:rPr>
        <w:t>。</w:t>
      </w:r>
    </w:p>
    <w:p>
      <w:pPr>
        <w:pStyle w:val="47"/>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bCs/>
          <w:color w:val="000000"/>
          <w:sz w:val="24"/>
          <w:highlight w:val="none"/>
          <w:lang w:val="en-US" w:eastAsia="zh-CN"/>
        </w:rPr>
        <w:t>★</w:t>
      </w:r>
      <w:r>
        <w:rPr>
          <w:rFonts w:hint="eastAsia" w:ascii="宋体" w:hAnsi="宋体" w:eastAsia="宋体" w:cs="宋体"/>
          <w:color w:val="000000"/>
          <w:sz w:val="24"/>
          <w:szCs w:val="24"/>
          <w:highlight w:val="none"/>
        </w:rPr>
        <w:t>保修期间，非易损件一个月内连续2次出现同一故障，投标人必须无条件更换同一档次零部件，在投标文件中做出</w:t>
      </w:r>
      <w:r>
        <w:rPr>
          <w:rFonts w:hint="eastAsia" w:ascii="宋体" w:hAnsi="宋体" w:eastAsia="宋体" w:cs="宋体"/>
          <w:color w:val="000000"/>
          <w:sz w:val="24"/>
          <w:szCs w:val="24"/>
          <w:highlight w:val="none"/>
          <w:lang w:val="en-US" w:eastAsia="zh-CN"/>
        </w:rPr>
        <w:t>单独</w:t>
      </w:r>
      <w:r>
        <w:rPr>
          <w:rFonts w:hint="eastAsia" w:ascii="宋体" w:hAnsi="宋体" w:eastAsia="宋体" w:cs="宋体"/>
          <w:color w:val="000000"/>
          <w:sz w:val="24"/>
          <w:szCs w:val="24"/>
          <w:highlight w:val="none"/>
        </w:rPr>
        <w:t>书面承诺</w:t>
      </w:r>
      <w:r>
        <w:rPr>
          <w:rFonts w:hint="eastAsia" w:ascii="宋体" w:hAnsi="宋体" w:eastAsia="宋体" w:cs="宋体"/>
          <w:color w:val="000000"/>
          <w:sz w:val="24"/>
          <w:szCs w:val="24"/>
          <w:highlight w:val="none"/>
          <w:lang w:val="en-US" w:eastAsia="zh-CN"/>
        </w:rPr>
        <w:t>书</w:t>
      </w:r>
      <w:r>
        <w:rPr>
          <w:rFonts w:hint="eastAsia" w:ascii="宋体" w:hAnsi="宋体" w:eastAsia="宋体" w:cs="宋体"/>
          <w:color w:val="000000"/>
          <w:sz w:val="24"/>
          <w:szCs w:val="24"/>
          <w:highlight w:val="none"/>
        </w:rPr>
        <w:t>。</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质保期满后</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（1）质保期满后，投标人提供终身有偿上门维护服务。</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（2）保证保修期以后对用户的零配件供应。保修期后设备维修配件更换只收取成本费用。</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（3）主要零配件价格：在质保期后按同类产品的优惠价格提供。</w:t>
      </w:r>
    </w:p>
    <w:p>
      <w:pPr>
        <w:pStyle w:val="47"/>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6、采购人配合条件投标人在投标文件中要列明在项目实施过程中要求采购人提供的配合条件。</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7、违约责任</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（1）中标人未能按时交付货物或交付的货物不符合招标文件，合同规定标准的，则向采购人支付货物总金额5％的违约金，违约金从履约保证金中扣除。</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如发现中标人交付货物的质量，规格和数量，不符合或达不到合同规定的技术参数和要求的，采购人有权拒收货物，由此造成采购人损失的，中标人向采购人支付货物总金额5%的违约金，违约金从履约保证金中扣除。</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（3）质保期内，中标人无法按时为采购人提供售后服务或以任何理由拒绝履行售后服务承诺的，中标人向采购人支付货物总金额5%的违约金，违约金从履约保证金中扣除。</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（4）如在合同执行期间因中标人违约导致履约保证金部分扣除，中标人需在五个工作日内将扣除的履约保证金补齐。</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8、付款方式</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（1）合同签订前5个工作日内中标人向采购人提交金额为合同总额5%的履约保证金。</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（2）合同签订后10个工作日内采购人向财政支付部门申请预付中标人合同总金额30%的预付款；</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货物</w:t>
      </w:r>
      <w:r>
        <w:rPr>
          <w:rFonts w:hint="eastAsia" w:ascii="宋体" w:hAnsi="宋体" w:eastAsia="宋体" w:cs="宋体"/>
          <w:color w:val="000000"/>
          <w:sz w:val="24"/>
          <w:szCs w:val="24"/>
          <w:highlight w:val="none"/>
        </w:rPr>
        <w:t>安装调试完成并验收合格后10个工作日内采购人向财政支付部门申请支付合同总金额的70%。</w:t>
      </w:r>
    </w:p>
    <w:p>
      <w:pPr>
        <w:pStyle w:val="47"/>
        <w:tabs>
          <w:tab w:val="left" w:pos="540"/>
        </w:tabs>
        <w:snapToGrid w:val="0"/>
        <w:spacing w:line="360" w:lineRule="auto"/>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（4）中标人向采购人申请付款的同时，应向采购人开具等额有效发票。</w:t>
      </w:r>
    </w:p>
    <w:p>
      <w:pPr>
        <w:pStyle w:val="47"/>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（5）履约保证金在验收合格满一年后，设备正常运行，由中标人提出申请，凭采购人出具的无质量及违约问题的证明及履约保证金收据，在十五个工作日内无息退还全额履约保证金。</w:t>
      </w:r>
    </w:p>
    <w:p>
      <w:pPr>
        <w:pStyle w:val="47"/>
        <w:tabs>
          <w:tab w:val="left" w:pos="540"/>
        </w:tabs>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9.诚信履约</w:t>
      </w:r>
    </w:p>
    <w:p>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简称“有效报价提示一”）</w:t>
      </w:r>
    </w:p>
    <w:p>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方可以有预见地参照“有效报价提示一”情形的要求，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rPr>
          <w:rFonts w:hint="eastAsia" w:ascii="宋体" w:hAnsi="宋体" w:eastAsia="宋体" w:cs="宋体"/>
        </w:rPr>
      </w:pPr>
    </w:p>
    <w:p>
      <w:pPr>
        <w:rPr>
          <w:rFonts w:hint="eastAsia" w:ascii="宋体" w:hAnsi="宋体" w:eastAsia="宋体" w:cs="宋体"/>
        </w:rPr>
      </w:pPr>
    </w:p>
    <w:p>
      <w:pPr>
        <w:ind w:left="0" w:leftChars="0" w:firstLine="0" w:firstLineChars="0"/>
        <w:rPr>
          <w:rFonts w:hint="eastAsia" w:ascii="宋体" w:hAnsi="宋体" w:eastAsia="宋体" w:cs="宋体"/>
          <w:b/>
          <w:kern w:val="2"/>
          <w:sz w:val="28"/>
          <w:szCs w:val="28"/>
          <w:highlight w:val="none"/>
          <w:lang w:val="en-US" w:eastAsia="zh-CN" w:bidi="ar-SA"/>
        </w:rPr>
      </w:pPr>
    </w:p>
    <w:p>
      <w:pPr>
        <w:autoSpaceDE w:val="0"/>
        <w:autoSpaceDN w:val="0"/>
        <w:adjustRightInd w:val="0"/>
        <w:spacing w:line="400" w:lineRule="exact"/>
        <w:jc w:val="left"/>
        <w:rPr>
          <w:rFonts w:hint="eastAsia" w:ascii="宋体" w:hAnsi="宋体" w:eastAsia="宋体" w:cs="宋体"/>
          <w:b/>
          <w:bCs/>
          <w:kern w:val="0"/>
          <w:sz w:val="28"/>
          <w:szCs w:val="28"/>
          <w:highlight w:val="none"/>
        </w:rPr>
      </w:pPr>
      <w:r>
        <w:rPr>
          <w:rFonts w:hint="eastAsia" w:ascii="宋体" w:hAnsi="宋体" w:eastAsia="宋体" w:cs="宋体"/>
          <w:b/>
          <w:sz w:val="36"/>
          <w:szCs w:val="36"/>
          <w:highlight w:val="none"/>
        </w:rPr>
        <w:br w:type="page"/>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Start w:id="276" w:name="_Toc20987"/>
    </w:p>
    <w:bookmarkEnd w:id="276"/>
    <w:p>
      <w:pPr>
        <w:pageBreakBefore w:val="0"/>
        <w:widowControl w:val="0"/>
        <w:numPr>
          <w:ilvl w:val="0"/>
          <w:numId w:val="0"/>
        </w:numPr>
        <w:kinsoku/>
        <w:wordWrap/>
        <w:overflowPunct/>
        <w:topLinePunct w:val="0"/>
        <w:autoSpaceDE/>
        <w:autoSpaceDN/>
        <w:bidi w:val="0"/>
        <w:spacing w:line="440" w:lineRule="exact"/>
        <w:ind w:right="62" w:rightChars="0"/>
        <w:jc w:val="center"/>
        <w:textAlignment w:val="auto"/>
        <w:outlineLvl w:val="0"/>
        <w:rPr>
          <w:rFonts w:hint="eastAsia" w:ascii="宋体" w:hAnsi="宋体" w:eastAsia="宋体" w:cs="宋体"/>
          <w:b/>
          <w:kern w:val="2"/>
          <w:sz w:val="28"/>
          <w:szCs w:val="28"/>
          <w:highlight w:val="none"/>
          <w:lang w:val="en-US" w:eastAsia="zh-CN" w:bidi="ar-SA"/>
        </w:rPr>
      </w:pPr>
      <w:bookmarkStart w:id="277" w:name="_Toc2874"/>
      <w:r>
        <w:rPr>
          <w:rFonts w:hint="eastAsia" w:ascii="宋体" w:hAnsi="宋体" w:eastAsia="宋体" w:cs="宋体"/>
          <w:b/>
          <w:kern w:val="2"/>
          <w:sz w:val="28"/>
          <w:szCs w:val="28"/>
          <w:highlight w:val="none"/>
          <w:lang w:val="en-US" w:eastAsia="zh-CN" w:bidi="ar-SA"/>
        </w:rPr>
        <w:t xml:space="preserve">第六章  </w:t>
      </w:r>
      <w:bookmarkEnd w:id="277"/>
      <w:r>
        <w:rPr>
          <w:rFonts w:hint="eastAsia" w:ascii="宋体" w:hAnsi="宋体" w:eastAsia="宋体" w:cs="宋体"/>
          <w:b/>
          <w:kern w:val="2"/>
          <w:sz w:val="28"/>
          <w:szCs w:val="28"/>
          <w:highlight w:val="none"/>
          <w:lang w:val="en-US" w:eastAsia="zh-CN" w:bidi="ar-SA"/>
        </w:rPr>
        <w:t>拟签订的合同文本</w:t>
      </w:r>
    </w:p>
    <w:p>
      <w:pPr>
        <w:snapToGrid w:val="0"/>
        <w:spacing w:line="360" w:lineRule="auto"/>
        <w:ind w:left="0" w:leftChars="0" w:firstLine="0" w:firstLineChars="0"/>
        <w:jc w:val="center"/>
        <w:rPr>
          <w:rFonts w:hint="eastAsia" w:ascii="宋体" w:hAnsi="宋体" w:eastAsia="宋体" w:cs="宋体"/>
          <w:b/>
          <w:color w:val="000000"/>
          <w:sz w:val="24"/>
          <w:szCs w:val="24"/>
          <w:highlight w:val="none"/>
        </w:rPr>
      </w:pPr>
    </w:p>
    <w:p>
      <w:pPr>
        <w:snapToGrid w:val="0"/>
        <w:spacing w:line="360" w:lineRule="auto"/>
        <w:ind w:left="0" w:leftChars="0" w:firstLine="0" w:firstLineChars="0"/>
        <w:jc w:val="center"/>
        <w:rPr>
          <w:rFonts w:hint="eastAsia" w:ascii="宋体" w:hAnsi="宋体" w:eastAsia="宋体" w:cs="宋体"/>
          <w:b/>
          <w:bCs/>
          <w:kern w:val="2"/>
          <w:sz w:val="24"/>
          <w:szCs w:val="32"/>
          <w:highlight w:val="none"/>
          <w:lang w:val="en-US" w:eastAsia="zh-CN" w:bidi="ar-SA"/>
        </w:rPr>
      </w:pPr>
      <w:r>
        <w:rPr>
          <w:rFonts w:hint="eastAsia" w:ascii="宋体" w:hAnsi="宋体" w:eastAsia="宋体" w:cs="宋体"/>
          <w:b/>
          <w:color w:val="000000"/>
          <w:sz w:val="24"/>
          <w:szCs w:val="24"/>
          <w:highlight w:val="none"/>
        </w:rPr>
        <w:t>第</w:t>
      </w:r>
      <w:r>
        <w:rPr>
          <w:rFonts w:hint="eastAsia" w:ascii="宋体" w:hAnsi="宋体" w:eastAsia="宋体" w:cs="宋体"/>
          <w:b/>
          <w:color w:val="000000"/>
          <w:sz w:val="24"/>
          <w:szCs w:val="24"/>
          <w:highlight w:val="none"/>
          <w:lang w:val="en-US" w:eastAsia="zh-CN"/>
        </w:rPr>
        <w:t>一</w:t>
      </w:r>
      <w:r>
        <w:rPr>
          <w:rFonts w:hint="eastAsia" w:ascii="宋体" w:hAnsi="宋体" w:eastAsia="宋体" w:cs="宋体"/>
          <w:b/>
          <w:color w:val="000000"/>
          <w:sz w:val="24"/>
          <w:szCs w:val="24"/>
          <w:highlight w:val="none"/>
        </w:rPr>
        <w:t xml:space="preserve">部分 </w:t>
      </w:r>
      <w:r>
        <w:rPr>
          <w:rFonts w:hint="eastAsia" w:ascii="宋体" w:hAnsi="宋体" w:eastAsia="宋体" w:cs="宋体"/>
          <w:b/>
          <w:color w:val="000000"/>
          <w:sz w:val="24"/>
          <w:szCs w:val="24"/>
          <w:highlight w:val="none"/>
          <w:lang w:val="en-US" w:eastAsia="zh-CN"/>
        </w:rPr>
        <w:t>合同</w:t>
      </w:r>
      <w:r>
        <w:rPr>
          <w:rFonts w:hint="eastAsia" w:ascii="宋体" w:hAnsi="宋体" w:eastAsia="宋体" w:cs="宋体"/>
          <w:b/>
          <w:bCs/>
          <w:kern w:val="2"/>
          <w:sz w:val="24"/>
          <w:szCs w:val="32"/>
          <w:highlight w:val="none"/>
          <w:lang w:val="en-US" w:eastAsia="zh-CN" w:bidi="ar-SA"/>
        </w:rPr>
        <w:t>主要条款</w:t>
      </w:r>
    </w:p>
    <w:p>
      <w:pPr>
        <w:snapToGrid w:val="0"/>
        <w:spacing w:line="360" w:lineRule="auto"/>
        <w:ind w:left="0" w:leftChars="0" w:firstLine="0" w:firstLineChars="0"/>
        <w:jc w:val="center"/>
        <w:rPr>
          <w:rFonts w:hint="eastAsia"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w:t>
      </w:r>
      <w:r>
        <w:rPr>
          <w:rFonts w:hint="eastAsia" w:ascii="宋体" w:hAnsi="宋体" w:eastAsia="宋体" w:cs="宋体"/>
          <w:kern w:val="2"/>
          <w:sz w:val="21"/>
          <w:szCs w:val="24"/>
          <w:highlight w:val="none"/>
          <w:lang w:val="en-US" w:eastAsia="zh-CN" w:bidi="ar-SA"/>
        </w:rPr>
        <w:t>本合同仅供参考，最终合同由采购人与中标人协商确定</w:t>
      </w:r>
      <w:r>
        <w:rPr>
          <w:rFonts w:hint="eastAsia" w:ascii="宋体" w:hAnsi="宋体" w:cs="宋体"/>
          <w:kern w:val="2"/>
          <w:sz w:val="21"/>
          <w:szCs w:val="24"/>
          <w:highlight w:val="none"/>
          <w:lang w:val="en-US" w:eastAsia="zh-CN" w:bidi="ar-SA"/>
        </w:rPr>
        <w:t>）</w:t>
      </w:r>
    </w:p>
    <w:p>
      <w:pPr>
        <w:snapToGrid w:val="0"/>
        <w:spacing w:line="360" w:lineRule="auto"/>
        <w:ind w:left="0" w:leftChars="0" w:firstLine="0" w:firstLineChars="0"/>
        <w:jc w:val="left"/>
        <w:rPr>
          <w:rFonts w:hint="eastAsia" w:ascii="宋体" w:hAnsi="宋体" w:eastAsia="宋体" w:cs="宋体"/>
          <w:kern w:val="2"/>
          <w:sz w:val="21"/>
          <w:szCs w:val="24"/>
          <w:highlight w:val="none"/>
          <w:u w:val="single"/>
          <w:lang w:val="en-US" w:eastAsia="zh-CN" w:bidi="ar-SA"/>
        </w:rPr>
      </w:pPr>
      <w:bookmarkStart w:id="278" w:name="_Toc331685783"/>
    </w:p>
    <w:p>
      <w:pPr>
        <w:widowControl/>
        <w:jc w:val="left"/>
        <w:rPr>
          <w:rFonts w:hint="eastAsia" w:ascii="宋体" w:hAnsi="宋体" w:eastAsia="宋体" w:cs="宋体"/>
          <w:szCs w:val="21"/>
          <w:highlight w:val="none"/>
        </w:rPr>
      </w:pPr>
      <w:r>
        <w:rPr>
          <w:rFonts w:hint="eastAsia" w:ascii="宋体" w:hAnsi="宋体" w:eastAsia="宋体" w:cs="宋体"/>
          <w:kern w:val="2"/>
          <w:sz w:val="21"/>
          <w:szCs w:val="24"/>
          <w:highlight w:val="none"/>
          <w:lang w:val="en-US" w:eastAsia="zh-CN" w:bidi="ar-SA"/>
        </w:rPr>
        <w:t xml:space="preserve">                                                 </w:t>
      </w:r>
    </w:p>
    <w:bookmarkEnd w:id="278"/>
    <w:p>
      <w:pPr>
        <w:pStyle w:val="170"/>
        <w:ind w:firstLine="0"/>
        <w:rPr>
          <w:rFonts w:hint="eastAsia" w:ascii="宋体" w:hAnsi="宋体" w:eastAsia="宋体" w:cs="宋体"/>
          <w:sz w:val="28"/>
          <w:szCs w:val="28"/>
          <w:highlight w:val="none"/>
        </w:rPr>
      </w:pPr>
      <w:bookmarkStart w:id="279" w:name="_Toc25342"/>
      <w:bookmarkStart w:id="280" w:name="_Toc11035"/>
      <w:bookmarkStart w:id="281" w:name="_Toc19415"/>
      <w:bookmarkStart w:id="282" w:name="_Toc9510643"/>
      <w:bookmarkStart w:id="283" w:name="_Toc6125"/>
    </w:p>
    <w:p>
      <w:pPr>
        <w:pStyle w:val="170"/>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第一部分 合同书</w:t>
      </w:r>
    </w:p>
    <w:p>
      <w:pPr>
        <w:pStyle w:val="170"/>
        <w:ind w:firstLine="0"/>
        <w:rPr>
          <w:rFonts w:hint="eastAsia" w:ascii="宋体" w:hAnsi="宋体" w:eastAsia="宋体" w:cs="宋体"/>
          <w:sz w:val="28"/>
          <w:szCs w:val="28"/>
          <w:highlight w:val="none"/>
        </w:rPr>
      </w:pPr>
    </w:p>
    <w:p>
      <w:pPr>
        <w:pStyle w:val="170"/>
        <w:ind w:firstLine="0"/>
        <w:rPr>
          <w:rFonts w:hint="eastAsia" w:ascii="宋体" w:hAnsi="宋体" w:eastAsia="宋体" w:cs="宋体"/>
          <w:sz w:val="28"/>
          <w:szCs w:val="28"/>
          <w:highlight w:val="none"/>
        </w:rPr>
      </w:pPr>
    </w:p>
    <w:p>
      <w:pPr>
        <w:spacing w:before="120" w:line="22" w:lineRule="atLeast"/>
        <w:rPr>
          <w:rFonts w:hint="eastAsia" w:ascii="宋体" w:hAnsi="宋体" w:eastAsia="宋体" w:cs="宋体"/>
          <w:sz w:val="28"/>
          <w:szCs w:val="28"/>
          <w:highlight w:val="none"/>
        </w:rPr>
      </w:pPr>
    </w:p>
    <w:p>
      <w:pPr>
        <w:spacing w:before="120" w:line="22" w:lineRule="atLeast"/>
        <w:ind w:left="960"/>
        <w:rPr>
          <w:rFonts w:hint="eastAsia"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p>
    <w:p>
      <w:pPr>
        <w:pStyle w:val="186"/>
        <w:spacing w:before="120" w:line="22" w:lineRule="atLeast"/>
        <w:rPr>
          <w:rFonts w:hint="eastAsia" w:ascii="宋体" w:hAnsi="宋体" w:eastAsia="宋体" w:cs="宋体"/>
          <w:szCs w:val="24"/>
          <w:highlight w:val="none"/>
        </w:rPr>
      </w:pPr>
    </w:p>
    <w:p>
      <w:pPr>
        <w:pStyle w:val="186"/>
        <w:spacing w:before="120" w:line="22" w:lineRule="atLeast"/>
        <w:rPr>
          <w:rFonts w:hint="eastAsia" w:ascii="宋体" w:hAnsi="宋体" w:eastAsia="宋体" w:cs="宋体"/>
          <w:szCs w:val="24"/>
          <w:highlight w:val="none"/>
        </w:rPr>
      </w:pPr>
    </w:p>
    <w:p>
      <w:pPr>
        <w:rPr>
          <w:rFonts w:hint="eastAsia" w:ascii="宋体" w:hAnsi="宋体" w:eastAsia="宋体" w:cs="宋体"/>
          <w:sz w:val="24"/>
          <w:highlight w:val="none"/>
        </w:rPr>
      </w:pPr>
    </w:p>
    <w:p>
      <w:pPr>
        <w:spacing w:before="120" w:line="22" w:lineRule="atLeast"/>
        <w:ind w:left="960"/>
        <w:rPr>
          <w:rFonts w:hint="eastAsia" w:ascii="宋体" w:hAnsi="宋体" w:eastAsia="宋体" w:cs="宋体"/>
          <w:sz w:val="24"/>
          <w:highlight w:val="none"/>
          <w:u w:val="single"/>
        </w:rPr>
      </w:pPr>
      <w:r>
        <w:rPr>
          <w:rFonts w:hint="eastAsia" w:ascii="宋体" w:hAnsi="宋体" w:eastAsia="宋体" w:cs="宋体"/>
          <w:sz w:val="24"/>
          <w:highlight w:val="none"/>
        </w:rPr>
        <w:t>甲方：</w:t>
      </w:r>
      <w:r>
        <w:rPr>
          <w:rFonts w:hint="eastAsia" w:ascii="宋体" w:hAnsi="宋体" w:eastAsia="宋体" w:cs="宋体"/>
          <w:sz w:val="24"/>
          <w:highlight w:val="none"/>
          <w:u w:val="single"/>
        </w:rPr>
        <w:t xml:space="preserve">                                       </w:t>
      </w:r>
    </w:p>
    <w:p>
      <w:pPr>
        <w:spacing w:before="120" w:line="22" w:lineRule="atLeast"/>
        <w:rPr>
          <w:rFonts w:hint="eastAsia" w:ascii="宋体" w:hAnsi="宋体" w:eastAsia="宋体" w:cs="宋体"/>
          <w:sz w:val="24"/>
          <w:highlight w:val="none"/>
        </w:rPr>
      </w:pPr>
    </w:p>
    <w:p>
      <w:pPr>
        <w:spacing w:before="120" w:line="22" w:lineRule="atLeast"/>
        <w:ind w:left="960"/>
        <w:rPr>
          <w:rFonts w:hint="eastAsia" w:ascii="宋体" w:hAnsi="宋体" w:eastAsia="宋体" w:cs="宋体"/>
          <w:sz w:val="24"/>
          <w:highlight w:val="none"/>
          <w:u w:val="single"/>
        </w:rPr>
      </w:pPr>
      <w:r>
        <w:rPr>
          <w:rFonts w:hint="eastAsia" w:ascii="宋体" w:hAnsi="宋体" w:eastAsia="宋体" w:cs="宋体"/>
          <w:sz w:val="24"/>
          <w:highlight w:val="none"/>
        </w:rPr>
        <w:t>乙方：</w:t>
      </w:r>
      <w:r>
        <w:rPr>
          <w:rFonts w:hint="eastAsia" w:ascii="宋体" w:hAnsi="宋体" w:eastAsia="宋体" w:cs="宋体"/>
          <w:sz w:val="24"/>
          <w:highlight w:val="none"/>
          <w:u w:val="single"/>
        </w:rPr>
        <w:t xml:space="preserve">                                       </w:t>
      </w:r>
    </w:p>
    <w:p>
      <w:pPr>
        <w:spacing w:before="120" w:line="22" w:lineRule="atLeast"/>
        <w:rPr>
          <w:rFonts w:hint="eastAsia" w:ascii="宋体" w:hAnsi="宋体" w:eastAsia="宋体" w:cs="宋体"/>
          <w:sz w:val="24"/>
          <w:highlight w:val="none"/>
        </w:rPr>
      </w:pPr>
    </w:p>
    <w:p>
      <w:pPr>
        <w:spacing w:before="120" w:line="22" w:lineRule="atLeast"/>
        <w:rPr>
          <w:rFonts w:hint="eastAsia" w:ascii="宋体" w:hAnsi="宋体" w:eastAsia="宋体" w:cs="宋体"/>
          <w:sz w:val="24"/>
          <w:highlight w:val="none"/>
          <w:u w:val="single"/>
        </w:rPr>
      </w:pPr>
      <w:r>
        <w:rPr>
          <w:rFonts w:hint="eastAsia" w:ascii="宋体" w:hAnsi="宋体" w:eastAsia="宋体" w:cs="宋体"/>
          <w:sz w:val="24"/>
          <w:highlight w:val="none"/>
        </w:rPr>
        <w:t>签订地：</w:t>
      </w:r>
      <w:r>
        <w:rPr>
          <w:rFonts w:hint="eastAsia" w:ascii="宋体" w:hAnsi="宋体" w:eastAsia="宋体" w:cs="宋体"/>
          <w:sz w:val="24"/>
          <w:highlight w:val="none"/>
          <w:u w:val="single"/>
        </w:rPr>
        <w:t xml:space="preserve">                                     </w:t>
      </w:r>
    </w:p>
    <w:p>
      <w:pPr>
        <w:spacing w:before="120" w:line="22" w:lineRule="atLeast"/>
        <w:rPr>
          <w:rFonts w:hint="eastAsia" w:ascii="宋体" w:hAnsi="宋体" w:eastAsia="宋体" w:cs="宋体"/>
          <w:sz w:val="24"/>
          <w:highlight w:val="none"/>
        </w:rPr>
      </w:pPr>
    </w:p>
    <w:p>
      <w:pPr>
        <w:spacing w:before="120" w:line="22" w:lineRule="atLeast"/>
        <w:rPr>
          <w:rFonts w:hint="eastAsia" w:ascii="宋体" w:hAnsi="宋体" w:eastAsia="宋体" w:cs="宋体"/>
          <w:sz w:val="24"/>
          <w:highlight w:val="none"/>
        </w:rPr>
      </w:pPr>
      <w:r>
        <w:rPr>
          <w:rFonts w:hint="eastAsia" w:ascii="宋体" w:hAnsi="宋体" w:eastAsia="宋体" w:cs="宋体"/>
          <w:sz w:val="24"/>
          <w:highlight w:val="none"/>
        </w:rPr>
        <w:t>签订日期：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rPr>
          <w:rFonts w:hint="eastAsia" w:ascii="宋体" w:hAnsi="宋体" w:eastAsia="宋体" w:cs="宋体"/>
          <w:sz w:val="24"/>
          <w:highlight w:val="none"/>
        </w:rPr>
      </w:pPr>
      <w:r>
        <w:rPr>
          <w:rFonts w:hint="eastAsia" w:ascii="宋体" w:hAnsi="宋体" w:eastAsia="宋体" w:cs="宋体"/>
          <w:sz w:val="24"/>
          <w:highlight w:val="none"/>
        </w:rPr>
        <w:br w:type="page"/>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和田县职业技术学校</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以</w:t>
      </w:r>
      <w:r>
        <w:rPr>
          <w:rFonts w:hint="eastAsia" w:ascii="宋体" w:hAnsi="宋体" w:eastAsia="宋体" w:cs="宋体"/>
          <w:sz w:val="24"/>
          <w:highlight w:val="none"/>
          <w:u w:val="single"/>
        </w:rPr>
        <w:t>公开招标方式</w:t>
      </w:r>
      <w:r>
        <w:rPr>
          <w:rFonts w:hint="eastAsia" w:ascii="宋体" w:hAnsi="宋体" w:eastAsia="宋体" w:cs="宋体"/>
          <w:sz w:val="24"/>
          <w:highlight w:val="none"/>
        </w:rPr>
        <w:t>对</w:t>
      </w:r>
    </w:p>
    <w:p>
      <w:pPr>
        <w:spacing w:line="560" w:lineRule="exact"/>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项目进行了采购。经</w:t>
      </w:r>
      <w:r>
        <w:rPr>
          <w:rFonts w:hint="eastAsia" w:ascii="宋体" w:hAnsi="宋体" w:eastAsia="宋体" w:cs="宋体"/>
          <w:sz w:val="24"/>
          <w:highlight w:val="none"/>
          <w:u w:val="single"/>
        </w:rPr>
        <w:t>（相关评定主体名称）</w:t>
      </w:r>
      <w:r>
        <w:rPr>
          <w:rFonts w:hint="eastAsia" w:ascii="宋体" w:hAnsi="宋体" w:eastAsia="宋体" w:cs="宋体"/>
          <w:sz w:val="24"/>
          <w:highlight w:val="none"/>
        </w:rPr>
        <w:t>评定，</w:t>
      </w:r>
      <w:r>
        <w:rPr>
          <w:rFonts w:hint="eastAsia" w:ascii="宋体" w:hAnsi="宋体" w:eastAsia="宋体" w:cs="宋体"/>
          <w:sz w:val="24"/>
          <w:highlight w:val="none"/>
          <w:u w:val="single"/>
        </w:rPr>
        <w:t xml:space="preserve">   （中标供应商名称） </w:t>
      </w:r>
      <w:r>
        <w:rPr>
          <w:rFonts w:hint="eastAsia" w:ascii="宋体" w:hAnsi="宋体" w:eastAsia="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根据《中华人民共和国合同法</w:t>
      </w:r>
      <w:r>
        <w:rPr>
          <w:rFonts w:hint="eastAsia" w:ascii="宋体" w:hAnsi="宋体" w:cs="宋体"/>
          <w:sz w:val="24"/>
          <w:highlight w:val="none"/>
          <w:lang w:val="zh-CN"/>
        </w:rPr>
        <w:t>》《</w:t>
      </w:r>
      <w:r>
        <w:rPr>
          <w:rFonts w:hint="eastAsia" w:ascii="宋体" w:hAnsi="宋体" w:eastAsia="宋体" w:cs="宋体"/>
          <w:sz w:val="24"/>
          <w:highlight w:val="none"/>
          <w:lang w:val="zh-CN"/>
        </w:rPr>
        <w:t>中华人民共和国政府采购法》等相关法律法规之规定，按照平等、自愿、公平和诚实信用的原则，经</w:t>
      </w:r>
      <w:r>
        <w:rPr>
          <w:rFonts w:hint="eastAsia" w:ascii="宋体" w:hAnsi="宋体" w:eastAsia="宋体" w:cs="宋体"/>
          <w:sz w:val="24"/>
          <w:highlight w:val="none"/>
          <w:u w:val="single"/>
        </w:rPr>
        <w:t xml:space="preserve">   （采购人名称）   </w:t>
      </w:r>
      <w:r>
        <w:rPr>
          <w:rFonts w:hint="eastAsia" w:ascii="宋体" w:hAnsi="宋体" w:cs="宋体"/>
          <w:sz w:val="24"/>
          <w:highlight w:val="none"/>
          <w:u w:val="single"/>
          <w:lang w:eastAsia="zh-CN"/>
        </w:rPr>
        <w:t>（</w:t>
      </w:r>
      <w:r>
        <w:rPr>
          <w:rFonts w:hint="eastAsia" w:ascii="宋体" w:hAnsi="宋体" w:eastAsia="宋体" w:cs="宋体"/>
          <w:sz w:val="24"/>
          <w:highlight w:val="none"/>
          <w:lang w:val="zh-CN"/>
        </w:rPr>
        <w:t>以下简称：甲方</w:t>
      </w:r>
      <w:r>
        <w:rPr>
          <w:rFonts w:hint="eastAsia" w:ascii="宋体" w:hAnsi="宋体" w:cs="宋体"/>
          <w:sz w:val="24"/>
          <w:highlight w:val="none"/>
          <w:lang w:val="zh-CN"/>
        </w:rPr>
        <w:t>）</w:t>
      </w:r>
      <w:r>
        <w:rPr>
          <w:rFonts w:hint="eastAsia" w:ascii="宋体" w:hAnsi="宋体" w:eastAsia="宋体" w:cs="宋体"/>
          <w:sz w:val="24"/>
          <w:highlight w:val="none"/>
          <w:lang w:val="zh-CN"/>
        </w:rPr>
        <w:t>和</w:t>
      </w:r>
      <w:r>
        <w:rPr>
          <w:rFonts w:hint="eastAsia" w:ascii="宋体" w:hAnsi="宋体" w:eastAsia="宋体" w:cs="宋体"/>
          <w:sz w:val="24"/>
          <w:highlight w:val="none"/>
          <w:u w:val="single"/>
        </w:rPr>
        <w:t xml:space="preserve">   （中标供应商名称）   </w:t>
      </w:r>
      <w:r>
        <w:rPr>
          <w:rFonts w:hint="eastAsia" w:ascii="宋体" w:hAnsi="宋体" w:cs="宋体"/>
          <w:sz w:val="24"/>
          <w:highlight w:val="none"/>
          <w:u w:val="single"/>
          <w:lang w:eastAsia="zh-CN"/>
        </w:rPr>
        <w:t>（</w:t>
      </w:r>
      <w:r>
        <w:rPr>
          <w:rFonts w:hint="eastAsia" w:ascii="宋体" w:hAnsi="宋体" w:eastAsia="宋体" w:cs="宋体"/>
          <w:sz w:val="24"/>
          <w:highlight w:val="none"/>
          <w:lang w:val="zh-CN"/>
        </w:rPr>
        <w:t>以下简称：乙方</w:t>
      </w:r>
      <w:r>
        <w:rPr>
          <w:rFonts w:hint="eastAsia" w:ascii="宋体" w:hAnsi="宋体" w:cs="宋体"/>
          <w:sz w:val="24"/>
          <w:highlight w:val="none"/>
          <w:lang w:val="zh-CN"/>
        </w:rPr>
        <w:t>）</w:t>
      </w:r>
      <w:r>
        <w:rPr>
          <w:rFonts w:hint="eastAsia" w:ascii="宋体" w:hAnsi="宋体" w:eastAsia="宋体" w:cs="宋体"/>
          <w:sz w:val="24"/>
          <w:highlight w:val="none"/>
          <w:lang w:val="zh-CN"/>
        </w:rPr>
        <w:t>协商一致，约定以下合同</w:t>
      </w:r>
      <w:r>
        <w:rPr>
          <w:rFonts w:hint="eastAsia" w:ascii="宋体" w:hAnsi="宋体" w:eastAsia="宋体" w:cs="宋体"/>
          <w:sz w:val="24"/>
          <w:highlight w:val="none"/>
        </w:rPr>
        <w:t>条款，以兹共同遵守、全面履行。</w:t>
      </w:r>
    </w:p>
    <w:p>
      <w:pPr>
        <w:spacing w:line="560" w:lineRule="exact"/>
        <w:ind w:firstLine="482" w:firstLineChars="200"/>
        <w:outlineLvl w:val="0"/>
        <w:rPr>
          <w:rFonts w:hint="eastAsia" w:ascii="宋体" w:hAnsi="宋体" w:eastAsia="宋体" w:cs="宋体"/>
          <w:sz w:val="24"/>
          <w:highlight w:val="none"/>
        </w:rPr>
      </w:pPr>
      <w:bookmarkStart w:id="284" w:name="_Toc15367"/>
      <w:bookmarkStart w:id="285" w:name="_Toc22967"/>
      <w:bookmarkStart w:id="286" w:name="_Toc20421"/>
      <w:bookmarkStart w:id="287" w:name="_Toc28855"/>
      <w:bookmarkStart w:id="288" w:name="_Toc19273"/>
      <w:r>
        <w:rPr>
          <w:rFonts w:hint="eastAsia" w:ascii="宋体" w:hAnsi="宋体" w:eastAsia="宋体" w:cs="宋体"/>
          <w:b/>
          <w:bCs/>
          <w:sz w:val="24"/>
          <w:highlight w:val="none"/>
        </w:rPr>
        <w:t>1.1 合同组成部分</w:t>
      </w:r>
      <w:bookmarkEnd w:id="284"/>
      <w:bookmarkEnd w:id="285"/>
      <w:bookmarkEnd w:id="286"/>
      <w:bookmarkEnd w:id="287"/>
      <w:bookmarkEnd w:id="28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 本合同及其补充合同、变更协议；</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 中标通知书；</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 投标文件（含澄清或者说明文件）；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1.1.4 招标文件（含澄清或者修改文件）；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1.1.5 其他相关采购文件。</w:t>
      </w:r>
    </w:p>
    <w:p>
      <w:pPr>
        <w:spacing w:line="560" w:lineRule="exact"/>
        <w:ind w:firstLine="482" w:firstLineChars="200"/>
        <w:outlineLvl w:val="0"/>
        <w:rPr>
          <w:rFonts w:hint="eastAsia" w:ascii="宋体" w:hAnsi="宋体" w:eastAsia="宋体" w:cs="宋体"/>
          <w:b/>
          <w:bCs/>
          <w:sz w:val="24"/>
          <w:highlight w:val="none"/>
        </w:rPr>
      </w:pPr>
      <w:bookmarkStart w:id="289" w:name="_Toc2918"/>
      <w:bookmarkStart w:id="290" w:name="_Toc22185"/>
      <w:bookmarkStart w:id="291" w:name="_Toc18585"/>
      <w:bookmarkStart w:id="292" w:name="_Toc6773"/>
      <w:bookmarkStart w:id="293" w:name="_Toc6311"/>
      <w:r>
        <w:rPr>
          <w:rFonts w:hint="eastAsia" w:ascii="宋体" w:hAnsi="宋体" w:eastAsia="宋体" w:cs="宋体"/>
          <w:b/>
          <w:bCs/>
          <w:sz w:val="24"/>
          <w:highlight w:val="none"/>
        </w:rPr>
        <w:t>1.2 标的</w:t>
      </w:r>
      <w:bookmarkEnd w:id="289"/>
      <w:bookmarkEnd w:id="290"/>
      <w:bookmarkEnd w:id="291"/>
      <w:bookmarkEnd w:id="292"/>
      <w:bookmarkEnd w:id="293"/>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1.2.1 标的名称：</w:t>
      </w:r>
      <w:r>
        <w:rPr>
          <w:rFonts w:hint="eastAsia" w:ascii="宋体" w:hAnsi="宋体" w:eastAsia="宋体" w:cs="宋体"/>
          <w:sz w:val="24"/>
          <w:highlight w:val="none"/>
          <w:u w:val="single"/>
        </w:rPr>
        <w:t xml:space="preserve">                （详见清单）</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1.2.2 标的数量：</w:t>
      </w:r>
      <w:r>
        <w:rPr>
          <w:rFonts w:hint="eastAsia" w:ascii="宋体" w:hAnsi="宋体" w:eastAsia="宋体" w:cs="宋体"/>
          <w:sz w:val="24"/>
          <w:highlight w:val="none"/>
          <w:u w:val="single"/>
        </w:rPr>
        <w:t>按招标文件要求（详见清单）</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 标的质量：</w:t>
      </w:r>
      <w:r>
        <w:rPr>
          <w:rFonts w:hint="eastAsia" w:ascii="宋体" w:hAnsi="宋体" w:eastAsia="宋体" w:cs="宋体"/>
          <w:sz w:val="24"/>
          <w:highlight w:val="none"/>
          <w:u w:val="single"/>
        </w:rPr>
        <w:t>按招标文件要求和投标文件的实际填写。</w:t>
      </w:r>
    </w:p>
    <w:p>
      <w:pPr>
        <w:spacing w:line="560" w:lineRule="exact"/>
        <w:ind w:firstLine="482" w:firstLineChars="200"/>
        <w:outlineLvl w:val="0"/>
        <w:rPr>
          <w:rFonts w:hint="eastAsia" w:ascii="宋体" w:hAnsi="宋体" w:eastAsia="宋体" w:cs="宋体"/>
          <w:b/>
          <w:bCs/>
          <w:sz w:val="24"/>
          <w:highlight w:val="none"/>
        </w:rPr>
      </w:pPr>
      <w:bookmarkStart w:id="294" w:name="_Toc5635"/>
      <w:bookmarkStart w:id="295" w:name="_Toc13918"/>
      <w:bookmarkStart w:id="296" w:name="_Toc21124"/>
      <w:bookmarkStart w:id="297" w:name="_Toc4929"/>
      <w:bookmarkStart w:id="298" w:name="_Toc1386"/>
      <w:r>
        <w:rPr>
          <w:rFonts w:hint="eastAsia" w:ascii="宋体" w:hAnsi="宋体" w:eastAsia="宋体" w:cs="宋体"/>
          <w:b/>
          <w:bCs/>
          <w:sz w:val="24"/>
          <w:highlight w:val="none"/>
        </w:rPr>
        <w:t>1.3 价款</w:t>
      </w:r>
      <w:bookmarkEnd w:id="294"/>
      <w:bookmarkEnd w:id="295"/>
      <w:bookmarkEnd w:id="296"/>
      <w:bookmarkEnd w:id="297"/>
      <w:bookmarkEnd w:id="29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本合同总价为：￥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元人民币）。</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价格：</w:t>
      </w:r>
    </w:p>
    <w:tbl>
      <w:tblPr>
        <w:tblStyle w:val="7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rPr>
          <w:trHeight w:val="369" w:hRule="atLeast"/>
          <w:jc w:val="center"/>
        </w:trPr>
        <w:tc>
          <w:tcPr>
            <w:tcW w:w="1201" w:type="dxa"/>
            <w:vAlign w:val="center"/>
          </w:tcPr>
          <w:p>
            <w:pPr>
              <w:pStyle w:val="187"/>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序号</w:t>
            </w: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产品名称</w:t>
            </w:r>
          </w:p>
        </w:tc>
        <w:tc>
          <w:tcPr>
            <w:tcW w:w="2552" w:type="dxa"/>
            <w:vAlign w:val="center"/>
          </w:tcPr>
          <w:p>
            <w:pPr>
              <w:pStyle w:val="187"/>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产品价格</w:t>
            </w:r>
          </w:p>
        </w:tc>
      </w:tr>
      <w:tr>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rPr>
          <w:trHeight w:val="369" w:hRule="atLeast"/>
          <w:jc w:val="center"/>
        </w:trPr>
        <w:tc>
          <w:tcPr>
            <w:tcW w:w="1201"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340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r>
        <w:trPr>
          <w:trHeight w:val="369" w:hRule="atLeast"/>
          <w:jc w:val="center"/>
        </w:trPr>
        <w:tc>
          <w:tcPr>
            <w:tcW w:w="4603" w:type="dxa"/>
            <w:gridSpan w:val="2"/>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总价</w:t>
            </w:r>
          </w:p>
        </w:tc>
        <w:tc>
          <w:tcPr>
            <w:tcW w:w="2552" w:type="dxa"/>
            <w:vAlign w:val="center"/>
          </w:tcPr>
          <w:p>
            <w:pPr>
              <w:pStyle w:val="187"/>
              <w:spacing w:line="560" w:lineRule="exact"/>
              <w:ind w:firstLine="200"/>
              <w:jc w:val="center"/>
              <w:rPr>
                <w:rFonts w:hint="eastAsia" w:ascii="宋体" w:hAnsi="宋体" w:eastAsia="宋体" w:cs="宋体"/>
                <w:color w:val="000000"/>
                <w:kern w:val="2"/>
                <w:sz w:val="24"/>
                <w:szCs w:val="24"/>
                <w:highlight w:val="none"/>
              </w:rPr>
            </w:pPr>
          </w:p>
        </w:tc>
      </w:tr>
    </w:tbl>
    <w:p>
      <w:pPr>
        <w:spacing w:line="560" w:lineRule="exact"/>
        <w:ind w:firstLine="482" w:firstLineChars="200"/>
        <w:outlineLvl w:val="0"/>
        <w:rPr>
          <w:rFonts w:hint="eastAsia" w:ascii="宋体" w:hAnsi="宋体" w:eastAsia="宋体" w:cs="宋体"/>
          <w:b/>
          <w:bCs/>
          <w:sz w:val="24"/>
          <w:highlight w:val="none"/>
        </w:rPr>
      </w:pPr>
      <w:bookmarkStart w:id="299" w:name="_Toc30158"/>
      <w:bookmarkStart w:id="300" w:name="_Toc26916"/>
      <w:bookmarkStart w:id="301" w:name="_Toc30506"/>
      <w:bookmarkStart w:id="302" w:name="_Toc14993"/>
      <w:bookmarkStart w:id="303" w:name="_Toc3654"/>
      <w:r>
        <w:rPr>
          <w:rFonts w:hint="eastAsia" w:ascii="宋体" w:hAnsi="宋体" w:eastAsia="宋体" w:cs="宋体"/>
          <w:b/>
          <w:bCs/>
          <w:sz w:val="24"/>
          <w:highlight w:val="none"/>
        </w:rPr>
        <w:t>1.4 付款方式和发票开具方式</w:t>
      </w:r>
      <w:bookmarkEnd w:id="299"/>
      <w:bookmarkEnd w:id="300"/>
      <w:bookmarkEnd w:id="301"/>
      <w:bookmarkEnd w:id="302"/>
      <w:bookmarkEnd w:id="303"/>
    </w:p>
    <w:p>
      <w:pPr>
        <w:pStyle w:val="4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1.4.1付款方式：详见招标文件要求。</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 发票开具方式：乙方提供发票</w:t>
      </w:r>
    </w:p>
    <w:p>
      <w:pPr>
        <w:spacing w:line="560" w:lineRule="exact"/>
        <w:ind w:firstLine="482" w:firstLineChars="200"/>
        <w:outlineLvl w:val="0"/>
        <w:rPr>
          <w:rFonts w:hint="eastAsia" w:ascii="宋体" w:hAnsi="宋体" w:eastAsia="宋体" w:cs="宋体"/>
          <w:b/>
          <w:bCs/>
          <w:sz w:val="24"/>
          <w:highlight w:val="none"/>
        </w:rPr>
      </w:pPr>
      <w:bookmarkStart w:id="304" w:name="_Toc8772"/>
      <w:bookmarkStart w:id="305" w:name="_Toc3625"/>
      <w:bookmarkStart w:id="306" w:name="_Toc31421"/>
      <w:bookmarkStart w:id="307" w:name="_Toc4760"/>
      <w:bookmarkStart w:id="308" w:name="_Toc11108"/>
      <w:r>
        <w:rPr>
          <w:rFonts w:hint="eastAsia" w:ascii="宋体" w:hAnsi="宋体" w:eastAsia="宋体" w:cs="宋体"/>
          <w:b/>
          <w:bCs/>
          <w:sz w:val="24"/>
          <w:highlight w:val="none"/>
        </w:rPr>
        <w:t>1.5 履行期限、地点和方式</w:t>
      </w:r>
      <w:bookmarkEnd w:id="304"/>
      <w:bookmarkEnd w:id="305"/>
      <w:bookmarkEnd w:id="306"/>
      <w:bookmarkEnd w:id="307"/>
      <w:bookmarkEnd w:id="308"/>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1.5.1 履行期限：</w:t>
      </w:r>
      <w:r>
        <w:rPr>
          <w:rFonts w:hint="eastAsia" w:ascii="宋体" w:hAnsi="宋体" w:eastAsia="宋体" w:cs="宋体"/>
          <w:sz w:val="24"/>
          <w:highlight w:val="none"/>
          <w:u w:val="single"/>
        </w:rPr>
        <w:t xml:space="preserve">  按投标文件要求      </w:t>
      </w:r>
    </w:p>
    <w:p>
      <w:pPr>
        <w:spacing w:line="56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 xml:space="preserve">1.5.2 </w:t>
      </w:r>
      <w:r>
        <w:rPr>
          <w:rFonts w:hint="eastAsia" w:ascii="宋体" w:hAnsi="宋体" w:eastAsia="宋体" w:cs="宋体"/>
          <w:b/>
          <w:bCs/>
          <w:sz w:val="24"/>
          <w:highlight w:val="none"/>
        </w:rPr>
        <w:t>履行地点：采购人指定地点</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 履行方式：现场验收。</w:t>
      </w:r>
    </w:p>
    <w:p>
      <w:pPr>
        <w:spacing w:line="560" w:lineRule="exact"/>
        <w:ind w:firstLine="482" w:firstLineChars="200"/>
        <w:outlineLvl w:val="0"/>
        <w:rPr>
          <w:rFonts w:hint="eastAsia" w:ascii="宋体" w:hAnsi="宋体" w:eastAsia="宋体" w:cs="宋体"/>
          <w:sz w:val="24"/>
          <w:highlight w:val="none"/>
          <w:u w:val="single"/>
        </w:rPr>
      </w:pPr>
      <w:bookmarkStart w:id="309" w:name="_Toc8586"/>
      <w:bookmarkStart w:id="310" w:name="_Toc3079"/>
      <w:bookmarkStart w:id="311" w:name="_Toc5698"/>
      <w:bookmarkStart w:id="312" w:name="_Toc2375"/>
      <w:bookmarkStart w:id="313" w:name="_Toc24662"/>
      <w:r>
        <w:rPr>
          <w:rFonts w:hint="eastAsia" w:ascii="宋体" w:hAnsi="宋体" w:eastAsia="宋体" w:cs="宋体"/>
          <w:b/>
          <w:bCs/>
          <w:sz w:val="24"/>
          <w:highlight w:val="none"/>
        </w:rPr>
        <w:t>1.6 违约责任</w:t>
      </w:r>
      <w:bookmarkEnd w:id="309"/>
      <w:bookmarkEnd w:id="310"/>
      <w:bookmarkEnd w:id="311"/>
      <w:bookmarkEnd w:id="312"/>
      <w:bookmarkEnd w:id="31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%计算，最高限额为本合同总价的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%计算，最高限额为本合同总价的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bCs/>
          <w:sz w:val="24"/>
          <w:highlight w:val="none"/>
        </w:rPr>
      </w:pPr>
      <w:bookmarkStart w:id="314" w:name="_Toc26807"/>
      <w:bookmarkStart w:id="315" w:name="_Toc9497"/>
      <w:bookmarkStart w:id="316" w:name="_Toc18683"/>
      <w:bookmarkStart w:id="317" w:name="_Toc30329"/>
      <w:bookmarkStart w:id="318" w:name="_Toc32454"/>
      <w:r>
        <w:rPr>
          <w:rFonts w:hint="eastAsia" w:ascii="宋体" w:hAnsi="宋体" w:eastAsia="宋体" w:cs="宋体"/>
          <w:b/>
          <w:bCs/>
          <w:sz w:val="24"/>
          <w:highlight w:val="none"/>
        </w:rPr>
        <w:t>1.7 合同争议的解决</w:t>
      </w:r>
      <w:bookmarkEnd w:id="314"/>
      <w:bookmarkEnd w:id="315"/>
      <w:bookmarkEnd w:id="316"/>
      <w:bookmarkEnd w:id="317"/>
      <w:bookmarkEnd w:id="31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highlight w:val="none"/>
          <w:u w:val="single"/>
        </w:rPr>
        <w:t xml:space="preserve"> 2 </w:t>
      </w:r>
      <w:r>
        <w:rPr>
          <w:rFonts w:hint="eastAsia" w:ascii="宋体" w:hAnsi="宋体" w:eastAsia="宋体" w:cs="宋体"/>
          <w:sz w:val="24"/>
          <w:highlight w:val="none"/>
        </w:rPr>
        <w:t>种方式解决：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 将争议提交</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仲裁委员会依申请仲裁时其现行有效的仲裁规则裁决；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 向</w:t>
      </w:r>
      <w:r>
        <w:rPr>
          <w:rFonts w:hint="eastAsia" w:ascii="宋体" w:hAnsi="宋体" w:eastAsia="宋体" w:cs="宋体"/>
          <w:sz w:val="24"/>
          <w:highlight w:val="none"/>
          <w:u w:val="single"/>
          <w:lang w:val="en-US" w:eastAsia="zh-CN"/>
        </w:rPr>
        <w:t>和田县</w:t>
      </w:r>
      <w:r>
        <w:rPr>
          <w:rFonts w:hint="eastAsia" w:ascii="宋体" w:hAnsi="宋体" w:eastAsia="宋体" w:cs="宋体"/>
          <w:sz w:val="24"/>
          <w:highlight w:val="none"/>
        </w:rPr>
        <w:t>人民法院起诉。</w:t>
      </w:r>
    </w:p>
    <w:p>
      <w:pPr>
        <w:spacing w:line="560" w:lineRule="exact"/>
        <w:ind w:firstLine="482" w:firstLineChars="200"/>
        <w:outlineLvl w:val="0"/>
        <w:rPr>
          <w:rFonts w:hint="eastAsia" w:ascii="宋体" w:hAnsi="宋体" w:eastAsia="宋体" w:cs="宋体"/>
          <w:b/>
          <w:bCs/>
          <w:sz w:val="24"/>
          <w:highlight w:val="none"/>
        </w:rPr>
      </w:pPr>
      <w:bookmarkStart w:id="319" w:name="_Toc12273"/>
      <w:bookmarkStart w:id="320" w:name="_Toc23784"/>
      <w:bookmarkStart w:id="321" w:name="_Toc16417"/>
      <w:bookmarkStart w:id="322" w:name="_Toc26227"/>
      <w:bookmarkStart w:id="323" w:name="_Toc15827"/>
      <w:r>
        <w:rPr>
          <w:rFonts w:hint="eastAsia" w:ascii="宋体" w:hAnsi="宋体" w:eastAsia="宋体" w:cs="宋体"/>
          <w:b/>
          <w:bCs/>
          <w:sz w:val="24"/>
          <w:highlight w:val="none"/>
        </w:rPr>
        <w:t>1.8 合同生效</w:t>
      </w:r>
      <w:bookmarkEnd w:id="319"/>
      <w:bookmarkEnd w:id="320"/>
      <w:bookmarkEnd w:id="321"/>
      <w:bookmarkEnd w:id="322"/>
      <w:bookmarkEnd w:id="323"/>
    </w:p>
    <w:p>
      <w:pPr>
        <w:spacing w:line="560" w:lineRule="exact"/>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本合同自双方当事人盖章或者签字时生效。</w:t>
      </w:r>
    </w:p>
    <w:p>
      <w:pPr>
        <w:autoSpaceDE w:val="0"/>
        <w:autoSpaceDN w:val="0"/>
        <w:adjustRightInd w:val="0"/>
        <w:spacing w:line="560" w:lineRule="exact"/>
        <w:rPr>
          <w:rFonts w:hint="eastAsia" w:ascii="宋体" w:hAnsi="宋体" w:eastAsia="宋体" w:cs="宋体"/>
          <w:sz w:val="24"/>
          <w:highlight w:val="none"/>
          <w:lang w:val="zh-CN"/>
        </w:rPr>
      </w:pP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b/>
          <w:bCs/>
          <w:sz w:val="24"/>
          <w:highlight w:val="none"/>
          <w:lang w:val="zh-CN"/>
        </w:rPr>
        <w:t>甲方</w:t>
      </w:r>
      <w:r>
        <w:rPr>
          <w:rFonts w:hint="eastAsia" w:ascii="宋体" w:hAnsi="宋体" w:eastAsia="宋体" w:cs="宋体"/>
          <w:sz w:val="24"/>
          <w:highlight w:val="none"/>
          <w:lang w:val="zh-CN"/>
        </w:rPr>
        <w:t xml:space="preserve">：                             </w:t>
      </w:r>
      <w:r>
        <w:rPr>
          <w:rFonts w:hint="eastAsia" w:ascii="宋体" w:hAnsi="宋体" w:eastAsia="宋体" w:cs="宋体"/>
          <w:b/>
          <w:bCs/>
          <w:sz w:val="24"/>
          <w:highlight w:val="none"/>
          <w:lang w:val="zh-CN"/>
        </w:rPr>
        <w:t xml:space="preserve">      乙方</w:t>
      </w:r>
      <w:r>
        <w:rPr>
          <w:rFonts w:hint="eastAsia" w:ascii="宋体" w:hAnsi="宋体" w:eastAsia="宋体" w:cs="宋体"/>
          <w:sz w:val="24"/>
          <w:highlight w:val="none"/>
          <w:lang w:val="zh-CN"/>
        </w:rPr>
        <w:t>：</w:t>
      </w:r>
    </w:p>
    <w:p>
      <w:pPr>
        <w:autoSpaceDE w:val="0"/>
        <w:autoSpaceDN w:val="0"/>
        <w:adjustRightInd w:val="0"/>
        <w:spacing w:line="560" w:lineRule="exact"/>
        <w:ind w:left="5040" w:hanging="5040" w:hangingChars="2100"/>
        <w:rPr>
          <w:rFonts w:hint="eastAsia" w:ascii="宋体" w:hAnsi="宋体" w:eastAsia="宋体" w:cs="宋体"/>
          <w:sz w:val="24"/>
          <w:highlight w:val="none"/>
          <w:lang w:val="zh-CN"/>
        </w:rPr>
      </w:pPr>
      <w:r>
        <w:rPr>
          <w:rFonts w:hint="eastAsia" w:ascii="宋体" w:hAnsi="宋体" w:eastAsia="宋体" w:cs="宋体"/>
          <w:sz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住所：                                   住所：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法定代表人或                             法定代表人或</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授权代表（签字）：                       授权代表（签字）</w:t>
      </w:r>
      <w:r>
        <w:rPr>
          <w:rFonts w:hint="eastAsia" w:ascii="宋体" w:hAnsi="宋体" w:cs="宋体"/>
          <w:sz w:val="24"/>
          <w:highlight w:val="none"/>
          <w:lang w:val="zh-CN"/>
        </w:rPr>
        <w:t>：</w:t>
      </w:r>
      <w:r>
        <w:rPr>
          <w:rFonts w:hint="eastAsia" w:ascii="宋体" w:hAnsi="宋体" w:eastAsia="宋体" w:cs="宋体"/>
          <w:sz w:val="24"/>
          <w:highlight w:val="none"/>
          <w:lang w:val="zh-CN"/>
        </w:rPr>
        <w:t xml:space="preserve"> </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联系人：                                 联系人：</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约定送达地址：                           约定送达地址：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邮政编码：                               邮政编码：</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电话</w:t>
      </w:r>
      <w:r>
        <w:rPr>
          <w:rFonts w:hint="eastAsia" w:ascii="宋体" w:hAnsi="宋体" w:cs="宋体"/>
          <w:sz w:val="24"/>
          <w:highlight w:val="none"/>
          <w:lang w:val="zh-CN"/>
        </w:rPr>
        <w:t>：</w:t>
      </w:r>
      <w:r>
        <w:rPr>
          <w:rFonts w:hint="eastAsia" w:ascii="宋体" w:hAnsi="宋体" w:eastAsia="宋体" w:cs="宋体"/>
          <w:sz w:val="24"/>
          <w:highlight w:val="none"/>
          <w:lang w:val="zh-CN"/>
        </w:rPr>
        <w:t xml:space="preserve">                                    电话</w:t>
      </w:r>
      <w:r>
        <w:rPr>
          <w:rFonts w:hint="eastAsia" w:ascii="宋体" w:hAnsi="宋体" w:cs="宋体"/>
          <w:sz w:val="24"/>
          <w:highlight w:val="none"/>
          <w:lang w:val="zh-CN"/>
        </w:rPr>
        <w:t>：</w:t>
      </w:r>
      <w:r>
        <w:rPr>
          <w:rFonts w:hint="eastAsia" w:ascii="宋体" w:hAnsi="宋体" w:eastAsia="宋体" w:cs="宋体"/>
          <w:sz w:val="24"/>
          <w:highlight w:val="none"/>
          <w:lang w:val="zh-CN"/>
        </w:rPr>
        <w:t xml:space="preserve"> </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传真</w:t>
      </w:r>
      <w:r>
        <w:rPr>
          <w:rFonts w:hint="eastAsia" w:ascii="宋体" w:hAnsi="宋体" w:cs="宋体"/>
          <w:sz w:val="24"/>
          <w:highlight w:val="none"/>
          <w:lang w:val="zh-CN"/>
        </w:rPr>
        <w:t>：</w:t>
      </w:r>
      <w:r>
        <w:rPr>
          <w:rFonts w:hint="eastAsia" w:ascii="宋体" w:hAnsi="宋体" w:eastAsia="宋体" w:cs="宋体"/>
          <w:sz w:val="24"/>
          <w:highlight w:val="none"/>
          <w:lang w:val="zh-CN"/>
        </w:rPr>
        <w:t xml:space="preserve">                                    传真</w:t>
      </w:r>
      <w:r>
        <w:rPr>
          <w:rFonts w:hint="eastAsia" w:ascii="宋体" w:hAnsi="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lang w:val="zh-CN"/>
        </w:rPr>
        <w:t>电子邮箱：                               电子邮箱：</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 xml:space="preserve">开户银行：                               开户银行： </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 xml:space="preserve">开户名称：                               开户名称： </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开户账号：</w:t>
      </w:r>
      <w:r>
        <w:rPr>
          <w:rFonts w:hint="eastAsia" w:ascii="宋体" w:hAnsi="宋体" w:eastAsia="宋体" w:cs="宋体"/>
          <w:sz w:val="24"/>
          <w:highlight w:val="none"/>
          <w:lang w:val="zh-CN"/>
        </w:rPr>
        <w:t xml:space="preserve">                               </w:t>
      </w:r>
      <w:r>
        <w:rPr>
          <w:rFonts w:hint="eastAsia" w:ascii="宋体" w:hAnsi="宋体" w:eastAsia="宋体" w:cs="宋体"/>
          <w:sz w:val="24"/>
          <w:highlight w:val="none"/>
        </w:rPr>
        <w:t>开户账号：</w:t>
      </w:r>
    </w:p>
    <w:p>
      <w:pPr>
        <w:widowControl/>
        <w:spacing w:line="560" w:lineRule="exact"/>
        <w:jc w:val="left"/>
        <w:rPr>
          <w:rFonts w:hint="eastAsia" w:ascii="宋体" w:hAnsi="宋体" w:eastAsia="宋体" w:cs="宋体"/>
          <w:b/>
          <w:bCs/>
          <w:sz w:val="24"/>
          <w:highlight w:val="none"/>
        </w:rPr>
      </w:pPr>
    </w:p>
    <w:p>
      <w:pPr>
        <w:widowControl/>
        <w:spacing w:line="560" w:lineRule="exact"/>
        <w:jc w:val="left"/>
        <w:rPr>
          <w:rFonts w:hint="eastAsia" w:ascii="宋体" w:hAnsi="宋体" w:eastAsia="宋体" w:cs="宋体"/>
          <w:b/>
          <w:bCs/>
          <w:kern w:val="0"/>
          <w:sz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pStyle w:val="170"/>
        <w:spacing w:line="560" w:lineRule="exact"/>
        <w:ind w:firstLine="200"/>
        <w:jc w:val="center"/>
        <w:rPr>
          <w:rFonts w:hint="eastAsia" w:ascii="宋体" w:hAnsi="宋体" w:eastAsia="宋体" w:cs="宋体"/>
          <w:b/>
          <w:bCs/>
          <w:szCs w:val="24"/>
          <w:highlight w:val="none"/>
        </w:rPr>
      </w:pPr>
    </w:p>
    <w:p>
      <w:pPr>
        <w:rPr>
          <w:rFonts w:hint="eastAsia" w:ascii="宋体" w:hAnsi="宋体" w:eastAsia="宋体" w:cs="宋体"/>
          <w:b/>
          <w:bCs/>
          <w:szCs w:val="24"/>
          <w:highlight w:val="none"/>
        </w:rPr>
      </w:pPr>
      <w:r>
        <w:rPr>
          <w:rFonts w:hint="eastAsia" w:ascii="宋体" w:hAnsi="宋体" w:eastAsia="宋体" w:cs="宋体"/>
          <w:b/>
          <w:bCs/>
          <w:szCs w:val="24"/>
          <w:highlight w:val="none"/>
        </w:rPr>
        <w:br w:type="page"/>
      </w:r>
    </w:p>
    <w:p>
      <w:pPr>
        <w:pStyle w:val="170"/>
        <w:spacing w:line="560" w:lineRule="exact"/>
        <w:ind w:firstLine="200"/>
        <w:jc w:val="center"/>
        <w:rPr>
          <w:rFonts w:hint="eastAsia" w:ascii="宋体" w:hAnsi="宋体" w:eastAsia="宋体" w:cs="宋体"/>
          <w:b/>
          <w:bCs/>
          <w:szCs w:val="24"/>
          <w:highlight w:val="none"/>
        </w:rPr>
      </w:pPr>
      <w:r>
        <w:rPr>
          <w:rFonts w:hint="eastAsia" w:ascii="宋体" w:hAnsi="宋体" w:eastAsia="宋体" w:cs="宋体"/>
          <w:b/>
          <w:bCs/>
          <w:szCs w:val="24"/>
          <w:highlight w:val="none"/>
        </w:rPr>
        <w:t>第二部分 合同一般条款</w:t>
      </w:r>
    </w:p>
    <w:p>
      <w:pPr>
        <w:spacing w:line="560" w:lineRule="exact"/>
        <w:ind w:firstLine="482" w:firstLineChars="200"/>
        <w:outlineLvl w:val="0"/>
        <w:rPr>
          <w:rFonts w:hint="eastAsia" w:ascii="宋体" w:hAnsi="宋体" w:eastAsia="宋体" w:cs="宋体"/>
          <w:b/>
          <w:bCs/>
          <w:sz w:val="24"/>
          <w:highlight w:val="none"/>
        </w:rPr>
      </w:pPr>
      <w:bookmarkStart w:id="324" w:name="_Toc25079"/>
      <w:bookmarkStart w:id="325" w:name="_Toc5228"/>
      <w:bookmarkStart w:id="326" w:name="_Toc31297"/>
      <w:bookmarkStart w:id="327" w:name="_Toc14021"/>
      <w:bookmarkStart w:id="328" w:name="_Toc19680"/>
      <w:r>
        <w:rPr>
          <w:rFonts w:hint="eastAsia" w:ascii="宋体" w:hAnsi="宋体" w:eastAsia="宋体" w:cs="宋体"/>
          <w:b/>
          <w:bCs/>
          <w:sz w:val="24"/>
          <w:highlight w:val="none"/>
        </w:rPr>
        <w:t>2.1 定义</w:t>
      </w:r>
      <w:bookmarkEnd w:id="324"/>
      <w:bookmarkEnd w:id="325"/>
      <w:bookmarkEnd w:id="326"/>
      <w:bookmarkEnd w:id="327"/>
      <w:bookmarkEnd w:id="32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 “合同价”系指根据合同约定，中标供应商在完全履行合同义务后，采购人应支付给中标供应商的价格。</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 “甲方”系指与中标供应商签署合同的采购人；采购人委托采购代理机构代表其与乙方签订合同的，采购人的授权委托书作为合同附件。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 “现场”系指合同约定提供服务的地点。</w:t>
      </w:r>
    </w:p>
    <w:p>
      <w:pPr>
        <w:spacing w:line="560" w:lineRule="exact"/>
        <w:ind w:firstLine="482" w:firstLineChars="200"/>
        <w:outlineLvl w:val="0"/>
        <w:rPr>
          <w:rFonts w:hint="eastAsia" w:ascii="宋体" w:hAnsi="宋体" w:eastAsia="宋体" w:cs="宋体"/>
          <w:b/>
          <w:bCs/>
          <w:sz w:val="24"/>
          <w:highlight w:val="none"/>
        </w:rPr>
      </w:pPr>
      <w:bookmarkStart w:id="329" w:name="_Toc3769"/>
      <w:bookmarkStart w:id="330" w:name="_Toc19539"/>
      <w:bookmarkStart w:id="331" w:name="_Toc31402"/>
      <w:bookmarkStart w:id="332" w:name="_Toc16752"/>
      <w:bookmarkStart w:id="333" w:name="_Toc23289"/>
      <w:r>
        <w:rPr>
          <w:rFonts w:hint="eastAsia" w:ascii="宋体" w:hAnsi="宋体" w:eastAsia="宋体" w:cs="宋体"/>
          <w:b/>
          <w:bCs/>
          <w:sz w:val="24"/>
          <w:highlight w:val="none"/>
        </w:rPr>
        <w:t>2.2 技术规范</w:t>
      </w:r>
      <w:bookmarkEnd w:id="329"/>
      <w:bookmarkEnd w:id="330"/>
      <w:bookmarkEnd w:id="331"/>
      <w:bookmarkEnd w:id="332"/>
      <w:bookmarkEnd w:id="33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服务所应遵守的技术规范应与采购文件规定的技术规范和技术规范附件</w:t>
      </w:r>
      <w:r>
        <w:rPr>
          <w:rFonts w:hint="eastAsia" w:ascii="宋体" w:hAnsi="宋体" w:cs="宋体"/>
          <w:sz w:val="24"/>
          <w:highlight w:val="none"/>
          <w:lang w:eastAsia="zh-CN"/>
        </w:rPr>
        <w:t>（</w:t>
      </w:r>
      <w:r>
        <w:rPr>
          <w:rFonts w:hint="eastAsia" w:ascii="宋体" w:hAnsi="宋体" w:eastAsia="宋体" w:cs="宋体"/>
          <w:sz w:val="24"/>
          <w:highlight w:val="none"/>
        </w:rPr>
        <w:t>如果有的话</w:t>
      </w:r>
      <w:r>
        <w:rPr>
          <w:rFonts w:hint="eastAsia" w:ascii="宋体" w:hAnsi="宋体" w:cs="宋体"/>
          <w:sz w:val="24"/>
          <w:highlight w:val="none"/>
          <w:lang w:eastAsia="zh-CN"/>
        </w:rPr>
        <w:t>）</w:t>
      </w:r>
      <w:r>
        <w:rPr>
          <w:rFonts w:hint="eastAsia" w:ascii="宋体" w:hAnsi="宋体" w:eastAsia="宋体" w:cs="宋体"/>
          <w:sz w:val="24"/>
          <w:highlight w:val="none"/>
        </w:rPr>
        <w:t>及其技术规范偏差表</w:t>
      </w:r>
      <w:r>
        <w:rPr>
          <w:rFonts w:hint="eastAsia" w:ascii="宋体" w:hAnsi="宋体" w:cs="宋体"/>
          <w:sz w:val="24"/>
          <w:highlight w:val="none"/>
          <w:lang w:eastAsia="zh-CN"/>
        </w:rPr>
        <w:t>（</w:t>
      </w:r>
      <w:r>
        <w:rPr>
          <w:rFonts w:hint="eastAsia" w:ascii="宋体" w:hAnsi="宋体" w:eastAsia="宋体" w:cs="宋体"/>
          <w:sz w:val="24"/>
          <w:highlight w:val="none"/>
        </w:rPr>
        <w:t>如果被甲方接受的话</w:t>
      </w:r>
      <w:r>
        <w:rPr>
          <w:rFonts w:hint="eastAsia" w:ascii="宋体" w:hAnsi="宋体" w:cs="宋体"/>
          <w:sz w:val="24"/>
          <w:highlight w:val="none"/>
          <w:lang w:eastAsia="zh-CN"/>
        </w:rPr>
        <w:t>）</w:t>
      </w:r>
      <w:r>
        <w:rPr>
          <w:rFonts w:hint="eastAsia" w:ascii="宋体" w:hAnsi="宋体" w:eastAsia="宋体" w:cs="宋体"/>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eastAsia="宋体" w:cs="宋体"/>
          <w:b/>
          <w:bCs/>
          <w:sz w:val="24"/>
          <w:highlight w:val="none"/>
        </w:rPr>
      </w:pPr>
      <w:bookmarkStart w:id="334" w:name="_Toc9161"/>
      <w:bookmarkStart w:id="335" w:name="_Toc27945"/>
      <w:bookmarkStart w:id="336" w:name="_Toc13673"/>
      <w:bookmarkStart w:id="337" w:name="_Toc4133"/>
      <w:bookmarkStart w:id="338" w:name="_Toc12412"/>
      <w:r>
        <w:rPr>
          <w:rFonts w:hint="eastAsia" w:ascii="宋体" w:hAnsi="宋体" w:eastAsia="宋体" w:cs="宋体"/>
          <w:b/>
          <w:bCs/>
          <w:sz w:val="24"/>
          <w:highlight w:val="none"/>
        </w:rPr>
        <w:t>2.3 知识产权</w:t>
      </w:r>
      <w:bookmarkEnd w:id="334"/>
      <w:bookmarkEnd w:id="335"/>
      <w:bookmarkEnd w:id="336"/>
      <w:bookmarkEnd w:id="337"/>
      <w:bookmarkEnd w:id="338"/>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2.4 履约检查和问题反馈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 合同履行期间，甲方有权将履行过程中出现的问题反馈给乙方，双方当事人应以书面形式约定需要完善和改进的内容。</w:t>
      </w:r>
    </w:p>
    <w:p>
      <w:pPr>
        <w:spacing w:line="560" w:lineRule="exact"/>
        <w:ind w:firstLine="482" w:firstLineChars="200"/>
        <w:outlineLvl w:val="0"/>
        <w:rPr>
          <w:rFonts w:hint="eastAsia" w:ascii="宋体" w:hAnsi="宋体" w:eastAsia="宋体" w:cs="宋体"/>
          <w:b/>
          <w:bCs/>
          <w:sz w:val="24"/>
          <w:highlight w:val="none"/>
        </w:rPr>
      </w:pPr>
      <w:bookmarkStart w:id="339" w:name="_Toc30507"/>
      <w:bookmarkStart w:id="340" w:name="_Toc13154"/>
      <w:bookmarkStart w:id="341" w:name="_Toc18990"/>
      <w:bookmarkStart w:id="342" w:name="_Toc13467"/>
      <w:bookmarkStart w:id="343" w:name="_Toc16163"/>
      <w:r>
        <w:rPr>
          <w:rFonts w:hint="eastAsia" w:ascii="宋体" w:hAnsi="宋体" w:eastAsia="宋体" w:cs="宋体"/>
          <w:b/>
          <w:bCs/>
          <w:sz w:val="24"/>
          <w:highlight w:val="none"/>
        </w:rPr>
        <w:t>2.5 技术资料和保密义务</w:t>
      </w:r>
      <w:bookmarkEnd w:id="339"/>
      <w:bookmarkEnd w:id="340"/>
      <w:bookmarkEnd w:id="341"/>
      <w:bookmarkEnd w:id="342"/>
      <w:bookmarkEnd w:id="343"/>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2.5.1 乙方有权依据合同约定和项目需要，向甲方了解有关情况，调阅有关资料等，甲方应予积极配合；</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 乙方有义务妥善保管和保护由甲方提供的前款信息和资料等；</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eastAsia="宋体" w:cs="宋体"/>
          <w:b/>
          <w:bCs/>
          <w:sz w:val="24"/>
          <w:highlight w:val="none"/>
        </w:rPr>
      </w:pPr>
      <w:bookmarkStart w:id="344" w:name="_Toc19069"/>
      <w:r>
        <w:rPr>
          <w:rFonts w:hint="eastAsia" w:ascii="宋体" w:hAnsi="宋体" w:eastAsia="宋体" w:cs="宋体"/>
          <w:b/>
          <w:bCs/>
          <w:sz w:val="24"/>
          <w:highlight w:val="none"/>
        </w:rPr>
        <w:t>2.6 质量保证</w:t>
      </w:r>
      <w:bookmarkEnd w:id="344"/>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2.6.1 乙方应建立和完善履行合同的内部质量保证体系，并提供相关内部规章制度给甲方，以便甲方进行监督检查；</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eastAsia="宋体" w:cs="宋体"/>
          <w:b/>
          <w:bCs/>
          <w:sz w:val="24"/>
          <w:highlight w:val="none"/>
        </w:rPr>
      </w:pPr>
      <w:bookmarkStart w:id="345" w:name="_Toc22267"/>
      <w:r>
        <w:rPr>
          <w:rFonts w:hint="eastAsia" w:ascii="宋体" w:hAnsi="宋体" w:eastAsia="宋体" w:cs="宋体"/>
          <w:b/>
          <w:bCs/>
          <w:sz w:val="24"/>
          <w:highlight w:val="none"/>
        </w:rPr>
        <w:t>2.7 延迟履行</w:t>
      </w:r>
      <w:bookmarkEnd w:id="345"/>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宋体" w:hAnsi="宋体" w:eastAsia="宋体" w:cs="宋体"/>
          <w:b/>
          <w:bCs/>
          <w:sz w:val="24"/>
          <w:highlight w:val="none"/>
        </w:rPr>
      </w:pPr>
      <w:bookmarkStart w:id="346" w:name="_Toc10611"/>
      <w:r>
        <w:rPr>
          <w:rFonts w:hint="eastAsia" w:ascii="宋体" w:hAnsi="宋体" w:eastAsia="宋体" w:cs="宋体"/>
          <w:b/>
          <w:bCs/>
          <w:sz w:val="24"/>
          <w:highlight w:val="none"/>
        </w:rPr>
        <w:t>2.8 合同变更</w:t>
      </w:r>
      <w:bookmarkEnd w:id="34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2.8.2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sz w:val="24"/>
          <w:highlight w:val="none"/>
        </w:rPr>
      </w:pPr>
      <w:bookmarkStart w:id="347" w:name="_Toc42"/>
      <w:bookmarkStart w:id="348" w:name="_Toc26689"/>
      <w:bookmarkStart w:id="349" w:name="_Toc10663"/>
      <w:bookmarkStart w:id="350" w:name="_Toc23368"/>
      <w:bookmarkStart w:id="351" w:name="_Toc21830"/>
      <w:r>
        <w:rPr>
          <w:rFonts w:hint="eastAsia" w:ascii="宋体" w:hAnsi="宋体" w:eastAsia="宋体" w:cs="宋体"/>
          <w:b/>
          <w:bCs/>
          <w:sz w:val="24"/>
          <w:highlight w:val="none"/>
        </w:rPr>
        <w:t>2.9 合同转让和分包</w:t>
      </w:r>
      <w:bookmarkEnd w:id="347"/>
      <w:bookmarkEnd w:id="348"/>
      <w:bookmarkEnd w:id="349"/>
      <w:bookmarkEnd w:id="350"/>
      <w:bookmarkEnd w:id="35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eastAsia="宋体" w:cs="宋体"/>
          <w:b/>
          <w:bCs/>
          <w:sz w:val="24"/>
          <w:highlight w:val="none"/>
        </w:rPr>
      </w:pPr>
      <w:bookmarkStart w:id="352" w:name="_Toc25571"/>
      <w:bookmarkStart w:id="353" w:name="_Toc32494"/>
      <w:bookmarkStart w:id="354" w:name="_Toc4720"/>
      <w:bookmarkStart w:id="355" w:name="_Toc26633"/>
      <w:bookmarkStart w:id="356" w:name="_Toc14371"/>
      <w:r>
        <w:rPr>
          <w:rFonts w:hint="eastAsia" w:ascii="宋体" w:hAnsi="宋体" w:eastAsia="宋体" w:cs="宋体"/>
          <w:b/>
          <w:bCs/>
          <w:sz w:val="24"/>
          <w:highlight w:val="none"/>
        </w:rPr>
        <w:t>2.10 不可抗力</w:t>
      </w:r>
      <w:bookmarkEnd w:id="352"/>
      <w:bookmarkEnd w:id="353"/>
      <w:bookmarkEnd w:id="354"/>
      <w:bookmarkEnd w:id="355"/>
      <w:bookmarkEnd w:id="35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2.10.2 因不可抗力致使不能实现合同目的的，当事人可以解除合同；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2.10.3 因不可抗力致使合同有变更必要的，双方当事人应在</w:t>
      </w:r>
      <w:r>
        <w:rPr>
          <w:rFonts w:hint="eastAsia" w:ascii="宋体" w:hAnsi="宋体" w:eastAsia="宋体" w:cs="宋体"/>
          <w:b/>
          <w:bCs/>
          <w:i/>
          <w:iCs/>
          <w:sz w:val="24"/>
          <w:highlight w:val="none"/>
          <w:u w:val="single"/>
        </w:rPr>
        <w:t>5个工作日</w:t>
      </w:r>
      <w:r>
        <w:rPr>
          <w:rFonts w:hint="eastAsia" w:ascii="宋体" w:hAnsi="宋体" w:eastAsia="宋体" w:cs="宋体"/>
          <w:sz w:val="24"/>
          <w:highlight w:val="none"/>
        </w:rPr>
        <w:t>内以书面形式变更合同；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2.10.4受不可抗力影响的一方在不可抗力发生后，应在</w:t>
      </w:r>
      <w:r>
        <w:rPr>
          <w:rFonts w:hint="eastAsia" w:ascii="宋体" w:hAnsi="宋体" w:eastAsia="宋体" w:cs="宋体"/>
          <w:b/>
          <w:bCs/>
          <w:i/>
          <w:iCs/>
          <w:sz w:val="24"/>
          <w:highlight w:val="none"/>
          <w:u w:val="single"/>
        </w:rPr>
        <w:t>3个工作日</w:t>
      </w:r>
      <w:r>
        <w:rPr>
          <w:rFonts w:hint="eastAsia" w:ascii="宋体" w:hAnsi="宋体" w:eastAsia="宋体" w:cs="宋体"/>
          <w:sz w:val="24"/>
          <w:highlight w:val="none"/>
        </w:rPr>
        <w:t>内以书面形式通知对方当事人，并在</w:t>
      </w:r>
      <w:r>
        <w:rPr>
          <w:rFonts w:hint="eastAsia" w:ascii="宋体" w:hAnsi="宋体" w:eastAsia="宋体" w:cs="宋体"/>
          <w:b/>
          <w:bCs/>
          <w:i/>
          <w:iCs/>
          <w:sz w:val="24"/>
          <w:highlight w:val="none"/>
          <w:u w:val="single"/>
        </w:rPr>
        <w:t>5个工作日</w:t>
      </w:r>
      <w:r>
        <w:rPr>
          <w:rFonts w:hint="eastAsia" w:ascii="宋体" w:hAnsi="宋体" w:eastAsia="宋体" w:cs="宋体"/>
          <w:sz w:val="24"/>
          <w:highlight w:val="none"/>
        </w:rPr>
        <w:t>内，将有关部门出具的证明文件送达对方当事人。</w:t>
      </w:r>
    </w:p>
    <w:p>
      <w:pPr>
        <w:spacing w:line="560" w:lineRule="exact"/>
        <w:ind w:firstLine="482" w:firstLineChars="200"/>
        <w:outlineLvl w:val="0"/>
        <w:rPr>
          <w:rFonts w:hint="eastAsia" w:ascii="宋体" w:hAnsi="宋体" w:eastAsia="宋体" w:cs="宋体"/>
          <w:b/>
          <w:bCs/>
          <w:sz w:val="24"/>
          <w:highlight w:val="none"/>
        </w:rPr>
      </w:pPr>
      <w:bookmarkStart w:id="357" w:name="_Toc3638"/>
      <w:bookmarkStart w:id="358" w:name="_Toc14115"/>
      <w:bookmarkStart w:id="359" w:name="_Toc23854"/>
      <w:bookmarkStart w:id="360" w:name="_Toc24465"/>
      <w:bookmarkStart w:id="361" w:name="_Toc25783"/>
      <w:r>
        <w:rPr>
          <w:rFonts w:hint="eastAsia" w:ascii="宋体" w:hAnsi="宋体" w:eastAsia="宋体" w:cs="宋体"/>
          <w:b/>
          <w:bCs/>
          <w:sz w:val="24"/>
          <w:highlight w:val="none"/>
        </w:rPr>
        <w:t>2.11 税费</w:t>
      </w:r>
      <w:bookmarkEnd w:id="357"/>
      <w:bookmarkEnd w:id="358"/>
      <w:bookmarkEnd w:id="359"/>
      <w:bookmarkEnd w:id="360"/>
      <w:bookmarkEnd w:id="36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pPr>
        <w:spacing w:line="560" w:lineRule="exact"/>
        <w:ind w:firstLine="482" w:firstLineChars="200"/>
        <w:outlineLvl w:val="0"/>
        <w:rPr>
          <w:rFonts w:hint="eastAsia" w:ascii="宋体" w:hAnsi="宋体" w:eastAsia="宋体" w:cs="宋体"/>
          <w:b/>
          <w:bCs/>
          <w:sz w:val="24"/>
          <w:highlight w:val="none"/>
        </w:rPr>
      </w:pPr>
      <w:bookmarkStart w:id="362" w:name="_Toc7315"/>
      <w:bookmarkStart w:id="363" w:name="_Toc14814"/>
      <w:bookmarkStart w:id="364" w:name="_Toc25525"/>
      <w:bookmarkStart w:id="365" w:name="_Toc26883"/>
      <w:bookmarkStart w:id="366" w:name="_Toc30105"/>
      <w:r>
        <w:rPr>
          <w:rFonts w:hint="eastAsia" w:ascii="宋体" w:hAnsi="宋体" w:eastAsia="宋体" w:cs="宋体"/>
          <w:b/>
          <w:bCs/>
          <w:sz w:val="24"/>
          <w:highlight w:val="none"/>
        </w:rPr>
        <w:t>2.12 乙方破产</w:t>
      </w:r>
      <w:bookmarkEnd w:id="362"/>
      <w:bookmarkEnd w:id="363"/>
      <w:bookmarkEnd w:id="364"/>
      <w:bookmarkEnd w:id="365"/>
      <w:bookmarkEnd w:id="36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eastAsia="宋体" w:cs="宋体"/>
          <w:b/>
          <w:bCs/>
          <w:sz w:val="24"/>
          <w:highlight w:val="none"/>
        </w:rPr>
      </w:pPr>
      <w:bookmarkStart w:id="367" w:name="_Toc23323"/>
      <w:bookmarkStart w:id="368" w:name="_Toc2016"/>
      <w:bookmarkStart w:id="369" w:name="_Toc1123"/>
      <w:r>
        <w:rPr>
          <w:rFonts w:hint="eastAsia" w:ascii="宋体" w:hAnsi="宋体" w:eastAsia="宋体" w:cs="宋体"/>
          <w:b/>
          <w:bCs/>
          <w:sz w:val="24"/>
          <w:highlight w:val="none"/>
        </w:rPr>
        <w:t>2.13 合同中止、终止</w:t>
      </w:r>
      <w:bookmarkEnd w:id="367"/>
      <w:bookmarkEnd w:id="368"/>
      <w:bookmarkEnd w:id="369"/>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2.13.1 双方当事人不得擅自中止或者终止合同；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eastAsia="宋体" w:cs="宋体"/>
          <w:b/>
          <w:bCs/>
          <w:sz w:val="24"/>
          <w:highlight w:val="none"/>
        </w:rPr>
      </w:pPr>
      <w:bookmarkStart w:id="370" w:name="_Toc1969"/>
      <w:bookmarkStart w:id="371" w:name="_Toc17363"/>
      <w:bookmarkStart w:id="372" w:name="_Toc14525"/>
      <w:r>
        <w:rPr>
          <w:rFonts w:hint="eastAsia" w:ascii="宋体" w:hAnsi="宋体" w:eastAsia="宋体" w:cs="宋体"/>
          <w:b/>
          <w:bCs/>
          <w:sz w:val="24"/>
          <w:highlight w:val="none"/>
        </w:rPr>
        <w:t>2.14 检验和验收</w:t>
      </w:r>
      <w:bookmarkEnd w:id="370"/>
      <w:bookmarkEnd w:id="371"/>
      <w:bookmarkEnd w:id="372"/>
    </w:p>
    <w:p>
      <w:pPr>
        <w:tabs>
          <w:tab w:val="left" w:pos="360"/>
          <w:tab w:val="left" w:pos="540"/>
          <w:tab w:val="left" w:pos="1080"/>
        </w:tabs>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2.14.2 检验和验收标准、程序等具体内容以及前述验收书的效力详见磋商文件及投标文件要求。</w:t>
      </w:r>
    </w:p>
    <w:p>
      <w:pPr>
        <w:spacing w:line="560" w:lineRule="exact"/>
        <w:ind w:firstLine="482" w:firstLineChars="200"/>
        <w:outlineLvl w:val="0"/>
        <w:rPr>
          <w:rFonts w:hint="eastAsia" w:ascii="宋体" w:hAnsi="宋体" w:eastAsia="宋体" w:cs="宋体"/>
          <w:b/>
          <w:bCs/>
          <w:sz w:val="24"/>
          <w:highlight w:val="none"/>
        </w:rPr>
      </w:pPr>
      <w:bookmarkStart w:id="373" w:name="_Toc12666"/>
      <w:bookmarkStart w:id="374" w:name="_Toc2308"/>
      <w:bookmarkStart w:id="375" w:name="_Toc25198"/>
      <w:bookmarkStart w:id="376" w:name="_Toc31892"/>
      <w:bookmarkStart w:id="377" w:name="_Toc9808"/>
      <w:r>
        <w:rPr>
          <w:rFonts w:hint="eastAsia" w:ascii="宋体" w:hAnsi="宋体" w:eastAsia="宋体" w:cs="宋体"/>
          <w:b/>
          <w:bCs/>
          <w:sz w:val="24"/>
          <w:highlight w:val="none"/>
        </w:rPr>
        <w:t>2.15 通知和送达</w:t>
      </w:r>
      <w:bookmarkEnd w:id="373"/>
      <w:bookmarkEnd w:id="374"/>
      <w:bookmarkEnd w:id="375"/>
      <w:bookmarkEnd w:id="376"/>
      <w:bookmarkEnd w:id="377"/>
    </w:p>
    <w:p>
      <w:pPr>
        <w:spacing w:line="560" w:lineRule="exact"/>
        <w:ind w:firstLine="480" w:firstLineChars="200"/>
        <w:rPr>
          <w:rFonts w:hint="eastAsia" w:ascii="宋体" w:hAnsi="宋体" w:eastAsia="宋体" w:cs="宋体"/>
          <w:sz w:val="24"/>
          <w:highlight w:val="none"/>
        </w:rPr>
      </w:pPr>
      <w:bookmarkStart w:id="378" w:name="_Toc29220"/>
      <w:bookmarkStart w:id="379" w:name="_Toc7073"/>
      <w:r>
        <w:rPr>
          <w:rFonts w:hint="eastAsia" w:ascii="宋体" w:hAnsi="宋体" w:eastAsia="宋体" w:cs="宋体"/>
          <w:sz w:val="24"/>
          <w:highlight w:val="none"/>
        </w:rPr>
        <w:t>2.15.1 任何一方因履行合同而以合同第一部分尾部所列明的所有通知、文件、材料，均视为已向对方当事人送达；任何一方变更上述送达方式或者地址的，应于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个工作日内书面通知对方当事人，在对方当事人收到有关变更通知之前，变更前的约定送达方式或者地址仍视为有效。</w:t>
      </w:r>
      <w:bookmarkEnd w:id="378"/>
      <w:bookmarkEnd w:id="379"/>
    </w:p>
    <w:p>
      <w:pPr>
        <w:spacing w:line="560" w:lineRule="exact"/>
        <w:ind w:firstLine="480" w:firstLineChars="200"/>
        <w:rPr>
          <w:rFonts w:hint="eastAsia" w:ascii="宋体" w:hAnsi="宋体" w:eastAsia="宋体" w:cs="宋体"/>
          <w:sz w:val="24"/>
          <w:highlight w:val="none"/>
        </w:rPr>
      </w:pPr>
      <w:bookmarkStart w:id="380" w:name="_Toc18401"/>
      <w:bookmarkStart w:id="381" w:name="_Toc27674"/>
      <w:r>
        <w:rPr>
          <w:rFonts w:hint="eastAsia" w:ascii="宋体" w:hAnsi="宋体" w:eastAsia="宋体" w:cs="宋体"/>
          <w:sz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380"/>
      <w:bookmarkEnd w:id="381"/>
    </w:p>
    <w:p>
      <w:pPr>
        <w:spacing w:line="560" w:lineRule="exact"/>
        <w:ind w:firstLine="482" w:firstLineChars="200"/>
        <w:outlineLvl w:val="0"/>
        <w:rPr>
          <w:rFonts w:hint="eastAsia" w:ascii="宋体" w:hAnsi="宋体" w:eastAsia="宋体" w:cs="宋体"/>
          <w:b/>
          <w:bCs/>
          <w:sz w:val="24"/>
          <w:highlight w:val="none"/>
        </w:rPr>
      </w:pPr>
      <w:bookmarkStart w:id="382" w:name="_Toc27644"/>
      <w:bookmarkStart w:id="383" w:name="_Toc28906"/>
      <w:bookmarkStart w:id="384" w:name="_Toc12254"/>
      <w:bookmarkStart w:id="385" w:name="_Toc5063"/>
      <w:bookmarkStart w:id="386" w:name="_Toc20808"/>
      <w:r>
        <w:rPr>
          <w:rFonts w:hint="eastAsia" w:ascii="宋体" w:hAnsi="宋体" w:eastAsia="宋体" w:cs="宋体"/>
          <w:b/>
          <w:bCs/>
          <w:sz w:val="24"/>
          <w:highlight w:val="none"/>
        </w:rPr>
        <w:t>2.16 合同使用的文字和适用的法律</w:t>
      </w:r>
      <w:bookmarkEnd w:id="382"/>
      <w:bookmarkEnd w:id="383"/>
      <w:bookmarkEnd w:id="384"/>
      <w:bookmarkEnd w:id="385"/>
      <w:bookmarkEnd w:id="38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2.16.1 合同使用汉语书就、变更和解释；</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2.16.2 合同适用中华人民共和国法律。</w:t>
      </w:r>
    </w:p>
    <w:p>
      <w:pPr>
        <w:spacing w:line="560" w:lineRule="exact"/>
        <w:ind w:firstLine="482" w:firstLineChars="200"/>
        <w:outlineLvl w:val="0"/>
        <w:rPr>
          <w:rFonts w:hint="eastAsia" w:ascii="宋体" w:hAnsi="宋体" w:eastAsia="宋体" w:cs="宋体"/>
          <w:b/>
          <w:bCs/>
          <w:sz w:val="24"/>
          <w:highlight w:val="none"/>
        </w:rPr>
      </w:pPr>
      <w:bookmarkStart w:id="387" w:name="_Toc27403"/>
      <w:bookmarkStart w:id="388" w:name="_Toc30096"/>
      <w:bookmarkStart w:id="389" w:name="_Toc22266"/>
      <w:bookmarkStart w:id="390" w:name="_Toc1492"/>
      <w:bookmarkStart w:id="391" w:name="_Toc27127"/>
      <w:r>
        <w:rPr>
          <w:rFonts w:hint="eastAsia" w:ascii="宋体" w:hAnsi="宋体" w:eastAsia="宋体" w:cs="宋体"/>
          <w:b/>
          <w:bCs/>
          <w:sz w:val="24"/>
          <w:highlight w:val="none"/>
        </w:rPr>
        <w:t>2.17 履约保证金</w:t>
      </w:r>
      <w:bookmarkEnd w:id="387"/>
      <w:bookmarkEnd w:id="388"/>
      <w:bookmarkEnd w:id="389"/>
      <w:bookmarkEnd w:id="390"/>
      <w:bookmarkEnd w:id="391"/>
    </w:p>
    <w:p>
      <w:pPr>
        <w:spacing w:line="560" w:lineRule="exact"/>
        <w:ind w:firstLine="480" w:firstLineChars="200"/>
        <w:rPr>
          <w:rFonts w:hint="eastAsia" w:ascii="宋体" w:hAnsi="宋体" w:eastAsia="宋体" w:cs="宋体"/>
          <w:color w:val="0000FF"/>
          <w:sz w:val="24"/>
          <w:highlight w:val="none"/>
        </w:rPr>
      </w:pPr>
      <w:r>
        <w:rPr>
          <w:rFonts w:hint="eastAsia" w:ascii="宋体" w:hAnsi="宋体" w:eastAsia="宋体" w:cs="宋体"/>
          <w:sz w:val="24"/>
          <w:highlight w:val="none"/>
        </w:rPr>
        <w:t>2.17.1 采购文件要求乙方提交履约保证金的，乙方应按合同金额的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计算向下取整至万元，以支票、汇票或者转账等非现金形式，在签订合同前5个日历日内向采购人交纳履约保证金；</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2.17.2 履约保证金在项目安装调试完成试运行3个月验收合格后5个工作日内，将履约保证金退还乙方；</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2.18 合同份数</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合同一式四份，甲乙双方各持2份，每份均具有同等法律效力。</w:t>
      </w:r>
    </w:p>
    <w:p>
      <w:pPr>
        <w:pStyle w:val="24"/>
        <w:rPr>
          <w:rFonts w:hint="eastAsia" w:ascii="宋体" w:hAnsi="宋体" w:eastAsia="宋体" w:cs="宋体"/>
          <w:sz w:val="28"/>
          <w:szCs w:val="21"/>
          <w:highlight w:val="none"/>
        </w:rPr>
      </w:pPr>
    </w:p>
    <w:p>
      <w:pPr>
        <w:pStyle w:val="24"/>
        <w:rPr>
          <w:rFonts w:hint="eastAsia" w:ascii="宋体" w:hAnsi="宋体" w:eastAsia="宋体" w:cs="宋体"/>
          <w:kern w:val="44"/>
          <w:sz w:val="28"/>
          <w:szCs w:val="28"/>
          <w:highlight w:val="none"/>
        </w:rPr>
      </w:pPr>
      <w:r>
        <w:rPr>
          <w:rFonts w:hint="eastAsia" w:ascii="宋体" w:hAnsi="宋体" w:eastAsia="宋体" w:cs="宋体"/>
          <w:b/>
          <w:bCs/>
          <w:kern w:val="2"/>
          <w:sz w:val="32"/>
          <w:szCs w:val="32"/>
          <w:highlight w:val="none"/>
        </w:rPr>
        <w:t>（本合同仅供参考）</w:t>
      </w:r>
    </w:p>
    <w:p>
      <w:pPr>
        <w:pStyle w:val="2"/>
        <w:ind w:firstLine="560"/>
        <w:rPr>
          <w:rFonts w:hint="eastAsia" w:ascii="宋体" w:hAnsi="宋体" w:eastAsia="宋体" w:cs="宋体"/>
          <w:kern w:val="44"/>
          <w:sz w:val="28"/>
          <w:szCs w:val="28"/>
          <w:highlight w:val="none"/>
        </w:rPr>
      </w:pPr>
    </w:p>
    <w:p>
      <w:pPr>
        <w:pStyle w:val="5"/>
        <w:tabs>
          <w:tab w:val="left" w:pos="567"/>
        </w:tabs>
        <w:ind w:firstLine="560"/>
        <w:rPr>
          <w:rFonts w:hint="eastAsia" w:ascii="宋体" w:hAnsi="宋体" w:eastAsia="宋体" w:cs="宋体"/>
          <w:kern w:val="44"/>
          <w:sz w:val="28"/>
          <w:szCs w:val="28"/>
          <w:highlight w:val="none"/>
        </w:rPr>
      </w:pPr>
    </w:p>
    <w:p>
      <w:pPr>
        <w:pStyle w:val="2"/>
        <w:ind w:firstLine="560"/>
        <w:rPr>
          <w:rFonts w:hint="eastAsia" w:ascii="宋体" w:hAnsi="宋体" w:eastAsia="宋体" w:cs="宋体"/>
          <w:kern w:val="44"/>
          <w:sz w:val="28"/>
          <w:szCs w:val="28"/>
          <w:highlight w:val="none"/>
        </w:rPr>
      </w:pPr>
    </w:p>
    <w:p>
      <w:pPr>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br w:type="page"/>
      </w:r>
    </w:p>
    <w:p>
      <w:pPr>
        <w:spacing w:line="360" w:lineRule="auto"/>
        <w:ind w:firstLine="562" w:firstLineChars="200"/>
        <w:jc w:val="center"/>
        <w:outlineLvl w:val="0"/>
        <w:rPr>
          <w:rFonts w:hint="eastAsia" w:ascii="宋体" w:hAnsi="宋体" w:eastAsia="宋体" w:cs="宋体"/>
          <w:b/>
          <w:sz w:val="36"/>
          <w:szCs w:val="36"/>
          <w:highlight w:val="none"/>
        </w:rPr>
      </w:pPr>
      <w:r>
        <w:rPr>
          <w:rFonts w:hint="eastAsia" w:ascii="宋体" w:hAnsi="宋体" w:eastAsia="宋体" w:cs="宋体"/>
          <w:b/>
          <w:kern w:val="2"/>
          <w:sz w:val="28"/>
          <w:szCs w:val="28"/>
          <w:highlight w:val="none"/>
          <w:lang w:val="en-US" w:eastAsia="zh-CN" w:bidi="ar-SA"/>
        </w:rPr>
        <w:t>第六章　投标文件格式</w:t>
      </w:r>
      <w:bookmarkEnd w:id="279"/>
      <w:bookmarkEnd w:id="280"/>
      <w:bookmarkEnd w:id="281"/>
      <w:bookmarkEnd w:id="282"/>
      <w:bookmarkEnd w:id="283"/>
    </w:p>
    <w:p>
      <w:pPr>
        <w:adjustRightInd w:val="0"/>
        <w:spacing w:line="360" w:lineRule="auto"/>
        <w:rPr>
          <w:rFonts w:hint="eastAsia" w:ascii="宋体" w:hAnsi="宋体" w:eastAsia="宋体" w:cs="宋体"/>
          <w:szCs w:val="24"/>
          <w:highlight w:val="none"/>
        </w:rPr>
      </w:pPr>
    </w:p>
    <w:p>
      <w:pPr>
        <w:spacing w:line="560" w:lineRule="exact"/>
        <w:ind w:firstLine="480" w:firstLineChars="200"/>
        <w:outlineLvl w:val="1"/>
        <w:rPr>
          <w:rFonts w:hint="eastAsia" w:ascii="宋体" w:hAnsi="宋体" w:eastAsia="宋体" w:cs="宋体"/>
          <w:kern w:val="2"/>
          <w:sz w:val="24"/>
          <w:szCs w:val="24"/>
          <w:highlight w:val="none"/>
          <w:lang w:val="en-US" w:eastAsia="zh-CN" w:bidi="ar-SA"/>
        </w:rPr>
      </w:pPr>
      <w:bookmarkStart w:id="392" w:name="_Toc23594"/>
      <w:r>
        <w:rPr>
          <w:rFonts w:hint="eastAsia" w:ascii="宋体" w:hAnsi="宋体" w:eastAsia="宋体" w:cs="宋体"/>
          <w:kern w:val="2"/>
          <w:sz w:val="24"/>
          <w:szCs w:val="24"/>
          <w:highlight w:val="none"/>
          <w:lang w:val="en-US" w:eastAsia="zh-CN" w:bidi="ar-SA"/>
        </w:rPr>
        <w:t>一、投标人提交投标文件须知：</w:t>
      </w:r>
      <w:bookmarkEnd w:id="392"/>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1、投标人应严格按照以下顺序填写和提交下述规定的全部格式文件以及其他有关资料，混乱的编排导致投标文件被误读或评标小组查找不到有效文件是投标人的风险。</w:t>
      </w:r>
    </w:p>
    <w:p>
      <w:pPr>
        <w:spacing w:line="560" w:lineRule="exact"/>
        <w:ind w:firstLine="480" w:firstLineChars="200"/>
        <w:outlineLvl w:val="2"/>
        <w:rPr>
          <w:rFonts w:hint="eastAsia" w:ascii="宋体" w:hAnsi="宋体" w:eastAsia="宋体" w:cs="宋体"/>
          <w:kern w:val="2"/>
          <w:sz w:val="24"/>
          <w:szCs w:val="24"/>
          <w:highlight w:val="none"/>
          <w:lang w:val="en-US" w:eastAsia="zh-CN" w:bidi="ar-SA"/>
        </w:rPr>
      </w:pPr>
      <w:bookmarkStart w:id="393" w:name="_Toc23205"/>
      <w:r>
        <w:rPr>
          <w:rFonts w:hint="eastAsia" w:ascii="宋体" w:hAnsi="宋体" w:eastAsia="宋体" w:cs="宋体"/>
          <w:kern w:val="2"/>
          <w:sz w:val="24"/>
          <w:szCs w:val="24"/>
          <w:highlight w:val="none"/>
          <w:lang w:val="en-US" w:eastAsia="zh-CN" w:bidi="ar-SA"/>
        </w:rPr>
        <w:t>2、所附表格中要求回答的全部问题和/或信息都必须正面回答。</w:t>
      </w:r>
      <w:bookmarkEnd w:id="393"/>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3、本声明书的签字人应保证全部声明和问题的回答是真实的和准确的。</w:t>
      </w:r>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4、评标委员会将应用投标人提交的资料根据自己的判断和考虑决定投标人履行合同的合格性及能力。</w:t>
      </w:r>
    </w:p>
    <w:p>
      <w:pPr>
        <w:spacing w:line="560" w:lineRule="exact"/>
        <w:ind w:firstLine="480" w:firstLineChars="200"/>
        <w:outlineLvl w:val="2"/>
        <w:rPr>
          <w:rFonts w:hint="eastAsia" w:ascii="宋体" w:hAnsi="宋体" w:eastAsia="宋体" w:cs="宋体"/>
          <w:kern w:val="2"/>
          <w:sz w:val="24"/>
          <w:szCs w:val="24"/>
          <w:highlight w:val="none"/>
          <w:lang w:val="en-US" w:eastAsia="zh-CN" w:bidi="ar-SA"/>
        </w:rPr>
      </w:pPr>
      <w:bookmarkStart w:id="394" w:name="_Toc8067"/>
      <w:r>
        <w:rPr>
          <w:rFonts w:hint="eastAsia" w:ascii="宋体" w:hAnsi="宋体" w:eastAsia="宋体" w:cs="宋体"/>
          <w:kern w:val="2"/>
          <w:sz w:val="24"/>
          <w:szCs w:val="24"/>
          <w:highlight w:val="none"/>
          <w:lang w:val="en-US" w:eastAsia="zh-CN" w:bidi="ar-SA"/>
        </w:rPr>
        <w:t>5、投标人提交的材料将在一定期限内被保密保存，但不退还。</w:t>
      </w:r>
      <w:bookmarkEnd w:id="394"/>
    </w:p>
    <w:p>
      <w:pPr>
        <w:spacing w:line="56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6、全部文件应按投标人须知中规定的语言和份数提交。投标文件组成漏项或未按规定的格式编制，内容不全或内容字迹模糊辨认不清的情况，将有可能被评标小组认定为投标无效。</w:t>
      </w:r>
    </w:p>
    <w:p>
      <w:pPr>
        <w:adjustRightInd w:val="0"/>
        <w:snapToGrid w:val="0"/>
        <w:spacing w:before="50" w:after="50"/>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r>
        <w:rPr>
          <w:rFonts w:hint="eastAsia" w:ascii="宋体" w:hAnsi="宋体" w:eastAsia="宋体" w:cs="宋体"/>
          <w:sz w:val="32"/>
          <w:highlight w:val="none"/>
        </w:rPr>
        <w:br w:type="page"/>
      </w:r>
      <w:bookmarkStart w:id="395" w:name="_Toc2253"/>
    </w:p>
    <w:p>
      <w:pPr>
        <w:spacing w:line="360" w:lineRule="auto"/>
        <w:jc w:val="center"/>
        <w:outlineLvl w:val="1"/>
        <w:rPr>
          <w:rFonts w:hint="eastAsia" w:ascii="宋体" w:hAnsi="宋体" w:eastAsia="宋体" w:cs="宋体"/>
          <w:sz w:val="48"/>
          <w:szCs w:val="48"/>
          <w:highlight w:val="none"/>
        </w:rPr>
      </w:pPr>
      <w:bookmarkStart w:id="396" w:name="_Toc17130"/>
      <w:bookmarkStart w:id="397" w:name="_Toc23960"/>
      <w:r>
        <w:rPr>
          <w:rFonts w:hint="eastAsia" w:ascii="宋体" w:hAnsi="宋体" w:cs="宋体"/>
          <w:sz w:val="48"/>
          <w:szCs w:val="48"/>
          <w:highlight w:val="none"/>
          <w:lang w:eastAsia="zh-CN"/>
        </w:rPr>
        <w:t>（</w:t>
      </w:r>
      <w:r>
        <w:rPr>
          <w:rFonts w:hint="eastAsia" w:ascii="宋体" w:hAnsi="宋体" w:eastAsia="宋体" w:cs="宋体"/>
          <w:sz w:val="48"/>
          <w:szCs w:val="48"/>
          <w:highlight w:val="none"/>
        </w:rPr>
        <w:t>项目</w:t>
      </w:r>
      <w:r>
        <w:rPr>
          <w:rFonts w:hint="eastAsia" w:ascii="宋体" w:hAnsi="宋体" w:eastAsia="宋体" w:cs="宋体"/>
          <w:sz w:val="48"/>
          <w:szCs w:val="48"/>
          <w:highlight w:val="none"/>
          <w:lang w:eastAsia="zh-CN"/>
        </w:rPr>
        <w:t>、标段</w:t>
      </w:r>
      <w:r>
        <w:rPr>
          <w:rFonts w:hint="eastAsia" w:ascii="宋体" w:hAnsi="宋体" w:eastAsia="宋体" w:cs="宋体"/>
          <w:sz w:val="48"/>
          <w:szCs w:val="48"/>
          <w:highlight w:val="none"/>
        </w:rPr>
        <w:t>名称</w:t>
      </w:r>
      <w:r>
        <w:rPr>
          <w:rFonts w:hint="eastAsia" w:ascii="宋体" w:hAnsi="宋体" w:cs="宋体"/>
          <w:sz w:val="48"/>
          <w:szCs w:val="48"/>
          <w:highlight w:val="none"/>
          <w:lang w:eastAsia="zh-CN"/>
        </w:rPr>
        <w:t>）</w:t>
      </w:r>
      <w:r>
        <w:rPr>
          <w:rFonts w:hint="eastAsia" w:ascii="宋体" w:hAnsi="宋体" w:eastAsia="宋体" w:cs="宋体"/>
          <w:sz w:val="48"/>
          <w:szCs w:val="48"/>
          <w:highlight w:val="none"/>
        </w:rPr>
        <w:t>项目</w:t>
      </w:r>
      <w:bookmarkEnd w:id="395"/>
      <w:bookmarkEnd w:id="396"/>
      <w:bookmarkEnd w:id="397"/>
    </w:p>
    <w:p>
      <w:pPr>
        <w:spacing w:line="360" w:lineRule="auto"/>
        <w:jc w:val="center"/>
        <w:outlineLvl w:val="9"/>
        <w:rPr>
          <w:rFonts w:hint="eastAsia" w:ascii="宋体" w:hAnsi="宋体" w:eastAsia="宋体" w:cs="宋体"/>
          <w:sz w:val="32"/>
          <w:highlight w:val="none"/>
        </w:rPr>
      </w:pPr>
    </w:p>
    <w:p>
      <w:pPr>
        <w:spacing w:line="360" w:lineRule="auto"/>
        <w:jc w:val="center"/>
        <w:outlineLvl w:val="9"/>
        <w:rPr>
          <w:rFonts w:hint="eastAsia" w:ascii="宋体" w:hAnsi="宋体" w:eastAsia="宋体" w:cs="宋体"/>
          <w:sz w:val="32"/>
          <w:highlight w:val="none"/>
        </w:rPr>
      </w:pPr>
      <w:bookmarkStart w:id="398" w:name="_Toc24951"/>
      <w:r>
        <w:rPr>
          <w:rFonts w:hint="eastAsia" w:ascii="宋体" w:hAnsi="宋体" w:eastAsia="宋体" w:cs="宋体"/>
          <w:sz w:val="32"/>
          <w:highlight w:val="none"/>
        </w:rPr>
        <w:t>项目编号：</w:t>
      </w:r>
      <w:bookmarkEnd w:id="398"/>
    </w:p>
    <w:p>
      <w:pPr>
        <w:spacing w:line="560" w:lineRule="exact"/>
        <w:ind w:firstLine="883" w:firstLineChars="200"/>
        <w:jc w:val="center"/>
        <w:rPr>
          <w:rFonts w:hint="eastAsia" w:ascii="宋体" w:hAnsi="宋体" w:eastAsia="宋体" w:cs="宋体"/>
          <w:b/>
          <w:bCs/>
          <w:kern w:val="2"/>
          <w:sz w:val="44"/>
          <w:szCs w:val="52"/>
          <w:highlight w:val="none"/>
          <w:lang w:val="en-US" w:eastAsia="zh-CN" w:bidi="ar-SA"/>
        </w:rPr>
      </w:pP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投</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标</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文</w:t>
      </w:r>
    </w:p>
    <w:p>
      <w:pPr>
        <w:spacing w:line="360" w:lineRule="auto"/>
        <w:jc w:val="center"/>
        <w:outlineLvl w:val="9"/>
        <w:rPr>
          <w:rFonts w:hint="eastAsia" w:ascii="宋体" w:hAnsi="宋体" w:eastAsia="宋体" w:cs="宋体"/>
          <w:sz w:val="96"/>
          <w:szCs w:val="96"/>
          <w:highlight w:val="none"/>
          <w:lang w:val="en-US" w:eastAsia="zh-CN"/>
        </w:rPr>
      </w:pPr>
      <w:r>
        <w:rPr>
          <w:rFonts w:hint="eastAsia" w:ascii="宋体" w:hAnsi="宋体" w:eastAsia="宋体" w:cs="宋体"/>
          <w:sz w:val="96"/>
          <w:szCs w:val="96"/>
          <w:highlight w:val="none"/>
          <w:lang w:val="en-US" w:eastAsia="zh-CN"/>
        </w:rPr>
        <w:t>件</w:t>
      </w: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投标单位名称：</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（加盖单位公章）</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投标单位地址：</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法人或法人授权代表（签字或盖章）：</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560" w:firstLineChars="200"/>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lang w:val="en-US" w:eastAsia="zh-CN" w:bidi="ar-SA"/>
        </w:rPr>
        <w:t>投标单位联系电话：</w:t>
      </w:r>
      <w:r>
        <w:rPr>
          <w:rFonts w:hint="eastAsia" w:ascii="宋体" w:hAnsi="宋体" w:eastAsia="宋体" w:cs="宋体"/>
          <w:kern w:val="2"/>
          <w:sz w:val="28"/>
          <w:szCs w:val="36"/>
          <w:highlight w:val="none"/>
          <w:u w:val="single"/>
          <w:lang w:val="en-US" w:eastAsia="zh-CN" w:bidi="ar-SA"/>
        </w:rPr>
        <w:t xml:space="preserve">                              </w:t>
      </w:r>
    </w:p>
    <w:p>
      <w:pPr>
        <w:spacing w:line="560" w:lineRule="exact"/>
        <w:ind w:firstLine="420" w:firstLineChars="200"/>
        <w:rPr>
          <w:rFonts w:hint="eastAsia" w:ascii="宋体" w:hAnsi="宋体" w:eastAsia="宋体" w:cs="宋体"/>
          <w:kern w:val="2"/>
          <w:sz w:val="21"/>
          <w:szCs w:val="24"/>
          <w:highlight w:val="none"/>
          <w:lang w:val="en-US" w:eastAsia="zh-CN" w:bidi="ar-SA"/>
        </w:rPr>
      </w:pPr>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bookmarkStart w:id="399" w:name="_Toc1683"/>
    </w:p>
    <w:p>
      <w:pPr>
        <w:spacing w:line="560" w:lineRule="exact"/>
        <w:ind w:firstLine="560" w:firstLineChars="200"/>
        <w:jc w:val="center"/>
        <w:rPr>
          <w:rFonts w:hint="eastAsia" w:ascii="宋体" w:hAnsi="宋体" w:eastAsia="宋体" w:cs="宋体"/>
          <w:kern w:val="2"/>
          <w:sz w:val="28"/>
          <w:szCs w:val="36"/>
          <w:highlight w:val="none"/>
          <w:lang w:val="en-US" w:eastAsia="zh-CN" w:bidi="ar-SA"/>
        </w:rPr>
      </w:pP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年</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月</w:t>
      </w:r>
      <w:r>
        <w:rPr>
          <w:rFonts w:hint="eastAsia" w:ascii="宋体" w:hAnsi="宋体" w:eastAsia="宋体" w:cs="宋体"/>
          <w:kern w:val="2"/>
          <w:sz w:val="28"/>
          <w:szCs w:val="36"/>
          <w:highlight w:val="none"/>
          <w:u w:val="single"/>
          <w:lang w:val="en-US" w:eastAsia="zh-CN" w:bidi="ar-SA"/>
        </w:rPr>
        <w:t xml:space="preserve">   </w:t>
      </w:r>
      <w:r>
        <w:rPr>
          <w:rFonts w:hint="eastAsia" w:ascii="宋体" w:hAnsi="宋体" w:eastAsia="宋体" w:cs="宋体"/>
          <w:kern w:val="2"/>
          <w:sz w:val="28"/>
          <w:szCs w:val="36"/>
          <w:highlight w:val="none"/>
          <w:lang w:val="en-US" w:eastAsia="zh-CN" w:bidi="ar-SA"/>
        </w:rPr>
        <w:t>日</w:t>
      </w:r>
      <w:bookmarkEnd w:id="399"/>
    </w:p>
    <w:p>
      <w:pPr>
        <w:adjustRightInd w:val="0"/>
        <w:snapToGrid w:val="0"/>
        <w:jc w:val="center"/>
        <w:outlineLvl w:val="9"/>
        <w:rPr>
          <w:rFonts w:hint="eastAsia" w:ascii="宋体" w:hAnsi="宋体" w:eastAsia="宋体" w:cs="宋体"/>
          <w:b/>
          <w:sz w:val="44"/>
          <w:szCs w:val="44"/>
          <w:highlight w:val="none"/>
        </w:rPr>
      </w:pPr>
    </w:p>
    <w:p>
      <w:pPr>
        <w:widowControl/>
        <w:spacing w:line="240" w:lineRule="auto"/>
        <w:jc w:val="center"/>
        <w:outlineLvl w:val="9"/>
        <w:rPr>
          <w:rFonts w:hint="eastAsia" w:ascii="宋体" w:hAnsi="宋体" w:eastAsia="宋体" w:cs="宋体"/>
          <w:b/>
          <w:sz w:val="24"/>
          <w:szCs w:val="24"/>
          <w:highlight w:val="none"/>
        </w:rPr>
      </w:pPr>
      <w:r>
        <w:rPr>
          <w:rFonts w:hint="eastAsia" w:ascii="宋体" w:hAnsi="宋体" w:eastAsia="宋体" w:cs="宋体"/>
          <w:b/>
          <w:sz w:val="44"/>
          <w:szCs w:val="44"/>
          <w:highlight w:val="none"/>
        </w:rPr>
        <w:br w:type="page"/>
      </w:r>
    </w:p>
    <w:p>
      <w:pPr>
        <w:jc w:val="center"/>
        <w:rPr>
          <w:rFonts w:hint="eastAsia" w:ascii="宋体" w:hAnsi="宋体" w:eastAsia="宋体" w:cs="宋体"/>
          <w:b/>
          <w:bCs/>
          <w:color w:val="000000"/>
          <w:sz w:val="32"/>
          <w:szCs w:val="44"/>
          <w:highlight w:val="none"/>
          <w:lang w:val="en-US" w:eastAsia="zh-CN"/>
        </w:rPr>
      </w:pPr>
      <w:r>
        <w:rPr>
          <w:rFonts w:hint="eastAsia" w:ascii="宋体" w:hAnsi="宋体" w:eastAsia="宋体" w:cs="宋体"/>
          <w:b/>
          <w:bCs/>
          <w:color w:val="000000"/>
          <w:sz w:val="32"/>
          <w:szCs w:val="44"/>
          <w:highlight w:val="none"/>
          <w:lang w:val="en-US" w:eastAsia="zh-CN"/>
        </w:rPr>
        <w:t>目录</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报价部分：</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1、投标函；</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2、开标一览表；</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3、投标报价明细表</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投标单位简介，并附投标人资质证件等；</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出具法人营业执照函（格式见附件）；</w:t>
      </w:r>
    </w:p>
    <w:p>
      <w:pPr>
        <w:spacing w:line="300" w:lineRule="auto"/>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6、联合体协议书（如是）</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法定代表人证明书及身份证</w:t>
      </w:r>
      <w:r>
        <w:rPr>
          <w:rFonts w:hint="eastAsia" w:ascii="宋体" w:hAnsi="宋体" w:eastAsia="宋体" w:cs="宋体"/>
          <w:sz w:val="24"/>
          <w:szCs w:val="24"/>
          <w:highlight w:val="none"/>
          <w:lang w:val="en-US" w:eastAsia="zh-CN"/>
        </w:rPr>
        <w:t>复印</w:t>
      </w:r>
      <w:r>
        <w:rPr>
          <w:rFonts w:hint="eastAsia" w:ascii="宋体" w:hAnsi="宋体" w:eastAsia="宋体" w:cs="宋体"/>
          <w:sz w:val="24"/>
          <w:szCs w:val="24"/>
          <w:highlight w:val="none"/>
        </w:rPr>
        <w:t>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法人代表授权委托书及身份证</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9、拟派驻的技术/服务人员的社保证明扫描件（社保缴纳个人明细）； </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凡拟参加本次招标项目的投标人在“信用中国（www.creditchina.gov.cn）”被列入失信被执行人、企业经营异常名录、重大税收违法案件当事人名单、政府采购严重违法失信名单（尚在处罚期内的）；在“中国政府采购网（www.ccgp.gov.cn）”被列入失信被执行人、重大税收违法案件当事人名单、政府采购严重违法失信行为记录名单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尚在处罚期内的</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、经营异常名录的，将拒绝其参与本次政府釆购活动。</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11、投标单位的依法缴纳税收和社会保障资金的良好记录；具有良好的商业信誉和健全的财务会计制度（需提供2022年度财务审计报告；2023年成立的公司不提供；）；</w:t>
      </w:r>
    </w:p>
    <w:p>
      <w:pPr>
        <w:spacing w:line="300" w:lineRule="auto"/>
        <w:outlineLvl w:val="2"/>
        <w:rPr>
          <w:rFonts w:hint="eastAsia" w:ascii="宋体" w:hAnsi="宋体" w:eastAsia="宋体" w:cs="宋体"/>
          <w:sz w:val="24"/>
          <w:szCs w:val="24"/>
          <w:highlight w:val="none"/>
          <w:lang w:val="en-US" w:eastAsia="zh-CN"/>
        </w:rPr>
      </w:pPr>
      <w:bookmarkStart w:id="400" w:name="_Toc16907"/>
      <w:r>
        <w:rPr>
          <w:rFonts w:hint="eastAsia" w:ascii="宋体" w:hAnsi="宋体" w:eastAsia="宋体" w:cs="宋体"/>
          <w:sz w:val="24"/>
          <w:szCs w:val="24"/>
          <w:highlight w:val="none"/>
          <w:lang w:val="en-US" w:eastAsia="zh-CN"/>
        </w:rPr>
        <w:t>12、投标保证金打款凭证；</w:t>
      </w:r>
      <w:bookmarkEnd w:id="400"/>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13、技术商务偏离表</w:t>
      </w:r>
      <w:r>
        <w:rPr>
          <w:rFonts w:hint="eastAsia" w:ascii="宋体" w:hAnsi="宋体" w:eastAsia="宋体" w:cs="宋体"/>
          <w:sz w:val="24"/>
          <w:szCs w:val="24"/>
          <w:highlight w:val="none"/>
        </w:rPr>
        <w:t xml:space="preserve">（格式见附件）；  </w:t>
      </w:r>
    </w:p>
    <w:p>
      <w:pPr>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反商业贿赂承诺书（格式见附件）；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15、无围标、串标等违法违规行为承诺书</w:t>
      </w:r>
      <w:r>
        <w:rPr>
          <w:rFonts w:hint="eastAsia" w:ascii="宋体" w:hAnsi="宋体" w:eastAsia="宋体" w:cs="宋体"/>
          <w:sz w:val="24"/>
          <w:szCs w:val="24"/>
          <w:highlight w:val="none"/>
        </w:rPr>
        <w:t>（格式见附件）；</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16、中小企业声明函</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投标人认为有必要提供的声明及文件资料。</w:t>
      </w:r>
    </w:p>
    <w:p>
      <w:pPr>
        <w:spacing w:line="30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技术部分：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对本次</w:t>
      </w:r>
      <w:r>
        <w:rPr>
          <w:rFonts w:hint="eastAsia" w:ascii="宋体" w:hAnsi="宋体" w:eastAsia="宋体" w:cs="宋体"/>
          <w:sz w:val="24"/>
          <w:szCs w:val="24"/>
          <w:highlight w:val="none"/>
          <w:lang w:val="en-US" w:eastAsia="zh-CN"/>
        </w:rPr>
        <w:t>投标项目的技术方案</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投标人视需要自行编写</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19、服务承诺书</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其他有利于投标人的资料（如有）</w:t>
      </w:r>
    </w:p>
    <w:p>
      <w:pPr>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注：1、投标文件必须制作有目录和页码</w:t>
      </w:r>
      <w:r>
        <w:rPr>
          <w:rFonts w:hint="eastAsia" w:ascii="宋体" w:hAnsi="宋体" w:cs="宋体"/>
          <w:sz w:val="24"/>
          <w:szCs w:val="24"/>
          <w:highlight w:val="none"/>
          <w:lang w:val="en-US" w:eastAsia="zh-CN"/>
        </w:rPr>
        <w:t>（否则投标无效）</w:t>
      </w:r>
      <w:r>
        <w:rPr>
          <w:rFonts w:hint="eastAsia" w:ascii="宋体" w:hAnsi="宋体" w:eastAsia="宋体" w:cs="宋体"/>
          <w:sz w:val="24"/>
          <w:szCs w:val="24"/>
          <w:highlight w:val="none"/>
          <w:lang w:val="en-US" w:eastAsia="zh-CN"/>
        </w:rPr>
        <w:t xml:space="preserve">   </w:t>
      </w:r>
    </w:p>
    <w:p>
      <w:pPr>
        <w:spacing w:line="300" w:lineRule="auto"/>
        <w:rPr>
          <w:rFonts w:hint="eastAsia" w:ascii="宋体" w:hAnsi="宋体" w:eastAsia="宋体" w:cs="宋体"/>
          <w:color w:val="000000"/>
          <w:sz w:val="24"/>
          <w:szCs w:val="24"/>
          <w:highlight w:val="none"/>
          <w:lang w:eastAsia="zh-CN"/>
        </w:rPr>
        <w:sectPr>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szCs w:val="24"/>
          <w:highlight w:val="none"/>
          <w:lang w:val="en-US" w:eastAsia="zh-CN"/>
        </w:rPr>
        <w:t xml:space="preserve">投标文件严格按要求制作   </w:t>
      </w:r>
    </w:p>
    <w:p>
      <w:pPr>
        <w:numPr>
          <w:ilvl w:val="0"/>
          <w:numId w:val="0"/>
        </w:numPr>
        <w:spacing w:line="440" w:lineRule="exact"/>
        <w:jc w:val="both"/>
        <w:rPr>
          <w:rFonts w:hint="eastAsia" w:ascii="宋体" w:hAnsi="宋体" w:eastAsia="宋体" w:cs="宋体"/>
          <w:b/>
          <w:color w:val="000000"/>
          <w:sz w:val="24"/>
          <w:szCs w:val="24"/>
          <w:highlight w:val="none"/>
          <w:lang w:val="en-US" w:eastAsia="zh-CN"/>
        </w:rPr>
      </w:pPr>
    </w:p>
    <w:p>
      <w:pPr>
        <w:pStyle w:val="21"/>
        <w:rPr>
          <w:rFonts w:hint="eastAsia" w:ascii="宋体" w:hAnsi="宋体" w:eastAsia="宋体" w:cs="宋体"/>
          <w:sz w:val="24"/>
          <w:szCs w:val="24"/>
          <w:highlight w:val="none"/>
          <w:lang w:val="en-US" w:eastAsia="zh-CN"/>
        </w:rPr>
      </w:pPr>
    </w:p>
    <w:p>
      <w:pP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br w:type="page"/>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附件一</w:t>
      </w:r>
    </w:p>
    <w:p>
      <w:pPr>
        <w:numPr>
          <w:ilvl w:val="0"/>
          <w:numId w:val="0"/>
        </w:numPr>
        <w:spacing w:line="440" w:lineRule="exact"/>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投标</w:t>
      </w:r>
      <w:r>
        <w:rPr>
          <w:rFonts w:hint="eastAsia" w:ascii="宋体" w:hAnsi="宋体" w:eastAsia="宋体" w:cs="宋体"/>
          <w:b/>
          <w:color w:val="000000"/>
          <w:sz w:val="32"/>
          <w:szCs w:val="28"/>
          <w:highlight w:val="none"/>
          <w:lang w:eastAsia="zh-CN"/>
        </w:rPr>
        <w:t>函</w:t>
      </w:r>
    </w:p>
    <w:p>
      <w:pPr>
        <w:pStyle w:val="173"/>
        <w:numPr>
          <w:ilvl w:val="0"/>
          <w:numId w:val="0"/>
        </w:numPr>
        <w:rPr>
          <w:rFonts w:hint="eastAsia" w:ascii="宋体" w:hAnsi="宋体" w:eastAsia="宋体" w:cs="宋体"/>
          <w:sz w:val="24"/>
          <w:szCs w:val="24"/>
          <w:highlight w:val="none"/>
        </w:rPr>
      </w:pPr>
    </w:p>
    <w:p>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我们收到你们的</w:t>
      </w:r>
      <w:r>
        <w:rPr>
          <w:rFonts w:hint="eastAsia" w:ascii="宋体" w:hAnsi="宋体" w:eastAsia="宋体" w:cs="宋体"/>
          <w:color w:val="000000"/>
          <w:sz w:val="24"/>
          <w:szCs w:val="24"/>
          <w:highlight w:val="none"/>
          <w:u w:val="single"/>
        </w:rPr>
        <w:t xml:space="preserve">     （项目名称）     （项目编号：  号）</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文件，经认真研究，我们决定参加本次</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活动。</w:t>
      </w:r>
    </w:p>
    <w:p>
      <w:pPr>
        <w:numPr>
          <w:ilvl w:val="0"/>
          <w:numId w:val="14"/>
        </w:num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1" w:name="_Toc15514"/>
      <w:r>
        <w:rPr>
          <w:rFonts w:hint="eastAsia" w:ascii="宋体" w:hAnsi="宋体" w:eastAsia="宋体" w:cs="宋体"/>
          <w:color w:val="000000"/>
          <w:sz w:val="24"/>
          <w:szCs w:val="24"/>
          <w:highlight w:val="none"/>
        </w:rPr>
        <w:t>按照</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中的一切要求，提供招标的相关服务。</w:t>
      </w:r>
      <w:bookmarkEnd w:id="401"/>
    </w:p>
    <w:p>
      <w:pPr>
        <w:numPr>
          <w:ilvl w:val="0"/>
          <w:numId w:val="0"/>
        </w:num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lang w:val="en-US" w:eastAsia="zh-CN"/>
        </w:rPr>
        <w:t>小写：</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元</w:t>
      </w:r>
    </w:p>
    <w:p>
      <w:pPr>
        <w:adjustRightInd w:val="0"/>
        <w:snapToGrid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大写：</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 xml:space="preserve"> 。</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2、如果我们的投标文件被接受，我们将履行</w:t>
      </w:r>
      <w:r>
        <w:rPr>
          <w:rFonts w:hint="eastAsia" w:ascii="宋体" w:hAnsi="宋体" w:eastAsia="宋体" w:cs="宋体"/>
          <w:color w:val="000000"/>
          <w:sz w:val="24"/>
          <w:szCs w:val="24"/>
          <w:highlight w:val="none"/>
          <w:lang w:eastAsia="zh-CN"/>
        </w:rPr>
        <w:t>招标文件</w:t>
      </w:r>
      <w:r>
        <w:rPr>
          <w:rFonts w:hint="eastAsia" w:ascii="宋体" w:hAnsi="宋体" w:eastAsia="宋体" w:cs="宋体"/>
          <w:color w:val="000000"/>
          <w:sz w:val="24"/>
          <w:szCs w:val="24"/>
          <w:highlight w:val="none"/>
        </w:rPr>
        <w:t>中规定的每一项义务和要求，按期、按质、按量完成</w:t>
      </w:r>
      <w:r>
        <w:rPr>
          <w:rFonts w:hint="eastAsia" w:ascii="宋体" w:hAnsi="宋体" w:eastAsia="宋体" w:cs="宋体"/>
          <w:color w:val="000000"/>
          <w:sz w:val="24"/>
          <w:szCs w:val="24"/>
          <w:highlight w:val="none"/>
          <w:lang w:val="en-US" w:eastAsia="zh-CN"/>
        </w:rPr>
        <w:t>本次服务</w:t>
      </w:r>
      <w:r>
        <w:rPr>
          <w:rFonts w:hint="eastAsia" w:ascii="宋体" w:hAnsi="宋体" w:eastAsia="宋体" w:cs="宋体"/>
          <w:color w:val="000000"/>
          <w:sz w:val="24"/>
          <w:szCs w:val="24"/>
          <w:highlight w:val="none"/>
        </w:rPr>
        <w:t>。</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文件的规定，本投标文件的有效期为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天。</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2" w:name="_Toc29996"/>
      <w:r>
        <w:rPr>
          <w:rFonts w:hint="eastAsia" w:ascii="宋体" w:hAnsi="宋体" w:eastAsia="宋体" w:cs="宋体"/>
          <w:color w:val="000000"/>
          <w:sz w:val="24"/>
          <w:szCs w:val="24"/>
          <w:highlight w:val="none"/>
        </w:rPr>
        <w:t>4、我们愿意提供招标人在</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文件中要求的所有资料。</w:t>
      </w:r>
      <w:bookmarkEnd w:id="402"/>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3" w:name="_Toc19169"/>
      <w:r>
        <w:rPr>
          <w:rFonts w:hint="eastAsia" w:ascii="宋体" w:hAnsi="宋体" w:eastAsia="宋体" w:cs="宋体"/>
          <w:color w:val="000000"/>
          <w:sz w:val="24"/>
          <w:szCs w:val="24"/>
          <w:highlight w:val="none"/>
        </w:rPr>
        <w:t>6、我们愿按合同法履行自己的全部责任。</w:t>
      </w:r>
      <w:bookmarkEnd w:id="403"/>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文件中规定的收费标准，承付中标服务费。</w:t>
      </w:r>
    </w:p>
    <w:p>
      <w:pPr>
        <w:adjustRightInd w:val="0"/>
        <w:snapToGrid w:val="0"/>
        <w:spacing w:line="360" w:lineRule="auto"/>
        <w:ind w:firstLine="480" w:firstLineChars="200"/>
        <w:outlineLvl w:val="2"/>
        <w:rPr>
          <w:rFonts w:hint="eastAsia" w:ascii="宋体" w:hAnsi="宋体" w:eastAsia="宋体" w:cs="宋体"/>
          <w:color w:val="000000"/>
          <w:sz w:val="24"/>
          <w:szCs w:val="24"/>
          <w:highlight w:val="none"/>
        </w:rPr>
      </w:pPr>
      <w:bookmarkStart w:id="404" w:name="_Toc17525"/>
      <w:r>
        <w:rPr>
          <w:rFonts w:hint="eastAsia" w:ascii="宋体" w:hAnsi="宋体" w:eastAsia="宋体" w:cs="宋体"/>
          <w:color w:val="000000"/>
          <w:sz w:val="24"/>
          <w:szCs w:val="24"/>
          <w:highlight w:val="none"/>
        </w:rPr>
        <w:t>8、该项投标在开标后的全过程中保持有效，不作任何更改和变动。</w:t>
      </w:r>
      <w:bookmarkEnd w:id="404"/>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9、我们同意按</w:t>
      </w:r>
      <w:r>
        <w:rPr>
          <w:rFonts w:hint="eastAsia" w:ascii="宋体" w:hAnsi="宋体" w:eastAsia="宋体" w:cs="宋体"/>
          <w:color w:val="000000"/>
          <w:sz w:val="24"/>
          <w:szCs w:val="24"/>
          <w:highlight w:val="none"/>
          <w:lang w:eastAsia="zh-CN"/>
        </w:rPr>
        <w:t>招标</w:t>
      </w:r>
      <w:r>
        <w:rPr>
          <w:rFonts w:hint="eastAsia" w:ascii="宋体" w:hAnsi="宋体" w:eastAsia="宋体" w:cs="宋体"/>
          <w:color w:val="000000"/>
          <w:sz w:val="24"/>
          <w:szCs w:val="24"/>
          <w:highlight w:val="none"/>
        </w:rPr>
        <w:t>文件规定，交纳</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元的投标保证金。</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pPr>
        <w:adjustRightInd w:val="0"/>
        <w:snapToGrid w:val="0"/>
        <w:spacing w:line="36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盖章</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adjustRightInd w:val="0"/>
        <w:snapToGrid w:val="0"/>
        <w:spacing w:line="36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法定代表人（签字</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盖章）：</w:t>
      </w:r>
      <w:r>
        <w:rPr>
          <w:rFonts w:hint="eastAsia" w:ascii="宋体" w:hAnsi="宋体" w:eastAsia="宋体" w:cs="宋体"/>
          <w:color w:val="000000"/>
          <w:sz w:val="24"/>
          <w:szCs w:val="24"/>
          <w:highlight w:val="none"/>
          <w:u w:val="single"/>
          <w:lang w:val="en-US" w:eastAsia="zh-CN"/>
        </w:rPr>
        <w:t xml:space="preserve">                                 </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adjustRightInd w:val="0"/>
        <w:snapToGrid w:val="0"/>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adjustRightInd w:val="0"/>
        <w:snapToGrid w:val="0"/>
        <w:spacing w:line="360" w:lineRule="auto"/>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电话：</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adjustRightInd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adjustRightInd w:val="0"/>
        <w:snapToGrid w:val="0"/>
        <w:spacing w:line="360" w:lineRule="auto"/>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日期：</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pStyle w:val="24"/>
        <w:overflowPunct w:val="0"/>
        <w:snapToGrid w:val="0"/>
        <w:spacing w:line="360" w:lineRule="auto"/>
        <w:ind w:firstLine="0"/>
        <w:rPr>
          <w:rFonts w:hint="eastAsia" w:ascii="宋体" w:hAnsi="宋体" w:eastAsia="宋体" w:cs="宋体"/>
          <w:color w:val="000000"/>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附件二</w:t>
      </w:r>
    </w:p>
    <w:p>
      <w:pPr>
        <w:numPr>
          <w:ilvl w:val="0"/>
          <w:numId w:val="0"/>
        </w:numPr>
        <w:spacing w:line="440" w:lineRule="exact"/>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开标一览表</w:t>
      </w:r>
    </w:p>
    <w:p>
      <w:pPr>
        <w:pStyle w:val="90"/>
        <w:rPr>
          <w:rFonts w:hint="eastAsia" w:ascii="宋体" w:hAnsi="宋体" w:eastAsia="宋体" w:cs="宋体"/>
          <w:highlight w:val="none"/>
        </w:rPr>
      </w:pPr>
    </w:p>
    <w:p>
      <w:pPr>
        <w:pStyle w:val="90"/>
        <w:rPr>
          <w:rFonts w:hint="eastAsia" w:ascii="宋体" w:hAnsi="宋体" w:eastAsia="宋体" w:cs="宋体"/>
          <w:highlight w:val="none"/>
        </w:rPr>
      </w:pPr>
    </w:p>
    <w:p>
      <w:pPr>
        <w:spacing w:line="37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u w:val="single"/>
          <w:lang w:val="en-US" w:eastAsia="zh-CN"/>
        </w:rPr>
        <w:t xml:space="preserve">                                               </w:t>
      </w:r>
    </w:p>
    <w:p>
      <w:pPr>
        <w:spacing w:before="227" w:line="185" w:lineRule="auto"/>
        <w:ind w:firstLine="617"/>
        <w:rPr>
          <w:rFonts w:hint="eastAsia" w:ascii="宋体" w:hAnsi="宋体" w:eastAsia="宋体" w:cs="宋体"/>
          <w:spacing w:val="1"/>
          <w:sz w:val="24"/>
          <w:szCs w:val="24"/>
          <w:highlight w:val="none"/>
          <w:u w:val="single" w:color="auto"/>
        </w:rPr>
      </w:pPr>
      <w:r>
        <w:rPr>
          <w:rFonts w:hint="eastAsia" w:ascii="宋体" w:hAnsi="宋体" w:eastAsia="宋体" w:cs="宋体"/>
          <w:color w:val="000000"/>
          <w:sz w:val="24"/>
          <w:szCs w:val="24"/>
          <w:highlight w:val="none"/>
        </w:rPr>
        <w:t>项目编号：</w:t>
      </w:r>
      <w:r>
        <w:rPr>
          <w:rFonts w:hint="eastAsia" w:ascii="宋体" w:hAnsi="宋体" w:eastAsia="宋体" w:cs="宋体"/>
          <w:spacing w:val="1"/>
          <w:sz w:val="24"/>
          <w:szCs w:val="24"/>
          <w:highlight w:val="none"/>
          <w:u w:val="single" w:color="auto"/>
        </w:rPr>
        <w:t xml:space="preserve">                                          </w:t>
      </w:r>
    </w:p>
    <w:p>
      <w:pPr>
        <w:pStyle w:val="24"/>
        <w:rPr>
          <w:rFonts w:hint="eastAsia" w:ascii="宋体" w:hAnsi="宋体" w:eastAsia="宋体" w:cs="宋体"/>
          <w:sz w:val="24"/>
          <w:szCs w:val="24"/>
          <w:highlight w:val="none"/>
        </w:rPr>
      </w:pPr>
    </w:p>
    <w:tbl>
      <w:tblPr>
        <w:tblStyle w:val="72"/>
        <w:tblW w:w="9818" w:type="dxa"/>
        <w:tblInd w:w="-61" w:type="dxa"/>
        <w:tblLayout w:type="fixed"/>
        <w:tblCellMar>
          <w:top w:w="0" w:type="dxa"/>
          <w:left w:w="0" w:type="dxa"/>
          <w:bottom w:w="0" w:type="dxa"/>
          <w:right w:w="0" w:type="dxa"/>
        </w:tblCellMar>
      </w:tblPr>
      <w:tblGrid>
        <w:gridCol w:w="1713"/>
        <w:gridCol w:w="2823"/>
        <w:gridCol w:w="2177"/>
        <w:gridCol w:w="1743"/>
        <w:gridCol w:w="1362"/>
      </w:tblGrid>
      <w:tr>
        <w:trPr>
          <w:trHeight w:val="703" w:hRule="atLeast"/>
        </w:trPr>
        <w:tc>
          <w:tcPr>
            <w:tcW w:w="1713"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标项名称</w:t>
            </w:r>
          </w:p>
        </w:tc>
        <w:tc>
          <w:tcPr>
            <w:tcW w:w="2823"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投标总价</w:t>
            </w:r>
          </w:p>
        </w:tc>
        <w:tc>
          <w:tcPr>
            <w:tcW w:w="2177"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1743"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履约期限</w:t>
            </w:r>
          </w:p>
        </w:tc>
        <w:tc>
          <w:tcPr>
            <w:tcW w:w="1362"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rPr>
          <w:cantSplit/>
          <w:trHeight w:val="1723" w:hRule="atLeast"/>
        </w:trPr>
        <w:tc>
          <w:tcPr>
            <w:tcW w:w="1713"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szCs w:val="24"/>
                <w:highlight w:val="none"/>
              </w:rPr>
            </w:pPr>
          </w:p>
        </w:tc>
        <w:tc>
          <w:tcPr>
            <w:tcW w:w="2823"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p>
            <w:pPr>
              <w:tabs>
                <w:tab w:val="left" w:pos="5580"/>
              </w:tabs>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p>
        </w:tc>
        <w:tc>
          <w:tcPr>
            <w:tcW w:w="2177"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szCs w:val="24"/>
                <w:highlight w:val="none"/>
              </w:rPr>
            </w:pPr>
          </w:p>
        </w:tc>
        <w:tc>
          <w:tcPr>
            <w:tcW w:w="1743"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660" w:leftChars="257" w:hanging="540"/>
              <w:jc w:val="center"/>
              <w:rPr>
                <w:rFonts w:hint="eastAsia" w:ascii="宋体" w:hAnsi="宋体" w:eastAsia="宋体" w:cs="宋体"/>
                <w:sz w:val="24"/>
                <w:szCs w:val="24"/>
                <w:highlight w:val="none"/>
              </w:rPr>
            </w:pPr>
          </w:p>
        </w:tc>
        <w:tc>
          <w:tcPr>
            <w:tcW w:w="1362"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660" w:leftChars="257" w:hanging="540"/>
              <w:jc w:val="center"/>
              <w:rPr>
                <w:rFonts w:hint="eastAsia" w:ascii="宋体" w:hAnsi="宋体" w:eastAsia="宋体" w:cs="宋体"/>
                <w:sz w:val="24"/>
                <w:szCs w:val="24"/>
                <w:highlight w:val="none"/>
              </w:rPr>
            </w:pPr>
          </w:p>
        </w:tc>
      </w:tr>
    </w:tbl>
    <w:p>
      <w:pPr>
        <w:pStyle w:val="24"/>
        <w:rPr>
          <w:rFonts w:hint="eastAsia" w:ascii="宋体" w:hAnsi="宋体" w:eastAsia="宋体" w:cs="宋体"/>
          <w:sz w:val="24"/>
          <w:szCs w:val="24"/>
          <w:highlight w:val="none"/>
        </w:rPr>
      </w:pPr>
    </w:p>
    <w:p>
      <w:pPr>
        <w:adjustRightInd w:val="0"/>
        <w:snapToGrid w:val="0"/>
        <w:spacing w:line="360" w:lineRule="auto"/>
        <w:ind w:left="0" w:leftChars="0" w:firstLine="0" w:firstLineChars="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投标人名称（</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签字或盖章</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日期：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rPr>
      </w:pPr>
    </w:p>
    <w:p>
      <w:pPr>
        <w:adjustRightInd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注： </w:t>
      </w:r>
      <w:r>
        <w:rPr>
          <w:rFonts w:hint="eastAsia" w:ascii="宋体" w:hAnsi="宋体" w:eastAsia="宋体" w:cs="宋体"/>
          <w:color w:val="000000"/>
          <w:sz w:val="24"/>
          <w:szCs w:val="24"/>
          <w:highlight w:val="none"/>
          <w:lang w:val="en-US" w:eastAsia="zh-CN"/>
        </w:rPr>
        <w:t>1、单项报价不得超过各品类单项最高限价，总价不得超过本项目最高限价，否则做无效报价处理。</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、任何有选择或有条件的投标总价或表中某一包填写多个报价，均将导致投标被拒绝；</w:t>
      </w:r>
    </w:p>
    <w:p>
      <w:pPr>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、投标报价包含完成服务成果的一切费用、售后维护费用、税费等</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、报价为含税金额，税票为增值税专用发票。</w:t>
      </w:r>
    </w:p>
    <w:p>
      <w:pPr>
        <w:spacing w:line="360" w:lineRule="auto"/>
        <w:ind w:left="210" w:leftChars="10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、大写标注：壹、贰、叁、肆、伍、陆、柒、捌、玖、拾、佰、仟、万、亿。</w:t>
      </w:r>
    </w:p>
    <w:p>
      <w:pPr>
        <w:pStyle w:val="90"/>
        <w:rPr>
          <w:rFonts w:hint="eastAsia" w:ascii="宋体" w:hAnsi="宋体" w:eastAsia="宋体" w:cs="宋体"/>
          <w:sz w:val="24"/>
          <w:szCs w:val="24"/>
          <w:highlight w:val="none"/>
          <w:lang w:eastAsia="zh-CN"/>
        </w:rPr>
        <w:sectPr>
          <w:footerReference r:id="rId15" w:type="default"/>
          <w:type w:val="continuous"/>
          <w:pgSz w:w="11905" w:h="16838"/>
          <w:pgMar w:top="1304" w:right="964" w:bottom="1020" w:left="1191" w:header="567" w:footer="454" w:gutter="0"/>
          <w:pgNumType w:fmt="decimal"/>
          <w:cols w:space="720" w:num="1"/>
          <w:rtlGutter w:val="0"/>
          <w:docGrid w:type="lines" w:linePitch="317" w:charSpace="0"/>
        </w:sectPr>
      </w:pPr>
    </w:p>
    <w:p>
      <w:pPr>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br w:type="page"/>
      </w:r>
    </w:p>
    <w:p>
      <w:pPr>
        <w:numPr>
          <w:ilvl w:val="0"/>
          <w:numId w:val="0"/>
        </w:numPr>
        <w:spacing w:line="440" w:lineRule="exact"/>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附件三</w:t>
      </w:r>
    </w:p>
    <w:p>
      <w:pPr>
        <w:numPr>
          <w:ilvl w:val="0"/>
          <w:numId w:val="0"/>
        </w:numPr>
        <w:spacing w:line="440" w:lineRule="exact"/>
        <w:jc w:val="center"/>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32"/>
          <w:szCs w:val="28"/>
          <w:highlight w:val="none"/>
          <w:lang w:val="en-US" w:eastAsia="zh-CN"/>
        </w:rPr>
        <w:t>投标报价明细表</w:t>
      </w:r>
    </w:p>
    <w:p>
      <w:pPr>
        <w:spacing w:line="370" w:lineRule="auto"/>
        <w:jc w:val="center"/>
        <w:rPr>
          <w:rFonts w:hint="eastAsia" w:ascii="宋体" w:hAnsi="宋体" w:eastAsia="宋体" w:cs="宋体"/>
          <w:sz w:val="21"/>
          <w:highlight w:val="none"/>
          <w:lang w:val="en-US" w:eastAsia="zh-CN"/>
        </w:rPr>
      </w:pPr>
    </w:p>
    <w:p>
      <w:pPr>
        <w:spacing w:line="370" w:lineRule="auto"/>
        <w:jc w:val="left"/>
        <w:rPr>
          <w:rFonts w:hint="eastAsia" w:ascii="宋体" w:hAnsi="宋体" w:eastAsia="宋体" w:cs="宋体"/>
          <w:spacing w:val="-2"/>
          <w:sz w:val="24"/>
          <w:szCs w:val="24"/>
          <w:highlight w:val="none"/>
          <w:u w:val="single"/>
          <w:lang w:val="en-US"/>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u w:val="single"/>
          <w:lang w:val="en-US" w:eastAsia="zh-CN"/>
        </w:rPr>
        <w:t xml:space="preserve">                          </w:t>
      </w:r>
    </w:p>
    <w:p>
      <w:pPr>
        <w:spacing w:before="150" w:line="185" w:lineRule="auto"/>
        <w:ind w:firstLine="605"/>
        <w:jc w:val="left"/>
        <w:rPr>
          <w:rFonts w:hint="eastAsia" w:ascii="宋体" w:hAnsi="宋体" w:eastAsia="宋体" w:cs="宋体"/>
          <w:spacing w:val="2"/>
          <w:sz w:val="24"/>
          <w:szCs w:val="24"/>
          <w:highlight w:val="none"/>
          <w:u w:val="single" w:color="auto"/>
        </w:rPr>
      </w:pPr>
      <w:r>
        <w:rPr>
          <w:rFonts w:hint="eastAsia" w:ascii="宋体" w:hAnsi="宋体" w:eastAsia="宋体" w:cs="宋体"/>
          <w:spacing w:val="-2"/>
          <w:sz w:val="24"/>
          <w:szCs w:val="24"/>
          <w:highlight w:val="none"/>
        </w:rPr>
        <w:t>项目编号：</w:t>
      </w:r>
      <w:r>
        <w:rPr>
          <w:rFonts w:hint="eastAsia" w:ascii="宋体" w:hAnsi="宋体" w:eastAsia="宋体" w:cs="宋体"/>
          <w:sz w:val="24"/>
          <w:szCs w:val="24"/>
          <w:highlight w:val="none"/>
          <w:u w:val="single"/>
          <w:lang w:val="en-US" w:eastAsia="zh-CN"/>
        </w:rPr>
        <w:t xml:space="preserve">                          </w:t>
      </w:r>
    </w:p>
    <w:p>
      <w:pPr>
        <w:spacing w:line="234" w:lineRule="exact"/>
        <w:jc w:val="left"/>
        <w:rPr>
          <w:rFonts w:hint="eastAsia" w:ascii="宋体" w:hAnsi="宋体" w:eastAsia="宋体" w:cs="宋体"/>
          <w:sz w:val="24"/>
          <w:szCs w:val="24"/>
          <w:highlight w:val="none"/>
        </w:rPr>
      </w:pPr>
    </w:p>
    <w:tbl>
      <w:tblPr>
        <w:tblStyle w:val="174"/>
        <w:tblW w:w="102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972"/>
        <w:gridCol w:w="2275"/>
        <w:gridCol w:w="1252"/>
        <w:gridCol w:w="886"/>
        <w:gridCol w:w="928"/>
        <w:gridCol w:w="1051"/>
        <w:gridCol w:w="1069"/>
        <w:gridCol w:w="1069"/>
      </w:tblGrid>
      <w:tr>
        <w:trPr>
          <w:trHeight w:val="963" w:hRule="atLeast"/>
          <w:jc w:val="center"/>
        </w:trPr>
        <w:tc>
          <w:tcPr>
            <w:tcW w:w="770"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972" w:type="dxa"/>
            <w:noWrap w:val="0"/>
            <w:vAlign w:val="center"/>
          </w:tcPr>
          <w:p>
            <w:pPr>
              <w:snapToGrid w:val="0"/>
              <w:spacing w:line="400" w:lineRule="exact"/>
              <w:ind w:left="120" w:leftChars="0" w:right="62" w:rightChars="0" w:hanging="120" w:hanging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标的名称</w:t>
            </w:r>
          </w:p>
        </w:tc>
        <w:tc>
          <w:tcPr>
            <w:tcW w:w="2275" w:type="dxa"/>
            <w:noWrap w:val="0"/>
            <w:vAlign w:val="center"/>
          </w:tcPr>
          <w:p>
            <w:pPr>
              <w:snapToGrid w:val="0"/>
              <w:spacing w:line="400" w:lineRule="exact"/>
              <w:ind w:left="120" w:leftChars="0" w:right="62" w:rightChars="0" w:hanging="120" w:hanging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参数</w:t>
            </w:r>
          </w:p>
        </w:tc>
        <w:tc>
          <w:tcPr>
            <w:tcW w:w="1252"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86"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28"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1051"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总价（元）</w:t>
            </w:r>
          </w:p>
        </w:tc>
        <w:tc>
          <w:tcPr>
            <w:tcW w:w="1069"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服务商/制造商</w:t>
            </w:r>
          </w:p>
        </w:tc>
        <w:tc>
          <w:tcPr>
            <w:tcW w:w="1069" w:type="dxa"/>
            <w:noWrap w:val="0"/>
            <w:vAlign w:val="center"/>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227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25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51"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227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25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51"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rPr>
          <w:trHeight w:val="493"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227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25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51"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227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25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51"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rPr>
          <w:trHeight w:val="490" w:hRule="atLeast"/>
          <w:jc w:val="center"/>
        </w:trPr>
        <w:tc>
          <w:tcPr>
            <w:tcW w:w="770"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7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2275"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252"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886"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928"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51"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c>
          <w:tcPr>
            <w:tcW w:w="1069" w:type="dxa"/>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tc>
      </w:tr>
      <w:tr>
        <w:trPr>
          <w:trHeight w:val="2834" w:hRule="atLeast"/>
          <w:jc w:val="center"/>
        </w:trPr>
        <w:tc>
          <w:tcPr>
            <w:tcW w:w="1742" w:type="dxa"/>
            <w:gridSpan w:val="2"/>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投标总价</w:t>
            </w:r>
          </w:p>
        </w:tc>
        <w:tc>
          <w:tcPr>
            <w:tcW w:w="8530" w:type="dxa"/>
            <w:gridSpan w:val="7"/>
            <w:noWrap w:val="0"/>
            <w:vAlign w:val="top"/>
          </w:tcPr>
          <w:p>
            <w:pPr>
              <w:snapToGrid w:val="0"/>
              <w:spacing w:line="400" w:lineRule="exact"/>
              <w:ind w:left="120" w:leftChars="0" w:right="62" w:rightChars="0" w:hanging="120" w:hangingChars="50"/>
              <w:jc w:val="center"/>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元</w:t>
            </w:r>
          </w:p>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p>
          <w:p>
            <w:pPr>
              <w:snapToGrid w:val="0"/>
              <w:spacing w:line="400" w:lineRule="exact"/>
              <w:ind w:left="120" w:leftChars="0" w:right="62" w:rightChars="0" w:hanging="120" w:hangingChars="50"/>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     日</w:t>
            </w:r>
          </w:p>
        </w:tc>
      </w:tr>
      <w:tr>
        <w:trPr>
          <w:trHeight w:val="512" w:hRule="atLeast"/>
          <w:jc w:val="center"/>
        </w:trPr>
        <w:tc>
          <w:tcPr>
            <w:tcW w:w="10272" w:type="dxa"/>
            <w:gridSpan w:val="9"/>
            <w:noWrap w:val="0"/>
            <w:vAlign w:val="top"/>
          </w:tcPr>
          <w:p>
            <w:pPr>
              <w:snapToGrid w:val="0"/>
              <w:spacing w:line="400" w:lineRule="exact"/>
              <w:ind w:left="120" w:leftChars="0" w:right="62" w:rightChars="0" w:hanging="120" w:hangingChars="5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bl>
    <w:p>
      <w:pPr>
        <w:spacing w:line="245" w:lineRule="auto"/>
        <w:jc w:val="left"/>
        <w:rPr>
          <w:rFonts w:hint="eastAsia" w:ascii="宋体" w:hAnsi="宋体" w:eastAsia="宋体" w:cs="宋体"/>
          <w:sz w:val="24"/>
          <w:szCs w:val="24"/>
          <w:highlight w:val="none"/>
        </w:rPr>
      </w:pPr>
    </w:p>
    <w:p>
      <w:pPr>
        <w:spacing w:line="245" w:lineRule="auto"/>
        <w:jc w:val="left"/>
        <w:rPr>
          <w:rFonts w:hint="eastAsia" w:ascii="宋体" w:hAnsi="宋体" w:eastAsia="宋体" w:cs="宋体"/>
          <w:sz w:val="24"/>
          <w:szCs w:val="24"/>
          <w:highlight w:val="none"/>
        </w:rPr>
      </w:pPr>
    </w:p>
    <w:p>
      <w:pPr>
        <w:spacing w:before="78" w:line="468" w:lineRule="exact"/>
        <w:ind w:left="195" w:leftChars="93" w:firstLine="321" w:firstLineChars="150"/>
        <w:jc w:val="left"/>
        <w:rPr>
          <w:rFonts w:hint="eastAsia" w:ascii="宋体" w:hAnsi="宋体" w:eastAsia="宋体" w:cs="宋体"/>
          <w:sz w:val="24"/>
          <w:szCs w:val="24"/>
          <w:highlight w:val="none"/>
        </w:rPr>
      </w:pPr>
      <w:r>
        <w:rPr>
          <w:rFonts w:hint="eastAsia" w:ascii="宋体" w:hAnsi="宋体" w:eastAsia="宋体" w:cs="宋体"/>
          <w:spacing w:val="-13"/>
          <w:position w:val="16"/>
          <w:sz w:val="24"/>
          <w:szCs w:val="24"/>
          <w:highlight w:val="none"/>
        </w:rPr>
        <w:t>投标人名称（</w:t>
      </w:r>
      <w:r>
        <w:rPr>
          <w:rFonts w:hint="eastAsia" w:ascii="宋体" w:hAnsi="宋体" w:eastAsia="宋体" w:cs="宋体"/>
          <w:spacing w:val="-13"/>
          <w:position w:val="16"/>
          <w:sz w:val="24"/>
          <w:szCs w:val="24"/>
          <w:highlight w:val="none"/>
          <w:lang w:eastAsia="zh-CN"/>
        </w:rPr>
        <w:t>盖章</w:t>
      </w:r>
      <w:r>
        <w:rPr>
          <w:rFonts w:hint="eastAsia" w:ascii="宋体" w:hAnsi="宋体" w:eastAsia="宋体" w:cs="宋体"/>
          <w:spacing w:val="-84"/>
          <w:position w:val="16"/>
          <w:sz w:val="24"/>
          <w:szCs w:val="24"/>
          <w:highlight w:val="none"/>
        </w:rPr>
        <w:t>）：</w:t>
      </w:r>
    </w:p>
    <w:p>
      <w:pPr>
        <w:spacing w:before="1" w:line="204" w:lineRule="auto"/>
        <w:ind w:left="195" w:leftChars="93" w:firstLine="321" w:firstLineChars="150"/>
        <w:jc w:val="left"/>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法定代表人（</w:t>
      </w:r>
      <w:r>
        <w:rPr>
          <w:rFonts w:hint="eastAsia" w:ascii="宋体" w:hAnsi="宋体" w:eastAsia="宋体" w:cs="宋体"/>
          <w:spacing w:val="-13"/>
          <w:sz w:val="24"/>
          <w:szCs w:val="24"/>
          <w:highlight w:val="none"/>
          <w:lang w:eastAsia="zh-CN"/>
        </w:rPr>
        <w:t>签字或盖章</w:t>
      </w:r>
      <w:r>
        <w:rPr>
          <w:rFonts w:hint="eastAsia" w:ascii="宋体" w:hAnsi="宋体" w:eastAsia="宋体" w:cs="宋体"/>
          <w:spacing w:val="-84"/>
          <w:sz w:val="24"/>
          <w:szCs w:val="24"/>
          <w:highlight w:val="none"/>
        </w:rPr>
        <w:t>）：</w:t>
      </w:r>
    </w:p>
    <w:p>
      <w:pPr>
        <w:adjustRightInd w:val="0"/>
        <w:snapToGrid w:val="0"/>
        <w:spacing w:line="360" w:lineRule="auto"/>
        <w:ind w:left="210" w:leftChars="100" w:firstLine="360" w:firstLineChars="15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日期：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p>
    <w:p>
      <w:pPr>
        <w:spacing w:before="79" w:line="185" w:lineRule="auto"/>
        <w:ind w:left="1207" w:leftChars="114" w:hanging="968" w:hangingChars="440"/>
        <w:jc w:val="left"/>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注：</w:t>
      </w: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10"/>
          <w:sz w:val="24"/>
          <w:szCs w:val="24"/>
          <w:highlight w:val="none"/>
        </w:rPr>
        <w:t>1</w:t>
      </w:r>
      <w:r>
        <w:rPr>
          <w:rFonts w:hint="eastAsia" w:ascii="宋体" w:hAnsi="宋体" w:eastAsia="宋体" w:cs="宋体"/>
          <w:spacing w:val="-34"/>
          <w:sz w:val="24"/>
          <w:szCs w:val="24"/>
          <w:highlight w:val="none"/>
        </w:rPr>
        <w:t xml:space="preserve"> </w:t>
      </w:r>
      <w:r>
        <w:rPr>
          <w:rFonts w:hint="eastAsia" w:ascii="宋体" w:hAnsi="宋体" w:eastAsia="宋体" w:cs="宋体"/>
          <w:spacing w:val="-10"/>
          <w:sz w:val="24"/>
          <w:szCs w:val="24"/>
          <w:highlight w:val="none"/>
        </w:rPr>
        <w:t>、投标人必须填写报价明细表</w:t>
      </w:r>
      <w:r>
        <w:rPr>
          <w:rFonts w:hint="eastAsia" w:ascii="宋体" w:hAnsi="宋体" w:eastAsia="宋体" w:cs="宋体"/>
          <w:spacing w:val="-10"/>
          <w:sz w:val="24"/>
          <w:szCs w:val="24"/>
          <w:highlight w:val="none"/>
          <w:lang w:eastAsia="zh-CN"/>
        </w:rPr>
        <w:t>且</w:t>
      </w:r>
      <w:r>
        <w:rPr>
          <w:rFonts w:hint="eastAsia" w:ascii="宋体" w:hAnsi="宋体" w:eastAsia="宋体" w:cs="宋体"/>
          <w:spacing w:val="-10"/>
          <w:sz w:val="24"/>
          <w:szCs w:val="24"/>
          <w:highlight w:val="none"/>
          <w:lang w:val="en-US" w:eastAsia="zh-CN"/>
        </w:rPr>
        <w:t>明细表中需包含服务需求表中所有内容，</w:t>
      </w:r>
      <w:r>
        <w:rPr>
          <w:rFonts w:hint="eastAsia" w:ascii="宋体" w:hAnsi="宋体" w:eastAsia="宋体" w:cs="宋体"/>
          <w:spacing w:val="-10"/>
          <w:sz w:val="24"/>
          <w:szCs w:val="24"/>
          <w:highlight w:val="none"/>
        </w:rPr>
        <w:t>否则将导致投标被拒绝。</w:t>
      </w:r>
    </w:p>
    <w:p>
      <w:pPr>
        <w:spacing w:before="228" w:line="185" w:lineRule="auto"/>
        <w:ind w:firstLine="654" w:firstLineChars="300"/>
        <w:jc w:val="left"/>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2、报价分析表中的“投标总价”应等于“开标一览表”中的“投标总价”。</w:t>
      </w:r>
    </w:p>
    <w:p>
      <w:pPr>
        <w:spacing w:before="227" w:line="185" w:lineRule="auto"/>
        <w:ind w:firstLine="702" w:firstLineChars="300"/>
        <w:jc w:val="left"/>
        <w:outlineLvl w:val="2"/>
        <w:rPr>
          <w:rFonts w:hint="eastAsia" w:ascii="宋体" w:hAnsi="宋体" w:eastAsia="宋体" w:cs="宋体"/>
          <w:sz w:val="24"/>
          <w:szCs w:val="24"/>
          <w:highlight w:val="none"/>
          <w:lang w:eastAsia="zh-CN"/>
        </w:rPr>
        <w:sectPr>
          <w:footerReference r:id="rId16" w:type="default"/>
          <w:type w:val="continuous"/>
          <w:pgSz w:w="11905" w:h="16838"/>
          <w:pgMar w:top="1304" w:right="964" w:bottom="1020" w:left="1191" w:header="567" w:footer="454" w:gutter="0"/>
          <w:pgNumType w:fmt="decimal"/>
          <w:cols w:space="720" w:num="1"/>
          <w:rtlGutter w:val="0"/>
          <w:docGrid w:type="lines" w:linePitch="317" w:charSpace="0"/>
        </w:sectPr>
      </w:pPr>
      <w:bookmarkStart w:id="405" w:name="_Toc15566"/>
      <w:r>
        <w:rPr>
          <w:rFonts w:hint="eastAsia" w:ascii="宋体" w:hAnsi="宋体" w:eastAsia="宋体" w:cs="宋体"/>
          <w:spacing w:val="-3"/>
          <w:sz w:val="24"/>
          <w:szCs w:val="24"/>
          <w:highlight w:val="none"/>
        </w:rPr>
        <w:t>3、报价项目填报不下的，可自行扩</w:t>
      </w:r>
      <w:r>
        <w:rPr>
          <w:rFonts w:hint="eastAsia" w:ascii="宋体" w:hAnsi="宋体" w:eastAsia="宋体" w:cs="宋体"/>
          <w:spacing w:val="-3"/>
          <w:sz w:val="24"/>
          <w:szCs w:val="24"/>
          <w:highlight w:val="none"/>
          <w:lang w:val="en-US" w:eastAsia="zh-CN"/>
        </w:rPr>
        <w:t>展</w:t>
      </w:r>
      <w:bookmarkEnd w:id="405"/>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bookmarkStart w:id="406" w:name="_Toc23314"/>
      <w:bookmarkStart w:id="407" w:name="_Toc8739"/>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outlineLvl w:val="1"/>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w:t>
      </w:r>
      <w:bookmarkEnd w:id="406"/>
      <w:bookmarkEnd w:id="407"/>
      <w:r>
        <w:rPr>
          <w:rFonts w:hint="eastAsia" w:ascii="宋体" w:hAnsi="宋体" w:eastAsia="宋体" w:cs="宋体"/>
          <w:b/>
          <w:color w:val="000000"/>
          <w:sz w:val="28"/>
          <w:szCs w:val="24"/>
          <w:highlight w:val="none"/>
          <w:lang w:val="en-US" w:eastAsia="zh-CN"/>
        </w:rPr>
        <w:t>四</w:t>
      </w:r>
    </w:p>
    <w:p>
      <w:pPr>
        <w:jc w:val="center"/>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投标单位简介</w:t>
      </w:r>
    </w:p>
    <w:p>
      <w:pP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    </w:t>
      </w:r>
    </w:p>
    <w:p>
      <w:pPr>
        <w:ind w:firstLine="482" w:firstLineChars="20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投标人自行编制</w:t>
      </w:r>
    </w:p>
    <w:p>
      <w:pPr>
        <w:ind w:firstLine="482" w:firstLineChars="200"/>
        <w:rPr>
          <w:rFonts w:hint="eastAsia" w:ascii="宋体" w:hAnsi="宋体" w:eastAsia="宋体" w:cs="宋体"/>
          <w:b/>
          <w:color w:val="000000"/>
          <w:sz w:val="24"/>
          <w:szCs w:val="24"/>
          <w:highlight w:val="none"/>
        </w:rPr>
      </w:pPr>
    </w:p>
    <w:p>
      <w:pPr>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后附：投标人单位相关资质证件</w:t>
      </w: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pStyle w:val="3"/>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p>
    <w:p>
      <w:pPr>
        <w:pStyle w:val="3"/>
        <w:spacing w:line="240" w:lineRule="auto"/>
        <w:ind w:left="0" w:leftChars="0" w:firstLine="0" w:firstLineChars="0"/>
        <w:jc w:val="both"/>
        <w:rPr>
          <w:rFonts w:hint="eastAsia" w:ascii="宋体" w:hAnsi="宋体" w:eastAsia="宋体" w:cs="宋体"/>
          <w:b/>
          <w:color w:val="000000"/>
          <w:sz w:val="32"/>
          <w:szCs w:val="28"/>
          <w:highlight w:val="none"/>
          <w:lang w:val="en-US" w:eastAsia="zh-CN"/>
        </w:rPr>
      </w:pPr>
      <w:r>
        <w:rPr>
          <w:rFonts w:hint="eastAsia" w:ascii="宋体" w:hAnsi="宋体" w:eastAsia="宋体" w:cs="宋体"/>
          <w:b/>
          <w:color w:val="000000"/>
          <w:sz w:val="28"/>
          <w:szCs w:val="24"/>
          <w:highlight w:val="none"/>
          <w:lang w:val="en-US" w:eastAsia="zh-CN"/>
        </w:rPr>
        <w:t>附件五</w:t>
      </w:r>
    </w:p>
    <w:p>
      <w:pPr>
        <w:pStyle w:val="3"/>
        <w:spacing w:line="240" w:lineRule="auto"/>
        <w:ind w:left="0" w:leftChars="0" w:firstLine="0" w:firstLineChars="0"/>
        <w:jc w:val="center"/>
        <w:rPr>
          <w:rFonts w:hint="eastAsia" w:ascii="宋体" w:hAnsi="宋体" w:eastAsia="宋体" w:cs="宋体"/>
          <w:b/>
          <w:color w:val="000000"/>
          <w:sz w:val="32"/>
          <w:szCs w:val="28"/>
          <w:highlight w:val="none"/>
          <w:lang w:eastAsia="zh-CN"/>
        </w:rPr>
      </w:pPr>
      <w:r>
        <w:rPr>
          <w:rFonts w:hint="eastAsia" w:ascii="宋体" w:hAnsi="宋体" w:eastAsia="宋体" w:cs="宋体"/>
          <w:b/>
          <w:color w:val="000000"/>
          <w:sz w:val="32"/>
          <w:szCs w:val="28"/>
          <w:highlight w:val="none"/>
        </w:rPr>
        <w:t>出具法人营业执照函</w:t>
      </w:r>
    </w:p>
    <w:p>
      <w:pPr>
        <w:rPr>
          <w:rFonts w:hint="eastAsia" w:ascii="宋体" w:hAnsi="宋体" w:eastAsia="宋体" w:cs="宋体"/>
          <w:color w:val="000000"/>
          <w:sz w:val="28"/>
          <w:szCs w:val="28"/>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现附上由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（签发机关名称）签发的我方法人营业执照复印件，该执照已经年检，真实有效。</w:t>
      </w: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盖章</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签字或</w:t>
      </w:r>
      <w:r>
        <w:rPr>
          <w:rFonts w:hint="eastAsia" w:ascii="宋体" w:hAnsi="宋体" w:eastAsia="宋体" w:cs="宋体"/>
          <w:color w:val="000000"/>
          <w:sz w:val="24"/>
          <w:szCs w:val="24"/>
          <w:highlight w:val="none"/>
        </w:rPr>
        <w:t>盖章）</w:t>
      </w:r>
      <w:r>
        <w:rPr>
          <w:rFonts w:hint="eastAsia" w:ascii="宋体" w:hAnsi="宋体" w:eastAsia="宋体" w:cs="宋体"/>
          <w:color w:val="000000"/>
          <w:sz w:val="24"/>
          <w:szCs w:val="24"/>
          <w:highlight w:val="none"/>
          <w:u w:val="singl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ind w:firstLine="3290" w:firstLineChars="1371"/>
        <w:jc w:val="righ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jc w:val="right"/>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后附：投标单位三合一营业执照复印件</w:t>
      </w:r>
    </w:p>
    <w:p>
      <w:pPr>
        <w:pStyle w:val="24"/>
        <w:overflowPunct w:val="0"/>
        <w:snapToGrid w:val="0"/>
        <w:spacing w:line="360" w:lineRule="auto"/>
        <w:ind w:firstLine="0"/>
        <w:rPr>
          <w:rFonts w:hint="eastAsia" w:ascii="宋体" w:hAnsi="宋体" w:eastAsia="宋体" w:cs="宋体"/>
          <w:color w:val="000000"/>
          <w:sz w:val="21"/>
          <w:szCs w:val="21"/>
          <w:highlight w:val="none"/>
          <w:lang w:eastAsia="zh-CN"/>
        </w:rPr>
      </w:pPr>
    </w:p>
    <w:p>
      <w:pPr>
        <w:rPr>
          <w:rFonts w:hint="eastAsia" w:ascii="宋体" w:hAnsi="宋体" w:eastAsia="宋体" w:cs="宋体"/>
          <w:color w:val="000000"/>
          <w:sz w:val="24"/>
          <w:szCs w:val="24"/>
          <w:highlight w:val="none"/>
          <w:lang w:eastAsia="zh-CN"/>
        </w:rPr>
      </w:pPr>
    </w:p>
    <w:p>
      <w:pPr>
        <w:pStyle w:val="9"/>
        <w:outlineLvl w:val="9"/>
        <w:rPr>
          <w:rFonts w:hint="eastAsia" w:ascii="宋体" w:hAnsi="宋体" w:eastAsia="宋体" w:cs="宋体"/>
          <w:color w:val="000000"/>
          <w:sz w:val="24"/>
          <w:szCs w:val="24"/>
          <w:highlight w:val="none"/>
          <w:lang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p>
    <w:p>
      <w:pPr>
        <w:numPr>
          <w:ilvl w:val="0"/>
          <w:numId w:val="0"/>
        </w:numPr>
        <w:spacing w:line="440" w:lineRule="exact"/>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附件六</w:t>
      </w:r>
    </w:p>
    <w:p>
      <w:pPr>
        <w:jc w:val="center"/>
        <w:rPr>
          <w:rFonts w:hint="eastAsia" w:ascii="宋体" w:hAnsi="宋体" w:eastAsia="宋体" w:cs="宋体"/>
          <w:sz w:val="28"/>
          <w:highlight w:val="none"/>
        </w:rPr>
      </w:pPr>
    </w:p>
    <w:p>
      <w:pPr>
        <w:jc w:val="center"/>
        <w:outlineLvl w:val="2"/>
        <w:rPr>
          <w:rFonts w:hint="eastAsia" w:ascii="宋体" w:hAnsi="宋体" w:eastAsia="宋体" w:cs="宋体"/>
          <w:b/>
          <w:sz w:val="32"/>
          <w:szCs w:val="32"/>
          <w:highlight w:val="none"/>
          <w:lang w:eastAsia="zh-CN"/>
        </w:rPr>
      </w:pPr>
      <w:bookmarkStart w:id="408" w:name="_Toc1239"/>
      <w:bookmarkStart w:id="409" w:name="_Toc25844"/>
      <w:r>
        <w:rPr>
          <w:rFonts w:hint="eastAsia" w:ascii="宋体" w:hAnsi="宋体" w:eastAsia="宋体" w:cs="宋体"/>
          <w:b/>
          <w:sz w:val="32"/>
          <w:szCs w:val="32"/>
          <w:highlight w:val="none"/>
        </w:rPr>
        <w:t>联合体协议书</w:t>
      </w:r>
      <w:bookmarkEnd w:id="408"/>
      <w:bookmarkEnd w:id="409"/>
      <w:r>
        <w:rPr>
          <w:rFonts w:hint="eastAsia" w:ascii="宋体" w:hAnsi="宋体" w:eastAsia="宋体" w:cs="宋体"/>
          <w:b/>
          <w:sz w:val="32"/>
          <w:szCs w:val="32"/>
          <w:highlight w:val="none"/>
          <w:lang w:eastAsia="zh-CN"/>
        </w:rPr>
        <w:t>（</w:t>
      </w:r>
      <w:r>
        <w:rPr>
          <w:rFonts w:hint="eastAsia" w:ascii="宋体" w:hAnsi="宋体" w:eastAsia="宋体" w:cs="宋体"/>
          <w:b/>
          <w:sz w:val="32"/>
          <w:szCs w:val="32"/>
          <w:highlight w:val="none"/>
          <w:lang w:val="en-US" w:eastAsia="zh-CN"/>
        </w:rPr>
        <w:t>如是</w:t>
      </w:r>
      <w:r>
        <w:rPr>
          <w:rFonts w:hint="eastAsia" w:ascii="宋体" w:hAnsi="宋体" w:eastAsia="宋体" w:cs="宋体"/>
          <w:b/>
          <w:sz w:val="32"/>
          <w:szCs w:val="32"/>
          <w:highlight w:val="none"/>
          <w:lang w:eastAsia="zh-CN"/>
        </w:rPr>
        <w:t>）</w:t>
      </w:r>
    </w:p>
    <w:p>
      <w:pPr>
        <w:jc w:val="center"/>
        <w:rPr>
          <w:rFonts w:hint="eastAsia" w:ascii="宋体" w:hAnsi="宋体" w:eastAsia="宋体" w:cs="宋体"/>
          <w:sz w:val="24"/>
          <w:szCs w:val="24"/>
          <w:highlight w:val="none"/>
        </w:rPr>
      </w:pPr>
    </w:p>
    <w:p>
      <w:pPr>
        <w:topLinePunct/>
        <w:spacing w:line="440" w:lineRule="exact"/>
        <w:ind w:left="210" w:leftChars="10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（所有成员单位名称）自愿组成联合体，共同参加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（项目名称）投标。现就联合体投标事宜订立如下协议。</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（某成员单位名称）为牵头人。</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3、联合体将严格按照招标文件的各项要求，递交投标文件，履行合同，并对外承担连带责任。</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4、联合体各成员单位内部的职责分工如下：</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topLinePunct/>
        <w:spacing w:line="440" w:lineRule="exact"/>
        <w:ind w:firstLine="480" w:firstLineChars="200"/>
        <w:outlineLvl w:val="2"/>
        <w:rPr>
          <w:rFonts w:hint="eastAsia" w:ascii="宋体" w:hAnsi="宋体" w:eastAsia="宋体" w:cs="宋体"/>
          <w:sz w:val="24"/>
          <w:szCs w:val="24"/>
          <w:highlight w:val="none"/>
        </w:rPr>
      </w:pPr>
      <w:bookmarkStart w:id="410" w:name="_Toc14243"/>
      <w:r>
        <w:rPr>
          <w:rFonts w:hint="eastAsia" w:ascii="宋体" w:hAnsi="宋体" w:eastAsia="宋体" w:cs="宋体"/>
          <w:sz w:val="24"/>
          <w:szCs w:val="24"/>
          <w:highlight w:val="none"/>
        </w:rPr>
        <w:t>5、本协议书自签署之日起生效，合同履行完毕后自动失效。</w:t>
      </w:r>
      <w:bookmarkEnd w:id="410"/>
      <w:r>
        <w:rPr>
          <w:rFonts w:hint="eastAsia" w:ascii="宋体" w:hAnsi="宋体" w:eastAsia="宋体" w:cs="宋体"/>
          <w:sz w:val="24"/>
          <w:szCs w:val="24"/>
          <w:highlight w:val="none"/>
        </w:rPr>
        <w:t xml:space="preserve"> </w:t>
      </w: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6、本协议书一式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份，联合体成员和招标人各执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p>
    <w:p>
      <w:pPr>
        <w:topLinePunct/>
        <w:spacing w:line="440" w:lineRule="exact"/>
        <w:rPr>
          <w:rFonts w:hint="eastAsia" w:ascii="宋体" w:hAnsi="宋体" w:eastAsia="宋体" w:cs="宋体"/>
          <w:sz w:val="24"/>
          <w:szCs w:val="24"/>
          <w:highlight w:val="none"/>
        </w:rPr>
      </w:pPr>
    </w:p>
    <w:p>
      <w:pPr>
        <w:topLinePunct/>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注：本协议书由委托代理人签字的，应附法定代表人签字的授权委托书。</w:t>
      </w:r>
    </w:p>
    <w:p>
      <w:pPr>
        <w:topLinePunct/>
        <w:spacing w:line="440" w:lineRule="exact"/>
        <w:rPr>
          <w:rFonts w:hint="eastAsia" w:ascii="宋体" w:hAnsi="宋体" w:eastAsia="宋体" w:cs="宋体"/>
          <w:sz w:val="24"/>
          <w:szCs w:val="24"/>
          <w:highlight w:val="none"/>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牵头人名称：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rPr>
      </w:pP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成员一名称：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成员二名称：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p>
    <w:p>
      <w:pPr>
        <w:topLinePunct/>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topLinePunct/>
        <w:spacing w:line="440" w:lineRule="exact"/>
        <w:rPr>
          <w:rFonts w:hint="eastAsia" w:ascii="宋体" w:hAnsi="宋体" w:eastAsia="宋体" w:cs="宋体"/>
          <w:sz w:val="24"/>
          <w:szCs w:val="24"/>
          <w:highlight w:val="none"/>
        </w:rPr>
      </w:pPr>
    </w:p>
    <w:p>
      <w:pPr>
        <w:ind w:firstLine="3290" w:firstLineChars="1371"/>
        <w:jc w:val="righ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jc w:val="left"/>
        <w:rPr>
          <w:rFonts w:hint="eastAsia" w:ascii="宋体" w:hAnsi="宋体" w:eastAsia="宋体" w:cs="宋体"/>
          <w:b/>
          <w:color w:val="000000"/>
          <w:sz w:val="28"/>
          <w:szCs w:val="24"/>
          <w:highlight w:val="none"/>
          <w:lang w:val="en-US" w:eastAsia="zh-CN"/>
        </w:rPr>
      </w:pPr>
      <w:r>
        <w:rPr>
          <w:rFonts w:hint="eastAsia" w:ascii="宋体" w:hAnsi="宋体" w:eastAsia="宋体" w:cs="宋体"/>
          <w:sz w:val="24"/>
          <w:szCs w:val="18"/>
          <w:highlight w:val="none"/>
        </w:rPr>
        <w:br w:type="page"/>
      </w:r>
    </w:p>
    <w:p>
      <w:pPr>
        <w:rPr>
          <w:rFonts w:hint="eastAsia" w:ascii="宋体" w:hAnsi="宋体" w:eastAsia="宋体" w:cs="宋体"/>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3"/>
        <w:spacing w:line="240" w:lineRule="auto"/>
        <w:ind w:left="0" w:leftChars="0" w:firstLine="0" w:firstLineChars="0"/>
        <w:jc w:val="both"/>
        <w:outlineLvl w:val="2"/>
        <w:rPr>
          <w:rFonts w:hint="eastAsia" w:ascii="宋体" w:hAnsi="宋体" w:eastAsia="宋体" w:cs="宋体"/>
          <w:b/>
          <w:color w:val="000000"/>
          <w:sz w:val="28"/>
          <w:szCs w:val="24"/>
          <w:highlight w:val="none"/>
          <w:lang w:val="en-US" w:eastAsia="zh-CN"/>
        </w:rPr>
      </w:pPr>
      <w:bookmarkStart w:id="411" w:name="_Toc1542"/>
      <w:r>
        <w:rPr>
          <w:rFonts w:hint="eastAsia" w:ascii="宋体" w:hAnsi="宋体" w:eastAsia="宋体" w:cs="宋体"/>
          <w:b/>
          <w:color w:val="000000"/>
          <w:sz w:val="28"/>
          <w:szCs w:val="24"/>
          <w:highlight w:val="none"/>
          <w:lang w:val="en-US" w:eastAsia="zh-CN"/>
        </w:rPr>
        <w:t>附件</w:t>
      </w:r>
      <w:bookmarkEnd w:id="411"/>
      <w:r>
        <w:rPr>
          <w:rFonts w:hint="eastAsia" w:ascii="宋体" w:hAnsi="宋体" w:eastAsia="宋体" w:cs="宋体"/>
          <w:b/>
          <w:color w:val="000000"/>
          <w:sz w:val="28"/>
          <w:szCs w:val="24"/>
          <w:highlight w:val="none"/>
          <w:lang w:val="en-US" w:eastAsia="zh-CN"/>
        </w:rPr>
        <w:t>七</w:t>
      </w:r>
    </w:p>
    <w:p>
      <w:pPr>
        <w:pStyle w:val="3"/>
        <w:spacing w:line="240" w:lineRule="auto"/>
        <w:ind w:left="0" w:leftChars="0" w:firstLine="0" w:firstLineChars="0"/>
        <w:jc w:val="center"/>
        <w:rPr>
          <w:rFonts w:hint="eastAsia" w:ascii="宋体" w:hAnsi="宋体" w:eastAsia="宋体" w:cs="宋体"/>
          <w:b/>
          <w:color w:val="000000"/>
          <w:szCs w:val="28"/>
          <w:highlight w:val="none"/>
          <w:lang w:val="en-US" w:eastAsia="zh-CN"/>
        </w:rPr>
      </w:pPr>
      <w:r>
        <w:rPr>
          <w:rFonts w:hint="eastAsia" w:ascii="宋体" w:hAnsi="宋体" w:eastAsia="宋体" w:cs="宋体"/>
          <w:b/>
          <w:color w:val="000000"/>
          <w:sz w:val="32"/>
          <w:szCs w:val="28"/>
          <w:highlight w:val="none"/>
        </w:rPr>
        <w:t>法定代表人身份证</w:t>
      </w:r>
      <w:r>
        <w:rPr>
          <w:rFonts w:hint="eastAsia" w:ascii="宋体" w:hAnsi="宋体" w:eastAsia="宋体" w:cs="宋体"/>
          <w:b/>
          <w:color w:val="000000"/>
          <w:sz w:val="32"/>
          <w:szCs w:val="28"/>
          <w:highlight w:val="none"/>
          <w:lang w:val="en-US" w:eastAsia="zh-CN"/>
        </w:rPr>
        <w:t>明</w:t>
      </w:r>
    </w:p>
    <w:p>
      <w:pPr>
        <w:autoSpaceDE w:val="0"/>
        <w:autoSpaceDN w:val="0"/>
        <w:adjustRightInd w:val="0"/>
        <w:ind w:left="120" w:hanging="120"/>
        <w:rPr>
          <w:rFonts w:hint="eastAsia" w:ascii="宋体" w:hAnsi="宋体" w:eastAsia="宋体" w:cs="宋体"/>
          <w:sz w:val="24"/>
          <w:highlight w:val="none"/>
          <w:lang w:val="zh-CN"/>
        </w:rPr>
      </w:pPr>
    </w:p>
    <w:p>
      <w:pPr>
        <w:spacing w:line="460" w:lineRule="exact"/>
        <w:ind w:left="120" w:hanging="120"/>
        <w:rPr>
          <w:rFonts w:hint="eastAsia" w:ascii="宋体" w:hAnsi="宋体" w:eastAsia="宋体" w:cs="宋体"/>
          <w:sz w:val="24"/>
          <w:highlight w:val="none"/>
          <w:u w:val="single"/>
        </w:rPr>
      </w:pPr>
      <w:r>
        <w:rPr>
          <w:rFonts w:hint="eastAsia" w:ascii="宋体" w:hAnsi="宋体" w:eastAsia="宋体" w:cs="宋体"/>
          <w:sz w:val="24"/>
          <w:highlight w:val="none"/>
        </w:rPr>
        <w:t>单位名称：</w:t>
      </w:r>
      <w:r>
        <w:rPr>
          <w:rFonts w:hint="eastAsia" w:ascii="宋体" w:hAnsi="宋体" w:eastAsia="宋体" w:cs="宋体"/>
          <w:sz w:val="24"/>
          <w:highlight w:val="none"/>
          <w:u w:val="singl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职务：</w:t>
      </w:r>
      <w:r>
        <w:rPr>
          <w:rFonts w:hint="eastAsia" w:ascii="宋体" w:hAnsi="宋体" w:eastAsia="宋体" w:cs="宋体"/>
          <w:sz w:val="24"/>
          <w:highlight w:val="none"/>
          <w:u w:val="single"/>
        </w:rPr>
        <w:t xml:space="preserve">             </w:t>
      </w:r>
    </w:p>
    <w:p>
      <w:pPr>
        <w:spacing w:line="460" w:lineRule="exact"/>
        <w:ind w:left="120" w:hanging="120"/>
        <w:rPr>
          <w:rFonts w:hint="eastAsia" w:ascii="宋体" w:hAnsi="宋体" w:eastAsia="宋体" w:cs="宋体"/>
          <w:sz w:val="24"/>
          <w:highlight w:val="none"/>
        </w:rPr>
      </w:pPr>
      <w:r>
        <w:rPr>
          <w:rFonts w:hint="eastAsia" w:ascii="宋体" w:hAnsi="宋体" w:eastAsia="宋体" w:cs="宋体"/>
          <w:sz w:val="24"/>
          <w:highlight w:val="none"/>
        </w:rPr>
        <w:t xml:space="preserve">系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的法定代表人。</w:t>
      </w:r>
    </w:p>
    <w:p>
      <w:pPr>
        <w:spacing w:line="460" w:lineRule="exact"/>
        <w:ind w:left="120" w:hanging="120"/>
        <w:rPr>
          <w:rFonts w:hint="eastAsia" w:ascii="宋体" w:hAnsi="宋体" w:eastAsia="宋体" w:cs="宋体"/>
          <w:sz w:val="24"/>
          <w:highlight w:val="none"/>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r>
        <w:rPr>
          <w:rFonts w:hint="eastAsia" w:ascii="宋体" w:hAnsi="宋体" w:eastAsia="宋体" w:cs="宋体"/>
          <w:bCs/>
          <w:sz w:val="24"/>
          <w:highlight w:val="none"/>
        </w:rPr>
        <mc:AlternateContent>
          <mc:Choice Requires="wps">
            <w:drawing>
              <wp:anchor distT="0" distB="0" distL="114300" distR="114300" simplePos="0" relativeHeight="251664384" behindDoc="0" locked="0" layoutInCell="1" allowOverlap="1">
                <wp:simplePos x="0" y="0"/>
                <wp:positionH relativeFrom="column">
                  <wp:posOffset>2790825</wp:posOffset>
                </wp:positionH>
                <wp:positionV relativeFrom="paragraph">
                  <wp:posOffset>145415</wp:posOffset>
                </wp:positionV>
                <wp:extent cx="2472690" cy="1263650"/>
                <wp:effectExtent l="4445" t="4445" r="18415" b="8255"/>
                <wp:wrapNone/>
                <wp:docPr id="24" name="文本框 2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19.75pt;margin-top:11.45pt;height:99.5pt;width:194.7pt;z-index:251664384;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ByrmjZAAAACgEAAA8AAAAAAAAAAQAgAAAAIgAAAGRycy9kb3ducmV2&#10;LnhtbFBLAQIUABQAAAAIAIdO4kBasME0NAIAAHoEAAAOAAAAAAAAAAEAIAAAACgBAABkcnMvZTJv&#10;RG9jLnhtbFBLBQYAAAAABgAGAFkBAADO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eastAsia="宋体" w:cs="宋体"/>
          <w:bCs/>
          <w:sz w:val="24"/>
          <w:highlight w:val="none"/>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156210</wp:posOffset>
                </wp:positionV>
                <wp:extent cx="2472690" cy="1263650"/>
                <wp:effectExtent l="4445" t="4445" r="18415" b="8255"/>
                <wp:wrapNone/>
                <wp:docPr id="25" name="文本框 2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ind w:left="140" w:hanging="140"/>
                              <w:jc w:val="center"/>
                              <w:rPr>
                                <w:sz w:val="28"/>
                                <w:szCs w:val="28"/>
                              </w:rPr>
                            </w:pPr>
                            <w:r>
                              <w:rPr>
                                <w:rFonts w:hint="eastAsia"/>
                                <w:sz w:val="28"/>
                                <w:szCs w:val="28"/>
                              </w:rPr>
                              <w:t>法人身份证复印件正面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3.75pt;margin-top:12.3pt;height:99.5pt;width:194.7pt;z-index:251663360;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qR5xdoAAAAJAQAADwAAAAAAAAABACAAAAAiAAAAZHJzL2Rvd25yZXYu&#10;eG1sUEsBAhQAFAAAAAgAh07iQIhGdooyAgAAegQAAA4AAAAAAAAAAQAgAAAAKQEAAGRycy9lMm9E&#10;b2MueG1sUEsFBgAAAAAGAAYAWQEAAM0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0" w:leftChars="0" w:firstLine="0" w:firstLineChars="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autoSpaceDE w:val="0"/>
        <w:autoSpaceDN w:val="0"/>
        <w:adjustRightInd w:val="0"/>
        <w:spacing w:line="320" w:lineRule="exact"/>
        <w:ind w:left="120" w:hanging="120"/>
        <w:rPr>
          <w:rFonts w:hint="eastAsia" w:ascii="宋体" w:hAnsi="宋体" w:eastAsia="宋体" w:cs="宋体"/>
          <w:sz w:val="24"/>
          <w:highlight w:val="none"/>
          <w:lang w:val="zh-CN"/>
        </w:rPr>
      </w:pPr>
    </w:p>
    <w:p>
      <w:pPr>
        <w:pStyle w:val="8"/>
        <w:outlineLvl w:val="9"/>
        <w:rPr>
          <w:rFonts w:hint="eastAsia" w:ascii="宋体" w:hAnsi="宋体" w:eastAsia="宋体" w:cs="宋体"/>
          <w:sz w:val="24"/>
          <w:highlight w:val="none"/>
          <w:lang w:val="zh-CN"/>
        </w:rPr>
      </w:pPr>
    </w:p>
    <w:p>
      <w:pPr>
        <w:rPr>
          <w:rFonts w:hint="eastAsia" w:ascii="宋体" w:hAnsi="宋体" w:eastAsia="宋体" w:cs="宋体"/>
          <w:highlight w:val="none"/>
          <w:lang w:val="zh-CN"/>
        </w:rPr>
      </w:pP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投标单位名称：公章）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签字或</w:t>
      </w:r>
      <w:r>
        <w:rPr>
          <w:rFonts w:hint="eastAsia" w:ascii="宋体" w:hAnsi="宋体" w:eastAsia="宋体" w:cs="宋体"/>
          <w:color w:val="000000"/>
          <w:sz w:val="24"/>
          <w:szCs w:val="24"/>
          <w:highlight w:val="none"/>
        </w:rPr>
        <w:t>盖章）</w:t>
      </w:r>
      <w:r>
        <w:rPr>
          <w:rFonts w:hint="eastAsia" w:ascii="宋体" w:hAnsi="宋体" w:eastAsia="宋体" w:cs="宋体"/>
          <w:color w:val="000000"/>
          <w:sz w:val="24"/>
          <w:szCs w:val="24"/>
          <w:highlight w:val="none"/>
          <w:u w:val="single"/>
        </w:rPr>
        <w:t xml:space="preserve">                </w:t>
      </w:r>
    </w:p>
    <w:p>
      <w:pPr>
        <w:pStyle w:val="90"/>
        <w:rPr>
          <w:rFonts w:hint="eastAsia" w:ascii="宋体" w:hAnsi="宋体" w:eastAsia="宋体" w:cs="宋体"/>
          <w:highlight w:val="none"/>
        </w:rPr>
      </w:pPr>
    </w:p>
    <w:p>
      <w:pPr>
        <w:autoSpaceDE w:val="0"/>
        <w:autoSpaceDN w:val="0"/>
        <w:adjustRightInd w:val="0"/>
        <w:spacing w:line="320" w:lineRule="exact"/>
        <w:ind w:left="120" w:hanging="120"/>
        <w:rPr>
          <w:rFonts w:hint="eastAsia" w:ascii="宋体" w:hAnsi="宋体" w:eastAsia="宋体" w:cs="宋体"/>
          <w:b/>
          <w:bCs/>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center"/>
        <w:outlineLvl w:val="9"/>
        <w:rPr>
          <w:rFonts w:hint="eastAsia" w:ascii="宋体" w:hAnsi="宋体" w:eastAsia="宋体" w:cs="宋体"/>
          <w:sz w:val="24"/>
          <w:highlight w:val="none"/>
          <w:lang w:val="zh-CN"/>
        </w:rPr>
      </w:pPr>
    </w:p>
    <w:p>
      <w:pPr>
        <w:autoSpaceDE w:val="0"/>
        <w:autoSpaceDN w:val="0"/>
        <w:adjustRightInd w:val="0"/>
        <w:spacing w:line="320" w:lineRule="exact"/>
        <w:ind w:left="120" w:hanging="120"/>
        <w:jc w:val="right"/>
        <w:outlineLvl w:val="0"/>
        <w:rPr>
          <w:rFonts w:hint="eastAsia" w:ascii="宋体" w:hAnsi="宋体" w:eastAsia="宋体" w:cs="宋体"/>
          <w:sz w:val="24"/>
          <w:highlight w:val="none"/>
          <w:lang w:val="zh-CN"/>
        </w:rPr>
      </w:pPr>
      <w:bookmarkStart w:id="412" w:name="_Toc18606"/>
      <w:bookmarkStart w:id="413" w:name="_Toc7513"/>
      <w:bookmarkStart w:id="414" w:name="_Toc9354"/>
      <w:r>
        <w:rPr>
          <w:rFonts w:hint="eastAsia" w:ascii="宋体" w:hAnsi="宋体" w:eastAsia="宋体" w:cs="宋体"/>
          <w:sz w:val="24"/>
          <w:highlight w:val="none"/>
          <w:lang w:val="zh-CN"/>
        </w:rPr>
        <w:t>日期：</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bookmarkEnd w:id="412"/>
      <w:bookmarkEnd w:id="413"/>
      <w:bookmarkEnd w:id="414"/>
    </w:p>
    <w:p>
      <w:pPr>
        <w:pStyle w:val="24"/>
        <w:overflowPunct w:val="0"/>
        <w:snapToGrid w:val="0"/>
        <w:spacing w:line="360" w:lineRule="auto"/>
        <w:ind w:firstLine="0"/>
        <w:rPr>
          <w:rFonts w:hint="eastAsia" w:ascii="宋体" w:hAnsi="宋体" w:eastAsia="宋体" w:cs="宋体"/>
          <w:color w:val="000000"/>
          <w:sz w:val="24"/>
          <w:szCs w:val="24"/>
          <w:highlight w:val="none"/>
          <w:lang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br w:type="page"/>
      </w:r>
    </w:p>
    <w:p>
      <w:pPr>
        <w:pStyle w:val="3"/>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附件八</w:t>
      </w:r>
    </w:p>
    <w:p>
      <w:pPr>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32"/>
          <w:szCs w:val="28"/>
          <w:highlight w:val="none"/>
        </w:rPr>
        <w:t>法定代表人授权委托书</w:t>
      </w:r>
    </w:p>
    <w:p>
      <w:pPr>
        <w:pStyle w:val="47"/>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本授权委托书声明：注册于</w:t>
      </w:r>
      <w:r>
        <w:rPr>
          <w:rFonts w:hint="eastAsia" w:ascii="宋体" w:hAnsi="宋体" w:eastAsia="宋体" w:cs="宋体"/>
          <w:color w:val="000000"/>
          <w:sz w:val="24"/>
          <w:szCs w:val="24"/>
          <w:highlight w:val="none"/>
          <w:u w:val="single"/>
        </w:rPr>
        <w:t xml:space="preserve"> （投标人地址）  </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u w:val="single"/>
        </w:rPr>
        <w:t xml:space="preserve">  （单位名称）    </w:t>
      </w:r>
      <w:r>
        <w:rPr>
          <w:rFonts w:hint="eastAsia" w:ascii="宋体" w:hAnsi="宋体" w:eastAsia="宋体" w:cs="宋体"/>
          <w:color w:val="000000"/>
          <w:sz w:val="24"/>
          <w:szCs w:val="24"/>
          <w:highlight w:val="none"/>
        </w:rPr>
        <w:t>在下面签名的</w:t>
      </w:r>
      <w:r>
        <w:rPr>
          <w:rFonts w:hint="eastAsia" w:ascii="宋体" w:hAnsi="宋体" w:eastAsia="宋体" w:cs="宋体"/>
          <w:color w:val="000000"/>
          <w:sz w:val="24"/>
          <w:szCs w:val="24"/>
          <w:highlight w:val="none"/>
          <w:u w:val="single"/>
        </w:rPr>
        <w:t>（法定代表人姓名、职务）</w:t>
      </w:r>
      <w:r>
        <w:rPr>
          <w:rFonts w:hint="eastAsia" w:ascii="宋体" w:hAnsi="宋体" w:eastAsia="宋体" w:cs="宋体"/>
          <w:color w:val="000000"/>
          <w:sz w:val="24"/>
          <w:szCs w:val="24"/>
          <w:highlight w:val="none"/>
        </w:rPr>
        <w:t>在此授权</w:t>
      </w:r>
      <w:r>
        <w:rPr>
          <w:rFonts w:hint="eastAsia" w:ascii="宋体" w:hAnsi="宋体" w:eastAsia="宋体" w:cs="宋体"/>
          <w:color w:val="000000"/>
          <w:sz w:val="24"/>
          <w:szCs w:val="24"/>
          <w:highlight w:val="none"/>
          <w:u w:val="single"/>
        </w:rPr>
        <w:t>（被授权人姓名、职务）</w:t>
      </w:r>
      <w:r>
        <w:rPr>
          <w:rFonts w:hint="eastAsia" w:ascii="宋体" w:hAnsi="宋体" w:eastAsia="宋体" w:cs="宋体"/>
          <w:color w:val="000000"/>
          <w:sz w:val="24"/>
          <w:szCs w:val="24"/>
          <w:highlight w:val="none"/>
        </w:rPr>
        <w:t>作为我公司的合法代理人，就</w:t>
      </w:r>
      <w:r>
        <w:rPr>
          <w:rFonts w:hint="eastAsia" w:ascii="宋体" w:hAnsi="宋体" w:eastAsia="宋体" w:cs="宋体"/>
          <w:color w:val="000000"/>
          <w:sz w:val="24"/>
          <w:szCs w:val="24"/>
          <w:highlight w:val="none"/>
          <w:u w:val="single"/>
        </w:rPr>
        <w:t>（项目名称、项目编号</w:t>
      </w:r>
      <w:r>
        <w:rPr>
          <w:rFonts w:hint="eastAsia" w:ascii="宋体" w:hAnsi="宋体" w:eastAsia="宋体" w:cs="宋体"/>
          <w:color w:val="000000"/>
          <w:sz w:val="24"/>
          <w:szCs w:val="24"/>
          <w:highlight w:val="none"/>
        </w:rPr>
        <w:t>）的招投标活动，</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rPr>
        <w:t>合同的签订、执行、完成和售后服务，作为投标人代表以我方的名义处理一切与之有关的事务。</w:t>
      </w:r>
    </w:p>
    <w:p>
      <w:pPr>
        <w:pStyle w:val="47"/>
        <w:spacing w:line="360" w:lineRule="auto"/>
        <w:ind w:firstLine="480" w:firstLineChars="200"/>
        <w:rPr>
          <w:rFonts w:hint="eastAsia" w:ascii="宋体" w:hAnsi="宋体" w:eastAsia="宋体" w:cs="宋体"/>
          <w:color w:val="000000"/>
          <w:sz w:val="24"/>
          <w:szCs w:val="24"/>
          <w:highlight w:val="none"/>
        </w:rPr>
      </w:pPr>
    </w:p>
    <w:p>
      <w:pPr>
        <w:pStyle w:val="47"/>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被授权人（投标人授权代表）无转委托权限。</w:t>
      </w:r>
    </w:p>
    <w:p>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本授权书自法定代表人签字（盖个人名章）之日起生效，特此声明。</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需附：法定代表人、被授权人身份证复印件。</w:t>
      </w:r>
    </w:p>
    <w:p>
      <w:pPr>
        <w:pStyle w:val="6"/>
        <w:rPr>
          <w:rFonts w:hint="eastAsia" w:ascii="宋体" w:hAnsi="宋体" w:eastAsia="宋体" w:cs="宋体"/>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0288" behindDoc="0" locked="0" layoutInCell="1" allowOverlap="1">
                <wp:simplePos x="0" y="0"/>
                <wp:positionH relativeFrom="column">
                  <wp:posOffset>2816225</wp:posOffset>
                </wp:positionH>
                <wp:positionV relativeFrom="paragraph">
                  <wp:posOffset>62230</wp:posOffset>
                </wp:positionV>
                <wp:extent cx="1991360" cy="1219835"/>
                <wp:effectExtent l="7620" t="7620" r="20320" b="10795"/>
                <wp:wrapNone/>
                <wp:docPr id="3" name="文本框 3"/>
                <wp:cNvGraphicFramePr/>
                <a:graphic xmlns:a="http://schemas.openxmlformats.org/drawingml/2006/main">
                  <a:graphicData uri="http://schemas.microsoft.com/office/word/2010/wordprocessingShape">
                    <wps:wsp>
                      <wps:cNvSpPr txBox="1"/>
                      <wps:spPr>
                        <a:xfrm>
                          <a:off x="0" y="0"/>
                          <a:ext cx="1991360"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4.9pt;height:96.05pt;width:156.8pt;z-index:251660288;mso-width-relative:page;mso-height-relative:page;" filled="f" stroked="t" coordsize="21600,21600" o:gfxdata="UEsDBAoAAAAAAIdO4kAAAAAAAAAAAAAAAAAEAAAAZHJzL1BLAwQUAAAACACHTuJAzSkcHd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kcHdYAAAAJAQAADwAAAAAAAAABACAAAAAiAAAAZHJzL2Rvd25yZXYueG1sUEsBAhQAFAAA&#10;AAgAh07iQFZgQzUqAgAAUA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62230</wp:posOffset>
                </wp:positionV>
                <wp:extent cx="2023745" cy="1219835"/>
                <wp:effectExtent l="7620" t="7620" r="26035" b="10795"/>
                <wp:wrapNone/>
                <wp:docPr id="19" name="文本框 19"/>
                <wp:cNvGraphicFramePr/>
                <a:graphic xmlns:a="http://schemas.openxmlformats.org/drawingml/2006/main">
                  <a:graphicData uri="http://schemas.microsoft.com/office/word/2010/wordprocessingShape">
                    <wps:wsp>
                      <wps:cNvSpPr txBox="1"/>
                      <wps:spPr>
                        <a:xfrm>
                          <a:off x="0" y="0"/>
                          <a:ext cx="202374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法定代表人身份证复印件正面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4.9pt;height:96.05pt;width:159.35pt;z-index:251659264;mso-width-relative:page;mso-height-relative:page;" filled="f" stroked="t" coordsize="21600,21600" o:gfxdata="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HU36i1AAAAAgBAAAPAAAAAAAAAAEAIAAAACIAAABkcnMvZG93bnJldi54bWxQSwECFAAUAAAA&#10;CACHTuJAZ1/47isCAABSBAAADgAAAAAAAAABACAAAAAjAQAAZHJzL2Uyb0RvYy54bWxQSwUGAAAA&#10;AAYABgBZAQAAwAU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p>
    <w:p>
      <w:pPr>
        <w:rPr>
          <w:rFonts w:hint="eastAsia" w:ascii="宋体" w:hAnsi="宋体" w:eastAsia="宋体" w:cs="宋体"/>
          <w:color w:val="FF0000"/>
          <w:sz w:val="28"/>
          <w:szCs w:val="28"/>
          <w:highlight w:val="none"/>
        </w:rPr>
      </w:pPr>
      <w:r>
        <w:rPr>
          <w:rFonts w:hint="eastAsia" w:ascii="宋体" w:hAnsi="宋体" w:eastAsia="宋体" w:cs="宋体"/>
          <w:color w:val="FF0000"/>
          <w:sz w:val="28"/>
          <w:highlight w:val="none"/>
        </w:rPr>
        <mc:AlternateContent>
          <mc:Choice Requires="wps">
            <w:drawing>
              <wp:anchor distT="0" distB="0" distL="114300" distR="114300" simplePos="0" relativeHeight="251662336"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20" name="文本框 2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被授权人身份证复印件背面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221.75pt;margin-top:12.2pt;height:96.05pt;width:156.75pt;z-index:251662336;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dyPdYAAAAKAQAADwAAAAAAAAABACAAAAAiAAAAZHJzL2Rvd25yZXYueG1sUEsBAhQAFAAA&#10;AAgAh07iQJWNtRwqAgAAUgQAAA4AAAAAAAAAAQAgAAAAJQEAAGRycy9lMm9Eb2MueG1sUEsFBgAA&#10;AAAGAAYAWQEAAME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rFonts w:hint="eastAsia" w:ascii="宋体" w:hAnsi="宋体" w:eastAsia="宋体" w:cs="宋体"/>
          <w:color w:val="FF0000"/>
          <w:sz w:val="28"/>
          <w:highlight w:val="none"/>
        </w:rPr>
        <mc:AlternateContent>
          <mc:Choice Requires="wps">
            <w:drawing>
              <wp:anchor distT="0" distB="0" distL="114300" distR="114300" simplePos="0" relativeHeight="251661312"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21" name="文本框 21"/>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a:effectLst/>
                      </wps:spPr>
                      <wps:txbx>
                        <w:txbxContent>
                          <w:p>
                            <w:pPr>
                              <w:rPr>
                                <w:rFonts w:hint="eastAsia"/>
                              </w:rPr>
                            </w:pPr>
                            <w:r>
                              <w:rPr>
                                <w:rFonts w:hint="eastAsia"/>
                              </w:rPr>
                              <w:t>法定代表人身份证复印件背面</w:t>
                            </w:r>
                          </w:p>
                        </w:txbxContent>
                      </wps:txbx>
                      <wps:bodyPr vert="horz" wrap="square" anchor="t" anchorCtr="0" upright="1"/>
                    </wps:wsp>
                  </a:graphicData>
                </a:graphic>
              </wp:anchor>
            </w:drawing>
          </mc:Choice>
          <mc:Fallback>
            <w:pict>
              <v:shape id="_x0000_s1026" o:spid="_x0000_s1026" o:spt="202" type="#_x0000_t202" style="position:absolute;left:0pt;margin-left:7.55pt;margin-top:12.2pt;height:96.05pt;width:156.75pt;z-index:251661312;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ewhYdUAAAAJAQAADwAAAAAAAAABACAAAAAiAAAAZHJzL2Rvd25yZXYueG1sUEsBAhQAFAAA&#10;AAgAh07iQHLcNMQrAgAAUgQAAA4AAAAAAAAAAQAgAAAAJAEAAGRycy9lMm9Eb2MueG1sUEsFBgAA&#10;AAAGAAYAWQEAAME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eastAsia="宋体" w:cs="宋体"/>
          <w:color w:val="FF0000"/>
          <w:sz w:val="28"/>
          <w:szCs w:val="28"/>
          <w:highlight w:val="none"/>
        </w:rPr>
      </w:pPr>
    </w:p>
    <w:p>
      <w:pPr>
        <w:jc w:val="center"/>
        <w:rPr>
          <w:rFonts w:hint="eastAsia" w:ascii="宋体" w:hAnsi="宋体" w:eastAsia="宋体" w:cs="宋体"/>
          <w:b/>
          <w:color w:val="FF0000"/>
          <w:sz w:val="28"/>
          <w:szCs w:val="28"/>
          <w:highlight w:val="none"/>
        </w:rPr>
      </w:pPr>
    </w:p>
    <w:p>
      <w:pPr>
        <w:jc w:val="center"/>
        <w:rPr>
          <w:rFonts w:hint="eastAsia" w:ascii="宋体" w:hAnsi="宋体" w:eastAsia="宋体" w:cs="宋体"/>
          <w:b/>
          <w:color w:val="FF0000"/>
          <w:sz w:val="28"/>
          <w:szCs w:val="28"/>
          <w:highlight w:val="none"/>
        </w:rPr>
      </w:pP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投标单位名称：（</w:t>
      </w:r>
      <w:r>
        <w:rPr>
          <w:rFonts w:hint="eastAsia" w:ascii="宋体" w:hAnsi="宋体" w:eastAsia="宋体" w:cs="宋体"/>
          <w:color w:val="auto"/>
          <w:sz w:val="24"/>
          <w:szCs w:val="28"/>
          <w:highlight w:val="none"/>
          <w:lang w:eastAsia="zh-CN"/>
        </w:rPr>
        <w:t>盖章</w:t>
      </w:r>
      <w:r>
        <w:rPr>
          <w:rFonts w:hint="eastAsia" w:ascii="宋体" w:hAnsi="宋体" w:eastAsia="宋体" w:cs="宋体"/>
          <w:color w:val="auto"/>
          <w:sz w:val="24"/>
          <w:szCs w:val="28"/>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授权代表人</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（签字</w:t>
      </w:r>
      <w:r>
        <w:rPr>
          <w:rFonts w:hint="eastAsia" w:ascii="宋体" w:hAnsi="宋体" w:eastAsia="宋体" w:cs="宋体"/>
          <w:color w:val="auto"/>
          <w:sz w:val="24"/>
          <w:szCs w:val="28"/>
          <w:highlight w:val="none"/>
          <w:lang w:val="en-US" w:eastAsia="zh-CN"/>
        </w:rPr>
        <w:t>或</w:t>
      </w:r>
      <w:r>
        <w:rPr>
          <w:rFonts w:hint="eastAsia" w:ascii="宋体" w:hAnsi="宋体" w:eastAsia="宋体" w:cs="宋体"/>
          <w:color w:val="auto"/>
          <w:sz w:val="24"/>
          <w:szCs w:val="28"/>
          <w:highlight w:val="none"/>
        </w:rPr>
        <w:t>盖章）</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spacing w:line="360" w:lineRule="auto"/>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rPr>
          <w:rFonts w:hint="eastAsia" w:ascii="宋体" w:hAnsi="宋体" w:eastAsia="宋体" w:cs="宋体"/>
          <w:highlight w:val="none"/>
          <w:lang w:val="en-US" w:eastAsia="zh-CN"/>
        </w:rPr>
      </w:pPr>
    </w:p>
    <w:p>
      <w:pPr>
        <w:pStyle w:val="3"/>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1"/>
          <w:szCs w:val="20"/>
          <w:highlight w:val="none"/>
          <w:lang w:val="en-US" w:eastAsia="zh-CN" w:bidi="ar-SA"/>
        </w:rPr>
        <w:t>法定代表人参加的需提供法定代表人证明书，委托代理人参加的需提供法定代表人授权委托书</w:t>
      </w:r>
    </w:p>
    <w:p>
      <w:pPr>
        <w:pStyle w:val="3"/>
        <w:spacing w:line="240" w:lineRule="auto"/>
        <w:ind w:left="0" w:leftChars="0" w:firstLine="0" w:firstLineChars="0"/>
        <w:jc w:val="both"/>
        <w:rPr>
          <w:rFonts w:hint="eastAsia" w:ascii="宋体" w:hAnsi="宋体" w:eastAsia="宋体" w:cs="宋体"/>
          <w:b w:val="0"/>
          <w:bCs/>
          <w:color w:val="auto"/>
          <w:kern w:val="2"/>
          <w:sz w:val="21"/>
          <w:szCs w:val="20"/>
          <w:highlight w:val="none"/>
          <w:lang w:val="en-US" w:eastAsia="zh-CN" w:bidi="ar-SA"/>
        </w:rPr>
      </w:pPr>
    </w:p>
    <w:p>
      <w:pPr>
        <w:pStyle w:val="3"/>
        <w:spacing w:line="240" w:lineRule="auto"/>
        <w:ind w:left="0" w:leftChars="0" w:firstLine="0" w:firstLineChars="0"/>
        <w:jc w:val="both"/>
        <w:rPr>
          <w:rFonts w:hint="eastAsia" w:ascii="宋体" w:hAnsi="宋体" w:eastAsia="宋体" w:cs="宋体"/>
          <w:b/>
          <w:color w:val="000000"/>
          <w:sz w:val="28"/>
          <w:szCs w:val="24"/>
          <w:highlight w:val="none"/>
          <w:lang w:val="en-US" w:eastAsia="zh-CN"/>
        </w:rPr>
      </w:pPr>
      <w:r>
        <w:rPr>
          <w:rFonts w:hint="eastAsia" w:ascii="宋体" w:hAnsi="宋体" w:eastAsia="宋体" w:cs="宋体"/>
          <w:b/>
          <w:color w:val="000000"/>
          <w:sz w:val="28"/>
          <w:szCs w:val="24"/>
          <w:highlight w:val="none"/>
          <w:lang w:val="en-US" w:eastAsia="zh-CN"/>
        </w:rPr>
        <w:t>附件九</w:t>
      </w:r>
    </w:p>
    <w:p>
      <w:pPr>
        <w:pStyle w:val="3"/>
        <w:spacing w:line="240" w:lineRule="auto"/>
        <w:ind w:left="0" w:leftChars="0" w:firstLine="0" w:firstLineChars="0"/>
        <w:jc w:val="center"/>
        <w:rPr>
          <w:rFonts w:hint="eastAsia" w:ascii="宋体" w:hAnsi="宋体" w:eastAsia="宋体" w:cs="宋体"/>
          <w:b/>
          <w:bCs w:val="0"/>
          <w:color w:val="000000"/>
          <w:sz w:val="28"/>
          <w:szCs w:val="24"/>
          <w:highlight w:val="none"/>
          <w:lang w:val="en-US" w:eastAsia="zh-CN"/>
        </w:rPr>
      </w:pPr>
      <w:r>
        <w:rPr>
          <w:rFonts w:hint="eastAsia" w:ascii="宋体" w:hAnsi="宋体" w:eastAsia="宋体" w:cs="宋体"/>
          <w:b/>
          <w:bCs w:val="0"/>
          <w:color w:val="000000"/>
          <w:sz w:val="28"/>
          <w:szCs w:val="24"/>
          <w:highlight w:val="none"/>
          <w:lang w:val="en-US" w:eastAsia="zh-CN"/>
        </w:rPr>
        <w:t>投标人资格声明函（格式自拟）</w:t>
      </w:r>
    </w:p>
    <w:p>
      <w:pPr>
        <w:pStyle w:val="3"/>
        <w:spacing w:line="240" w:lineRule="auto"/>
        <w:ind w:left="0" w:leftChars="0" w:firstLine="480" w:firstLineChars="200"/>
        <w:jc w:val="both"/>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我公司</w:t>
      </w:r>
      <w:r>
        <w:rPr>
          <w:rFonts w:hint="eastAsia" w:ascii="宋体" w:hAnsi="宋体" w:eastAsia="宋体" w:cs="宋体"/>
          <w:b w:val="0"/>
          <w:bCs/>
          <w:color w:val="000000"/>
          <w:sz w:val="24"/>
          <w:szCs w:val="24"/>
          <w:highlight w:val="none"/>
          <w:u w:val="single"/>
          <w:lang w:val="en-US" w:eastAsia="zh-CN"/>
        </w:rPr>
        <w:t xml:space="preserve"> （供应商全称） </w:t>
      </w:r>
      <w:r>
        <w:rPr>
          <w:rFonts w:hint="eastAsia" w:ascii="宋体" w:hAnsi="宋体" w:eastAsia="宋体" w:cs="宋体"/>
          <w:b w:val="0"/>
          <w:bCs/>
          <w:color w:val="000000"/>
          <w:sz w:val="24"/>
          <w:szCs w:val="24"/>
          <w:highlight w:val="none"/>
          <w:lang w:val="en-US" w:eastAsia="zh-CN"/>
        </w:rPr>
        <w:t>收到</w:t>
      </w:r>
      <w:r>
        <w:rPr>
          <w:rFonts w:hint="eastAsia" w:ascii="宋体" w:hAnsi="宋体" w:eastAsia="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lang w:val="en-US" w:eastAsia="zh-CN"/>
        </w:rPr>
        <w:t>项目（项目编号：</w:t>
      </w:r>
      <w:r>
        <w:rPr>
          <w:rFonts w:hint="eastAsia" w:ascii="宋体" w:hAnsi="宋体" w:eastAsia="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lang w:val="en-US" w:eastAsia="zh-CN"/>
        </w:rPr>
        <w:t>、标段号：</w:t>
      </w:r>
      <w:r>
        <w:rPr>
          <w:rFonts w:hint="eastAsia" w:ascii="宋体" w:hAnsi="宋体" w:eastAsia="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lang w:val="en-US" w:eastAsia="zh-CN"/>
        </w:rPr>
        <w:t>、标段名称：</w:t>
      </w:r>
      <w:r>
        <w:rPr>
          <w:rFonts w:hint="eastAsia" w:ascii="宋体" w:hAnsi="宋体" w:eastAsia="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lang w:val="en-US" w:eastAsia="zh-CN"/>
        </w:rPr>
        <w:t xml:space="preserve"> ）的招标文件后，在完全理解该项目采购技术要求和商务条款的基础上，决定参加此次投标活动。我方保证具备履行合同所必需的服务和专业技术能力，并承诺如下：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1、具有独立承担民事责任的能力；</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2、具有良好的商业信誉和健全的财务会计制度；</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3、具有履行合同所必需的货物和专业技术能力；</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4、有依法缴纳税收和社会保障资金的良好记录；</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5、参加政府采购活动前三年内，在经营活动中没有重大违法记录；</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6、法律、行政法规规定的其他条件；</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7、具备承担和实施本次采购内容相关的经营许可或相关代理授权。</w:t>
      </w:r>
    </w:p>
    <w:p>
      <w:pPr>
        <w:topLinePunct/>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3"/>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供应商名称（电子公章）：</w:t>
      </w:r>
    </w:p>
    <w:p>
      <w:pPr>
        <w:pStyle w:val="3"/>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法定代表人或其授权代表（签字）：</w:t>
      </w:r>
    </w:p>
    <w:p>
      <w:pPr>
        <w:pStyle w:val="3"/>
        <w:spacing w:line="240" w:lineRule="auto"/>
        <w:ind w:left="0" w:leftChars="0" w:firstLine="560" w:firstLineChars="200"/>
        <w:jc w:val="both"/>
        <w:rPr>
          <w:rFonts w:hint="eastAsia" w:ascii="宋体" w:hAnsi="宋体" w:eastAsia="宋体" w:cs="宋体"/>
          <w:b w:val="0"/>
          <w:bCs/>
          <w:color w:val="000000"/>
          <w:sz w:val="28"/>
          <w:szCs w:val="24"/>
          <w:highlight w:val="none"/>
          <w:lang w:val="en-US" w:eastAsia="zh-CN"/>
        </w:rPr>
      </w:pPr>
      <w:r>
        <w:rPr>
          <w:rFonts w:hint="eastAsia" w:ascii="宋体" w:hAnsi="宋体" w:eastAsia="宋体" w:cs="宋体"/>
          <w:b w:val="0"/>
          <w:bCs/>
          <w:color w:val="000000"/>
          <w:sz w:val="28"/>
          <w:szCs w:val="24"/>
          <w:highlight w:val="none"/>
          <w:lang w:val="en-US" w:eastAsia="zh-CN"/>
        </w:rPr>
        <w:t>日期：   年   月    日</w:t>
      </w:r>
    </w:p>
    <w:p>
      <w:pPr>
        <w:pStyle w:val="24"/>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p>
    <w:p>
      <w:pPr>
        <w:rPr>
          <w:rFonts w:hint="eastAsia" w:ascii="宋体" w:hAnsi="宋体" w:eastAsia="宋体" w:cs="宋体"/>
          <w:b w:val="0"/>
          <w:bCs/>
          <w:color w:val="auto"/>
          <w:kern w:val="2"/>
          <w:sz w:val="21"/>
          <w:szCs w:val="20"/>
          <w:highlight w:val="none"/>
          <w:lang w:val="en-US" w:eastAsia="zh-CN" w:bidi="ar-SA"/>
        </w:rPr>
      </w:pPr>
    </w:p>
    <w:p>
      <w:pPr>
        <w:pStyle w:val="21"/>
        <w:rPr>
          <w:rFonts w:hint="eastAsia" w:ascii="宋体" w:hAnsi="宋体" w:eastAsia="宋体" w:cs="宋体"/>
          <w:b w:val="0"/>
          <w:bCs/>
          <w:color w:val="auto"/>
          <w:kern w:val="2"/>
          <w:sz w:val="21"/>
          <w:szCs w:val="20"/>
          <w:highlight w:val="none"/>
          <w:lang w:val="en-US" w:eastAsia="zh-CN" w:bidi="ar-SA"/>
        </w:rPr>
      </w:pPr>
    </w:p>
    <w:p>
      <w:pPr>
        <w:pStyle w:val="24"/>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4"/>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pStyle w:val="24"/>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br w:type="page"/>
      </w:r>
    </w:p>
    <w:p>
      <w:pPr>
        <w:pStyle w:val="24"/>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w:t>
      </w:r>
    </w:p>
    <w:p>
      <w:pPr>
        <w:tabs>
          <w:tab w:val="left" w:pos="142"/>
        </w:tabs>
        <w:autoSpaceDE w:val="0"/>
        <w:autoSpaceDN w:val="0"/>
        <w:spacing w:line="360" w:lineRule="auto"/>
        <w:ind w:left="118" w:leftChars="-1" w:firstLine="2"/>
        <w:jc w:val="center"/>
        <w:outlineLvl w:val="3"/>
        <w:rPr>
          <w:rFonts w:hint="eastAsia" w:ascii="宋体" w:hAnsi="宋体" w:eastAsia="宋体" w:cs="宋体"/>
          <w:color w:val="000000" w:themeColor="text1"/>
          <w:sz w:val="24"/>
          <w:szCs w:val="24"/>
          <w:highlight w:val="none"/>
          <w14:textFill>
            <w14:solidFill>
              <w14:schemeClr w14:val="tx1"/>
            </w14:solidFill>
          </w14:textFill>
        </w:rPr>
      </w:pPr>
      <w:bookmarkStart w:id="415" w:name="_Toc50736480"/>
      <w:bookmarkStart w:id="416" w:name="_Toc435515311"/>
      <w:bookmarkStart w:id="417" w:name="_Toc50737300"/>
      <w:bookmarkStart w:id="418" w:name="_Toc52165084"/>
      <w:bookmarkStart w:id="419" w:name="_Toc435514871"/>
      <w:bookmarkStart w:id="420" w:name="_Toc275865618"/>
      <w:bookmarkStart w:id="421" w:name="_Toc50737332"/>
      <w:bookmarkStart w:id="422" w:name="_Toc50691042"/>
      <w:r>
        <w:rPr>
          <w:rFonts w:hint="eastAsia" w:ascii="宋体" w:hAnsi="宋体" w:eastAsia="宋体" w:cs="宋体"/>
          <w:color w:val="000000" w:themeColor="text1"/>
          <w:sz w:val="24"/>
          <w:szCs w:val="24"/>
          <w:highlight w:val="none"/>
          <w14:textFill>
            <w14:solidFill>
              <w14:schemeClr w14:val="tx1"/>
            </w14:solidFill>
          </w14:textFill>
        </w:rPr>
        <w:t>项目经理及管理技术人员一览表</w:t>
      </w:r>
      <w:bookmarkEnd w:id="415"/>
      <w:bookmarkEnd w:id="416"/>
      <w:bookmarkEnd w:id="417"/>
      <w:bookmarkEnd w:id="418"/>
      <w:bookmarkEnd w:id="419"/>
      <w:bookmarkEnd w:id="420"/>
      <w:bookmarkEnd w:id="421"/>
      <w:bookmarkEnd w:id="422"/>
    </w:p>
    <w:p>
      <w:pPr>
        <w:widowControl/>
        <w:snapToGrid w:val="0"/>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bl>
      <w:tblPr>
        <w:tblStyle w:val="72"/>
        <w:tblW w:w="90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034"/>
        <w:gridCol w:w="662"/>
        <w:gridCol w:w="658"/>
        <w:gridCol w:w="822"/>
        <w:gridCol w:w="1051"/>
        <w:gridCol w:w="731"/>
        <w:gridCol w:w="579"/>
        <w:gridCol w:w="924"/>
        <w:gridCol w:w="709"/>
        <w:gridCol w:w="1283"/>
      </w:tblGrid>
      <w:tr>
        <w:trPr>
          <w:trHeight w:val="457" w:hRule="atLeast"/>
          <w:jc w:val="center"/>
        </w:trPr>
        <w:tc>
          <w:tcPr>
            <w:tcW w:w="57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序号</w:t>
            </w:r>
          </w:p>
        </w:tc>
        <w:tc>
          <w:tcPr>
            <w:tcW w:w="1034"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姓名</w:t>
            </w:r>
          </w:p>
        </w:tc>
        <w:tc>
          <w:tcPr>
            <w:tcW w:w="66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性别</w:t>
            </w:r>
          </w:p>
        </w:tc>
        <w:tc>
          <w:tcPr>
            <w:tcW w:w="658"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年龄</w:t>
            </w:r>
          </w:p>
        </w:tc>
        <w:tc>
          <w:tcPr>
            <w:tcW w:w="822"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学历</w:t>
            </w:r>
          </w:p>
        </w:tc>
        <w:tc>
          <w:tcPr>
            <w:tcW w:w="1051"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职称</w:t>
            </w:r>
          </w:p>
        </w:tc>
        <w:tc>
          <w:tcPr>
            <w:tcW w:w="731"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专业</w:t>
            </w:r>
          </w:p>
        </w:tc>
        <w:tc>
          <w:tcPr>
            <w:tcW w:w="579" w:type="dxa"/>
            <w:tcBorders>
              <w:top w:val="single" w:color="auto" w:sz="12"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经验年限</w:t>
            </w:r>
          </w:p>
        </w:tc>
        <w:tc>
          <w:tcPr>
            <w:tcW w:w="924" w:type="dxa"/>
            <w:tcBorders>
              <w:top w:val="single" w:color="auto" w:sz="12" w:space="0"/>
              <w:bottom w:val="double" w:color="auto" w:sz="4" w:space="0"/>
              <w:right w:val="sing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担任职务</w:t>
            </w:r>
          </w:p>
        </w:tc>
        <w:tc>
          <w:tcPr>
            <w:tcW w:w="709" w:type="dxa"/>
            <w:tcBorders>
              <w:top w:val="single" w:color="auto" w:sz="12" w:space="0"/>
              <w:left w:val="single" w:color="auto" w:sz="4" w:space="0"/>
              <w:bottom w:val="double" w:color="auto" w:sz="4" w:space="0"/>
              <w:right w:val="single" w:color="auto" w:sz="6"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承担工作内容</w:t>
            </w:r>
          </w:p>
        </w:tc>
        <w:tc>
          <w:tcPr>
            <w:tcW w:w="1283" w:type="dxa"/>
            <w:tcBorders>
              <w:top w:val="single" w:color="auto" w:sz="12" w:space="0"/>
              <w:left w:val="single" w:color="auto" w:sz="6" w:space="0"/>
              <w:bottom w:val="double" w:color="auto" w:sz="4" w:space="0"/>
            </w:tcBorders>
            <w:shd w:val="clear" w:color="auto" w:fill="EEECE1"/>
            <w:noWrap w:val="0"/>
            <w:vAlign w:val="center"/>
          </w:tcPr>
          <w:p>
            <w:pPr>
              <w:snapToGrid w:val="0"/>
              <w:ind w:left="28" w:leftChars="-44" w:right="-80" w:rightChars="-38"/>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查阅/证明文件指引</w:t>
            </w:r>
          </w:p>
        </w:tc>
      </w:tr>
      <w:tr>
        <w:trPr>
          <w:trHeight w:val="549" w:hRule="atLeast"/>
          <w:jc w:val="center"/>
        </w:trPr>
        <w:tc>
          <w:tcPr>
            <w:tcW w:w="572" w:type="dxa"/>
            <w:tcBorders>
              <w:top w:val="double" w:color="auto" w:sz="4" w:space="0"/>
            </w:tcBorders>
            <w:noWrap w:val="0"/>
            <w:vAlign w:val="center"/>
          </w:tcPr>
          <w:p>
            <w:pPr>
              <w:pStyle w:val="165"/>
              <w:numPr>
                <w:ilvl w:val="0"/>
                <w:numId w:val="15"/>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tcBorders>
              <w:top w:val="doub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top w:val="double" w:color="auto" w:sz="4" w:space="0"/>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top w:val="double" w:color="auto" w:sz="4" w:space="0"/>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top w:val="double" w:color="auto" w:sz="4" w:space="0"/>
              <w:left w:val="single" w:color="auto" w:sz="6" w:space="0"/>
            </w:tcBorders>
            <w:noWrap w:val="0"/>
            <w:vAlign w:val="center"/>
          </w:tcPr>
          <w:p>
            <w:pPr>
              <w:snapToGrid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页</w:t>
            </w:r>
          </w:p>
        </w:tc>
      </w:tr>
      <w:tr>
        <w:trPr>
          <w:trHeight w:val="549" w:hRule="atLeast"/>
          <w:jc w:val="center"/>
        </w:trPr>
        <w:tc>
          <w:tcPr>
            <w:tcW w:w="572" w:type="dxa"/>
            <w:noWrap w:val="0"/>
            <w:vAlign w:val="center"/>
          </w:tcPr>
          <w:p>
            <w:pPr>
              <w:pStyle w:val="165"/>
              <w:numPr>
                <w:ilvl w:val="0"/>
                <w:numId w:val="15"/>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页</w:t>
            </w:r>
          </w:p>
        </w:tc>
      </w:tr>
      <w:tr>
        <w:trPr>
          <w:trHeight w:val="549" w:hRule="atLeast"/>
          <w:jc w:val="center"/>
        </w:trPr>
        <w:tc>
          <w:tcPr>
            <w:tcW w:w="572" w:type="dxa"/>
            <w:noWrap w:val="0"/>
            <w:vAlign w:val="center"/>
          </w:tcPr>
          <w:p>
            <w:pPr>
              <w:pStyle w:val="165"/>
              <w:numPr>
                <w:ilvl w:val="0"/>
                <w:numId w:val="15"/>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页</w:t>
            </w:r>
          </w:p>
        </w:tc>
      </w:tr>
      <w:tr>
        <w:trPr>
          <w:trHeight w:val="549" w:hRule="atLeast"/>
          <w:jc w:val="center"/>
        </w:trPr>
        <w:tc>
          <w:tcPr>
            <w:tcW w:w="572" w:type="dxa"/>
            <w:noWrap w:val="0"/>
            <w:vAlign w:val="center"/>
          </w:tcPr>
          <w:p>
            <w:pPr>
              <w:pStyle w:val="165"/>
              <w:numPr>
                <w:ilvl w:val="0"/>
                <w:numId w:val="15"/>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页</w:t>
            </w:r>
          </w:p>
        </w:tc>
      </w:tr>
      <w:tr>
        <w:trPr>
          <w:trHeight w:val="549" w:hRule="atLeast"/>
          <w:jc w:val="center"/>
        </w:trPr>
        <w:tc>
          <w:tcPr>
            <w:tcW w:w="572" w:type="dxa"/>
            <w:noWrap w:val="0"/>
            <w:vAlign w:val="center"/>
          </w:tcPr>
          <w:p>
            <w:pPr>
              <w:pStyle w:val="165"/>
              <w:numPr>
                <w:ilvl w:val="0"/>
                <w:numId w:val="15"/>
              </w:numPr>
              <w:spacing w:line="400" w:lineRule="exact"/>
              <w:ind w:firstLine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34"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6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658"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22"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5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31"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579" w:type="dxa"/>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24" w:type="dxa"/>
            <w:tcBorders>
              <w:right w:val="single" w:color="auto" w:sz="4"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9" w:type="dxa"/>
            <w:tcBorders>
              <w:left w:val="single" w:color="auto" w:sz="4" w:space="0"/>
              <w:righ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283" w:type="dxa"/>
            <w:tcBorders>
              <w:left w:val="single" w:color="auto" w:sz="6" w:space="0"/>
            </w:tcBorders>
            <w:noWrap w:val="0"/>
            <w:vAlign w:val="center"/>
          </w:tcPr>
          <w:p>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第</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页</w:t>
            </w:r>
          </w:p>
        </w:tc>
      </w:tr>
    </w:tbl>
    <w:p>
      <w:pPr>
        <w:spacing w:line="500" w:lineRule="exact"/>
        <w:rPr>
          <w:rFonts w:hint="default"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备注：</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1、请</w:t>
      </w:r>
      <w:r>
        <w:rPr>
          <w:rFonts w:hint="eastAsia" w:ascii="宋体" w:hAnsi="宋体" w:eastAsia="宋体" w:cs="宋体"/>
          <w:color w:val="000000" w:themeColor="text1"/>
          <w:sz w:val="24"/>
          <w:szCs w:val="24"/>
          <w:highlight w:val="none"/>
          <w14:textFill>
            <w14:solidFill>
              <w14:schemeClr w14:val="tx1"/>
            </w14:solidFill>
          </w14:textFill>
        </w:rPr>
        <w:t>提交相应资料</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2、以上人员须提供拟投入人员的社保缴纳证明材料，如未提供或提供不全可能导致投标无效（不满足政府采购法二十二条规定）。</w:t>
      </w:r>
    </w:p>
    <w:p>
      <w:pPr>
        <w:spacing w:line="500" w:lineRule="exact"/>
        <w:rPr>
          <w:rFonts w:hint="eastAsia" w:ascii="宋体" w:hAnsi="宋体" w:eastAsia="宋体" w:cs="宋体"/>
          <w:color w:val="000000" w:themeColor="text1"/>
          <w:spacing w:val="4"/>
          <w:sz w:val="24"/>
          <w:szCs w:val="24"/>
          <w:highlight w:val="none"/>
          <w14:textFill>
            <w14:solidFill>
              <w14:schemeClr w14:val="tx1"/>
            </w14:solidFill>
          </w14:textFill>
        </w:rPr>
      </w:pPr>
    </w:p>
    <w:p>
      <w:pPr>
        <w:spacing w:line="500" w:lineRule="exact"/>
        <w:rPr>
          <w:rFonts w:hint="eastAsia" w:ascii="宋体" w:hAnsi="宋体" w:eastAsia="宋体" w:cs="宋体"/>
          <w:color w:val="000000" w:themeColor="text1"/>
          <w:spacing w:val="4"/>
          <w:sz w:val="24"/>
          <w:szCs w:val="24"/>
          <w:highlight w:val="none"/>
          <w:u w:val="singl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投标人名称（</w:t>
      </w:r>
      <w:r>
        <w:rPr>
          <w:rFonts w:hint="eastAsia" w:ascii="宋体" w:hAnsi="宋体" w:eastAsia="宋体" w:cs="宋体"/>
          <w:color w:val="000000" w:themeColor="text1"/>
          <w:sz w:val="24"/>
          <w:szCs w:val="24"/>
          <w:highlight w:val="none"/>
          <w14:textFill>
            <w14:solidFill>
              <w14:schemeClr w14:val="tx1"/>
            </w14:solidFill>
          </w14:textFill>
        </w:rPr>
        <w:t>单位盖</w:t>
      </w:r>
      <w:r>
        <w:rPr>
          <w:rFonts w:hint="eastAsia" w:ascii="宋体" w:hAnsi="宋体" w:eastAsia="宋体" w:cs="宋体"/>
          <w:color w:val="000000" w:themeColor="text1"/>
          <w:spacing w:val="4"/>
          <w:sz w:val="24"/>
          <w:szCs w:val="24"/>
          <w:highlight w:val="none"/>
          <w14:textFill>
            <w14:solidFill>
              <w14:schemeClr w14:val="tx1"/>
            </w14:solidFill>
          </w14:textFill>
        </w:rPr>
        <w:t>公章）：                 日期：</w:t>
      </w:r>
    </w:p>
    <w:p>
      <w:pPr>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br w:type="page"/>
      </w:r>
    </w:p>
    <w:p>
      <w:pPr>
        <w:pStyle w:val="24"/>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附件十一</w:t>
      </w:r>
    </w:p>
    <w:p>
      <w:pPr>
        <w:pStyle w:val="24"/>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4"/>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p>
    <w:p>
      <w:pPr>
        <w:pStyle w:val="24"/>
        <w:numPr>
          <w:ilvl w:val="0"/>
          <w:numId w:val="0"/>
        </w:numPr>
        <w:overflowPunct w:val="0"/>
        <w:snapToGrid w:val="0"/>
        <w:spacing w:line="360" w:lineRule="auto"/>
        <w:jc w:val="both"/>
        <w:rPr>
          <w:rFonts w:hint="eastAsia" w:ascii="宋体" w:hAnsi="宋体" w:eastAsia="宋体" w:cs="宋体"/>
          <w:b w:val="0"/>
          <w:bCs/>
          <w:color w:val="auto"/>
          <w:kern w:val="2"/>
          <w:sz w:val="21"/>
          <w:szCs w:val="20"/>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投标单位的依法缴纳税收和社会保障资金的良好记录；具有良好的商业信誉和健全的财务会计制度（需提2022财务审计报告；2023年成立的公司不提供；</w:t>
      </w:r>
      <w:r>
        <w:rPr>
          <w:rFonts w:hint="eastAsia" w:ascii="宋体" w:hAnsi="宋体" w:eastAsia="宋体" w:cs="宋体"/>
          <w:b w:val="0"/>
          <w:bCs/>
          <w:color w:val="auto"/>
          <w:kern w:val="2"/>
          <w:sz w:val="21"/>
          <w:szCs w:val="20"/>
          <w:highlight w:val="none"/>
          <w:lang w:val="en-US" w:eastAsia="zh-CN" w:bidi="ar-SA"/>
        </w:rPr>
        <w:t>）</w:t>
      </w:r>
    </w:p>
    <w:p>
      <w:pPr>
        <w:pStyle w:val="24"/>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4"/>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4"/>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4"/>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4"/>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4"/>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4"/>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4"/>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pStyle w:val="24"/>
        <w:numPr>
          <w:ilvl w:val="0"/>
          <w:numId w:val="0"/>
        </w:numPr>
        <w:overflowPunct w:val="0"/>
        <w:snapToGrid w:val="0"/>
        <w:spacing w:line="360" w:lineRule="auto"/>
        <w:ind w:leftChars="0"/>
        <w:jc w:val="both"/>
        <w:rPr>
          <w:rFonts w:hint="eastAsia" w:ascii="宋体" w:hAnsi="宋体" w:eastAsia="宋体" w:cs="宋体"/>
          <w:b/>
          <w:bCs w:val="0"/>
          <w:color w:val="auto"/>
          <w:kern w:val="2"/>
          <w:sz w:val="32"/>
          <w:szCs w:val="28"/>
          <w:highlight w:val="none"/>
          <w:lang w:val="en-US" w:eastAsia="zh-CN" w:bidi="ar-SA"/>
        </w:rPr>
      </w:pPr>
    </w:p>
    <w:p>
      <w:pPr>
        <w:ind w:left="0" w:leftChars="0" w:firstLine="0" w:firstLineChars="0"/>
        <w:rPr>
          <w:rFonts w:hint="eastAsia" w:ascii="宋体" w:hAnsi="宋体" w:eastAsia="宋体" w:cs="宋体"/>
          <w:b/>
          <w:color w:val="000000"/>
          <w:kern w:val="2"/>
          <w:sz w:val="28"/>
          <w:szCs w:val="24"/>
          <w:highlight w:val="none"/>
          <w:lang w:val="en-US" w:eastAsia="zh-CN" w:bidi="ar-SA"/>
        </w:rPr>
      </w:pPr>
    </w:p>
    <w:p>
      <w:pPr>
        <w:pStyle w:val="24"/>
        <w:numPr>
          <w:ilvl w:val="0"/>
          <w:numId w:val="0"/>
        </w:numPr>
        <w:overflowPunct w:val="0"/>
        <w:snapToGrid w:val="0"/>
        <w:spacing w:line="360" w:lineRule="auto"/>
        <w:jc w:val="both"/>
        <w:rPr>
          <w:rFonts w:hint="eastAsia" w:ascii="宋体" w:hAnsi="宋体" w:eastAsia="宋体" w:cs="宋体"/>
          <w:b/>
          <w:color w:val="000000"/>
          <w:kern w:val="2"/>
          <w:sz w:val="28"/>
          <w:szCs w:val="24"/>
          <w:highlight w:val="none"/>
          <w:lang w:val="en-US" w:eastAsia="zh-CN" w:bidi="ar-SA"/>
        </w:rPr>
      </w:pPr>
      <w:r>
        <w:rPr>
          <w:rFonts w:hint="eastAsia" w:ascii="宋体" w:hAnsi="宋体" w:eastAsia="宋体" w:cs="宋体"/>
          <w:b/>
          <w:color w:val="000000"/>
          <w:kern w:val="2"/>
          <w:sz w:val="28"/>
          <w:szCs w:val="24"/>
          <w:highlight w:val="none"/>
          <w:lang w:val="en-US" w:eastAsia="zh-CN" w:bidi="ar-SA"/>
        </w:rPr>
        <w:t>附件十二</w:t>
      </w:r>
    </w:p>
    <w:p>
      <w:pPr>
        <w:pStyle w:val="24"/>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4"/>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4"/>
        <w:numPr>
          <w:ilvl w:val="0"/>
          <w:numId w:val="0"/>
        </w:numPr>
        <w:overflowPunct w:val="0"/>
        <w:snapToGrid w:val="0"/>
        <w:spacing w:line="360" w:lineRule="auto"/>
        <w:jc w:val="center"/>
        <w:rPr>
          <w:rFonts w:hint="eastAsia" w:ascii="宋体" w:hAnsi="宋体" w:eastAsia="宋体" w:cs="宋体"/>
          <w:b w:val="0"/>
          <w:bCs/>
          <w:color w:val="auto"/>
          <w:kern w:val="2"/>
          <w:sz w:val="21"/>
          <w:szCs w:val="20"/>
          <w:highlight w:val="none"/>
          <w:lang w:val="en-US" w:eastAsia="zh-CN" w:bidi="ar-SA"/>
        </w:rPr>
      </w:pPr>
    </w:p>
    <w:p>
      <w:pPr>
        <w:pStyle w:val="24"/>
        <w:numPr>
          <w:ilvl w:val="0"/>
          <w:numId w:val="0"/>
        </w:numPr>
        <w:overflowPunct w:val="0"/>
        <w:snapToGrid w:val="0"/>
        <w:spacing w:line="360" w:lineRule="auto"/>
        <w:jc w:val="cente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投标保证金回单（以银行到账推送名单情况为</w:t>
      </w:r>
    </w:p>
    <w:p>
      <w:pPr>
        <w:pStyle w:val="24"/>
        <w:numPr>
          <w:ilvl w:val="0"/>
          <w:numId w:val="0"/>
        </w:numPr>
        <w:overflowPunct w:val="0"/>
        <w:snapToGrid w:val="0"/>
        <w:spacing w:line="360" w:lineRule="auto"/>
        <w:jc w:val="center"/>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val="0"/>
          <w:bCs/>
          <w:color w:val="auto"/>
          <w:kern w:val="2"/>
          <w:sz w:val="24"/>
          <w:szCs w:val="24"/>
          <w:highlight w:val="none"/>
          <w:lang w:val="en-US" w:eastAsia="zh-CN" w:bidi="ar-SA"/>
        </w:rPr>
        <w:t>准）、或电子保函凭证</w:t>
      </w:r>
    </w:p>
    <w:p>
      <w:pPr>
        <w:ind w:left="0" w:leftChars="0" w:firstLine="0" w:firstLineChars="0"/>
        <w:rPr>
          <w:rFonts w:hint="eastAsia" w:ascii="宋体" w:hAnsi="宋体" w:eastAsia="宋体" w:cs="宋体"/>
          <w:b/>
          <w:bCs w:val="0"/>
          <w:color w:val="auto"/>
          <w:kern w:val="2"/>
          <w:sz w:val="24"/>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ind w:left="0" w:leftChars="0" w:firstLine="0" w:firstLineChars="0"/>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附件十三</w:t>
      </w:r>
    </w:p>
    <w:p>
      <w:pPr>
        <w:pStyle w:val="24"/>
        <w:numPr>
          <w:ilvl w:val="0"/>
          <w:numId w:val="0"/>
        </w:numPr>
        <w:tabs>
          <w:tab w:val="left" w:pos="2160"/>
        </w:tabs>
        <w:overflowPunct w:val="0"/>
        <w:snapToGrid w:val="0"/>
        <w:spacing w:line="360" w:lineRule="auto"/>
        <w:ind w:leftChars="0"/>
        <w:jc w:val="center"/>
        <w:rPr>
          <w:rFonts w:hint="eastAsia" w:ascii="宋体" w:hAnsi="宋体" w:eastAsia="宋体" w:cs="宋体"/>
          <w:color w:val="000000"/>
          <w:sz w:val="24"/>
          <w:szCs w:val="28"/>
          <w:highlight w:val="none"/>
        </w:rPr>
      </w:pPr>
      <w:r>
        <w:rPr>
          <w:rFonts w:hint="eastAsia" w:ascii="宋体" w:hAnsi="宋体" w:eastAsia="宋体" w:cs="宋体"/>
          <w:b/>
          <w:bCs w:val="0"/>
          <w:color w:val="auto"/>
          <w:kern w:val="2"/>
          <w:sz w:val="32"/>
          <w:szCs w:val="28"/>
          <w:highlight w:val="none"/>
          <w:lang w:val="en-US" w:eastAsia="zh-CN" w:bidi="ar-SA"/>
        </w:rPr>
        <w:t>技术、商务偏离表</w:t>
      </w:r>
    </w:p>
    <w:p>
      <w:pPr>
        <w:adjustRightInd w:val="0"/>
        <w:snapToGrid w:val="0"/>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p>
    <w:p>
      <w:pPr>
        <w:adjustRightInd w:val="0"/>
        <w:snapToGrid w:val="0"/>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项目编号：</w:t>
      </w: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rPr>
          <w:cantSplit/>
          <w:trHeight w:val="974" w:hRule="atLeast"/>
          <w:jc w:val="center"/>
        </w:trPr>
        <w:tc>
          <w:tcPr>
            <w:tcW w:w="796" w:type="dxa"/>
            <w:noWrap w:val="0"/>
            <w:vAlign w:val="center"/>
          </w:tcPr>
          <w:p>
            <w:pPr>
              <w:spacing w:line="40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181" w:type="dxa"/>
            <w:noWrap w:val="0"/>
            <w:vAlign w:val="center"/>
          </w:tcPr>
          <w:p>
            <w:pPr>
              <w:spacing w:line="40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招标文件条目号</w:t>
            </w:r>
          </w:p>
        </w:tc>
        <w:tc>
          <w:tcPr>
            <w:tcW w:w="2552" w:type="dxa"/>
            <w:noWrap w:val="0"/>
            <w:vAlign w:val="center"/>
          </w:tcPr>
          <w:p>
            <w:pPr>
              <w:spacing w:line="40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招标文件的技术商务条款</w:t>
            </w:r>
          </w:p>
        </w:tc>
        <w:tc>
          <w:tcPr>
            <w:tcW w:w="2551" w:type="dxa"/>
            <w:noWrap w:val="0"/>
            <w:vAlign w:val="center"/>
          </w:tcPr>
          <w:p>
            <w:pPr>
              <w:spacing w:line="40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招标响应文件的技术商务条款</w:t>
            </w:r>
          </w:p>
        </w:tc>
        <w:tc>
          <w:tcPr>
            <w:tcW w:w="1210" w:type="dxa"/>
            <w:noWrap w:val="0"/>
            <w:vAlign w:val="center"/>
          </w:tcPr>
          <w:p>
            <w:pPr>
              <w:spacing w:line="40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trPr>
          <w:cantSplit/>
          <w:trHeight w:val="57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181" w:type="dxa"/>
            <w:noWrap w:val="0"/>
            <w:vAlign w:val="top"/>
          </w:tcPr>
          <w:p>
            <w:pPr>
              <w:spacing w:line="360" w:lineRule="auto"/>
              <w:jc w:val="center"/>
              <w:rPr>
                <w:rFonts w:hint="eastAsia" w:ascii="宋体" w:hAnsi="宋体" w:eastAsia="宋体" w:cs="宋体"/>
                <w:color w:val="000000"/>
                <w:sz w:val="24"/>
                <w:szCs w:val="24"/>
                <w:highlight w:val="none"/>
              </w:rPr>
            </w:pPr>
          </w:p>
        </w:tc>
        <w:tc>
          <w:tcPr>
            <w:tcW w:w="2552" w:type="dxa"/>
            <w:noWrap w:val="0"/>
            <w:vAlign w:val="top"/>
          </w:tcPr>
          <w:p>
            <w:pPr>
              <w:spacing w:line="360" w:lineRule="auto"/>
              <w:jc w:val="center"/>
              <w:rPr>
                <w:rFonts w:hint="eastAsia" w:ascii="宋体" w:hAnsi="宋体" w:eastAsia="宋体" w:cs="宋体"/>
                <w:color w:val="000000"/>
                <w:sz w:val="24"/>
                <w:szCs w:val="24"/>
                <w:highlight w:val="none"/>
              </w:rPr>
            </w:pPr>
          </w:p>
        </w:tc>
        <w:tc>
          <w:tcPr>
            <w:tcW w:w="2551" w:type="dxa"/>
            <w:noWrap w:val="0"/>
            <w:vAlign w:val="top"/>
          </w:tcPr>
          <w:p>
            <w:pPr>
              <w:spacing w:line="360" w:lineRule="auto"/>
              <w:jc w:val="center"/>
              <w:rPr>
                <w:rFonts w:hint="eastAsia" w:ascii="宋体" w:hAnsi="宋体" w:eastAsia="宋体" w:cs="宋体"/>
                <w:color w:val="000000"/>
                <w:sz w:val="24"/>
                <w:szCs w:val="24"/>
                <w:highlight w:val="none"/>
              </w:rPr>
            </w:pPr>
          </w:p>
        </w:tc>
        <w:tc>
          <w:tcPr>
            <w:tcW w:w="1210" w:type="dxa"/>
            <w:noWrap w:val="0"/>
            <w:vAlign w:val="top"/>
          </w:tcPr>
          <w:p>
            <w:pPr>
              <w:spacing w:line="360" w:lineRule="auto"/>
              <w:jc w:val="center"/>
              <w:rPr>
                <w:rFonts w:hint="eastAsia" w:ascii="宋体" w:hAnsi="宋体" w:eastAsia="宋体" w:cs="宋体"/>
                <w:color w:val="000000"/>
                <w:sz w:val="24"/>
                <w:szCs w:val="24"/>
                <w:highlight w:val="none"/>
              </w:rPr>
            </w:pPr>
          </w:p>
        </w:tc>
      </w:tr>
      <w:tr>
        <w:trPr>
          <w:cantSplit/>
          <w:trHeight w:val="56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181" w:type="dxa"/>
            <w:noWrap w:val="0"/>
            <w:vAlign w:val="center"/>
          </w:tcPr>
          <w:p>
            <w:pPr>
              <w:adjustRightInd w:val="0"/>
              <w:snapToGrid w:val="0"/>
              <w:jc w:val="center"/>
              <w:rPr>
                <w:rFonts w:hint="eastAsia" w:ascii="宋体" w:hAnsi="宋体" w:eastAsia="宋体" w:cs="宋体"/>
                <w:color w:val="000000"/>
                <w:sz w:val="24"/>
                <w:szCs w:val="24"/>
                <w:highlight w:val="none"/>
              </w:rPr>
            </w:pPr>
          </w:p>
        </w:tc>
        <w:tc>
          <w:tcPr>
            <w:tcW w:w="2552" w:type="dxa"/>
            <w:noWrap w:val="0"/>
            <w:vAlign w:val="center"/>
          </w:tcPr>
          <w:p>
            <w:pPr>
              <w:adjustRightInd w:val="0"/>
              <w:snapToGrid w:val="0"/>
              <w:jc w:val="center"/>
              <w:rPr>
                <w:rFonts w:hint="eastAsia" w:ascii="宋体" w:hAnsi="宋体" w:eastAsia="宋体" w:cs="宋体"/>
                <w:color w:val="000000"/>
                <w:sz w:val="24"/>
                <w:szCs w:val="24"/>
                <w:highlight w:val="none"/>
              </w:rPr>
            </w:pPr>
          </w:p>
        </w:tc>
        <w:tc>
          <w:tcPr>
            <w:tcW w:w="2551" w:type="dxa"/>
            <w:noWrap w:val="0"/>
            <w:vAlign w:val="center"/>
          </w:tcPr>
          <w:p>
            <w:pPr>
              <w:adjustRightInd w:val="0"/>
              <w:snapToGrid w:val="0"/>
              <w:jc w:val="center"/>
              <w:rPr>
                <w:rFonts w:hint="eastAsia" w:ascii="宋体" w:hAnsi="宋体" w:eastAsia="宋体" w:cs="宋体"/>
                <w:color w:val="000000"/>
                <w:sz w:val="24"/>
                <w:szCs w:val="24"/>
                <w:highlight w:val="none"/>
              </w:rPr>
            </w:pPr>
          </w:p>
        </w:tc>
        <w:tc>
          <w:tcPr>
            <w:tcW w:w="1210" w:type="dxa"/>
            <w:noWrap w:val="0"/>
            <w:vAlign w:val="center"/>
          </w:tcPr>
          <w:p>
            <w:pPr>
              <w:adjustRightInd w:val="0"/>
              <w:snapToGrid w:val="0"/>
              <w:jc w:val="center"/>
              <w:rPr>
                <w:rFonts w:hint="eastAsia" w:ascii="宋体" w:hAnsi="宋体" w:eastAsia="宋体" w:cs="宋体"/>
                <w:color w:val="000000"/>
                <w:sz w:val="24"/>
                <w:szCs w:val="24"/>
                <w:highlight w:val="none"/>
              </w:rPr>
            </w:pPr>
          </w:p>
        </w:tc>
      </w:tr>
      <w:tr>
        <w:trPr>
          <w:cantSplit/>
          <w:trHeight w:val="634" w:hRule="atLeast"/>
          <w:jc w:val="center"/>
        </w:trPr>
        <w:tc>
          <w:tcPr>
            <w:tcW w:w="796" w:type="dxa"/>
            <w:noWrap w:val="0"/>
            <w:vAlign w:val="center"/>
          </w:tcPr>
          <w:p>
            <w:pPr>
              <w:adjustRightInd w:val="0"/>
              <w:snapToGrid w:val="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181" w:type="dxa"/>
            <w:noWrap w:val="0"/>
            <w:vAlign w:val="center"/>
          </w:tcPr>
          <w:p>
            <w:pPr>
              <w:adjustRightInd w:val="0"/>
              <w:snapToGrid w:val="0"/>
              <w:jc w:val="center"/>
              <w:rPr>
                <w:rFonts w:hint="eastAsia" w:ascii="宋体" w:hAnsi="宋体" w:eastAsia="宋体" w:cs="宋体"/>
                <w:color w:val="000000"/>
                <w:sz w:val="24"/>
                <w:szCs w:val="24"/>
                <w:highlight w:val="none"/>
              </w:rPr>
            </w:pPr>
          </w:p>
        </w:tc>
        <w:tc>
          <w:tcPr>
            <w:tcW w:w="2552" w:type="dxa"/>
            <w:noWrap w:val="0"/>
            <w:vAlign w:val="center"/>
          </w:tcPr>
          <w:p>
            <w:pPr>
              <w:adjustRightInd w:val="0"/>
              <w:snapToGrid w:val="0"/>
              <w:jc w:val="center"/>
              <w:rPr>
                <w:rFonts w:hint="eastAsia" w:ascii="宋体" w:hAnsi="宋体" w:eastAsia="宋体" w:cs="宋体"/>
                <w:color w:val="000000"/>
                <w:sz w:val="24"/>
                <w:szCs w:val="24"/>
                <w:highlight w:val="none"/>
              </w:rPr>
            </w:pPr>
          </w:p>
        </w:tc>
        <w:tc>
          <w:tcPr>
            <w:tcW w:w="2551" w:type="dxa"/>
            <w:noWrap w:val="0"/>
            <w:vAlign w:val="center"/>
          </w:tcPr>
          <w:p>
            <w:pPr>
              <w:adjustRightInd w:val="0"/>
              <w:snapToGrid w:val="0"/>
              <w:jc w:val="center"/>
              <w:rPr>
                <w:rFonts w:hint="eastAsia" w:ascii="宋体" w:hAnsi="宋体" w:eastAsia="宋体" w:cs="宋体"/>
                <w:color w:val="000000"/>
                <w:sz w:val="24"/>
                <w:szCs w:val="24"/>
                <w:highlight w:val="none"/>
              </w:rPr>
            </w:pPr>
          </w:p>
        </w:tc>
        <w:tc>
          <w:tcPr>
            <w:tcW w:w="1210" w:type="dxa"/>
            <w:noWrap w:val="0"/>
            <w:vAlign w:val="center"/>
          </w:tcPr>
          <w:p>
            <w:pPr>
              <w:adjustRightInd w:val="0"/>
              <w:snapToGrid w:val="0"/>
              <w:jc w:val="center"/>
              <w:rPr>
                <w:rFonts w:hint="eastAsia" w:ascii="宋体" w:hAnsi="宋体" w:eastAsia="宋体" w:cs="宋体"/>
                <w:color w:val="000000"/>
                <w:sz w:val="24"/>
                <w:szCs w:val="24"/>
                <w:highlight w:val="none"/>
              </w:rPr>
            </w:pPr>
          </w:p>
        </w:tc>
      </w:tr>
    </w:tbl>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说明：</w:t>
      </w:r>
    </w:p>
    <w:p>
      <w:pPr>
        <w:pStyle w:val="165"/>
        <w:numPr>
          <w:ilvl w:val="0"/>
          <w:numId w:val="16"/>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投标人必须对应</w:t>
      </w:r>
      <w:r>
        <w:rPr>
          <w:rFonts w:hint="eastAsia" w:ascii="宋体" w:hAnsi="宋体" w:cs="宋体"/>
          <w:color w:val="auto"/>
          <w:sz w:val="24"/>
          <w:highlight w:val="none"/>
          <w:lang w:val="en-US" w:eastAsia="zh-CN"/>
        </w:rPr>
        <w:t>采购需求</w:t>
      </w:r>
      <w:r>
        <w:rPr>
          <w:rFonts w:hint="eastAsia" w:ascii="宋体" w:hAnsi="宋体" w:eastAsia="宋体" w:cs="宋体"/>
          <w:color w:val="auto"/>
          <w:sz w:val="24"/>
          <w:highlight w:val="none"/>
        </w:rPr>
        <w:t>条款逐条应答并按要求填写下表。</w:t>
      </w:r>
    </w:p>
    <w:p>
      <w:pPr>
        <w:pStyle w:val="165"/>
        <w:numPr>
          <w:ilvl w:val="0"/>
          <w:numId w:val="16"/>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投标人响应描述：</w:t>
      </w:r>
      <w:r>
        <w:rPr>
          <w:rFonts w:hint="eastAsia" w:ascii="宋体" w:hAnsi="宋体" w:eastAsia="宋体" w:cs="宋体"/>
          <w:bCs/>
          <w:color w:val="auto"/>
          <w:sz w:val="24"/>
          <w:highlight w:val="none"/>
        </w:rPr>
        <w:t>投标人按响应货物</w:t>
      </w:r>
      <w:r>
        <w:rPr>
          <w:rFonts w:hint="eastAsia" w:ascii="宋体" w:hAnsi="宋体" w:eastAsia="宋体" w:cs="宋体"/>
          <w:bCs/>
          <w:color w:val="auto"/>
          <w:sz w:val="24"/>
          <w:highlight w:val="none"/>
          <w:lang w:val="en-US" w:eastAsia="zh-CN"/>
        </w:rPr>
        <w:t>或服务</w:t>
      </w:r>
      <w:r>
        <w:rPr>
          <w:rFonts w:hint="eastAsia" w:ascii="宋体" w:hAnsi="宋体" w:eastAsia="宋体" w:cs="宋体"/>
          <w:bCs/>
          <w:color w:val="auto"/>
          <w:sz w:val="24"/>
          <w:highlight w:val="none"/>
        </w:rPr>
        <w:t>实际数据填写</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逐条应答，否则视为未响应。</w:t>
      </w:r>
    </w:p>
    <w:p>
      <w:pPr>
        <w:pStyle w:val="165"/>
        <w:numPr>
          <w:ilvl w:val="0"/>
          <w:numId w:val="16"/>
        </w:numPr>
        <w:snapToGrid w:val="0"/>
        <w:spacing w:line="360" w:lineRule="auto"/>
        <w:ind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投标人应按招标文件要求附相关证明文件，如有任何一项不响应或不满足的视为负偏离。</w:t>
      </w:r>
    </w:p>
    <w:p>
      <w:pPr>
        <w:pStyle w:val="165"/>
        <w:numPr>
          <w:ilvl w:val="0"/>
          <w:numId w:val="16"/>
        </w:numPr>
        <w:snapToGrid w:val="0"/>
        <w:spacing w:line="360" w:lineRule="auto"/>
        <w:ind w:firstLineChars="0"/>
        <w:rPr>
          <w:rFonts w:hint="eastAsia" w:ascii="宋体" w:hAnsi="宋体" w:eastAsia="宋体" w:cs="宋体"/>
          <w:bCs/>
          <w:snapToGrid w:val="0"/>
          <w:color w:val="auto"/>
          <w:sz w:val="24"/>
          <w:highlight w:val="none"/>
        </w:rPr>
      </w:pPr>
      <w:r>
        <w:rPr>
          <w:rFonts w:hint="eastAsia" w:ascii="宋体" w:hAnsi="宋体" w:eastAsia="宋体" w:cs="宋体"/>
          <w:snapToGrid w:val="0"/>
          <w:color w:val="auto"/>
          <w:sz w:val="24"/>
          <w:highlight w:val="none"/>
        </w:rPr>
        <w:t>偏离情况说明：投标人根据投标人实际情况填写“正偏离”“完全响应”或“负偏离”。</w:t>
      </w:r>
    </w:p>
    <w:p>
      <w:pPr>
        <w:adjustRightInd w:val="0"/>
        <w:snapToGrid w:val="0"/>
        <w:spacing w:line="360" w:lineRule="auto"/>
        <w:ind w:firstLine="480" w:firstLineChars="200"/>
        <w:outlineLvl w:val="2"/>
        <w:rPr>
          <w:rFonts w:hint="eastAsia" w:ascii="宋体" w:hAnsi="宋体" w:eastAsia="宋体" w:cs="宋体"/>
          <w:color w:val="000000"/>
          <w:sz w:val="24"/>
          <w:szCs w:val="28"/>
          <w:highlight w:val="none"/>
        </w:rPr>
      </w:pPr>
    </w:p>
    <w:p>
      <w:pPr>
        <w:adjustRightInd w:val="0"/>
        <w:snapToGrid w:val="0"/>
        <w:spacing w:before="100" w:beforeAutospacing="1" w:after="100" w:afterAutospacing="1" w:line="360" w:lineRule="auto"/>
        <w:rPr>
          <w:rFonts w:hint="eastAsia" w:ascii="宋体" w:hAnsi="宋体" w:eastAsia="宋体" w:cs="宋体"/>
          <w:color w:val="000000"/>
          <w:sz w:val="24"/>
          <w:szCs w:val="28"/>
          <w:highlight w:val="none"/>
          <w:u w:val="single"/>
        </w:rPr>
      </w:pPr>
      <w:r>
        <w:rPr>
          <w:rFonts w:hint="eastAsia" w:ascii="宋体" w:hAnsi="宋体" w:eastAsia="宋体" w:cs="宋体"/>
          <w:color w:val="000000"/>
          <w:sz w:val="24"/>
          <w:szCs w:val="28"/>
          <w:highlight w:val="none"/>
        </w:rPr>
        <w:t>　投标单位：</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4"/>
          <w:szCs w:val="28"/>
          <w:highlight w:val="none"/>
          <w:u w:val="none"/>
          <w:lang w:eastAsia="zh-CN"/>
        </w:rPr>
        <w:t>盖章</w:t>
      </w:r>
      <w:r>
        <w:rPr>
          <w:rFonts w:hint="eastAsia" w:ascii="宋体" w:hAnsi="宋体" w:eastAsia="宋体" w:cs="宋体"/>
          <w:color w:val="000000"/>
          <w:sz w:val="24"/>
          <w:szCs w:val="28"/>
          <w:highlight w:val="none"/>
          <w:u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outlineLvl w:val="1"/>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 xml:space="preserve">  </w:t>
      </w:r>
      <w:bookmarkStart w:id="423" w:name="_Toc5383"/>
      <w:r>
        <w:rPr>
          <w:rFonts w:hint="eastAsia" w:ascii="宋体" w:hAnsi="宋体" w:eastAsia="宋体" w:cs="宋体"/>
          <w:color w:val="000000"/>
          <w:sz w:val="24"/>
          <w:szCs w:val="28"/>
          <w:highlight w:val="none"/>
        </w:rPr>
        <w:t>法定代表人</w:t>
      </w:r>
      <w:r>
        <w:rPr>
          <w:rFonts w:hint="eastAsia" w:ascii="宋体" w:hAnsi="宋体" w:eastAsia="宋体" w:cs="宋体"/>
          <w:color w:val="000000"/>
          <w:sz w:val="24"/>
          <w:szCs w:val="28"/>
          <w:highlight w:val="none"/>
          <w:lang w:eastAsia="zh-CN"/>
        </w:rPr>
        <w:t>：</w:t>
      </w:r>
      <w:r>
        <w:rPr>
          <w:rFonts w:hint="eastAsia" w:ascii="宋体" w:hAnsi="宋体" w:eastAsia="宋体" w:cs="宋体"/>
          <w:color w:val="000000"/>
          <w:sz w:val="24"/>
          <w:szCs w:val="28"/>
          <w:highlight w:val="none"/>
        </w:rPr>
        <w:t>（签字</w:t>
      </w:r>
      <w:r>
        <w:rPr>
          <w:rFonts w:hint="eastAsia" w:ascii="宋体" w:hAnsi="宋体" w:eastAsia="宋体" w:cs="宋体"/>
          <w:color w:val="000000"/>
          <w:sz w:val="24"/>
          <w:szCs w:val="28"/>
          <w:highlight w:val="none"/>
          <w:lang w:val="en-US" w:eastAsia="zh-CN"/>
        </w:rPr>
        <w:t>或</w:t>
      </w:r>
      <w:r>
        <w:rPr>
          <w:rFonts w:hint="eastAsia" w:ascii="宋体" w:hAnsi="宋体" w:eastAsia="宋体" w:cs="宋体"/>
          <w:color w:val="000000"/>
          <w:sz w:val="24"/>
          <w:szCs w:val="28"/>
          <w:highlight w:val="none"/>
        </w:rPr>
        <w:t>盖章）</w:t>
      </w:r>
      <w:bookmarkEnd w:id="423"/>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p>
    <w:p>
      <w:pPr>
        <w:adjustRightInd w:val="0"/>
        <w:snapToGrid w:val="0"/>
        <w:spacing w:line="360" w:lineRule="auto"/>
        <w:rPr>
          <w:rFonts w:hint="eastAsia" w:ascii="宋体" w:hAnsi="宋体" w:eastAsia="宋体" w:cs="宋体"/>
          <w:color w:val="000000"/>
          <w:sz w:val="24"/>
          <w:szCs w:val="28"/>
          <w:highlight w:val="none"/>
        </w:rPr>
      </w:pPr>
    </w:p>
    <w:p>
      <w:pPr>
        <w:adjustRightInd w:val="0"/>
        <w:snapToGrid w:val="0"/>
        <w:spacing w:line="360" w:lineRule="auto"/>
        <w:jc w:val="right"/>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pStyle w:val="24"/>
        <w:numPr>
          <w:ilvl w:val="0"/>
          <w:numId w:val="17"/>
        </w:numPr>
        <w:overflowPunct w:val="0"/>
        <w:snapToGrid w:val="0"/>
        <w:spacing w:line="360" w:lineRule="auto"/>
        <w:ind w:left="0" w:leftChars="0" w:firstLine="0" w:firstLineChars="0"/>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4"/>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pStyle w:val="24"/>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附件十四</w:t>
      </w:r>
    </w:p>
    <w:p>
      <w:pPr>
        <w:pStyle w:val="24"/>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投标人反商业贿赂承诺书</w:t>
      </w:r>
    </w:p>
    <w:p>
      <w:pPr>
        <w:autoSpaceDE w:val="0"/>
        <w:autoSpaceDN w:val="0"/>
        <w:adjustRightInd w:val="0"/>
        <w:spacing w:line="480" w:lineRule="auto"/>
        <w:ind w:firstLine="600" w:firstLineChars="25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我公司承诺在</w:t>
      </w:r>
      <w:r>
        <w:rPr>
          <w:rFonts w:hint="eastAsia" w:ascii="宋体" w:hAnsi="宋体" w:eastAsia="宋体" w:cs="宋体"/>
          <w:bCs/>
          <w:color w:val="00000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w:t>
      </w:r>
      <w:r>
        <w:rPr>
          <w:rFonts w:hint="eastAsia" w:ascii="宋体" w:hAnsi="宋体" w:cs="宋体"/>
          <w:color w:val="000000"/>
          <w:kern w:val="0"/>
          <w:sz w:val="24"/>
          <w:szCs w:val="24"/>
          <w:highlight w:val="none"/>
          <w:lang w:val="zh-CN"/>
        </w:rPr>
        <w:t>》《</w:t>
      </w:r>
      <w:r>
        <w:rPr>
          <w:rFonts w:hint="eastAsia" w:ascii="宋体" w:hAnsi="宋体" w:eastAsia="宋体" w:cs="宋体"/>
          <w:color w:val="000000"/>
          <w:kern w:val="0"/>
          <w:sz w:val="24"/>
          <w:szCs w:val="24"/>
          <w:highlight w:val="none"/>
          <w:lang w:val="zh-CN"/>
        </w:rPr>
        <w:t>反不正当竞争法》的有关规定接受处罚。</w:t>
      </w:r>
    </w:p>
    <w:p>
      <w:pPr>
        <w:autoSpaceDE w:val="0"/>
        <w:autoSpaceDN w:val="0"/>
        <w:adjustRightInd w:val="0"/>
        <w:spacing w:line="360" w:lineRule="auto"/>
        <w:ind w:firstLine="600" w:firstLineChars="250"/>
        <w:rPr>
          <w:rFonts w:hint="eastAsia" w:ascii="宋体" w:hAnsi="宋体" w:eastAsia="宋体" w:cs="宋体"/>
          <w:bCs/>
          <w:color w:val="000000"/>
          <w:sz w:val="24"/>
          <w:szCs w:val="24"/>
          <w:highlight w:val="none"/>
          <w:lang w:val="zh-CN"/>
        </w:rPr>
      </w:pPr>
      <w:r>
        <w:rPr>
          <w:rFonts w:hint="eastAsia" w:ascii="宋体" w:hAnsi="宋体" w:eastAsia="宋体" w:cs="宋体"/>
          <w:color w:val="000000"/>
          <w:kern w:val="0"/>
          <w:sz w:val="24"/>
          <w:szCs w:val="24"/>
          <w:highlight w:val="none"/>
          <w:lang w:val="zh-CN"/>
        </w:rPr>
        <w:t xml:space="preserve"> </w:t>
      </w:r>
    </w:p>
    <w:p>
      <w:pPr>
        <w:spacing w:before="100" w:beforeAutospacing="1" w:after="100" w:afterAutospacing="1" w:line="36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盖章</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pPr>
        <w:spacing w:before="100" w:beforeAutospacing="1" w:after="100" w:afterAutospacing="1" w:line="360" w:lineRule="auto"/>
        <w:ind w:firstLine="480" w:firstLineChars="200"/>
        <w:rPr>
          <w:rFonts w:hint="eastAsia" w:ascii="宋体" w:hAnsi="宋体" w:eastAsia="宋体" w:cs="宋体"/>
          <w:color w:val="000000"/>
          <w:sz w:val="24"/>
          <w:szCs w:val="24"/>
          <w:highlight w:val="none"/>
          <w:u w:val="single"/>
        </w:rPr>
      </w:pPr>
    </w:p>
    <w:p>
      <w:pPr>
        <w:spacing w:line="360" w:lineRule="auto"/>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（签字</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rPr>
        <w:t>盖章）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pPr>
        <w:spacing w:line="360" w:lineRule="auto"/>
        <w:ind w:firstLine="210" w:firstLineChars="100"/>
        <w:rPr>
          <w:rFonts w:hint="eastAsia" w:ascii="宋体" w:hAnsi="宋体" w:eastAsia="宋体" w:cs="宋体"/>
          <w:color w:val="000000"/>
          <w:sz w:val="21"/>
          <w:szCs w:val="21"/>
          <w:highlight w:val="none"/>
          <w:lang w:val="zh-CN"/>
        </w:rPr>
      </w:pPr>
    </w:p>
    <w:p>
      <w:pPr>
        <w:spacing w:before="100" w:beforeAutospacing="1" w:after="100" w:afterAutospacing="1" w:line="360" w:lineRule="auto"/>
        <w:ind w:firstLine="465"/>
        <w:rPr>
          <w:rFonts w:hint="eastAsia" w:ascii="宋体" w:hAnsi="宋体" w:eastAsia="宋体" w:cs="宋体"/>
          <w:color w:val="000000"/>
          <w:sz w:val="21"/>
          <w:szCs w:val="21"/>
          <w:highlight w:val="none"/>
          <w:lang w:val="zh-CN"/>
        </w:rPr>
      </w:pPr>
    </w:p>
    <w:p>
      <w:pPr>
        <w:spacing w:before="100" w:beforeAutospacing="1" w:after="100" w:afterAutospacing="1" w:line="360" w:lineRule="auto"/>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 xml:space="preserve"> </w:t>
      </w:r>
      <w:r>
        <w:rPr>
          <w:rFonts w:hint="eastAsia" w:ascii="宋体" w:hAnsi="宋体" w:eastAsia="宋体" w:cs="宋体"/>
          <w:color w:val="000000"/>
          <w:sz w:val="21"/>
          <w:szCs w:val="21"/>
          <w:highlight w:val="none"/>
        </w:rPr>
        <w:t xml:space="preserve">     日期：</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spacing w:before="100" w:beforeAutospacing="1" w:after="100" w:afterAutospacing="1" w:line="360" w:lineRule="auto"/>
        <w:jc w:val="right"/>
        <w:rPr>
          <w:rFonts w:hint="eastAsia" w:ascii="宋体" w:hAnsi="宋体" w:eastAsia="宋体" w:cs="宋体"/>
          <w:color w:val="000000"/>
          <w:sz w:val="24"/>
          <w:szCs w:val="24"/>
          <w:highlight w:val="none"/>
        </w:rPr>
      </w:pPr>
    </w:p>
    <w:p>
      <w:pPr>
        <w:pStyle w:val="24"/>
        <w:widowControl w:val="0"/>
        <w:numPr>
          <w:ilvl w:val="0"/>
          <w:numId w:val="0"/>
        </w:numPr>
        <w:overflowPunct w:val="0"/>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p>
    <w:p>
      <w:pPr>
        <w:spacing w:line="640" w:lineRule="exact"/>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附件十五</w:t>
      </w:r>
    </w:p>
    <w:p>
      <w:pPr>
        <w:spacing w:line="640" w:lineRule="exact"/>
        <w:ind w:firstLine="569" w:firstLineChars="177"/>
        <w:jc w:val="center"/>
        <w:rPr>
          <w:rFonts w:hint="eastAsia" w:ascii="宋体" w:hAnsi="宋体" w:eastAsia="宋体" w:cs="宋体"/>
          <w:sz w:val="32"/>
          <w:szCs w:val="32"/>
          <w:highlight w:val="none"/>
        </w:rPr>
      </w:pPr>
      <w:r>
        <w:rPr>
          <w:rFonts w:hint="eastAsia" w:ascii="宋体" w:hAnsi="宋体" w:eastAsia="宋体" w:cs="宋体"/>
          <w:b/>
          <w:bCs w:val="0"/>
          <w:color w:val="auto"/>
          <w:kern w:val="2"/>
          <w:sz w:val="32"/>
          <w:szCs w:val="28"/>
          <w:highlight w:val="none"/>
          <w:lang w:val="en-US" w:eastAsia="zh-CN" w:bidi="ar-SA"/>
        </w:rPr>
        <w:t>无围标、串标等违法违规行为承诺书</w:t>
      </w:r>
    </w:p>
    <w:p>
      <w:pPr>
        <w:spacing w:line="640" w:lineRule="exact"/>
        <w:jc w:val="left"/>
        <w:rPr>
          <w:rFonts w:hint="eastAsia" w:ascii="宋体" w:hAnsi="宋体" w:eastAsia="宋体" w:cs="宋体"/>
          <w:sz w:val="24"/>
          <w:szCs w:val="24"/>
          <w:highlight w:val="none"/>
        </w:rPr>
      </w:pPr>
    </w:p>
    <w:p>
      <w:pPr>
        <w:spacing w:line="6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本人作为</w:t>
      </w:r>
      <w:r>
        <w:rPr>
          <w:rFonts w:hint="eastAsia" w:ascii="宋体" w:hAnsi="宋体" w:eastAsia="宋体" w:cs="宋体"/>
          <w:sz w:val="24"/>
          <w:szCs w:val="24"/>
          <w:highlight w:val="none"/>
          <w:u w:val="single"/>
        </w:rPr>
        <w:t xml:space="preserve">（单位名称）                    </w:t>
      </w:r>
      <w:r>
        <w:rPr>
          <w:rFonts w:hint="eastAsia" w:ascii="宋体" w:hAnsi="宋体" w:eastAsia="宋体" w:cs="宋体"/>
          <w:sz w:val="24"/>
          <w:szCs w:val="24"/>
          <w:highlight w:val="none"/>
        </w:rPr>
        <w:t>的法人，清楚知晓我公司本项目投标活动，对以下事项作出承诺：</w:t>
      </w:r>
    </w:p>
    <w:p>
      <w:pPr>
        <w:spacing w:line="6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一、我单位遵循公开、公平、公正、诚实守信的原则，依法依规参与本项目竞标。</w:t>
      </w:r>
    </w:p>
    <w:p>
      <w:pPr>
        <w:spacing w:line="640" w:lineRule="exact"/>
        <w:ind w:firstLine="480" w:firstLineChars="200"/>
        <w:outlineLvl w:val="1"/>
        <w:rPr>
          <w:rFonts w:hint="eastAsia" w:ascii="宋体" w:hAnsi="宋体" w:eastAsia="宋体" w:cs="宋体"/>
          <w:sz w:val="24"/>
          <w:szCs w:val="24"/>
          <w:highlight w:val="none"/>
        </w:rPr>
      </w:pPr>
      <w:bookmarkStart w:id="424" w:name="_Toc3592"/>
      <w:r>
        <w:rPr>
          <w:rFonts w:hint="eastAsia" w:ascii="宋体" w:hAnsi="宋体" w:eastAsia="宋体" w:cs="宋体"/>
          <w:sz w:val="24"/>
          <w:szCs w:val="24"/>
          <w:highlight w:val="none"/>
        </w:rPr>
        <w:t>二、我单位在本项目招标投标活动中，未参与围标串标。</w:t>
      </w:r>
      <w:bookmarkEnd w:id="424"/>
    </w:p>
    <w:p>
      <w:pPr>
        <w:spacing w:line="640" w:lineRule="exact"/>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spacing w:line="6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sz w:val="24"/>
          <w:szCs w:val="24"/>
          <w:highlight w:val="none"/>
        </w:rPr>
        <w:t xml:space="preserve"> </w:t>
      </w:r>
    </w:p>
    <w:p>
      <w:pPr>
        <w:spacing w:line="6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项目名称</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sz w:val="24"/>
          <w:szCs w:val="24"/>
          <w:highlight w:val="none"/>
        </w:rPr>
        <w:t xml:space="preserve">    </w:t>
      </w:r>
    </w:p>
    <w:p>
      <w:pPr>
        <w:spacing w:line="6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pPr>
        <w:spacing w:line="640" w:lineRule="exact"/>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投标人授权代表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签字</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p>
    <w:p>
      <w:pPr>
        <w:spacing w:line="6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640" w:lineRule="exact"/>
        <w:jc w:val="left"/>
        <w:rPr>
          <w:rFonts w:hint="eastAsia" w:ascii="宋体" w:hAnsi="宋体" w:eastAsia="宋体" w:cs="宋体"/>
          <w:sz w:val="24"/>
          <w:szCs w:val="24"/>
          <w:highlight w:val="none"/>
        </w:rPr>
      </w:pPr>
    </w:p>
    <w:p>
      <w:pPr>
        <w:spacing w:line="640" w:lineRule="exact"/>
        <w:ind w:firstLine="4080" w:firstLineChars="17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24"/>
        <w:numPr>
          <w:ilvl w:val="0"/>
          <w:numId w:val="0"/>
        </w:numPr>
        <w:overflowPunct w:val="0"/>
        <w:snapToGrid w:val="0"/>
        <w:spacing w:line="360" w:lineRule="auto"/>
        <w:ind w:leftChars="0"/>
        <w:jc w:val="right"/>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color w:val="000000"/>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Style w:val="24"/>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p>
    <w:p>
      <w:pPr>
        <w:pStyle w:val="61"/>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bookmarkStart w:id="425" w:name="_Toc28072"/>
    </w:p>
    <w:p>
      <w:pPr>
        <w:pStyle w:val="61"/>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61"/>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p>
    <w:p>
      <w:pPr>
        <w:pStyle w:val="61"/>
        <w:numPr>
          <w:ilvl w:val="0"/>
          <w:numId w:val="0"/>
        </w:numPr>
        <w:spacing w:before="120"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w:t>
      </w:r>
      <w:bookmarkEnd w:id="425"/>
      <w:r>
        <w:rPr>
          <w:rFonts w:hint="eastAsia" w:ascii="宋体" w:hAnsi="宋体" w:eastAsia="宋体" w:cs="宋体"/>
          <w:b/>
          <w:bCs w:val="0"/>
          <w:color w:val="auto"/>
          <w:kern w:val="2"/>
          <w:sz w:val="28"/>
          <w:szCs w:val="24"/>
          <w:highlight w:val="none"/>
          <w:lang w:val="en-US" w:eastAsia="zh-CN" w:bidi="ar-SA"/>
        </w:rPr>
        <w:t>六</w:t>
      </w:r>
    </w:p>
    <w:p>
      <w:pPr>
        <w:pStyle w:val="61"/>
        <w:numPr>
          <w:ilvl w:val="0"/>
          <w:numId w:val="0"/>
        </w:numPr>
        <w:spacing w:before="120"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中小企业声明函、监狱企业、残疾人福利性单位及其他相关的充分的证明材料</w:t>
      </w:r>
    </w:p>
    <w:p>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中小企业声明函（货物）格式</w:t>
      </w:r>
    </w:p>
    <w:p>
      <w:pPr>
        <w:spacing w:line="360" w:lineRule="auto"/>
        <w:ind w:left="244" w:leftChars="116" w:firstLine="630" w:firstLineChars="25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spacing w:val="6"/>
          <w:sz w:val="24"/>
          <w:highlight w:val="none"/>
        </w:rPr>
      </w:pP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期：________</w:t>
      </w:r>
    </w:p>
    <w:p>
      <w:pPr>
        <w:spacing w:line="360" w:lineRule="auto"/>
        <w:ind w:right="360" w:firstLine="480"/>
        <w:jc w:val="right"/>
        <w:rPr>
          <w:rFonts w:hint="eastAsia" w:ascii="宋体" w:hAnsi="宋体" w:eastAsia="宋体" w:cs="宋体"/>
          <w:color w:val="000000"/>
          <w:sz w:val="24"/>
          <w:highlight w:val="none"/>
        </w:rPr>
      </w:pPr>
    </w:p>
    <w:p>
      <w:pPr>
        <w:spacing w:line="360" w:lineRule="auto"/>
        <w:ind w:right="360" w:firstLine="480"/>
        <w:jc w:val="right"/>
        <w:rPr>
          <w:rFonts w:hint="eastAsia" w:ascii="宋体" w:hAnsi="宋体" w:eastAsia="宋体" w:cs="宋体"/>
          <w:color w:val="000000"/>
          <w:sz w:val="24"/>
          <w:highlight w:val="none"/>
        </w:rPr>
      </w:pPr>
    </w:p>
    <w:p>
      <w:pPr>
        <w:autoSpaceDE w:val="0"/>
        <w:autoSpaceDN w:val="0"/>
        <w:adjustRightInd w:val="0"/>
        <w:ind w:firstLine="420"/>
        <w:jc w:val="left"/>
        <w:rPr>
          <w:rFonts w:hint="eastAsia" w:ascii="宋体" w:hAnsi="宋体" w:eastAsia="宋体" w:cs="宋体"/>
          <w:sz w:val="24"/>
          <w:highlight w:val="none"/>
        </w:rPr>
      </w:pPr>
    </w:p>
    <w:p>
      <w:pPr>
        <w:pStyle w:val="21"/>
        <w:rPr>
          <w:rFonts w:hint="eastAsia" w:ascii="宋体" w:hAnsi="宋体" w:eastAsia="宋体" w:cs="宋体"/>
          <w:highlight w:val="none"/>
        </w:rPr>
      </w:pPr>
    </w:p>
    <w:p>
      <w:pPr>
        <w:spacing w:before="240" w:beforeLines="100" w:after="240" w:afterLines="100" w:line="360" w:lineRule="auto"/>
        <w:jc w:val="center"/>
        <w:rPr>
          <w:rFonts w:hint="eastAsia" w:ascii="宋体" w:hAnsi="宋体" w:eastAsia="宋体" w:cs="宋体"/>
          <w:b/>
          <w:bCs/>
          <w:color w:val="000000"/>
          <w:sz w:val="36"/>
          <w:szCs w:val="36"/>
          <w:highlight w:val="none"/>
        </w:rPr>
      </w:pPr>
    </w:p>
    <w:p>
      <w:pPr>
        <w:spacing w:before="240" w:beforeLines="100" w:after="240" w:afterLines="100" w:line="360" w:lineRule="auto"/>
        <w:jc w:val="center"/>
        <w:rPr>
          <w:rFonts w:hint="eastAsia" w:ascii="宋体" w:hAnsi="宋体" w:eastAsia="宋体" w:cs="宋体"/>
          <w:b/>
          <w:bCs/>
          <w:color w:val="000000"/>
          <w:sz w:val="36"/>
          <w:szCs w:val="36"/>
          <w:highlight w:val="none"/>
        </w:rPr>
      </w:pPr>
      <w:r>
        <w:rPr>
          <w:rFonts w:hint="eastAsia" w:ascii="宋体" w:hAnsi="宋体" w:eastAsia="宋体" w:cs="宋体"/>
          <w:b/>
          <w:bCs/>
          <w:color w:val="000000"/>
          <w:sz w:val="36"/>
          <w:szCs w:val="36"/>
          <w:highlight w:val="none"/>
        </w:rPr>
        <w:t>中小企业声明函（工程、服务）格式</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000000"/>
          <w:sz w:val="24"/>
          <w:highlight w:val="none"/>
        </w:rPr>
      </w:pP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期：________</w:t>
      </w:r>
    </w:p>
    <w:p>
      <w:pPr>
        <w:adjustRightInd w:val="0"/>
        <w:snapToGrid w:val="0"/>
        <w:jc w:val="left"/>
        <w:rPr>
          <w:rFonts w:hint="eastAsia" w:ascii="宋体" w:hAnsi="宋体" w:eastAsia="宋体" w:cs="宋体"/>
          <w:color w:val="000000"/>
          <w:sz w:val="24"/>
          <w:szCs w:val="21"/>
          <w:highlight w:val="none"/>
        </w:rPr>
      </w:pPr>
    </w:p>
    <w:p>
      <w:pPr>
        <w:adjustRightInd w:val="0"/>
        <w:snapToGrid w:val="0"/>
        <w:jc w:val="left"/>
        <w:rPr>
          <w:rFonts w:hint="eastAsia" w:ascii="宋体" w:hAnsi="宋体" w:eastAsia="宋体" w:cs="宋体"/>
          <w:color w:val="000000"/>
          <w:sz w:val="24"/>
          <w:szCs w:val="21"/>
          <w:highlight w:val="none"/>
        </w:rPr>
      </w:pPr>
    </w:p>
    <w:p>
      <w:pPr>
        <w:spacing w:line="360" w:lineRule="auto"/>
        <w:rPr>
          <w:rFonts w:hint="eastAsia" w:ascii="宋体" w:hAnsi="宋体" w:eastAsia="宋体" w:cs="宋体"/>
          <w:color w:val="000000"/>
          <w:sz w:val="24"/>
          <w:highlight w:val="none"/>
        </w:rPr>
      </w:pPr>
    </w:p>
    <w:p>
      <w:pPr>
        <w:pStyle w:val="5"/>
        <w:tabs>
          <w:tab w:val="left" w:pos="9214"/>
        </w:tabs>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4"/>
          <w:highlight w:val="none"/>
        </w:rPr>
        <w:br w:type="page"/>
      </w:r>
    </w:p>
    <w:p>
      <w:pPr>
        <w:snapToGrid w:val="0"/>
        <w:spacing w:line="360" w:lineRule="auto"/>
        <w:ind w:left="0" w:leftChars="0" w:firstLine="0" w:firstLineChars="0"/>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监狱企业声明函</w:t>
      </w:r>
    </w:p>
    <w:p>
      <w:pPr>
        <w:spacing w:line="480" w:lineRule="auto"/>
        <w:ind w:firstLine="420" w:firstLineChars="200"/>
        <w:outlineLvl w:val="1"/>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【不属于监狱企业的无需填写、递交】</w:t>
      </w:r>
    </w:p>
    <w:p>
      <w:pPr>
        <w:widowControl/>
        <w:shd w:val="clear" w:color="auto" w:fill="auto"/>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本单位郑重声明，本单位在参加</w:t>
      </w:r>
      <w:r>
        <w:rPr>
          <w:rFonts w:hint="eastAsia" w:ascii="宋体" w:hAnsi="宋体" w:eastAsia="宋体" w:cs="宋体"/>
          <w:color w:val="auto"/>
          <w:kern w:val="0"/>
          <w:sz w:val="24"/>
          <w:highlight w:val="none"/>
          <w:u w:val="single"/>
        </w:rPr>
        <w:t>（采购人名称）</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u w:val="single"/>
        </w:rPr>
        <w:t>（招标项目名称）</w:t>
      </w:r>
      <w:r>
        <w:rPr>
          <w:rFonts w:hint="eastAsia" w:ascii="宋体" w:hAnsi="宋体" w:eastAsia="宋体" w:cs="宋体"/>
          <w:color w:val="auto"/>
          <w:kern w:val="0"/>
          <w:sz w:val="24"/>
          <w:highlight w:val="none"/>
        </w:rPr>
        <w:t>项目采购活动提供以下监狱企业制造的货物（或监狱企业承担的工程、或监狱企业承接的服务），具体情况如下：（按照实际情况勾选或填空）</w:t>
      </w:r>
    </w:p>
    <w:p>
      <w:pPr>
        <w:widowControl/>
        <w:shd w:val="clear" w:color="auto" w:fill="auto"/>
        <w:adjustRightInd w:val="0"/>
        <w:snapToGrid w:val="0"/>
        <w:spacing w:line="360" w:lineRule="auto"/>
        <w:ind w:firstLine="360" w:firstLineChars="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属于监狱企业并作为联合体一方，其提供协议合同金额占到共同投标协议合同总金额的比例为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u w:val="single"/>
        </w:rPr>
        <w:t>（制造商名称）</w:t>
      </w:r>
      <w:r>
        <w:rPr>
          <w:rFonts w:hint="eastAsia" w:ascii="宋体" w:hAnsi="宋体" w:eastAsia="宋体" w:cs="宋体"/>
          <w:color w:val="auto"/>
          <w:kern w:val="0"/>
          <w:sz w:val="24"/>
          <w:highlight w:val="none"/>
        </w:rPr>
        <w:t>属于监狱企业并作为分包方，其提供协议合同金额占到分包意向协议合同总金额的比例为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。后附省级以上监狱管理局、戒毒管理局（含新疆生产建设兵团）出具的属于监狱企业的证明文件。</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本单位对上述声明的真实性负责。如有虚假，将依法承担相应责任。</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widowControl/>
        <w:shd w:val="clear" w:color="auto" w:fill="auto"/>
        <w:adjustRightInd w:val="0"/>
        <w:snapToGrid w:val="0"/>
        <w:spacing w:line="360" w:lineRule="auto"/>
        <w:jc w:val="left"/>
        <w:rPr>
          <w:rFonts w:hint="eastAsia" w:ascii="宋体" w:hAnsi="宋体" w:eastAsia="宋体" w:cs="宋体"/>
          <w:color w:val="auto"/>
          <w:kern w:val="0"/>
          <w:sz w:val="24"/>
          <w:highlight w:val="none"/>
        </w:rPr>
      </w:pPr>
    </w:p>
    <w:p>
      <w:pPr>
        <w:shd w:val="clear" w:color="auto" w:fill="auto"/>
        <w:adjustRightInd w:val="0"/>
        <w:snapToGrid w:val="0"/>
        <w:spacing w:line="360" w:lineRule="auto"/>
        <w:ind w:hanging="54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　</w:t>
      </w:r>
    </w:p>
    <w:p>
      <w:pPr>
        <w:shd w:val="clear" w:color="auto" w:fill="auto"/>
        <w:adjustRightInd w:val="0"/>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单位名称（盖章）：</w:t>
      </w:r>
    </w:p>
    <w:p>
      <w:pPr>
        <w:widowControl/>
        <w:shd w:val="clear" w:color="auto" w:fill="auto"/>
        <w:adjustRightInd w:val="0"/>
        <w:snapToGrid w:val="0"/>
        <w:spacing w:line="360" w:lineRule="auto"/>
        <w:ind w:firstLine="5280" w:firstLineChars="2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  期：</w:t>
      </w: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snapToGrid w:val="0"/>
        <w:spacing w:line="360" w:lineRule="auto"/>
        <w:ind w:firstLine="480" w:firstLineChars="200"/>
        <w:rPr>
          <w:rFonts w:hint="eastAsia" w:ascii="宋体" w:hAnsi="宋体" w:eastAsia="宋体" w:cs="宋体"/>
          <w:color w:val="auto"/>
          <w:kern w:val="0"/>
          <w:sz w:val="24"/>
          <w:szCs w:val="20"/>
          <w:highlight w:val="none"/>
          <w:lang w:val="en-US" w:eastAsia="zh-CN" w:bidi="ar-SA"/>
        </w:rPr>
      </w:pPr>
    </w:p>
    <w:p>
      <w:pPr>
        <w:pStyle w:val="2"/>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2"/>
        <w:rPr>
          <w:rFonts w:hint="eastAsia" w:ascii="宋体" w:hAnsi="宋体" w:eastAsia="宋体" w:cs="宋体"/>
          <w:color w:val="auto"/>
          <w:kern w:val="0"/>
          <w:sz w:val="24"/>
          <w:szCs w:val="20"/>
          <w:highlight w:val="none"/>
          <w:lang w:val="en-US" w:eastAsia="zh-CN" w:bidi="ar-SA"/>
        </w:rPr>
      </w:pPr>
    </w:p>
    <w:p>
      <w:pPr>
        <w:rPr>
          <w:rFonts w:hint="eastAsia" w:ascii="宋体" w:hAnsi="宋体" w:eastAsia="宋体" w:cs="宋体"/>
          <w:color w:val="auto"/>
          <w:kern w:val="0"/>
          <w:sz w:val="24"/>
          <w:szCs w:val="20"/>
          <w:highlight w:val="none"/>
          <w:lang w:val="en-US" w:eastAsia="zh-CN" w:bidi="ar-SA"/>
        </w:rPr>
      </w:pPr>
    </w:p>
    <w:p>
      <w:pPr>
        <w:pStyle w:val="2"/>
        <w:rPr>
          <w:rFonts w:hint="eastAsia" w:ascii="宋体" w:hAnsi="宋体" w:eastAsia="宋体" w:cs="宋体"/>
          <w:color w:val="auto"/>
          <w:kern w:val="0"/>
          <w:sz w:val="24"/>
          <w:szCs w:val="20"/>
          <w:highlight w:val="none"/>
          <w:lang w:val="en-US" w:eastAsia="zh-CN" w:bidi="ar-SA"/>
        </w:rPr>
      </w:pPr>
    </w:p>
    <w:p>
      <w:pPr>
        <w:snapToGrid w:val="0"/>
        <w:spacing w:line="360" w:lineRule="auto"/>
        <w:ind w:left="0" w:leftChars="0" w:firstLine="0" w:firstLineChars="0"/>
        <w:jc w:val="both"/>
        <w:rPr>
          <w:rFonts w:hint="eastAsia" w:ascii="宋体" w:hAnsi="宋体" w:eastAsia="宋体" w:cs="宋体"/>
          <w:b/>
          <w:color w:val="auto"/>
          <w:spacing w:val="6"/>
          <w:highlight w:val="none"/>
        </w:rPr>
      </w:pPr>
    </w:p>
    <w:p>
      <w:pPr>
        <w:snapToGrid w:val="0"/>
        <w:spacing w:line="360" w:lineRule="auto"/>
        <w:jc w:val="center"/>
        <w:rPr>
          <w:rStyle w:val="82"/>
          <w:rFonts w:hint="eastAsia" w:ascii="宋体" w:hAnsi="宋体" w:eastAsia="宋体" w:cs="宋体"/>
          <w:bCs w:val="0"/>
          <w:color w:val="auto"/>
          <w:kern w:val="2"/>
          <w:sz w:val="28"/>
          <w:szCs w:val="28"/>
          <w:highlight w:val="none"/>
          <w:lang w:val="en-US" w:eastAsia="zh-CN" w:bidi="ar-SA"/>
        </w:rPr>
      </w:pPr>
      <w:r>
        <w:rPr>
          <w:rStyle w:val="82"/>
          <w:rFonts w:hint="eastAsia" w:ascii="宋体" w:hAnsi="宋体" w:eastAsia="宋体" w:cs="宋体"/>
          <w:bCs w:val="0"/>
          <w:color w:val="auto"/>
          <w:kern w:val="2"/>
          <w:sz w:val="28"/>
          <w:szCs w:val="28"/>
          <w:highlight w:val="none"/>
          <w:lang w:val="en-US" w:eastAsia="zh-CN" w:bidi="ar-SA"/>
        </w:rPr>
        <w:t>残疾人福利性单位声明函</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pPr>
        <w:spacing w:line="480" w:lineRule="auto"/>
        <w:ind w:firstLine="480" w:firstLineChars="200"/>
        <w:outlineLvl w:val="1"/>
        <w:rPr>
          <w:rFonts w:hint="eastAsia" w:ascii="宋体" w:hAnsi="宋体" w:eastAsia="宋体" w:cs="宋体"/>
          <w:sz w:val="24"/>
          <w:szCs w:val="24"/>
          <w:highlight w:val="none"/>
          <w:lang w:val="en-US" w:eastAsia="zh-CN"/>
        </w:rPr>
      </w:pPr>
    </w:p>
    <w:p>
      <w:pPr>
        <w:spacing w:line="480" w:lineRule="auto"/>
        <w:ind w:firstLine="480" w:firstLineChars="200"/>
        <w:outlineLvl w:val="1"/>
        <w:rPr>
          <w:rFonts w:hint="eastAsia" w:ascii="宋体" w:hAnsi="宋体" w:eastAsia="宋体" w:cs="宋体"/>
          <w:sz w:val="24"/>
          <w:szCs w:val="24"/>
          <w:highlight w:val="none"/>
          <w:lang w:val="en-US" w:eastAsia="zh-CN"/>
        </w:rPr>
      </w:pP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单位名称（盖章）：</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日  期：</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扶持政策说明：</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根据财政部、工业和信息化部制定的《政府采购促进中小企业发展暂行办法》和转发财政部工业和信息化部关于印发《政府采购促进中小企业发展暂行办法》的通知，对小型或微型企业的投标报价给予10%的扣除，并用扣除后的价格计算价格评分。</w:t>
      </w:r>
    </w:p>
    <w:p>
      <w:pPr>
        <w:spacing w:line="480" w:lineRule="auto"/>
        <w:ind w:firstLine="480" w:firstLineChars="200"/>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2、监狱企业视同小微企业，参加本项目投标的，享受小微企业同等的价格扣除。【注：提供《监狱企业声明函》及其相关的充分的证明材料】。</w:t>
      </w:r>
    </w:p>
    <w:p>
      <w:pPr>
        <w:spacing w:line="480" w:lineRule="auto"/>
        <w:ind w:firstLine="480" w:firstLineChars="200"/>
        <w:outlineLvl w:val="1"/>
        <w:rPr>
          <w:rFonts w:hint="eastAsia" w:ascii="宋体" w:hAnsi="宋体" w:eastAsia="宋体" w:cs="宋体"/>
          <w:sz w:val="24"/>
          <w:szCs w:val="24"/>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sz w:val="24"/>
          <w:szCs w:val="24"/>
          <w:highlight w:val="none"/>
          <w:lang w:val="en-US" w:eastAsia="zh-CN"/>
        </w:rPr>
        <w:t>3、残疾人福利性单位参加投标【提供《残疾人福利性单位声明函》】，视为小型、微型企业，享受小微企业政策扶持。</w:t>
      </w: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numPr>
          <w:ilvl w:val="0"/>
          <w:numId w:val="0"/>
        </w:numPr>
        <w:spacing w:line="588" w:lineRule="exact"/>
        <w:jc w:val="center"/>
        <w:rPr>
          <w:rFonts w:hint="eastAsia" w:ascii="宋体" w:hAnsi="宋体" w:eastAsia="宋体" w:cs="宋体"/>
          <w:b/>
          <w:color w:val="auto"/>
          <w:spacing w:val="6"/>
          <w:kern w:val="2"/>
          <w:sz w:val="28"/>
          <w:szCs w:val="28"/>
          <w:highlight w:val="none"/>
          <w:lang w:val="en-US" w:eastAsia="zh-CN" w:bidi="ar-SA"/>
        </w:rPr>
      </w:pPr>
    </w:p>
    <w:p>
      <w:pPr>
        <w:rPr>
          <w:rFonts w:hint="eastAsia" w:ascii="宋体" w:hAnsi="宋体" w:eastAsia="宋体" w:cs="宋体"/>
          <w:b/>
          <w:color w:val="auto"/>
          <w:spacing w:val="6"/>
          <w:kern w:val="2"/>
          <w:sz w:val="28"/>
          <w:szCs w:val="28"/>
          <w:highlight w:val="none"/>
          <w:lang w:val="en-US" w:eastAsia="zh-CN" w:bidi="ar-SA"/>
        </w:rPr>
      </w:pPr>
      <w:r>
        <w:rPr>
          <w:rFonts w:hint="eastAsia" w:ascii="宋体" w:hAnsi="宋体" w:eastAsia="宋体" w:cs="宋体"/>
          <w:b/>
          <w:color w:val="auto"/>
          <w:spacing w:val="6"/>
          <w:kern w:val="2"/>
          <w:sz w:val="28"/>
          <w:szCs w:val="28"/>
          <w:highlight w:val="none"/>
          <w:lang w:val="en-US" w:eastAsia="zh-CN" w:bidi="ar-SA"/>
        </w:rPr>
        <w:br w:type="page"/>
      </w:r>
    </w:p>
    <w:p>
      <w:pPr>
        <w:numPr>
          <w:ilvl w:val="0"/>
          <w:numId w:val="0"/>
        </w:numPr>
        <w:spacing w:line="588" w:lineRule="exact"/>
        <w:jc w:val="center"/>
        <w:rPr>
          <w:rFonts w:hint="eastAsia" w:ascii="宋体" w:hAnsi="宋体" w:eastAsia="宋体" w:cs="宋体"/>
          <w:highlight w:val="none"/>
          <w:lang w:val="en-US" w:eastAsia="zh-CN"/>
        </w:rPr>
      </w:pPr>
      <w:r>
        <w:rPr>
          <w:rFonts w:hint="eastAsia" w:ascii="宋体" w:hAnsi="宋体" w:eastAsia="宋体" w:cs="宋体"/>
          <w:b/>
          <w:color w:val="auto"/>
          <w:spacing w:val="6"/>
          <w:kern w:val="2"/>
          <w:sz w:val="28"/>
          <w:szCs w:val="28"/>
          <w:highlight w:val="none"/>
          <w:lang w:val="en-US" w:eastAsia="zh-CN" w:bidi="ar-SA"/>
        </w:rPr>
        <w:t>节能、环保产品证明（如有）</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 </w:t>
      </w:r>
      <w:r>
        <w:rPr>
          <w:rFonts w:hint="eastAsia" w:ascii="宋体" w:hAnsi="宋体" w:eastAsia="宋体" w:cs="宋体"/>
          <w:color w:val="auto"/>
          <w:sz w:val="24"/>
          <w:highlight w:val="none"/>
        </w:rPr>
        <w:t>：</w:t>
      </w:r>
    </w:p>
    <w:p>
      <w:pPr>
        <w:pStyle w:val="6"/>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现附上</w:t>
      </w:r>
      <w:r>
        <w:rPr>
          <w:rFonts w:hint="eastAsia" w:ascii="宋体" w:hAnsi="宋体" w:eastAsia="宋体" w:cs="宋体"/>
          <w:color w:val="auto"/>
          <w:sz w:val="24"/>
          <w:highlight w:val="none"/>
          <w:u w:val="single"/>
        </w:rPr>
        <w:t>  （节能、环保产品产品目录）    </w:t>
      </w:r>
      <w:r>
        <w:rPr>
          <w:rFonts w:hint="eastAsia" w:ascii="宋体" w:hAnsi="宋体" w:eastAsia="宋体" w:cs="宋体"/>
          <w:color w:val="auto"/>
          <w:sz w:val="24"/>
          <w:highlight w:val="none"/>
        </w:rPr>
        <w:t> 证明文件（可在 网站名称 网站进行查询）复印件，该证件真实有效。</w:t>
      </w:r>
    </w:p>
    <w:p>
      <w:pPr>
        <w:pStyle w:val="6"/>
        <w:rPr>
          <w:rFonts w:hint="eastAsia" w:ascii="宋体" w:hAnsi="宋体" w:eastAsia="宋体" w:cs="宋体"/>
          <w:highlight w:val="none"/>
          <w:lang w:eastAsia="zh-CN"/>
        </w:rPr>
      </w:pPr>
    </w:p>
    <w:p>
      <w:pPr>
        <w:pStyle w:val="6"/>
        <w:rPr>
          <w:rFonts w:hint="eastAsia" w:ascii="宋体" w:hAnsi="宋体" w:eastAsia="宋体" w:cs="宋体"/>
          <w:highlight w:val="none"/>
          <w:lang w:eastAsia="zh-CN"/>
        </w:rPr>
      </w:pPr>
    </w:p>
    <w:p>
      <w:pPr>
        <w:pStyle w:val="6"/>
        <w:rPr>
          <w:rFonts w:hint="eastAsia" w:ascii="宋体" w:hAnsi="宋体" w:eastAsia="宋体" w:cs="宋体"/>
          <w:highlight w:val="none"/>
          <w:lang w:eastAsia="zh-CN"/>
        </w:rPr>
      </w:pPr>
    </w:p>
    <w:p>
      <w:pPr>
        <w:pStyle w:val="6"/>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pStyle w:val="6"/>
        <w:rPr>
          <w:rFonts w:hint="eastAsia" w:ascii="宋体" w:hAnsi="宋体" w:eastAsia="宋体" w:cs="宋体"/>
          <w:highlight w:val="none"/>
          <w:lang w:eastAsia="zh-CN"/>
        </w:rPr>
      </w:pPr>
    </w:p>
    <w:p>
      <w:pPr>
        <w:pStyle w:val="6"/>
        <w:rPr>
          <w:rFonts w:hint="eastAsia" w:ascii="宋体" w:hAnsi="宋体" w:eastAsia="宋体" w:cs="宋体"/>
          <w:highlight w:val="none"/>
          <w:lang w:eastAsia="zh-CN"/>
        </w:rPr>
      </w:pPr>
    </w:p>
    <w:p>
      <w:pPr>
        <w:pStyle w:val="6"/>
        <w:rPr>
          <w:rFonts w:hint="eastAsia" w:ascii="宋体" w:hAnsi="宋体" w:eastAsia="宋体" w:cs="宋体"/>
          <w:highlight w:val="none"/>
          <w:lang w:eastAsia="zh-CN"/>
        </w:rPr>
      </w:pPr>
    </w:p>
    <w:p>
      <w:pPr>
        <w:pStyle w:val="6"/>
        <w:rPr>
          <w:rFonts w:hint="eastAsia" w:ascii="宋体" w:hAnsi="宋体" w:eastAsia="宋体" w:cs="宋体"/>
          <w:highlight w:val="none"/>
          <w:lang w:eastAsia="zh-CN"/>
        </w:rPr>
      </w:pPr>
    </w:p>
    <w:p>
      <w:pPr>
        <w:pStyle w:val="6"/>
        <w:rPr>
          <w:rFonts w:hint="eastAsia" w:ascii="宋体" w:hAnsi="宋体" w:eastAsia="宋体" w:cs="宋体"/>
          <w:highlight w:val="none"/>
          <w:lang w:eastAsia="zh-CN"/>
        </w:rPr>
      </w:pPr>
    </w:p>
    <w:p>
      <w:pPr>
        <w:pStyle w:val="6"/>
        <w:rPr>
          <w:rFonts w:hint="eastAsia" w:ascii="宋体" w:hAnsi="宋体" w:eastAsia="宋体" w:cs="宋体"/>
          <w:highlight w:val="none"/>
          <w:lang w:eastAsia="zh-CN"/>
        </w:rPr>
      </w:pP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投标人（加盖公章）：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投标人代表（签字）：                         </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日          期：    年   月  日</w:t>
      </w:r>
    </w:p>
    <w:p>
      <w:pPr>
        <w:pStyle w:val="24"/>
        <w:numPr>
          <w:ilvl w:val="0"/>
          <w:numId w:val="0"/>
        </w:numPr>
        <w:overflowPunct w:val="0"/>
        <w:snapToGrid w:val="0"/>
        <w:spacing w:line="360" w:lineRule="auto"/>
        <w:jc w:val="right"/>
        <w:rPr>
          <w:rFonts w:hint="eastAsia" w:ascii="宋体" w:hAnsi="宋体" w:eastAsia="宋体" w:cs="宋体"/>
          <w:b/>
          <w:bCs w:val="0"/>
          <w:color w:val="auto"/>
          <w:kern w:val="2"/>
          <w:sz w:val="21"/>
          <w:szCs w:val="21"/>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bookmarkStart w:id="426" w:name="_Toc115436122"/>
      <w:bookmarkStart w:id="427" w:name="_Toc312"/>
      <w:bookmarkStart w:id="428" w:name="_Toc23406"/>
      <w:bookmarkStart w:id="429" w:name="_Toc15028"/>
      <w:bookmarkStart w:id="430" w:name="_Toc114589529"/>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p>
    <w:p>
      <w:pPr>
        <w:pStyle w:val="180"/>
        <w:shd w:val="clear" w:color="auto" w:fill="auto"/>
        <w:spacing w:line="360" w:lineRule="auto"/>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 虚假应标承担责任声明（统一格式）</w:t>
      </w:r>
      <w:bookmarkEnd w:id="426"/>
      <w:bookmarkEnd w:id="427"/>
      <w:bookmarkEnd w:id="428"/>
      <w:bookmarkEnd w:id="429"/>
      <w:bookmarkEnd w:id="430"/>
    </w:p>
    <w:p>
      <w:pPr>
        <w:pStyle w:val="6"/>
        <w:shd w:val="clear" w:color="auto" w:fill="auto"/>
        <w:tabs>
          <w:tab w:val="left" w:pos="9214"/>
        </w:tabs>
        <w:spacing w:before="2"/>
        <w:ind w:left="0" w:leftChars="0" w:right="-92" w:rightChars="-44" w:firstLine="0" w:firstLineChars="0"/>
        <w:rPr>
          <w:rFonts w:hint="eastAsia" w:ascii="宋体" w:hAnsi="宋体" w:eastAsia="宋体" w:cs="宋体"/>
          <w:b/>
          <w:color w:val="auto"/>
          <w:sz w:val="21"/>
          <w:szCs w:val="21"/>
          <w:highlight w:val="none"/>
        </w:rPr>
      </w:pPr>
    </w:p>
    <w:p>
      <w:pPr>
        <w:shd w:val="clear" w:color="auto" w:fill="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采购人/采购代理机构</w:t>
      </w:r>
    </w:p>
    <w:p>
      <w:pPr>
        <w:pStyle w:val="6"/>
        <w:shd w:val="clear" w:color="auto" w:fill="auto"/>
        <w:tabs>
          <w:tab w:val="left" w:pos="9214"/>
        </w:tabs>
        <w:spacing w:before="9"/>
        <w:ind w:right="-92" w:rightChars="-44"/>
        <w:rPr>
          <w:rFonts w:hint="eastAsia" w:ascii="宋体" w:hAnsi="宋体" w:eastAsia="宋体" w:cs="宋体"/>
          <w:b/>
          <w:color w:val="auto"/>
          <w:highlight w:val="none"/>
        </w:rPr>
      </w:pPr>
    </w:p>
    <w:p>
      <w:pPr>
        <w:pStyle w:val="6"/>
        <w:shd w:val="clear" w:color="auto" w:fill="auto"/>
        <w:tabs>
          <w:tab w:val="left" w:pos="9214"/>
        </w:tabs>
        <w:spacing w:before="67" w:line="360" w:lineRule="auto"/>
        <w:ind w:right="-92" w:rightChars="-44"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w:t>
      </w:r>
      <w:r>
        <w:rPr>
          <w:rFonts w:hint="eastAsia" w:ascii="宋体" w:hAnsi="宋体" w:eastAsia="宋体" w:cs="宋体"/>
          <w:color w:val="auto"/>
          <w:spacing w:val="-7"/>
          <w:highlight w:val="none"/>
        </w:rPr>
        <w:t>承诺：</w:t>
      </w:r>
      <w:r>
        <w:rPr>
          <w:rFonts w:hint="eastAsia" w:ascii="宋体" w:hAnsi="宋体" w:eastAsia="宋体" w:cs="宋体"/>
          <w:color w:val="auto"/>
          <w:spacing w:val="-3"/>
          <w:highlight w:val="none"/>
        </w:rPr>
        <w:t>所提供的投标文件</w:t>
      </w:r>
      <w:r>
        <w:rPr>
          <w:rFonts w:hint="eastAsia" w:ascii="宋体" w:hAnsi="宋体" w:eastAsia="宋体" w:cs="宋体"/>
          <w:color w:val="auto"/>
          <w:highlight w:val="none"/>
        </w:rPr>
        <w:t>（</w:t>
      </w:r>
      <w:r>
        <w:rPr>
          <w:rFonts w:hint="eastAsia" w:ascii="宋体" w:hAnsi="宋体" w:eastAsia="宋体" w:cs="宋体"/>
          <w:color w:val="auto"/>
          <w:spacing w:val="-5"/>
          <w:highlight w:val="none"/>
        </w:rPr>
        <w:t>包括一切技术资料、技术承诺、商务承诺等</w:t>
      </w:r>
      <w:r>
        <w:rPr>
          <w:rFonts w:hint="eastAsia" w:ascii="宋体" w:hAnsi="宋体" w:eastAsia="宋体" w:cs="宋体"/>
          <w:color w:val="auto"/>
          <w:spacing w:val="-20"/>
          <w:highlight w:val="none"/>
        </w:rPr>
        <w:t>）</w:t>
      </w:r>
      <w:r>
        <w:rPr>
          <w:rFonts w:hint="eastAsia" w:ascii="宋体" w:hAnsi="宋体" w:eastAsia="宋体" w:cs="宋体"/>
          <w:color w:val="auto"/>
          <w:spacing w:val="-12"/>
          <w:highlight w:val="none"/>
        </w:rPr>
        <w:t>均</w:t>
      </w:r>
      <w:r>
        <w:rPr>
          <w:rFonts w:hint="eastAsia" w:ascii="宋体" w:hAnsi="宋体" w:eastAsia="宋体" w:cs="宋体"/>
          <w:color w:val="auto"/>
          <w:spacing w:val="-6"/>
          <w:highlight w:val="none"/>
        </w:rPr>
        <w:t>真实有效，若在项目招标过程中</w:t>
      </w:r>
      <w:r>
        <w:rPr>
          <w:rFonts w:hint="eastAsia" w:ascii="宋体" w:hAnsi="宋体" w:eastAsia="宋体" w:cs="宋体"/>
          <w:color w:val="auto"/>
          <w:highlight w:val="none"/>
        </w:rPr>
        <w:t>（</w:t>
      </w:r>
      <w:r>
        <w:rPr>
          <w:rFonts w:hint="eastAsia" w:ascii="宋体" w:hAnsi="宋体" w:eastAsia="宋体" w:cs="宋体"/>
          <w:color w:val="auto"/>
          <w:spacing w:val="-6"/>
          <w:highlight w:val="none"/>
        </w:rPr>
        <w:t>包括开评审、中标公示过程</w:t>
      </w:r>
      <w:r>
        <w:rPr>
          <w:rFonts w:hint="eastAsia" w:ascii="宋体" w:hAnsi="宋体" w:eastAsia="宋体" w:cs="宋体"/>
          <w:color w:val="auto"/>
          <w:spacing w:val="-20"/>
          <w:highlight w:val="none"/>
        </w:rPr>
        <w:t>）</w:t>
      </w:r>
      <w:r>
        <w:rPr>
          <w:rFonts w:hint="eastAsia" w:ascii="宋体" w:hAnsi="宋体" w:eastAsia="宋体" w:cs="宋体"/>
          <w:color w:val="auto"/>
          <w:spacing w:val="-2"/>
          <w:highlight w:val="none"/>
        </w:rPr>
        <w:t>及履行合同期间</w:t>
      </w:r>
      <w:r>
        <w:rPr>
          <w:rFonts w:hint="eastAsia" w:ascii="宋体" w:hAnsi="宋体" w:eastAsia="宋体" w:cs="宋体"/>
          <w:color w:val="auto"/>
          <w:highlight w:val="none"/>
        </w:rPr>
        <w:t>（包括验收过程</w:t>
      </w:r>
      <w:r>
        <w:rPr>
          <w:rFonts w:hint="eastAsia" w:ascii="宋体" w:hAnsi="宋体" w:eastAsia="宋体" w:cs="宋体"/>
          <w:color w:val="auto"/>
          <w:spacing w:val="-15"/>
          <w:highlight w:val="none"/>
        </w:rPr>
        <w:t>）</w:t>
      </w:r>
      <w:r>
        <w:rPr>
          <w:rFonts w:hint="eastAsia" w:ascii="宋体" w:hAnsi="宋体" w:eastAsia="宋体" w:cs="宋体"/>
          <w:color w:val="auto"/>
          <w:spacing w:val="-2"/>
          <w:highlight w:val="none"/>
        </w:rPr>
        <w:t>发现我公司提供的货物</w:t>
      </w:r>
      <w:r>
        <w:rPr>
          <w:rFonts w:hint="eastAsia" w:ascii="宋体" w:hAnsi="宋体" w:eastAsia="宋体" w:cs="宋体"/>
          <w:color w:val="auto"/>
          <w:highlight w:val="none"/>
        </w:rPr>
        <w:t>（或产品</w:t>
      </w:r>
      <w:r>
        <w:rPr>
          <w:rFonts w:hint="eastAsia" w:ascii="宋体" w:hAnsi="宋体" w:eastAsia="宋体" w:cs="宋体"/>
          <w:color w:val="auto"/>
          <w:spacing w:val="-15"/>
          <w:highlight w:val="none"/>
        </w:rPr>
        <w:t>）</w:t>
      </w:r>
      <w:r>
        <w:rPr>
          <w:rFonts w:hint="eastAsia" w:ascii="宋体" w:hAnsi="宋体" w:eastAsia="宋体" w:cs="宋体"/>
          <w:color w:val="auto"/>
          <w:spacing w:val="-5"/>
          <w:highlight w:val="none"/>
        </w:rPr>
        <w:t>与投标</w:t>
      </w:r>
      <w:r>
        <w:rPr>
          <w:rFonts w:hint="eastAsia" w:ascii="宋体" w:hAnsi="宋体" w:eastAsia="宋体" w:cs="宋体"/>
          <w:color w:val="auto"/>
          <w:highlight w:val="none"/>
        </w:rPr>
        <w:t>文件</w:t>
      </w:r>
      <w:r>
        <w:rPr>
          <w:rFonts w:hint="eastAsia" w:ascii="宋体" w:hAnsi="宋体" w:eastAsia="宋体" w:cs="宋体"/>
          <w:color w:val="auto"/>
          <w:spacing w:val="-6"/>
          <w:highlight w:val="none"/>
        </w:rPr>
        <w:t>不一致，或发现我</w:t>
      </w:r>
      <w:r>
        <w:rPr>
          <w:rFonts w:hint="eastAsia" w:ascii="宋体" w:hAnsi="宋体" w:eastAsia="宋体" w:cs="宋体"/>
          <w:color w:val="auto"/>
          <w:highlight w:val="none"/>
        </w:rPr>
        <w:t>公司提供了不真实的投标文件（虚假材料</w:t>
      </w:r>
      <w:r>
        <w:rPr>
          <w:rFonts w:hint="eastAsia" w:ascii="宋体" w:hAnsi="宋体" w:eastAsia="宋体" w:cs="宋体"/>
          <w:color w:val="auto"/>
          <w:spacing w:val="-120"/>
          <w:highlight w:val="none"/>
        </w:rPr>
        <w:t>）   ）</w:t>
      </w:r>
      <w:r>
        <w:rPr>
          <w:rFonts w:hint="eastAsia" w:ascii="宋体" w:hAnsi="宋体" w:eastAsia="宋体" w:cs="宋体"/>
          <w:color w:val="auto"/>
          <w:highlight w:val="none"/>
        </w:rPr>
        <w:t>），我公司愿意承担一切法律责任并认可采购人或采购代理机构作出的取消中标资格、罚没保证金等决定。</w:t>
      </w:r>
    </w:p>
    <w:p>
      <w:pPr>
        <w:pStyle w:val="6"/>
        <w:shd w:val="clear" w:color="auto" w:fill="auto"/>
        <w:tabs>
          <w:tab w:val="left" w:pos="9214"/>
        </w:tabs>
        <w:spacing w:line="360" w:lineRule="auto"/>
        <w:ind w:right="-92" w:rightChars="-44"/>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6"/>
        <w:shd w:val="clear" w:color="auto" w:fill="auto"/>
        <w:tabs>
          <w:tab w:val="left" w:pos="9214"/>
        </w:tabs>
        <w:spacing w:line="360" w:lineRule="auto"/>
        <w:ind w:right="-92" w:rightChars="-44"/>
        <w:rPr>
          <w:rFonts w:hint="eastAsia" w:ascii="宋体" w:hAnsi="宋体" w:eastAsia="宋体" w:cs="宋体"/>
          <w:color w:val="auto"/>
          <w:sz w:val="21"/>
          <w:szCs w:val="21"/>
          <w:highlight w:val="none"/>
        </w:rPr>
      </w:pPr>
    </w:p>
    <w:p>
      <w:pPr>
        <w:pStyle w:val="6"/>
        <w:shd w:val="clear" w:color="auto" w:fill="auto"/>
        <w:tabs>
          <w:tab w:val="left" w:pos="9214"/>
        </w:tabs>
        <w:ind w:right="-92" w:rightChars="-44"/>
        <w:rPr>
          <w:rFonts w:hint="eastAsia" w:ascii="宋体" w:hAnsi="宋体" w:eastAsia="宋体" w:cs="宋体"/>
          <w:color w:val="auto"/>
          <w:sz w:val="21"/>
          <w:szCs w:val="21"/>
          <w:highlight w:val="none"/>
        </w:rPr>
      </w:pPr>
    </w:p>
    <w:p>
      <w:pPr>
        <w:pStyle w:val="6"/>
        <w:shd w:val="clear" w:color="auto" w:fill="auto"/>
        <w:tabs>
          <w:tab w:val="left" w:pos="9214"/>
        </w:tabs>
        <w:ind w:right="-92" w:rightChars="-44"/>
        <w:rPr>
          <w:rFonts w:hint="eastAsia" w:ascii="宋体" w:hAnsi="宋体" w:eastAsia="宋体" w:cs="宋体"/>
          <w:color w:val="auto"/>
          <w:sz w:val="21"/>
          <w:szCs w:val="21"/>
          <w:highlight w:val="none"/>
        </w:rPr>
      </w:pPr>
    </w:p>
    <w:p>
      <w:pPr>
        <w:pStyle w:val="6"/>
        <w:shd w:val="clear" w:color="auto" w:fill="auto"/>
        <w:tabs>
          <w:tab w:val="left" w:pos="4736"/>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投标人名称（盖章）：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6"/>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投标人授权代表</w:t>
      </w:r>
      <w:r>
        <w:rPr>
          <w:rFonts w:hint="eastAsia" w:ascii="宋体" w:hAnsi="宋体" w:cs="宋体"/>
          <w:color w:val="auto"/>
          <w:highlight w:val="none"/>
          <w:lang w:eastAsia="zh-CN"/>
        </w:rPr>
        <w:t>（</w:t>
      </w:r>
      <w:r>
        <w:rPr>
          <w:rFonts w:hint="eastAsia" w:ascii="宋体" w:hAnsi="宋体" w:eastAsia="宋体" w:cs="宋体"/>
          <w:color w:val="auto"/>
          <w:highlight w:val="none"/>
        </w:rPr>
        <w:t>签字</w:t>
      </w:r>
      <w:r>
        <w:rPr>
          <w:rFonts w:hint="eastAsia" w:ascii="宋体" w:hAnsi="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6"/>
        <w:shd w:val="clear" w:color="auto" w:fill="auto"/>
        <w:tabs>
          <w:tab w:val="left" w:pos="5521"/>
          <w:tab w:val="left" w:pos="6366"/>
          <w:tab w:val="left" w:pos="9062"/>
          <w:tab w:val="left" w:pos="9214"/>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p>
    <w:p>
      <w:pPr>
        <w:pStyle w:val="6"/>
        <w:shd w:val="clear" w:color="auto" w:fill="auto"/>
        <w:tabs>
          <w:tab w:val="left" w:pos="9214"/>
        </w:tabs>
        <w:spacing w:line="360" w:lineRule="auto"/>
        <w:rPr>
          <w:rFonts w:hint="eastAsia" w:ascii="宋体" w:hAnsi="宋体" w:eastAsia="宋体" w:cs="宋体"/>
          <w:color w:val="auto"/>
          <w:highlight w:val="none"/>
        </w:rPr>
      </w:pPr>
    </w:p>
    <w:p>
      <w:pPr>
        <w:pStyle w:val="6"/>
        <w:shd w:val="clear" w:color="auto" w:fill="auto"/>
        <w:tabs>
          <w:tab w:val="left" w:pos="9214"/>
        </w:tabs>
        <w:spacing w:line="360" w:lineRule="auto"/>
        <w:rPr>
          <w:rFonts w:hint="eastAsia" w:ascii="宋体" w:hAnsi="宋体" w:eastAsia="宋体" w:cs="宋体"/>
          <w:color w:val="auto"/>
          <w:highlight w:val="none"/>
        </w:rPr>
      </w:pPr>
    </w:p>
    <w:p>
      <w:pPr>
        <w:pStyle w:val="6"/>
        <w:shd w:val="clear" w:color="auto" w:fill="auto"/>
        <w:tabs>
          <w:tab w:val="left" w:pos="1560"/>
          <w:tab w:val="left" w:pos="2040"/>
          <w:tab w:val="left" w:pos="9214"/>
        </w:tabs>
        <w:spacing w:before="66"/>
        <w:ind w:right="-92" w:rightChars="-44"/>
        <w:rPr>
          <w:rFonts w:hint="eastAsia" w:ascii="宋体" w:hAnsi="宋体" w:eastAsia="宋体" w:cs="宋体"/>
          <w:color w:val="auto"/>
          <w:sz w:val="21"/>
          <w:szCs w:val="21"/>
          <w:highlight w:val="none"/>
        </w:rPr>
      </w:pPr>
    </w:p>
    <w:p>
      <w:pPr>
        <w:pStyle w:val="180"/>
        <w:shd w:val="clear" w:color="auto" w:fill="auto"/>
        <w:spacing w:line="360" w:lineRule="auto"/>
        <w:ind w:right="-92" w:rightChars="-44"/>
        <w:jc w:val="both"/>
        <w:rPr>
          <w:rFonts w:hint="eastAsia" w:ascii="宋体" w:hAnsi="宋体" w:eastAsia="宋体" w:cs="宋体"/>
          <w:b/>
          <w:color w:val="auto"/>
          <w:sz w:val="24"/>
          <w:szCs w:val="24"/>
          <w:highlight w:val="none"/>
        </w:rPr>
        <w:sectPr>
          <w:type w:val="continuous"/>
          <w:pgSz w:w="11905" w:h="16838"/>
          <w:pgMar w:top="1304" w:right="964" w:bottom="1020" w:left="1191" w:header="567" w:footer="454" w:gutter="0"/>
          <w:cols w:space="720" w:num="1"/>
          <w:rtlGutter w:val="0"/>
          <w:docGrid w:type="lines" w:linePitch="317" w:charSpace="0"/>
        </w:sect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bookmarkStart w:id="431" w:name="_Toc480942355"/>
      <w:bookmarkStart w:id="432" w:name="_Toc520356224"/>
      <w:bookmarkStart w:id="433" w:name="_Toc216582819"/>
      <w:bookmarkStart w:id="434" w:name="_Ref467988543"/>
      <w:bookmarkStart w:id="435" w:name="_Toc114589541"/>
      <w:bookmarkStart w:id="436" w:name="_Toc20238"/>
      <w:bookmarkStart w:id="437" w:name="_Toc507399535"/>
      <w:bookmarkStart w:id="438" w:name="_Toc9592"/>
      <w:bookmarkStart w:id="439" w:name="_Toc115436133"/>
      <w:bookmarkStart w:id="440" w:name="_Toc32489"/>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p>
    <w:p>
      <w:pPr>
        <w:pStyle w:val="180"/>
        <w:shd w:val="clear" w:color="auto" w:fill="auto"/>
        <w:spacing w:line="360" w:lineRule="auto"/>
        <w:jc w:val="both"/>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附件9  关于对本投标文件中资料真实性的承诺</w:t>
      </w:r>
      <w:bookmarkEnd w:id="431"/>
      <w:bookmarkEnd w:id="432"/>
      <w:bookmarkEnd w:id="433"/>
      <w:bookmarkEnd w:id="434"/>
      <w:bookmarkStart w:id="441" w:name="_Hlt520350918"/>
      <w:bookmarkEnd w:id="441"/>
      <w:bookmarkStart w:id="442" w:name="_Hlt520271212"/>
      <w:bookmarkEnd w:id="442"/>
      <w:bookmarkStart w:id="443" w:name="_Hlt520274065"/>
      <w:bookmarkEnd w:id="443"/>
      <w:bookmarkStart w:id="444" w:name="_Hlt520343392"/>
      <w:bookmarkEnd w:id="444"/>
      <w:bookmarkStart w:id="445" w:name="_Hlt520350957"/>
      <w:bookmarkEnd w:id="445"/>
      <w:bookmarkStart w:id="446" w:name="_Hlt520273973"/>
      <w:bookmarkEnd w:id="446"/>
      <w:bookmarkStart w:id="447" w:name="_Hlt520273711"/>
      <w:bookmarkEnd w:id="447"/>
      <w:bookmarkStart w:id="448" w:name="_Hlt520274407"/>
      <w:bookmarkEnd w:id="448"/>
      <w:bookmarkStart w:id="449" w:name="_Hlt520343000"/>
      <w:bookmarkEnd w:id="449"/>
      <w:bookmarkStart w:id="450" w:name="_Hlt520274911"/>
      <w:bookmarkEnd w:id="450"/>
      <w:bookmarkStart w:id="451" w:name="_Hlt520274393"/>
      <w:bookmarkEnd w:id="451"/>
      <w:bookmarkStart w:id="452" w:name="_Toc216513801"/>
      <w:bookmarkStart w:id="453" w:name="_Toc216582821"/>
      <w:r>
        <w:rPr>
          <w:rFonts w:hint="eastAsia" w:ascii="宋体" w:hAnsi="宋体" w:eastAsia="宋体" w:cs="宋体"/>
          <w:b/>
          <w:color w:val="auto"/>
          <w:sz w:val="24"/>
          <w:szCs w:val="24"/>
          <w:highlight w:val="none"/>
        </w:rPr>
        <w:t>书</w:t>
      </w:r>
      <w:bookmarkEnd w:id="435"/>
      <w:bookmarkEnd w:id="436"/>
      <w:bookmarkEnd w:id="437"/>
      <w:bookmarkEnd w:id="438"/>
      <w:bookmarkEnd w:id="439"/>
      <w:bookmarkEnd w:id="440"/>
    </w:p>
    <w:p>
      <w:pPr>
        <w:shd w:val="clear" w:color="auto" w:fill="auto"/>
        <w:spacing w:line="240" w:lineRule="atLeast"/>
        <w:ind w:left="660" w:leftChars="257" w:hanging="540"/>
        <w:rPr>
          <w:rFonts w:hint="eastAsia" w:ascii="宋体" w:hAnsi="宋体" w:eastAsia="宋体" w:cs="宋体"/>
          <w:b/>
          <w:color w:val="auto"/>
          <w:sz w:val="24"/>
          <w:highlight w:val="none"/>
        </w:rPr>
      </w:pPr>
    </w:p>
    <w:bookmarkEnd w:id="452"/>
    <w:bookmarkEnd w:id="453"/>
    <w:p>
      <w:pPr>
        <w:shd w:val="clear" w:color="auto" w:fill="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关于对本投标文件中资料真实性的承诺</w:t>
      </w:r>
    </w:p>
    <w:p>
      <w:pPr>
        <w:shd w:val="clear" w:color="auto" w:fill="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rPr>
        <w:t>至：</w:t>
      </w:r>
      <w:r>
        <w:rPr>
          <w:rFonts w:hint="eastAsia" w:ascii="宋体" w:hAnsi="宋体" w:eastAsia="宋体" w:cs="宋体"/>
          <w:b/>
          <w:color w:val="auto"/>
          <w:kern w:val="0"/>
          <w:szCs w:val="21"/>
          <w:highlight w:val="none"/>
          <w:u w:val="single"/>
        </w:rPr>
        <w:t xml:space="preserve"> （项目、包段名称）评标委员会  </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中华人民共和国政府采购法实施条例》等有关</w:t>
      </w:r>
      <w:r>
        <w:rPr>
          <w:rFonts w:hint="eastAsia" w:ascii="宋体" w:hAnsi="宋体" w:cs="宋体"/>
          <w:color w:val="auto"/>
          <w:kern w:val="0"/>
          <w:sz w:val="24"/>
          <w:szCs w:val="24"/>
          <w:highlight w:val="none"/>
          <w:lang w:eastAsia="zh-CN"/>
        </w:rPr>
        <w:t>法律法规</w:t>
      </w:r>
      <w:r>
        <w:rPr>
          <w:rFonts w:hint="eastAsia" w:ascii="宋体" w:hAnsi="宋体" w:eastAsia="宋体" w:cs="宋体"/>
          <w:color w:val="auto"/>
          <w:kern w:val="0"/>
          <w:sz w:val="24"/>
          <w:szCs w:val="24"/>
          <w:highlight w:val="none"/>
        </w:rPr>
        <w:t>的规定和</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的招标文件的要求，我公司在</w:t>
      </w:r>
      <w:r>
        <w:rPr>
          <w:rFonts w:hint="eastAsia" w:ascii="宋体" w:hAnsi="宋体" w:eastAsia="宋体" w:cs="宋体"/>
          <w:color w:val="auto"/>
          <w:kern w:val="0"/>
          <w:sz w:val="24"/>
          <w:szCs w:val="24"/>
          <w:highlight w:val="none"/>
          <w:u w:val="single"/>
        </w:rPr>
        <w:t>   （项目、包段名称）   </w:t>
      </w:r>
      <w:r>
        <w:rPr>
          <w:rFonts w:hint="eastAsia" w:ascii="宋体" w:hAnsi="宋体" w:eastAsia="宋体" w:cs="宋体"/>
          <w:color w:val="auto"/>
          <w:kern w:val="0"/>
          <w:sz w:val="24"/>
          <w:szCs w:val="24"/>
          <w:highlight w:val="none"/>
        </w:rPr>
        <w:t>投标文件中所提供资料真实性作如下承诺：</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我公司将严格按招标文件要求，在编制本投标文件时，对投标文件中所提供的资料全部真实和正确，并对提供的所有资料（资格、业绩、其他材料等）的真实性负责！ </w:t>
      </w:r>
    </w:p>
    <w:p>
      <w:pPr>
        <w:shd w:val="clear" w:color="auto" w:fill="auto"/>
        <w:spacing w:line="360" w:lineRule="auto"/>
        <w:ind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对提供的全部资料中有存在不真实（伪造或租借等虚假资料）情形，将无条件接受任何处罚，自行承担由此引起的一切责任！</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632" w:firstLine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特此承诺</w:t>
      </w:r>
    </w:p>
    <w:p>
      <w:pPr>
        <w:shd w:val="clear" w:color="auto" w:fill="auto"/>
        <w:spacing w:line="360" w:lineRule="auto"/>
        <w:ind w:firstLine="632" w:firstLineChars="300"/>
        <w:rPr>
          <w:rFonts w:hint="eastAsia" w:ascii="宋体" w:hAnsi="宋体" w:eastAsia="宋体" w:cs="宋体"/>
          <w:b/>
          <w:color w:val="auto"/>
          <w:kern w:val="0"/>
          <w:szCs w:val="21"/>
          <w:highlight w:val="none"/>
        </w:rPr>
      </w:pP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供应商（全称）：</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（盖单位章）</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法定代表人：</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（签字）</w:t>
      </w:r>
    </w:p>
    <w:p>
      <w:pPr>
        <w:shd w:val="clear" w:color="auto" w:fill="auto"/>
        <w:spacing w:line="360" w:lineRule="auto"/>
        <w:ind w:firstLine="3373" w:firstLineChars="16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有效的联系方式：</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kern w:val="0"/>
          <w:szCs w:val="21"/>
          <w:highlight w:val="none"/>
        </w:rPr>
        <w:t>（手机号）</w:t>
      </w:r>
    </w:p>
    <w:p>
      <w:pPr>
        <w:shd w:val="clear" w:color="auto" w:fill="auto"/>
        <w:spacing w:line="360" w:lineRule="auto"/>
        <w:ind w:firstLine="3795" w:firstLineChars="1800"/>
        <w:rPr>
          <w:rFonts w:hint="eastAsia" w:ascii="宋体" w:hAnsi="宋体" w:eastAsia="宋体" w:cs="宋体"/>
          <w:b/>
          <w:color w:val="auto"/>
          <w:kern w:val="0"/>
          <w:szCs w:val="21"/>
          <w:highlight w:val="none"/>
        </w:rPr>
      </w:pPr>
    </w:p>
    <w:p>
      <w:pPr>
        <w:shd w:val="clear" w:color="auto" w:fill="auto"/>
        <w:spacing w:line="360" w:lineRule="auto"/>
        <w:ind w:firstLine="5271" w:firstLineChars="25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年      月       日</w:t>
      </w:r>
    </w:p>
    <w:p>
      <w:pPr>
        <w:shd w:val="clear" w:color="auto" w:fill="auto"/>
        <w:spacing w:line="360" w:lineRule="auto"/>
        <w:rPr>
          <w:rFonts w:hint="eastAsia" w:ascii="宋体" w:hAnsi="宋体" w:eastAsia="宋体" w:cs="宋体"/>
          <w:b/>
          <w:color w:val="auto"/>
          <w:kern w:val="0"/>
          <w:szCs w:val="21"/>
          <w:highlight w:val="none"/>
        </w:rPr>
      </w:pPr>
    </w:p>
    <w:p>
      <w:pPr>
        <w:shd w:val="clear" w:color="auto" w:fill="auto"/>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说明：投标供应商应按上述要求将内容填写完整，未提供此承诺的其投标将被拒绝！</w:t>
      </w:r>
    </w:p>
    <w:p>
      <w:pPr>
        <w:pStyle w:val="24"/>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color w:val="auto"/>
          <w:highlight w:val="none"/>
        </w:rPr>
        <w:br w:type="page"/>
      </w:r>
    </w:p>
    <w:p>
      <w:pPr>
        <w:pStyle w:val="24"/>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附件十七</w:t>
      </w:r>
    </w:p>
    <w:p>
      <w:pPr>
        <w:pStyle w:val="24"/>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p>
    <w:p>
      <w:pPr>
        <w:pStyle w:val="24"/>
        <w:numPr>
          <w:ilvl w:val="0"/>
          <w:numId w:val="0"/>
        </w:numPr>
        <w:overflowPunct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投标人认为有必要提供的声明及文件资料</w:t>
      </w:r>
    </w:p>
    <w:p>
      <w:pPr>
        <w:rPr>
          <w:rFonts w:hint="eastAsia" w:ascii="宋体" w:hAnsi="宋体" w:eastAsia="宋体" w:cs="宋体"/>
          <w:highlight w:val="none"/>
          <w:lang w:val="en-US" w:eastAsia="zh-CN"/>
        </w:rPr>
        <w:sectPr>
          <w:type w:val="continuous"/>
          <w:pgSz w:w="11905" w:h="16838"/>
          <w:pgMar w:top="1304" w:right="964" w:bottom="1020" w:left="1191" w:header="567" w:footer="454" w:gutter="0"/>
          <w:pgNumType w:fmt="decimal"/>
          <w:cols w:space="720" w:num="1"/>
          <w:rtlGutter w:val="0"/>
          <w:docGrid w:type="lines" w:linePitch="317" w:charSpace="0"/>
        </w:sectPr>
      </w:pPr>
    </w:p>
    <w:p>
      <w:pPr>
        <w:pStyle w:val="24"/>
        <w:numPr>
          <w:ilvl w:val="0"/>
          <w:numId w:val="0"/>
        </w:numPr>
        <w:overflowPunct w:val="0"/>
        <w:snapToGrid w:val="0"/>
        <w:spacing w:line="360" w:lineRule="auto"/>
        <w:jc w:val="both"/>
        <w:rPr>
          <w:rFonts w:hint="eastAsia" w:ascii="宋体" w:hAnsi="宋体" w:eastAsia="宋体" w:cs="宋体"/>
          <w:b/>
          <w:bCs w:val="0"/>
          <w:color w:val="auto"/>
          <w:kern w:val="2"/>
          <w:sz w:val="32"/>
          <w:szCs w:val="28"/>
          <w:highlight w:val="none"/>
          <w:lang w:val="en-US" w:eastAsia="zh-CN" w:bidi="ar-SA"/>
        </w:rPr>
      </w:pPr>
    </w:p>
    <w:p>
      <w:pPr>
        <w:rPr>
          <w:rFonts w:hint="eastAsia" w:ascii="宋体" w:hAnsi="宋体" w:eastAsia="宋体" w:cs="宋体"/>
          <w:highlight w:val="none"/>
          <w:lang w:val="en-US" w:eastAsia="zh-CN"/>
        </w:rPr>
      </w:pPr>
    </w:p>
    <w:p>
      <w:pPr>
        <w:pStyle w:val="24"/>
        <w:numPr>
          <w:ilvl w:val="0"/>
          <w:numId w:val="0"/>
        </w:numPr>
        <w:overflowPunct w:val="0"/>
        <w:snapToGrid w:val="0"/>
        <w:spacing w:line="360" w:lineRule="auto"/>
        <w:jc w:val="both"/>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附件十八</w:t>
      </w:r>
    </w:p>
    <w:p>
      <w:pPr>
        <w:widowControl/>
        <w:adjustRightInd w:val="0"/>
        <w:snapToGrid w:val="0"/>
        <w:spacing w:line="360" w:lineRule="auto"/>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技术方案</w:t>
      </w:r>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spacing w:line="440" w:lineRule="exact"/>
        <w:ind w:firstLine="480" w:firstLineChars="200"/>
        <w:rPr>
          <w:rFonts w:hint="eastAsia" w:ascii="宋体" w:hAnsi="宋体" w:eastAsia="宋体" w:cs="宋体"/>
          <w:color w:val="auto"/>
          <w:sz w:val="24"/>
          <w:highlight w:val="none"/>
        </w:rPr>
      </w:pPr>
    </w:p>
    <w:p>
      <w:pPr>
        <w:spacing w:line="440" w:lineRule="exact"/>
        <w:ind w:firstLine="480" w:firstLineChars="200"/>
        <w:outlineLvl w:val="2"/>
        <w:rPr>
          <w:rFonts w:hint="eastAsia" w:ascii="宋体" w:hAnsi="宋体" w:eastAsia="宋体" w:cs="宋体"/>
          <w:color w:val="auto"/>
          <w:sz w:val="24"/>
          <w:szCs w:val="24"/>
          <w:highlight w:val="none"/>
        </w:rPr>
      </w:pPr>
      <w:bookmarkStart w:id="454" w:name="_Toc6353"/>
      <w:r>
        <w:rPr>
          <w:rFonts w:hint="eastAsia" w:ascii="宋体" w:hAnsi="宋体" w:eastAsia="宋体" w:cs="宋体"/>
          <w:color w:val="auto"/>
          <w:sz w:val="24"/>
          <w:szCs w:val="24"/>
          <w:highlight w:val="none"/>
        </w:rPr>
        <w:t>1、 项目</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方案；</w:t>
      </w:r>
      <w:bookmarkEnd w:id="454"/>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）对本项目背景和工作内容的理解和分析（格式自拟）</w:t>
      </w:r>
    </w:p>
    <w:p>
      <w:pPr>
        <w:spacing w:line="440" w:lineRule="exact"/>
        <w:ind w:left="0" w:leftChars="0" w:firstLine="0" w:firstLineChars="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）项目实施和安排计划（格式自拟）</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）拟投入的人员及主要人员的简历，可附表说明；</w:t>
      </w:r>
    </w:p>
    <w:p>
      <w:pPr>
        <w:spacing w:line="440" w:lineRule="exact"/>
        <w:ind w:firstLine="480" w:firstLineChars="200"/>
        <w:rPr>
          <w:rFonts w:hint="eastAsia" w:ascii="宋体" w:hAnsi="宋体" w:eastAsia="宋体" w:cs="宋体"/>
          <w:color w:val="auto"/>
          <w:sz w:val="24"/>
          <w:szCs w:val="24"/>
          <w:highlight w:val="none"/>
        </w:rPr>
      </w:pPr>
    </w:p>
    <w:p>
      <w:pPr>
        <w:numPr>
          <w:ilvl w:val="0"/>
          <w:numId w:val="0"/>
        </w:numPr>
        <w:spacing w:line="440" w:lineRule="exact"/>
        <w:ind w:leftChars="200" w:right="62"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）其他证明文件复印件。</w:t>
      </w: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上述内容仅供参考，如有不足，请自行补充提供。</w:t>
      </w:r>
    </w:p>
    <w:p>
      <w:pPr>
        <w:pStyle w:val="2"/>
        <w:rPr>
          <w:rFonts w:hint="eastAsia" w:ascii="宋体" w:hAnsi="宋体" w:eastAsia="宋体" w:cs="宋体"/>
          <w:b/>
          <w:bCs w:val="0"/>
          <w:color w:val="auto"/>
          <w:kern w:val="2"/>
          <w:sz w:val="24"/>
          <w:szCs w:val="24"/>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p>
    <w:p>
      <w:pPr>
        <w:jc w:val="both"/>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bookmarkStart w:id="455" w:name="_Toc31589"/>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jc w:val="both"/>
        <w:outlineLvl w:val="1"/>
        <w:rPr>
          <w:rFonts w:hint="eastAsia" w:ascii="宋体" w:hAnsi="宋体" w:eastAsia="宋体" w:cs="宋体"/>
          <w:b/>
          <w:bCs w:val="0"/>
          <w:color w:val="auto"/>
          <w:kern w:val="2"/>
          <w:sz w:val="28"/>
          <w:szCs w:val="24"/>
          <w:highlight w:val="none"/>
          <w:lang w:val="en-US" w:eastAsia="zh-CN" w:bidi="ar-SA"/>
        </w:rPr>
      </w:pPr>
    </w:p>
    <w:p>
      <w:pPr>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br w:type="page"/>
      </w:r>
    </w:p>
    <w:p>
      <w:pPr>
        <w:jc w:val="both"/>
        <w:outlineLvl w:val="1"/>
        <w:rPr>
          <w:rFonts w:hint="eastAsia" w:ascii="宋体" w:hAnsi="宋体" w:eastAsia="宋体" w:cs="宋体"/>
          <w:b/>
          <w:bCs w:val="0"/>
          <w:color w:val="auto"/>
          <w:kern w:val="2"/>
          <w:sz w:val="28"/>
          <w:szCs w:val="24"/>
          <w:highlight w:val="none"/>
          <w:lang w:val="en-US" w:eastAsia="zh-CN" w:bidi="ar-SA"/>
        </w:rPr>
      </w:pPr>
      <w:r>
        <w:rPr>
          <w:rFonts w:hint="eastAsia" w:ascii="宋体" w:hAnsi="宋体" w:eastAsia="宋体" w:cs="宋体"/>
          <w:b/>
          <w:bCs w:val="0"/>
          <w:color w:val="auto"/>
          <w:kern w:val="2"/>
          <w:sz w:val="28"/>
          <w:szCs w:val="24"/>
          <w:highlight w:val="none"/>
          <w:lang w:val="en-US" w:eastAsia="zh-CN" w:bidi="ar-SA"/>
        </w:rPr>
        <w:t>附件</w:t>
      </w:r>
      <w:bookmarkEnd w:id="455"/>
      <w:r>
        <w:rPr>
          <w:rFonts w:hint="eastAsia" w:ascii="宋体" w:hAnsi="宋体" w:eastAsia="宋体" w:cs="宋体"/>
          <w:b/>
          <w:bCs w:val="0"/>
          <w:color w:val="auto"/>
          <w:kern w:val="2"/>
          <w:sz w:val="28"/>
          <w:szCs w:val="24"/>
          <w:highlight w:val="none"/>
          <w:lang w:val="en-US" w:eastAsia="zh-CN" w:bidi="ar-SA"/>
        </w:rPr>
        <w:t>十九</w:t>
      </w:r>
    </w:p>
    <w:p>
      <w:pPr>
        <w:jc w:val="center"/>
        <w:rPr>
          <w:rFonts w:hint="eastAsia" w:ascii="宋体" w:hAnsi="宋体" w:eastAsia="宋体" w:cs="宋体"/>
          <w:b/>
          <w:bCs w:val="0"/>
          <w:color w:val="auto"/>
          <w:kern w:val="2"/>
          <w:sz w:val="32"/>
          <w:szCs w:val="28"/>
          <w:highlight w:val="none"/>
          <w:lang w:val="en-US" w:eastAsia="zh-CN" w:bidi="ar-SA"/>
        </w:rPr>
      </w:pPr>
    </w:p>
    <w:p>
      <w:pPr>
        <w:jc w:val="center"/>
        <w:rPr>
          <w:rFonts w:hint="eastAsia" w:ascii="宋体" w:hAnsi="宋体" w:eastAsia="宋体" w:cs="宋体"/>
          <w:b/>
          <w:bCs w:val="0"/>
          <w:color w:val="auto"/>
          <w:kern w:val="2"/>
          <w:sz w:val="32"/>
          <w:szCs w:val="28"/>
          <w:highlight w:val="none"/>
          <w:lang w:val="en-US" w:eastAsia="zh-CN" w:bidi="ar-SA"/>
        </w:rPr>
      </w:pPr>
      <w:r>
        <w:rPr>
          <w:rFonts w:hint="eastAsia" w:ascii="宋体" w:hAnsi="宋体" w:eastAsia="宋体" w:cs="宋体"/>
          <w:b/>
          <w:bCs w:val="0"/>
          <w:color w:val="auto"/>
          <w:kern w:val="2"/>
          <w:sz w:val="32"/>
          <w:szCs w:val="28"/>
          <w:highlight w:val="none"/>
          <w:lang w:val="en-US" w:eastAsia="zh-CN" w:bidi="ar-SA"/>
        </w:rPr>
        <w:t>服务承诺书</w:t>
      </w:r>
    </w:p>
    <w:p>
      <w:pPr>
        <w:jc w:val="center"/>
        <w:rPr>
          <w:rFonts w:hint="eastAsia" w:ascii="宋体" w:hAnsi="宋体" w:eastAsia="宋体" w:cs="宋体"/>
          <w:b/>
          <w:bCs w:val="0"/>
          <w:color w:val="auto"/>
          <w:kern w:val="2"/>
          <w:sz w:val="32"/>
          <w:szCs w:val="28"/>
          <w:highlight w:val="none"/>
          <w:lang w:val="en-US" w:eastAsia="zh-CN" w:bidi="ar-SA"/>
        </w:rPr>
        <w:sectPr>
          <w:type w:val="continuous"/>
          <w:pgSz w:w="11905" w:h="16838"/>
          <w:pgMar w:top="1304" w:right="964" w:bottom="1020" w:left="1191" w:header="567" w:footer="454" w:gutter="0"/>
          <w:pgNumType w:fmt="decimal"/>
          <w:cols w:space="720" w:num="1"/>
          <w:rtlGutter w:val="0"/>
          <w:docGrid w:type="lines" w:linePitch="317" w:charSpace="0"/>
        </w:sectPr>
      </w:pPr>
      <w:r>
        <w:rPr>
          <w:rFonts w:hint="eastAsia" w:ascii="宋体" w:hAnsi="宋体" w:eastAsia="宋体" w:cs="宋体"/>
          <w:b/>
          <w:bCs w:val="0"/>
          <w:color w:val="auto"/>
          <w:kern w:val="2"/>
          <w:sz w:val="32"/>
          <w:szCs w:val="28"/>
          <w:highlight w:val="none"/>
          <w:lang w:val="en-US" w:eastAsia="zh-CN" w:bidi="ar-SA"/>
        </w:rPr>
        <w:t>根据本项目的情况，给出服务承诺；格式自拟。</w:t>
      </w:r>
    </w:p>
    <w:p>
      <w:pPr>
        <w:jc w:val="both"/>
        <w:rPr>
          <w:rFonts w:hint="eastAsia" w:ascii="宋体" w:hAnsi="宋体" w:eastAsia="宋体" w:cs="宋体"/>
          <w:b/>
          <w:bCs w:val="0"/>
          <w:color w:val="auto"/>
          <w:kern w:val="2"/>
          <w:sz w:val="28"/>
          <w:szCs w:val="24"/>
          <w:highlight w:val="none"/>
          <w:lang w:val="en-US" w:eastAsia="zh-CN" w:bidi="ar-SA"/>
        </w:rPr>
      </w:pPr>
    </w:p>
    <w:p>
      <w:pPr>
        <w:ind w:left="0" w:leftChars="0" w:firstLine="0" w:firstLineChars="0"/>
        <w:jc w:val="both"/>
        <w:rPr>
          <w:rFonts w:hint="eastAsia" w:ascii="宋体" w:hAnsi="宋体" w:eastAsia="宋体" w:cs="宋体"/>
          <w:b/>
          <w:bCs w:val="0"/>
          <w:color w:val="auto"/>
          <w:kern w:val="2"/>
          <w:sz w:val="28"/>
          <w:szCs w:val="24"/>
          <w:highlight w:val="none"/>
          <w:lang w:val="en-US" w:eastAsia="zh-CN" w:bidi="ar-SA"/>
        </w:rPr>
      </w:pPr>
    </w:p>
    <w:p>
      <w:pPr>
        <w:jc w:val="both"/>
        <w:outlineLvl w:val="0"/>
        <w:rPr>
          <w:rFonts w:hint="eastAsia" w:ascii="宋体" w:hAnsi="宋体" w:eastAsia="宋体" w:cs="宋体"/>
          <w:b/>
          <w:bCs w:val="0"/>
          <w:color w:val="auto"/>
          <w:kern w:val="2"/>
          <w:sz w:val="28"/>
          <w:szCs w:val="24"/>
          <w:highlight w:val="none"/>
          <w:lang w:val="en-US" w:eastAsia="zh-CN" w:bidi="ar-SA"/>
        </w:rPr>
      </w:pPr>
      <w:bookmarkStart w:id="456" w:name="_Toc1675"/>
      <w:bookmarkStart w:id="457" w:name="_Toc5601"/>
      <w:bookmarkStart w:id="458" w:name="_Toc18677"/>
      <w:r>
        <w:rPr>
          <w:rFonts w:hint="eastAsia" w:ascii="宋体" w:hAnsi="宋体" w:eastAsia="宋体" w:cs="宋体"/>
          <w:b/>
          <w:bCs w:val="0"/>
          <w:color w:val="auto"/>
          <w:kern w:val="2"/>
          <w:sz w:val="28"/>
          <w:szCs w:val="24"/>
          <w:highlight w:val="none"/>
          <w:lang w:val="en-US" w:eastAsia="zh-CN" w:bidi="ar-SA"/>
        </w:rPr>
        <w:t>附件二十</w:t>
      </w:r>
      <w:bookmarkEnd w:id="456"/>
      <w:bookmarkEnd w:id="457"/>
      <w:bookmarkEnd w:id="458"/>
    </w:p>
    <w:p>
      <w:pPr>
        <w:jc w:val="center"/>
        <w:outlineLvl w:val="9"/>
        <w:rPr>
          <w:rFonts w:hint="eastAsia" w:ascii="宋体" w:hAnsi="宋体" w:eastAsia="宋体" w:cs="宋体"/>
          <w:b/>
          <w:sz w:val="30"/>
          <w:szCs w:val="30"/>
          <w:highlight w:val="none"/>
        </w:rPr>
      </w:pPr>
    </w:p>
    <w:p>
      <w:pPr>
        <w:jc w:val="center"/>
        <w:outlineLvl w:val="0"/>
        <w:rPr>
          <w:rFonts w:hint="eastAsia" w:ascii="宋体" w:hAnsi="宋体" w:eastAsia="宋体" w:cs="宋体"/>
          <w:b/>
          <w:sz w:val="30"/>
          <w:szCs w:val="30"/>
          <w:highlight w:val="none"/>
        </w:rPr>
      </w:pPr>
      <w:bookmarkStart w:id="459" w:name="_Toc2648"/>
      <w:bookmarkStart w:id="460" w:name="_Toc29985"/>
      <w:bookmarkStart w:id="461" w:name="_Toc29685"/>
      <w:r>
        <w:rPr>
          <w:rFonts w:hint="eastAsia" w:ascii="宋体" w:hAnsi="宋体" w:eastAsia="宋体" w:cs="宋体"/>
          <w:b/>
          <w:sz w:val="30"/>
          <w:szCs w:val="30"/>
          <w:highlight w:val="none"/>
        </w:rPr>
        <w:t>其他有利于投标人的资料（如有）</w:t>
      </w:r>
      <w:bookmarkEnd w:id="459"/>
      <w:bookmarkEnd w:id="460"/>
      <w:bookmarkEnd w:id="461"/>
    </w:p>
    <w:p>
      <w:pPr>
        <w:rPr>
          <w:rFonts w:hint="eastAsia" w:ascii="宋体" w:hAnsi="宋体" w:eastAsia="宋体" w:cs="宋体"/>
          <w:b/>
          <w:sz w:val="28"/>
          <w:szCs w:val="28"/>
          <w:highlight w:val="none"/>
        </w:rPr>
      </w:pPr>
    </w:p>
    <w:p>
      <w:pPr>
        <w:spacing w:line="400" w:lineRule="exact"/>
        <w:rPr>
          <w:rFonts w:hint="eastAsia" w:ascii="宋体" w:hAnsi="宋体" w:eastAsia="宋体" w:cs="宋体"/>
          <w:b/>
          <w:bCs/>
          <w:sz w:val="32"/>
          <w:highlight w:val="none"/>
        </w:rPr>
      </w:pPr>
      <w:r>
        <w:rPr>
          <w:rFonts w:hint="eastAsia" w:ascii="宋体" w:hAnsi="宋体" w:eastAsia="宋体" w:cs="宋体"/>
          <w:b/>
          <w:bCs/>
          <w:sz w:val="32"/>
          <w:highlight w:val="none"/>
        </w:rPr>
        <w:t xml:space="preserve">            </w:t>
      </w:r>
    </w:p>
    <w:p>
      <w:pPr>
        <w:rPr>
          <w:rFonts w:hint="eastAsia" w:ascii="宋体" w:hAnsi="宋体" w:eastAsia="宋体" w:cs="宋体"/>
          <w:color w:val="auto"/>
          <w:sz w:val="28"/>
          <w:szCs w:val="28"/>
          <w:highlight w:val="none"/>
        </w:rPr>
      </w:pPr>
      <w:bookmarkStart w:id="462" w:name="_Toc29473"/>
      <w:bookmarkStart w:id="463" w:name="_Toc23573"/>
      <w:r>
        <w:rPr>
          <w:rFonts w:hint="eastAsia" w:ascii="宋体" w:hAnsi="宋体" w:eastAsia="宋体" w:cs="宋体"/>
          <w:color w:val="auto"/>
          <w:sz w:val="28"/>
          <w:szCs w:val="28"/>
          <w:highlight w:val="none"/>
        </w:rPr>
        <w:br w:type="page"/>
      </w:r>
    </w:p>
    <w:p>
      <w:pPr>
        <w:pStyle w:val="9"/>
        <w:shd w:val="clear" w:color="auto" w:fill="auto"/>
        <w:jc w:val="center"/>
        <w:rPr>
          <w:rFonts w:hint="eastAsia" w:ascii="宋体" w:hAnsi="宋体" w:eastAsia="宋体" w:cs="宋体"/>
          <w:color w:val="auto"/>
          <w:highlight w:val="none"/>
        </w:rPr>
      </w:pPr>
      <w:r>
        <w:rPr>
          <w:rFonts w:hint="eastAsia" w:ascii="宋体" w:hAnsi="宋体" w:eastAsia="宋体" w:cs="宋体"/>
          <w:color w:val="auto"/>
          <w:sz w:val="28"/>
          <w:szCs w:val="28"/>
          <w:highlight w:val="none"/>
        </w:rPr>
        <w:t>中小企业划分标准</w:t>
      </w:r>
      <w:bookmarkEnd w:id="462"/>
      <w:bookmarkEnd w:id="463"/>
    </w:p>
    <w:p>
      <w:pPr>
        <w:shd w:val="clear" w:color="auto" w:fill="auto"/>
        <w:ind w:firstLine="480" w:firstLineChars="200"/>
        <w:rPr>
          <w:rFonts w:hint="eastAsia" w:ascii="宋体" w:hAnsi="宋体" w:eastAsia="宋体" w:cs="宋体"/>
          <w:color w:val="auto"/>
          <w:sz w:val="24"/>
          <w:highlight w:val="none"/>
        </w:rPr>
      </w:pPr>
      <w:bookmarkStart w:id="464" w:name="bookmark4"/>
      <w:bookmarkStart w:id="465" w:name="bookmark5"/>
      <w:r>
        <w:rPr>
          <w:rFonts w:hint="eastAsia" w:ascii="宋体" w:hAnsi="宋体" w:eastAsia="宋体" w:cs="宋体"/>
          <w:color w:val="auto"/>
          <w:sz w:val="24"/>
          <w:highlight w:val="none"/>
        </w:rPr>
        <w:t>工业和信息化部、国家统计局、发展改革委、财政部等四部门《关于印发中小企业划型标准规定的通知》（工信部联企业〔2011〕300号）规定中小企业划型标准如表所示：</w:t>
      </w:r>
      <w:bookmarkEnd w:id="464"/>
      <w:bookmarkEnd w:id="465"/>
    </w:p>
    <w:tbl>
      <w:tblPr>
        <w:tblStyle w:val="7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29"/>
        <w:gridCol w:w="1049"/>
        <w:gridCol w:w="6990"/>
      </w:tblGrid>
      <w:tr>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农、林、牧、渔业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营业收入20000万元以下的为中小微型企业。</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tabs>
                <w:tab w:val="left" w:pos="1930"/>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20 000万元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tabs>
                <w:tab w:val="left" w:pos="1752"/>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500万元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50万元以下</w:t>
            </w:r>
          </w:p>
        </w:tc>
      </w:tr>
      <w:tr>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（包括采矿业，制造业，电力、热力、燃气及水生产和供应</w:t>
            </w:r>
          </w:p>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40000万元以下的为中小微型企业。</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2 000万元一40 000万元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300万元一2 000万元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300万元以下</w:t>
            </w:r>
          </w:p>
        </w:tc>
      </w:tr>
      <w:tr>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营业收入80000万元以下或资产总额 80000万元以下的为中小微型企业。</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营业收入6000万元一80000万元，且资产总额 5 000万元一80 000 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 300万元一6 000万元，且资产总额 300万一5 000万元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营业收入300万元以下或资产总额 300万元以下</w:t>
            </w:r>
          </w:p>
        </w:tc>
      </w:tr>
      <w:tr>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批发业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40 000万元以下的为中小微型企业。</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从业人员20人一200人，且营业收入 5 000万元一40 000万元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从业人员5人一20人，且营业收入 1 000万元一5 000万元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从业人员5人以下或营业收入 1 000万元以下</w:t>
            </w:r>
          </w:p>
        </w:tc>
      </w:tr>
      <w:tr>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零售业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20 000万元以下的为中小微型企业。</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50人一300人，且营业收入 500万元一20 000万元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从业人员10人一50人，且营业收入 100万元一500万元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before="80"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交通运输业 （不含铁路运输业）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3 000万元一30 000万元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200万元一3 000万元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200万元以下</w:t>
            </w:r>
          </w:p>
        </w:tc>
      </w:tr>
      <w:tr>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仓储业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从业人员200人以下或营业收入 30 000万元以下的为中小微型企业。</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从业人员100人一200人，且营业收入 1 000万元一30 000万元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从业人员20人一100人，且营业收入 100万元一1 000万元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r>
        <w:trPr>
          <w:trHeight w:val="454" w:hRule="atLeast"/>
          <w:jc w:val="center"/>
        </w:trPr>
        <w:tc>
          <w:tcPr>
            <w:tcW w:w="885" w:type="pct"/>
            <w:vMerge w:val="restar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邮政业</w:t>
            </w:r>
          </w:p>
        </w:tc>
        <w:tc>
          <w:tcPr>
            <w:tcW w:w="4114" w:type="pct"/>
            <w:gridSpan w:val="2"/>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30 000万元以下的为中小微型企业。</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2 000万元一30 000万元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从业人员20人一300人，且营业收入 100万元一2 000万元</w:t>
            </w:r>
          </w:p>
        </w:tc>
      </w:tr>
      <w:tr>
        <w:trPr>
          <w:trHeight w:val="454" w:hRule="atLeast"/>
          <w:jc w:val="center"/>
        </w:trPr>
        <w:tc>
          <w:tcPr>
            <w:tcW w:w="885" w:type="pct"/>
            <w:vMerge w:val="continue"/>
            <w:shd w:val="clear" w:color="auto" w:fill="FFFFFF"/>
            <w:noWrap w:val="0"/>
            <w:vAlign w:val="center"/>
          </w:tcPr>
          <w:p>
            <w:pPr>
              <w:shd w:val="clear" w:color="auto" w:fill="auto"/>
              <w:spacing w:line="240" w:lineRule="auto"/>
              <w:jc w:val="center"/>
              <w:rPr>
                <w:rFonts w:hint="eastAsia" w:ascii="宋体" w:hAnsi="宋体" w:eastAsia="宋体" w:cs="宋体"/>
                <w:color w:val="auto"/>
                <w:sz w:val="21"/>
                <w:szCs w:val="21"/>
                <w:highlight w:val="none"/>
              </w:rPr>
            </w:pPr>
          </w:p>
        </w:tc>
        <w:tc>
          <w:tcPr>
            <w:tcW w:w="53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3577" w:type="pct"/>
            <w:shd w:val="clear" w:color="auto" w:fill="FFFFFF"/>
            <w:noWrap w:val="0"/>
            <w:vAlign w:val="center"/>
          </w:tcPr>
          <w:p>
            <w:pPr>
              <w:pStyle w:val="179"/>
              <w:shd w:val="clear" w:color="auto" w:fill="auto"/>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从业人员20人以下或营业收入 100万元以下</w:t>
            </w:r>
          </w:p>
        </w:tc>
      </w:tr>
    </w:tbl>
    <w:p>
      <w:pPr>
        <w:shd w:val="clear" w:color="auto" w:fill="auto"/>
        <w:spacing w:line="1" w:lineRule="exact"/>
        <w:jc w:val="center"/>
        <w:rPr>
          <w:rFonts w:hint="eastAsia" w:ascii="宋体" w:hAnsi="宋体" w:eastAsia="宋体" w:cs="宋体"/>
          <w:color w:val="auto"/>
          <w:sz w:val="18"/>
          <w:szCs w:val="18"/>
          <w:highlight w:val="none"/>
        </w:rPr>
      </w:pP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93"/>
        <w:gridCol w:w="769"/>
        <w:gridCol w:w="7308"/>
      </w:tblGrid>
      <w:tr>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住宿业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2 000万元一10 000万元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餐饮业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10 000万元以下的为中小微型企业。</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2 000万元一10 000万元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100万元一2 000万元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rPr>
          <w:trHeight w:val="454" w:hRule="atLeast"/>
          <w:jc w:val="center"/>
        </w:trPr>
        <w:tc>
          <w:tcPr>
            <w:tcW w:w="0" w:type="auto"/>
            <w:vMerge w:val="restart"/>
            <w:shd w:val="clear" w:color="auto" w:fill="FFFFFF"/>
            <w:noWrap w:val="0"/>
            <w:vAlign w:val="center"/>
          </w:tcPr>
          <w:p>
            <w:pPr>
              <w:pStyle w:val="179"/>
              <w:shd w:val="clear" w:color="auto" w:fill="auto"/>
              <w:spacing w:line="492"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信息传输业 （包括电信、互联网 和相关服务）</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从业人员2 000人以下或营业收入 100 000万元以下的为中小微型企业。</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从业人员100人一2 000人，且营业收入 1 000万元一10 000万元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100万元一1 000万元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100万元以下</w:t>
            </w:r>
          </w:p>
        </w:tc>
      </w:tr>
      <w:tr>
        <w:trPr>
          <w:trHeight w:val="454" w:hRule="atLeast"/>
          <w:jc w:val="center"/>
        </w:trPr>
        <w:tc>
          <w:tcPr>
            <w:tcW w:w="0" w:type="auto"/>
            <w:vMerge w:val="restart"/>
            <w:shd w:val="clear" w:color="auto" w:fill="FFFFFF"/>
            <w:noWrap w:val="0"/>
            <w:vAlign w:val="center"/>
          </w:tcPr>
          <w:p>
            <w:pPr>
              <w:pStyle w:val="179"/>
              <w:shd w:val="clear" w:color="auto" w:fill="auto"/>
              <w:spacing w:line="509"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软件和信息技术服务业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从业人员300人以下或营业收入 10000万元以下的为中小微型企业。</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300人，且营业收入 1 000万元一10 000万元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从业人员10人一100人，且营业收入 50万元一1 000万元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从业人员10人以下或营业收入 50万元以下</w:t>
            </w:r>
          </w:p>
        </w:tc>
      </w:tr>
      <w:tr>
        <w:trPr>
          <w:trHeight w:val="454" w:hRule="atLeast"/>
          <w:jc w:val="center"/>
        </w:trPr>
        <w:tc>
          <w:tcPr>
            <w:tcW w:w="0" w:type="auto"/>
            <w:vMerge w:val="restart"/>
            <w:shd w:val="clear" w:color="auto" w:fill="FFFFFF"/>
            <w:noWrap w:val="0"/>
            <w:vAlign w:val="center"/>
          </w:tcPr>
          <w:p>
            <w:pPr>
              <w:pStyle w:val="179"/>
              <w:shd w:val="clear" w:color="auto" w:fil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房地产开发经营</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营业收入200 000万元以下或资产总额 10 000万元以下的为中小微型企业。</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spacing w:after="120"/>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营业收入1 000万元一200 000万元，且资产总额 5 000万元一10000万元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spacing w:line="240" w:lineRule="auto"/>
              <w:ind w:left="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营业收入100万元一1 000万元，且资产总额 2 000万元一5 000 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tabs>
                <w:tab w:val="left" w:pos="5256"/>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营业收入100万元以下或资产总额2 000万元以下的为微型企业</w:t>
            </w:r>
          </w:p>
        </w:tc>
      </w:tr>
      <w:tr>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物业管理</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从业人员1 000人以下或营业收入 5 000万元以下的为中小微型企业。</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 300人一1 000人，且营业收入 1000万元一5 000万元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从业人员100人一300人，且营业收入 500万元一1 000万元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从业人员100人以下或营业收入 500万元以下</w:t>
            </w:r>
          </w:p>
        </w:tc>
      </w:tr>
      <w:tr>
        <w:trPr>
          <w:trHeight w:val="454" w:hRule="atLeast"/>
          <w:jc w:val="center"/>
        </w:trPr>
        <w:tc>
          <w:tcPr>
            <w:tcW w:w="0" w:type="auto"/>
            <w:vMerge w:val="restart"/>
            <w:shd w:val="clear" w:color="auto" w:fill="FFFFFF"/>
            <w:noWrap w:val="0"/>
            <w:vAlign w:val="center"/>
          </w:tcPr>
          <w:p>
            <w:pPr>
              <w:pStyle w:val="179"/>
              <w:shd w:val="clear" w:color="auto" w:fill="auto"/>
              <w:ind w:firstLine="2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c>
          <w:tcPr>
            <w:tcW w:w="0" w:type="auto"/>
            <w:gridSpan w:val="2"/>
            <w:shd w:val="clear" w:color="auto" w:fill="FFFFFF"/>
            <w:noWrap w:val="0"/>
            <w:vAlign w:val="center"/>
          </w:tcPr>
          <w:p>
            <w:pPr>
              <w:pStyle w:val="179"/>
              <w:shd w:val="clear" w:color="auto" w:fill="auto"/>
              <w:tabs>
                <w:tab w:val="left" w:pos="10666"/>
              </w:tabs>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人以下或资产总额 100万元以下的为微型企业。</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从业人员100人一300人，且资产总额 8 000万元一120 000万元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从业人员10人一100人，且资产总额 100万元一8 000万元</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1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从业人员10人以下或资产总额 100万元以下</w:t>
            </w:r>
          </w:p>
        </w:tc>
      </w:tr>
      <w:tr>
        <w:trPr>
          <w:trHeight w:val="454" w:hRule="atLeast"/>
          <w:jc w:val="center"/>
        </w:trPr>
        <w:tc>
          <w:tcPr>
            <w:tcW w:w="0" w:type="auto"/>
            <w:vMerge w:val="restart"/>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c>
          <w:tcPr>
            <w:tcW w:w="0" w:type="auto"/>
            <w:gridSpan w:val="2"/>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从业人员300人以下的为中小微型企业。</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 300人</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spacing w:before="8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从业人员10人一100人</w:t>
            </w:r>
          </w:p>
        </w:tc>
      </w:tr>
      <w:tr>
        <w:trPr>
          <w:trHeight w:val="454" w:hRule="atLeast"/>
          <w:jc w:val="center"/>
        </w:trPr>
        <w:tc>
          <w:tcPr>
            <w:tcW w:w="0" w:type="auto"/>
            <w:vMerge w:val="continue"/>
            <w:shd w:val="clear" w:color="auto" w:fill="FFFFFF"/>
            <w:noWrap w:val="0"/>
            <w:vAlign w:val="center"/>
          </w:tcPr>
          <w:p>
            <w:pPr>
              <w:shd w:val="clear" w:color="auto" w:fill="auto"/>
              <w:jc w:val="center"/>
              <w:rPr>
                <w:rFonts w:hint="eastAsia" w:ascii="宋体" w:hAnsi="宋体" w:eastAsia="宋体" w:cs="宋体"/>
                <w:color w:val="auto"/>
                <w:sz w:val="21"/>
                <w:szCs w:val="21"/>
                <w:highlight w:val="none"/>
              </w:rPr>
            </w:pPr>
          </w:p>
        </w:tc>
        <w:tc>
          <w:tcPr>
            <w:tcW w:w="0" w:type="auto"/>
            <w:shd w:val="clear" w:color="auto" w:fill="FFFFFF"/>
            <w:noWrap w:val="0"/>
            <w:vAlign w:val="center"/>
          </w:tcPr>
          <w:p>
            <w:pPr>
              <w:pStyle w:val="179"/>
              <w:shd w:val="clear" w:color="auto" w:fill="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w:t>
            </w:r>
          </w:p>
        </w:tc>
        <w:tc>
          <w:tcPr>
            <w:tcW w:w="0" w:type="auto"/>
            <w:shd w:val="clear" w:color="auto" w:fill="FFFFFF"/>
            <w:noWrap w:val="0"/>
            <w:vAlign w:val="center"/>
          </w:tcPr>
          <w:p>
            <w:pPr>
              <w:pStyle w:val="179"/>
              <w:shd w:val="clear" w:color="auto" w:fill="auto"/>
              <w:ind w:firstLine="14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从业人员10人以下</w:t>
            </w:r>
          </w:p>
        </w:tc>
      </w:tr>
    </w:tbl>
    <w:p>
      <w:pPr>
        <w:shd w:val="clear" w:color="auto" w:fill="auto"/>
        <w:spacing w:line="240" w:lineRule="atLeast"/>
        <w:rPr>
          <w:rFonts w:hint="eastAsia" w:ascii="宋体" w:hAnsi="宋体" w:eastAsia="宋体" w:cs="宋体"/>
          <w:color w:val="auto"/>
          <w:sz w:val="24"/>
          <w:highlight w:val="none"/>
        </w:rPr>
        <w:sectPr>
          <w:headerReference r:id="rId17" w:type="default"/>
          <w:headerReference r:id="rId18" w:type="even"/>
          <w:footerReference r:id="rId19" w:type="even"/>
          <w:type w:val="continuous"/>
          <w:pgSz w:w="11905" w:h="16838"/>
          <w:pgMar w:top="1304" w:right="964" w:bottom="1020" w:left="1191" w:header="567" w:footer="454" w:gutter="0"/>
          <w:cols w:space="720" w:num="1"/>
          <w:rtlGutter w:val="0"/>
          <w:docGrid w:type="lines" w:linePitch="317" w:charSpace="0"/>
        </w:sectPr>
      </w:pPr>
    </w:p>
    <w:p>
      <w:pPr>
        <w:pStyle w:val="90"/>
        <w:rPr>
          <w:rFonts w:hint="eastAsia" w:ascii="宋体" w:hAnsi="宋体" w:eastAsia="宋体" w:cs="宋体"/>
          <w:color w:val="000000"/>
          <w:highlight w:val="none"/>
          <w:lang w:val="en-US" w:eastAsia="zh-CN"/>
        </w:rPr>
      </w:pPr>
    </w:p>
    <w:sectPr>
      <w:headerReference r:id="rId20" w:type="default"/>
      <w:footerReference r:id="rId21" w:type="default"/>
      <w:type w:val="continuous"/>
      <w:pgSz w:w="11905" w:h="16838"/>
      <w:pgMar w:top="1304" w:right="964" w:bottom="1020" w:left="1191" w:header="567" w:footer="454" w:gutter="0"/>
      <w:pgNumType w:fmt="decimal"/>
      <w:cols w:space="72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auto"/>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right="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ind w:left="90" w:right="360" w:hanging="9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4"/>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54"/>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47</w:t>
                    </w:r>
                    <w:r>
                      <w:rPr>
                        <w:rFonts w:ascii="宋体" w:hAnsi="宋体"/>
                        <w:szCs w:val="21"/>
                      </w:rPr>
                      <w:fldChar w:fldCharType="end"/>
                    </w:r>
                    <w:r>
                      <w:rPr>
                        <w:rFonts w:ascii="宋体" w:hAnsi="宋体"/>
                        <w:szCs w:val="21"/>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pPr>
                      <w:pStyle w:val="54"/>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4"/>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wIX+IBAADO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yVnTli68cuP75efvy+/vjGK&#10;kUB9wIrq7gJVxuG1H2ht5jhSMPEeWrDpT4wY5Une81VeNUQm06F1uV4vKSUpNzuEX9wfD4DxrfKW&#10;JaPmQPeXZRWn9xjH0rkkdXP+VhuT79C4vwKEOUZUXoLpdGIyTpysOOyHid7eN2diR8+CunYevnLW&#10;01LU3NEb4My8c6R52p/ZgNnYz4Zwkg7WPHI2mm/iuGfHAPrQEe4qU8Hw6hhp7kwnjTH2JhmSQ9ec&#10;BZlWMu3RQz9X3T/D7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owIX+IBAADOAwAADgAA&#10;AAAAAAABACAAAAAeAQAAZHJzL2Uyb0RvYy54bWxQSwUGAAAAAAYABgBZAQAAcgUAAAAA&#10;">
              <v:fill on="f" focussize="0,0"/>
              <v:stroke on="f"/>
              <v:imagedata o:title=""/>
              <o:lock v:ext="edit" aspectratio="f"/>
              <v:textbox inset="0mm,0mm,0mm,0mm" style="mso-fit-shape-to-text:t;">
                <w:txbxContent>
                  <w:p>
                    <w:pPr>
                      <w:pStyle w:val="54"/>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Bdr>
        <w:top w:val="single" w:color="auto" w:sz="4" w:space="1"/>
      </w:pBdr>
      <w:rPr>
        <w:rFonts w:ascii="宋体"/>
      </w:rPr>
    </w:pPr>
    <w:r>
      <w:rPr>
        <w:sz w:val="18"/>
      </w:rP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4"/>
                            <w:pBdr>
                              <w:top w:val="single" w:color="auto" w:sz="4" w:space="1"/>
                            </w:pBdr>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26"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obMHY9IBAACfAwAADgAAAAAAAAABACAAAAAfAQAA&#10;ZHJzL2Uyb0RvYy54bWxQSwUGAAAAAAYABgBZAQAAYwUAAAAA&#10;">
              <v:fill on="f" focussize="0,0"/>
              <v:stroke on="f"/>
              <v:imagedata o:title=""/>
              <o:lock v:ext="edit" aspectratio="f"/>
              <v:textbox inset="0mm,0mm,0mm,0mm" style="mso-fit-shape-to-text:t;">
                <w:txbxContent>
                  <w:p>
                    <w:pPr>
                      <w:pStyle w:val="54"/>
                      <w:pBdr>
                        <w:top w:val="single" w:color="auto" w:sz="4" w:space="1"/>
                      </w:pBdr>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tabs>
        <w:tab w:val="left" w:pos="252"/>
        <w:tab w:val="center" w:pos="4932"/>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4" w:lineRule="exact"/>
      <w:ind w:firstLine="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pStyle w:val="5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pPr>
                      <w:pStyle w:val="5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pStyle w:val="5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bidi w:val="0"/>
      <w:ind w:left="0" w:leftChars="0" w:firstLine="0" w:firstLineChars="0"/>
      <w:jc w:val="center"/>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both"/>
      <w:rPr>
        <w:rFonts w:hint="eastAsia" w:ascii="宋体"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A815A"/>
    <w:multiLevelType w:val="singleLevel"/>
    <w:tmpl w:val="AC4A815A"/>
    <w:lvl w:ilvl="0" w:tentative="0">
      <w:start w:val="6"/>
      <w:numFmt w:val="decimal"/>
      <w:suff w:val="nothing"/>
      <w:lvlText w:val="%1、"/>
      <w:lvlJc w:val="left"/>
    </w:lvl>
  </w:abstractNum>
  <w:abstractNum w:abstractNumId="1">
    <w:nsid w:val="AE83B5D4"/>
    <w:multiLevelType w:val="singleLevel"/>
    <w:tmpl w:val="AE83B5D4"/>
    <w:lvl w:ilvl="0" w:tentative="0">
      <w:start w:val="1"/>
      <w:numFmt w:val="decimal"/>
      <w:suff w:val="nothing"/>
      <w:lvlText w:val="%1、"/>
      <w:lvlJc w:val="left"/>
    </w:lvl>
  </w:abstractNum>
  <w:abstractNum w:abstractNumId="2">
    <w:nsid w:val="BD53D879"/>
    <w:multiLevelType w:val="singleLevel"/>
    <w:tmpl w:val="BD53D879"/>
    <w:lvl w:ilvl="0" w:tentative="0">
      <w:start w:val="1"/>
      <w:numFmt w:val="decimal"/>
      <w:suff w:val="nothing"/>
      <w:lvlText w:val="%1、"/>
      <w:lvlJc w:val="left"/>
    </w:lvl>
  </w:abstractNum>
  <w:abstractNum w:abstractNumId="3">
    <w:nsid w:val="FD756BF6"/>
    <w:multiLevelType w:val="singleLevel"/>
    <w:tmpl w:val="FD756BF6"/>
    <w:lvl w:ilvl="0" w:tentative="0">
      <w:start w:val="2"/>
      <w:numFmt w:val="chineseCounting"/>
      <w:suff w:val="nothing"/>
      <w:lvlText w:val="（%1）"/>
      <w:lvlJc w:val="left"/>
      <w:rPr>
        <w:rFonts w:hint="eastAsia"/>
      </w:rPr>
    </w:lvl>
  </w:abstractNum>
  <w:abstractNum w:abstractNumId="4">
    <w:nsid w:val="059A147F"/>
    <w:multiLevelType w:val="multilevel"/>
    <w:tmpl w:val="059A14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9FD638A"/>
    <w:multiLevelType w:val="multilevel"/>
    <w:tmpl w:val="09FD638A"/>
    <w:lvl w:ilvl="0" w:tentative="0">
      <w:start w:val="1"/>
      <w:numFmt w:val="japaneseCounting"/>
      <w:pStyle w:val="141"/>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8925ABF"/>
    <w:multiLevelType w:val="multilevel"/>
    <w:tmpl w:val="18925ABF"/>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78C1AE"/>
    <w:multiLevelType w:val="singleLevel"/>
    <w:tmpl w:val="2178C1AE"/>
    <w:lvl w:ilvl="0" w:tentative="0">
      <w:start w:val="1"/>
      <w:numFmt w:val="decimal"/>
      <w:suff w:val="nothing"/>
      <w:lvlText w:val="%1、"/>
      <w:lvlJc w:val="left"/>
    </w:lvl>
  </w:abstractNum>
  <w:abstractNum w:abstractNumId="8">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0DCFCA"/>
    <w:multiLevelType w:val="multilevel"/>
    <w:tmpl w:val="250DCFCA"/>
    <w:lvl w:ilvl="0" w:tentative="0">
      <w:start w:val="1"/>
      <w:numFmt w:val="decimal"/>
      <w:lvlText w:val="%1"/>
      <w:lvlJc w:val="left"/>
      <w:pPr>
        <w:tabs>
          <w:tab w:val="left" w:pos="900"/>
        </w:tabs>
        <w:ind w:left="900" w:hanging="900"/>
      </w:pPr>
      <w:rPr>
        <w:rFonts w:hint="eastAsia"/>
      </w:rPr>
    </w:lvl>
    <w:lvl w:ilvl="1" w:tentative="0">
      <w:start w:val="1"/>
      <w:numFmt w:val="decimal"/>
      <w:suff w:val="nothing"/>
      <w:lvlText w:val="%1.%2"/>
      <w:lvlJc w:val="left"/>
      <w:pPr>
        <w:ind w:left="1468" w:hanging="900"/>
      </w:pPr>
      <w:rPr>
        <w:rFonts w:hint="default" w:ascii="Times New Roman" w:hAnsi="Times New Roman" w:cs="Times New Roman"/>
        <w:sz w:val="24"/>
        <w:szCs w:val="24"/>
      </w:rPr>
    </w:lvl>
    <w:lvl w:ilvl="2" w:tentative="0">
      <w:start w:val="1"/>
      <w:numFmt w:val="decimal"/>
      <w:suff w:val="nothing"/>
      <w:lvlText w:val="%1.%2.%3"/>
      <w:lvlJc w:val="left"/>
      <w:pPr>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10"/>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3C7D36E3"/>
    <w:multiLevelType w:val="multilevel"/>
    <w:tmpl w:val="3C7D36E3"/>
    <w:lvl w:ilvl="0" w:tentative="0">
      <w:start w:val="1"/>
      <w:numFmt w:val="japaneseCounting"/>
      <w:pStyle w:val="7"/>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E666D7F"/>
    <w:multiLevelType w:val="singleLevel"/>
    <w:tmpl w:val="4E666D7F"/>
    <w:lvl w:ilvl="0" w:tentative="0">
      <w:start w:val="1"/>
      <w:numFmt w:val="chineseCounting"/>
      <w:suff w:val="nothing"/>
      <w:lvlText w:val="（%1）"/>
      <w:lvlJc w:val="left"/>
      <w:rPr>
        <w:rFonts w:hint="eastAsia"/>
      </w:rPr>
    </w:lvl>
  </w:abstractNum>
  <w:abstractNum w:abstractNumId="15">
    <w:nsid w:val="50A716A4"/>
    <w:multiLevelType w:val="singleLevel"/>
    <w:tmpl w:val="50A716A4"/>
    <w:lvl w:ilvl="0" w:tentative="0">
      <w:start w:val="5"/>
      <w:numFmt w:val="decimal"/>
      <w:suff w:val="nothing"/>
      <w:lvlText w:val="%1、"/>
      <w:lvlJc w:val="left"/>
    </w:lvl>
  </w:abstractNum>
  <w:abstractNum w:abstractNumId="16">
    <w:nsid w:val="5F1742D8"/>
    <w:multiLevelType w:val="singleLevel"/>
    <w:tmpl w:val="5F1742D8"/>
    <w:lvl w:ilvl="0" w:tentative="0">
      <w:start w:val="1"/>
      <w:numFmt w:val="decimal"/>
      <w:suff w:val="nothing"/>
      <w:lvlText w:val="%1、"/>
      <w:lvlJc w:val="left"/>
      <w:pPr>
        <w:ind w:left="105" w:leftChars="0" w:firstLine="0" w:firstLineChars="0"/>
      </w:pPr>
    </w:lvl>
  </w:abstractNum>
  <w:num w:numId="1">
    <w:abstractNumId w:val="12"/>
  </w:num>
  <w:num w:numId="2">
    <w:abstractNumId w:val="11"/>
  </w:num>
  <w:num w:numId="3">
    <w:abstractNumId w:val="5"/>
  </w:num>
  <w:num w:numId="4">
    <w:abstractNumId w:val="3"/>
  </w:num>
  <w:num w:numId="5">
    <w:abstractNumId w:val="13"/>
  </w:num>
  <w:num w:numId="6">
    <w:abstractNumId w:val="9"/>
  </w:num>
  <w:num w:numId="7">
    <w:abstractNumId w:val="7"/>
  </w:num>
  <w:num w:numId="8">
    <w:abstractNumId w:val="16"/>
  </w:num>
  <w:num w:numId="9">
    <w:abstractNumId w:val="10"/>
  </w:num>
  <w:num w:numId="10">
    <w:abstractNumId w:val="6"/>
  </w:num>
  <w:num w:numId="11">
    <w:abstractNumId w:val="14"/>
  </w:num>
  <w:num w:numId="12">
    <w:abstractNumId w:val="2"/>
  </w:num>
  <w:num w:numId="13">
    <w:abstractNumId w:val="15"/>
  </w:num>
  <w:num w:numId="14">
    <w:abstractNumId w:val="1"/>
  </w:num>
  <w:num w:numId="15">
    <w:abstractNumId w:val="4"/>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MDA4YzdlYjlmMjMyNTkxNzZkMDU2NzFkOWI4NzYifQ=="/>
    <w:docVar w:name="KSO_WPS_MARK_KEY" w:val="1fbe5ccf-db38-4a25-aaa2-68737bb3dcd4"/>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4C6"/>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29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6BE"/>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479C9"/>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082"/>
    <w:rsid w:val="00FD58AB"/>
    <w:rsid w:val="00FD5CF8"/>
    <w:rsid w:val="00FD609A"/>
    <w:rsid w:val="00FD70A6"/>
    <w:rsid w:val="00FD76B6"/>
    <w:rsid w:val="00FD7DCD"/>
    <w:rsid w:val="00FE2CA9"/>
    <w:rsid w:val="00FE33B5"/>
    <w:rsid w:val="00FE4CAC"/>
    <w:rsid w:val="00FE7E7D"/>
    <w:rsid w:val="00FF0BBE"/>
    <w:rsid w:val="00FF1CD6"/>
    <w:rsid w:val="00FF20B8"/>
    <w:rsid w:val="00FF2600"/>
    <w:rsid w:val="00FF293E"/>
    <w:rsid w:val="00FF425A"/>
    <w:rsid w:val="00FF52CA"/>
    <w:rsid w:val="00FF540E"/>
    <w:rsid w:val="00FF5AE5"/>
    <w:rsid w:val="00FF6187"/>
    <w:rsid w:val="00FF6695"/>
    <w:rsid w:val="00FF70E6"/>
    <w:rsid w:val="00FF7F37"/>
    <w:rsid w:val="014F3C41"/>
    <w:rsid w:val="01727C86"/>
    <w:rsid w:val="01757D6C"/>
    <w:rsid w:val="01B67A50"/>
    <w:rsid w:val="01C603F3"/>
    <w:rsid w:val="02350FD7"/>
    <w:rsid w:val="026D5A4E"/>
    <w:rsid w:val="027F08F6"/>
    <w:rsid w:val="02866093"/>
    <w:rsid w:val="02934780"/>
    <w:rsid w:val="02985DC6"/>
    <w:rsid w:val="029C3C3D"/>
    <w:rsid w:val="02AF35B9"/>
    <w:rsid w:val="02D7069C"/>
    <w:rsid w:val="02DB5B22"/>
    <w:rsid w:val="02E2117E"/>
    <w:rsid w:val="02EA0C52"/>
    <w:rsid w:val="02EF31FC"/>
    <w:rsid w:val="03174F3D"/>
    <w:rsid w:val="031D5029"/>
    <w:rsid w:val="031F5CB1"/>
    <w:rsid w:val="032510F8"/>
    <w:rsid w:val="03423A5A"/>
    <w:rsid w:val="035C6DF3"/>
    <w:rsid w:val="03745A07"/>
    <w:rsid w:val="038F6F0F"/>
    <w:rsid w:val="03A41A2E"/>
    <w:rsid w:val="03B67A42"/>
    <w:rsid w:val="03BC3FA3"/>
    <w:rsid w:val="03CD7699"/>
    <w:rsid w:val="03D05B32"/>
    <w:rsid w:val="0403263B"/>
    <w:rsid w:val="042947BD"/>
    <w:rsid w:val="0453546B"/>
    <w:rsid w:val="045A3333"/>
    <w:rsid w:val="047D1717"/>
    <w:rsid w:val="048D3660"/>
    <w:rsid w:val="049F168E"/>
    <w:rsid w:val="04D75C17"/>
    <w:rsid w:val="04DF51E5"/>
    <w:rsid w:val="04F67264"/>
    <w:rsid w:val="05057FD0"/>
    <w:rsid w:val="054E0A7B"/>
    <w:rsid w:val="058118D7"/>
    <w:rsid w:val="05B6173B"/>
    <w:rsid w:val="05BA22D5"/>
    <w:rsid w:val="05BF087E"/>
    <w:rsid w:val="05EE13C9"/>
    <w:rsid w:val="05F525E4"/>
    <w:rsid w:val="05FE5366"/>
    <w:rsid w:val="060D2627"/>
    <w:rsid w:val="0620398B"/>
    <w:rsid w:val="063548D6"/>
    <w:rsid w:val="06361B7E"/>
    <w:rsid w:val="065B320F"/>
    <w:rsid w:val="065E0D7E"/>
    <w:rsid w:val="068F508F"/>
    <w:rsid w:val="06950D02"/>
    <w:rsid w:val="06B16195"/>
    <w:rsid w:val="07073453"/>
    <w:rsid w:val="077B122A"/>
    <w:rsid w:val="07AE5867"/>
    <w:rsid w:val="07CA6A37"/>
    <w:rsid w:val="07FA45B7"/>
    <w:rsid w:val="086E55FF"/>
    <w:rsid w:val="08724C55"/>
    <w:rsid w:val="08730E67"/>
    <w:rsid w:val="0880043F"/>
    <w:rsid w:val="08B123F7"/>
    <w:rsid w:val="08C23B9D"/>
    <w:rsid w:val="093A7BD7"/>
    <w:rsid w:val="09931095"/>
    <w:rsid w:val="09A92667"/>
    <w:rsid w:val="09CE6E57"/>
    <w:rsid w:val="09FC6A4A"/>
    <w:rsid w:val="0A3C350E"/>
    <w:rsid w:val="0A3F353B"/>
    <w:rsid w:val="0AB67731"/>
    <w:rsid w:val="0AB74171"/>
    <w:rsid w:val="0AC72D79"/>
    <w:rsid w:val="0AEB73DB"/>
    <w:rsid w:val="0B162392"/>
    <w:rsid w:val="0B4E4A5D"/>
    <w:rsid w:val="0B7D1AED"/>
    <w:rsid w:val="0B9C2483"/>
    <w:rsid w:val="0BB440E1"/>
    <w:rsid w:val="0C0B13B7"/>
    <w:rsid w:val="0C3E4E01"/>
    <w:rsid w:val="0C835496"/>
    <w:rsid w:val="0CE770D5"/>
    <w:rsid w:val="0CFB26C2"/>
    <w:rsid w:val="0D1D6ADC"/>
    <w:rsid w:val="0D305579"/>
    <w:rsid w:val="0D3C1AAA"/>
    <w:rsid w:val="0D680BE0"/>
    <w:rsid w:val="0DA447BB"/>
    <w:rsid w:val="0DDE6EB8"/>
    <w:rsid w:val="0DFF388F"/>
    <w:rsid w:val="0E232C28"/>
    <w:rsid w:val="0E2350DD"/>
    <w:rsid w:val="0E2E129C"/>
    <w:rsid w:val="0E574EDB"/>
    <w:rsid w:val="0E5A5605"/>
    <w:rsid w:val="0E5C4985"/>
    <w:rsid w:val="0E7A5896"/>
    <w:rsid w:val="0EA0127C"/>
    <w:rsid w:val="0EBC177A"/>
    <w:rsid w:val="0ED308B1"/>
    <w:rsid w:val="0EEB6FFF"/>
    <w:rsid w:val="0F6760B8"/>
    <w:rsid w:val="0F6D010C"/>
    <w:rsid w:val="0F735BCE"/>
    <w:rsid w:val="0F911464"/>
    <w:rsid w:val="10516577"/>
    <w:rsid w:val="105A72C5"/>
    <w:rsid w:val="107463E5"/>
    <w:rsid w:val="10C74658"/>
    <w:rsid w:val="10E70644"/>
    <w:rsid w:val="10EF29DA"/>
    <w:rsid w:val="115B43B6"/>
    <w:rsid w:val="11742577"/>
    <w:rsid w:val="11B7057C"/>
    <w:rsid w:val="11D91672"/>
    <w:rsid w:val="11DF756D"/>
    <w:rsid w:val="11EC514B"/>
    <w:rsid w:val="11F25627"/>
    <w:rsid w:val="1234148C"/>
    <w:rsid w:val="12371A06"/>
    <w:rsid w:val="123C4ABE"/>
    <w:rsid w:val="12CF5795"/>
    <w:rsid w:val="13061A78"/>
    <w:rsid w:val="130F3B9D"/>
    <w:rsid w:val="133C6704"/>
    <w:rsid w:val="13630A49"/>
    <w:rsid w:val="13BD3F47"/>
    <w:rsid w:val="13BE1D53"/>
    <w:rsid w:val="13D83915"/>
    <w:rsid w:val="13D9596F"/>
    <w:rsid w:val="141605EF"/>
    <w:rsid w:val="144731A8"/>
    <w:rsid w:val="145427FA"/>
    <w:rsid w:val="14926B19"/>
    <w:rsid w:val="14AC3604"/>
    <w:rsid w:val="14DD7CE7"/>
    <w:rsid w:val="14F21366"/>
    <w:rsid w:val="14FD37CF"/>
    <w:rsid w:val="155A1E17"/>
    <w:rsid w:val="1565422D"/>
    <w:rsid w:val="158445F0"/>
    <w:rsid w:val="158A5B65"/>
    <w:rsid w:val="164A6478"/>
    <w:rsid w:val="165E0F95"/>
    <w:rsid w:val="166516F8"/>
    <w:rsid w:val="16946CC5"/>
    <w:rsid w:val="16CB3D75"/>
    <w:rsid w:val="16FF3191"/>
    <w:rsid w:val="17077FD1"/>
    <w:rsid w:val="170A3665"/>
    <w:rsid w:val="175D491B"/>
    <w:rsid w:val="17664E76"/>
    <w:rsid w:val="177C7763"/>
    <w:rsid w:val="17900032"/>
    <w:rsid w:val="17927295"/>
    <w:rsid w:val="17B14BF9"/>
    <w:rsid w:val="17C52E06"/>
    <w:rsid w:val="17CA36C8"/>
    <w:rsid w:val="17FB5A34"/>
    <w:rsid w:val="184360FD"/>
    <w:rsid w:val="18494473"/>
    <w:rsid w:val="189D479A"/>
    <w:rsid w:val="18BA03EC"/>
    <w:rsid w:val="18BD7169"/>
    <w:rsid w:val="18D1647F"/>
    <w:rsid w:val="18D86D91"/>
    <w:rsid w:val="1908025D"/>
    <w:rsid w:val="191D4766"/>
    <w:rsid w:val="196C1720"/>
    <w:rsid w:val="19CD084B"/>
    <w:rsid w:val="19D6028A"/>
    <w:rsid w:val="19D878BC"/>
    <w:rsid w:val="19E77C11"/>
    <w:rsid w:val="19EF538C"/>
    <w:rsid w:val="19EF6927"/>
    <w:rsid w:val="1A0924D1"/>
    <w:rsid w:val="1A1C0FE1"/>
    <w:rsid w:val="1A851FB4"/>
    <w:rsid w:val="1A88384B"/>
    <w:rsid w:val="1AD872CD"/>
    <w:rsid w:val="1AD91676"/>
    <w:rsid w:val="1AE70EEC"/>
    <w:rsid w:val="1AEF3094"/>
    <w:rsid w:val="1AFA71C6"/>
    <w:rsid w:val="1B14076F"/>
    <w:rsid w:val="1B565609"/>
    <w:rsid w:val="1B5A4640"/>
    <w:rsid w:val="1BA81D0B"/>
    <w:rsid w:val="1BA82F7A"/>
    <w:rsid w:val="1BAD4238"/>
    <w:rsid w:val="1C4D14DD"/>
    <w:rsid w:val="1C612B8E"/>
    <w:rsid w:val="1C7F5BD5"/>
    <w:rsid w:val="1C9F1DD3"/>
    <w:rsid w:val="1CB50917"/>
    <w:rsid w:val="1CCB706C"/>
    <w:rsid w:val="1CEA7476"/>
    <w:rsid w:val="1CF245F9"/>
    <w:rsid w:val="1CFA525B"/>
    <w:rsid w:val="1CFC2CF4"/>
    <w:rsid w:val="1D8A7DED"/>
    <w:rsid w:val="1DAF4EEB"/>
    <w:rsid w:val="1DBE44DB"/>
    <w:rsid w:val="1DC9723F"/>
    <w:rsid w:val="1DE975C0"/>
    <w:rsid w:val="1DF3679B"/>
    <w:rsid w:val="1DFB7351"/>
    <w:rsid w:val="1E07540F"/>
    <w:rsid w:val="1EF676C0"/>
    <w:rsid w:val="1F0C32E7"/>
    <w:rsid w:val="1F4F1BB6"/>
    <w:rsid w:val="1F5910C8"/>
    <w:rsid w:val="1F5E0C8E"/>
    <w:rsid w:val="1F7603E0"/>
    <w:rsid w:val="1F812CE9"/>
    <w:rsid w:val="1F8B42E9"/>
    <w:rsid w:val="1F974EC1"/>
    <w:rsid w:val="1FBF47A2"/>
    <w:rsid w:val="1FFE72CB"/>
    <w:rsid w:val="20062169"/>
    <w:rsid w:val="200D799B"/>
    <w:rsid w:val="20113134"/>
    <w:rsid w:val="2017074E"/>
    <w:rsid w:val="2025071F"/>
    <w:rsid w:val="20407429"/>
    <w:rsid w:val="20C133F8"/>
    <w:rsid w:val="20F54E29"/>
    <w:rsid w:val="212030D7"/>
    <w:rsid w:val="212874CF"/>
    <w:rsid w:val="213825F5"/>
    <w:rsid w:val="217A0581"/>
    <w:rsid w:val="217E667A"/>
    <w:rsid w:val="218D656F"/>
    <w:rsid w:val="21AA4FE4"/>
    <w:rsid w:val="21F93FD6"/>
    <w:rsid w:val="220723E7"/>
    <w:rsid w:val="221657FC"/>
    <w:rsid w:val="22325497"/>
    <w:rsid w:val="224131F3"/>
    <w:rsid w:val="22486578"/>
    <w:rsid w:val="22575D40"/>
    <w:rsid w:val="226C09A9"/>
    <w:rsid w:val="229B4DEB"/>
    <w:rsid w:val="22B537C3"/>
    <w:rsid w:val="22BB54C1"/>
    <w:rsid w:val="22CB180A"/>
    <w:rsid w:val="22FA7F98"/>
    <w:rsid w:val="232B2612"/>
    <w:rsid w:val="23482EEF"/>
    <w:rsid w:val="235653D0"/>
    <w:rsid w:val="235D2862"/>
    <w:rsid w:val="23A41D2F"/>
    <w:rsid w:val="23D42997"/>
    <w:rsid w:val="23DB32E7"/>
    <w:rsid w:val="23E915D2"/>
    <w:rsid w:val="24064469"/>
    <w:rsid w:val="240F3266"/>
    <w:rsid w:val="241B13FE"/>
    <w:rsid w:val="24466FD8"/>
    <w:rsid w:val="24661BDD"/>
    <w:rsid w:val="24716EF0"/>
    <w:rsid w:val="248E3FF4"/>
    <w:rsid w:val="249A411D"/>
    <w:rsid w:val="249D6CB2"/>
    <w:rsid w:val="24CE08C5"/>
    <w:rsid w:val="252B59D4"/>
    <w:rsid w:val="256C6F17"/>
    <w:rsid w:val="257819E3"/>
    <w:rsid w:val="25F36546"/>
    <w:rsid w:val="26362C80"/>
    <w:rsid w:val="265255B2"/>
    <w:rsid w:val="26C9354C"/>
    <w:rsid w:val="26DE5BEE"/>
    <w:rsid w:val="27273C38"/>
    <w:rsid w:val="27314368"/>
    <w:rsid w:val="273870AC"/>
    <w:rsid w:val="273C6F37"/>
    <w:rsid w:val="275B006D"/>
    <w:rsid w:val="27657964"/>
    <w:rsid w:val="27697725"/>
    <w:rsid w:val="277A4090"/>
    <w:rsid w:val="278A18F4"/>
    <w:rsid w:val="27E15995"/>
    <w:rsid w:val="286A13F2"/>
    <w:rsid w:val="28780AC6"/>
    <w:rsid w:val="288E5833"/>
    <w:rsid w:val="28DD322B"/>
    <w:rsid w:val="28F42A99"/>
    <w:rsid w:val="28F434A6"/>
    <w:rsid w:val="293526AA"/>
    <w:rsid w:val="293F675B"/>
    <w:rsid w:val="293F7FDE"/>
    <w:rsid w:val="295A2FA1"/>
    <w:rsid w:val="29A22701"/>
    <w:rsid w:val="29BA46F0"/>
    <w:rsid w:val="29C323D4"/>
    <w:rsid w:val="29EC73A5"/>
    <w:rsid w:val="2A3A42FE"/>
    <w:rsid w:val="2AA10CE0"/>
    <w:rsid w:val="2AAD67A9"/>
    <w:rsid w:val="2AC64CD7"/>
    <w:rsid w:val="2AFE0F78"/>
    <w:rsid w:val="2B1271EB"/>
    <w:rsid w:val="2B2331EA"/>
    <w:rsid w:val="2B2E70E5"/>
    <w:rsid w:val="2B30453E"/>
    <w:rsid w:val="2B7E2F46"/>
    <w:rsid w:val="2BAE26FB"/>
    <w:rsid w:val="2BB46778"/>
    <w:rsid w:val="2BCD0AE0"/>
    <w:rsid w:val="2C134FE1"/>
    <w:rsid w:val="2C2514B1"/>
    <w:rsid w:val="2C3B6A04"/>
    <w:rsid w:val="2C3E2C4C"/>
    <w:rsid w:val="2C444745"/>
    <w:rsid w:val="2C5021B7"/>
    <w:rsid w:val="2C73502A"/>
    <w:rsid w:val="2C8E561B"/>
    <w:rsid w:val="2C932C69"/>
    <w:rsid w:val="2C9F2A67"/>
    <w:rsid w:val="2D1A5BEB"/>
    <w:rsid w:val="2D227DC7"/>
    <w:rsid w:val="2D2845BC"/>
    <w:rsid w:val="2D2E73A1"/>
    <w:rsid w:val="2D956272"/>
    <w:rsid w:val="2D9C188C"/>
    <w:rsid w:val="2D9D410D"/>
    <w:rsid w:val="2DC34A81"/>
    <w:rsid w:val="2DCF4D6D"/>
    <w:rsid w:val="2DD125B6"/>
    <w:rsid w:val="2DDF2977"/>
    <w:rsid w:val="2E244107"/>
    <w:rsid w:val="2E510491"/>
    <w:rsid w:val="2E5A73E1"/>
    <w:rsid w:val="2E665884"/>
    <w:rsid w:val="2E974B67"/>
    <w:rsid w:val="2E997625"/>
    <w:rsid w:val="2ED70F52"/>
    <w:rsid w:val="2EDD3BF4"/>
    <w:rsid w:val="2EFC1307"/>
    <w:rsid w:val="2F1645B9"/>
    <w:rsid w:val="2F1F789F"/>
    <w:rsid w:val="2F544FF2"/>
    <w:rsid w:val="2F6B678F"/>
    <w:rsid w:val="2FD70501"/>
    <w:rsid w:val="2FE07BE8"/>
    <w:rsid w:val="2FE9188B"/>
    <w:rsid w:val="303D703D"/>
    <w:rsid w:val="308858C3"/>
    <w:rsid w:val="30DB62B6"/>
    <w:rsid w:val="30F73B34"/>
    <w:rsid w:val="31034344"/>
    <w:rsid w:val="31067F47"/>
    <w:rsid w:val="31167EA0"/>
    <w:rsid w:val="311878A1"/>
    <w:rsid w:val="311D4032"/>
    <w:rsid w:val="31327282"/>
    <w:rsid w:val="3135748D"/>
    <w:rsid w:val="31637517"/>
    <w:rsid w:val="31AD08B7"/>
    <w:rsid w:val="31B27A3B"/>
    <w:rsid w:val="31ED2820"/>
    <w:rsid w:val="31F84007"/>
    <w:rsid w:val="32024F1D"/>
    <w:rsid w:val="322C3CB1"/>
    <w:rsid w:val="325038E7"/>
    <w:rsid w:val="328525EA"/>
    <w:rsid w:val="32CE29C2"/>
    <w:rsid w:val="32DF309E"/>
    <w:rsid w:val="32FA5B5D"/>
    <w:rsid w:val="3322684B"/>
    <w:rsid w:val="33625EAA"/>
    <w:rsid w:val="337F0FF3"/>
    <w:rsid w:val="33863895"/>
    <w:rsid w:val="339E298D"/>
    <w:rsid w:val="33C341A1"/>
    <w:rsid w:val="33DC34B5"/>
    <w:rsid w:val="33EF36DB"/>
    <w:rsid w:val="33FB645A"/>
    <w:rsid w:val="33FE0557"/>
    <w:rsid w:val="342D5594"/>
    <w:rsid w:val="34340A65"/>
    <w:rsid w:val="345C616D"/>
    <w:rsid w:val="345E27C4"/>
    <w:rsid w:val="34843BE5"/>
    <w:rsid w:val="348557BD"/>
    <w:rsid w:val="34AE30A3"/>
    <w:rsid w:val="34BD4B51"/>
    <w:rsid w:val="34C34E58"/>
    <w:rsid w:val="34D523DE"/>
    <w:rsid w:val="34E872EB"/>
    <w:rsid w:val="35075E5A"/>
    <w:rsid w:val="350E36C5"/>
    <w:rsid w:val="354C2118"/>
    <w:rsid w:val="3558300F"/>
    <w:rsid w:val="35610790"/>
    <w:rsid w:val="35612591"/>
    <w:rsid w:val="35673406"/>
    <w:rsid w:val="35887B8D"/>
    <w:rsid w:val="35AE4476"/>
    <w:rsid w:val="35B03D92"/>
    <w:rsid w:val="35CE11B2"/>
    <w:rsid w:val="35D97CAC"/>
    <w:rsid w:val="361502FC"/>
    <w:rsid w:val="36154C88"/>
    <w:rsid w:val="36221A6C"/>
    <w:rsid w:val="36252C67"/>
    <w:rsid w:val="362F4027"/>
    <w:rsid w:val="36386996"/>
    <w:rsid w:val="36601559"/>
    <w:rsid w:val="366942E0"/>
    <w:rsid w:val="368F0B09"/>
    <w:rsid w:val="369A4027"/>
    <w:rsid w:val="369A739E"/>
    <w:rsid w:val="36B867F8"/>
    <w:rsid w:val="37395321"/>
    <w:rsid w:val="374227A0"/>
    <w:rsid w:val="37490E61"/>
    <w:rsid w:val="376733B8"/>
    <w:rsid w:val="37683313"/>
    <w:rsid w:val="37831F3D"/>
    <w:rsid w:val="37853041"/>
    <w:rsid w:val="379E4C02"/>
    <w:rsid w:val="37B05E2A"/>
    <w:rsid w:val="37C5232F"/>
    <w:rsid w:val="37CE7987"/>
    <w:rsid w:val="38045DC1"/>
    <w:rsid w:val="388C157E"/>
    <w:rsid w:val="389F2E95"/>
    <w:rsid w:val="38E928FC"/>
    <w:rsid w:val="38F94A57"/>
    <w:rsid w:val="38FB5907"/>
    <w:rsid w:val="392B2444"/>
    <w:rsid w:val="395846F2"/>
    <w:rsid w:val="39C74071"/>
    <w:rsid w:val="39E130BC"/>
    <w:rsid w:val="3A3577FF"/>
    <w:rsid w:val="3A465B2C"/>
    <w:rsid w:val="3A4B78A6"/>
    <w:rsid w:val="3A5977C5"/>
    <w:rsid w:val="3A5A7B55"/>
    <w:rsid w:val="3A7255AF"/>
    <w:rsid w:val="3ABE28CC"/>
    <w:rsid w:val="3B0C3412"/>
    <w:rsid w:val="3B257775"/>
    <w:rsid w:val="3B27770B"/>
    <w:rsid w:val="3B4646D5"/>
    <w:rsid w:val="3B4F0D0C"/>
    <w:rsid w:val="3B540375"/>
    <w:rsid w:val="3BD240C3"/>
    <w:rsid w:val="3BDC7581"/>
    <w:rsid w:val="3C083874"/>
    <w:rsid w:val="3C1634E3"/>
    <w:rsid w:val="3C552BBD"/>
    <w:rsid w:val="3C6476E4"/>
    <w:rsid w:val="3C671A8F"/>
    <w:rsid w:val="3C7D6764"/>
    <w:rsid w:val="3CC33464"/>
    <w:rsid w:val="3CDD209D"/>
    <w:rsid w:val="3CEC6E4E"/>
    <w:rsid w:val="3D244AC1"/>
    <w:rsid w:val="3D915D46"/>
    <w:rsid w:val="3D9C262D"/>
    <w:rsid w:val="3DFB14A1"/>
    <w:rsid w:val="3E035B0F"/>
    <w:rsid w:val="3E1C107E"/>
    <w:rsid w:val="3E263CAA"/>
    <w:rsid w:val="3E265A58"/>
    <w:rsid w:val="3E5842FE"/>
    <w:rsid w:val="3E5D4364"/>
    <w:rsid w:val="3E5E1696"/>
    <w:rsid w:val="3E8D1F7B"/>
    <w:rsid w:val="3EB571D9"/>
    <w:rsid w:val="3ECA596B"/>
    <w:rsid w:val="3ED67416"/>
    <w:rsid w:val="3EE55BC4"/>
    <w:rsid w:val="3F19380F"/>
    <w:rsid w:val="3F2006FA"/>
    <w:rsid w:val="3F2E38A2"/>
    <w:rsid w:val="3F551B15"/>
    <w:rsid w:val="3FBB6142"/>
    <w:rsid w:val="3FC75DC7"/>
    <w:rsid w:val="3FDE44DC"/>
    <w:rsid w:val="3FF94B52"/>
    <w:rsid w:val="400E49F6"/>
    <w:rsid w:val="40291232"/>
    <w:rsid w:val="4031316B"/>
    <w:rsid w:val="407903DC"/>
    <w:rsid w:val="407924B5"/>
    <w:rsid w:val="408706D3"/>
    <w:rsid w:val="40B44F66"/>
    <w:rsid w:val="40D05741"/>
    <w:rsid w:val="40DA0F23"/>
    <w:rsid w:val="40F55A84"/>
    <w:rsid w:val="40FA7E49"/>
    <w:rsid w:val="41771B49"/>
    <w:rsid w:val="41780CC1"/>
    <w:rsid w:val="41B415CD"/>
    <w:rsid w:val="41C82962"/>
    <w:rsid w:val="41DF2AEE"/>
    <w:rsid w:val="420D2A80"/>
    <w:rsid w:val="421A2073"/>
    <w:rsid w:val="422148CB"/>
    <w:rsid w:val="42467367"/>
    <w:rsid w:val="426D1F05"/>
    <w:rsid w:val="426E500B"/>
    <w:rsid w:val="429574BD"/>
    <w:rsid w:val="42B60A09"/>
    <w:rsid w:val="431247FD"/>
    <w:rsid w:val="434D6210"/>
    <w:rsid w:val="43507DFC"/>
    <w:rsid w:val="4357075F"/>
    <w:rsid w:val="43670FED"/>
    <w:rsid w:val="43732951"/>
    <w:rsid w:val="43A01BC0"/>
    <w:rsid w:val="43BE5738"/>
    <w:rsid w:val="43C1218D"/>
    <w:rsid w:val="43C33D49"/>
    <w:rsid w:val="43D24560"/>
    <w:rsid w:val="43EA39CC"/>
    <w:rsid w:val="43F80860"/>
    <w:rsid w:val="44523F0B"/>
    <w:rsid w:val="446077EA"/>
    <w:rsid w:val="446530CB"/>
    <w:rsid w:val="447B7CC7"/>
    <w:rsid w:val="44807500"/>
    <w:rsid w:val="44CB1ED8"/>
    <w:rsid w:val="44D04950"/>
    <w:rsid w:val="450308A1"/>
    <w:rsid w:val="45156827"/>
    <w:rsid w:val="451633F6"/>
    <w:rsid w:val="45575091"/>
    <w:rsid w:val="457E334B"/>
    <w:rsid w:val="45A831F7"/>
    <w:rsid w:val="45DE30BD"/>
    <w:rsid w:val="46080375"/>
    <w:rsid w:val="4632767D"/>
    <w:rsid w:val="4639421E"/>
    <w:rsid w:val="464512B9"/>
    <w:rsid w:val="466F73F9"/>
    <w:rsid w:val="46857785"/>
    <w:rsid w:val="46887A7D"/>
    <w:rsid w:val="46A63BDA"/>
    <w:rsid w:val="46B82B63"/>
    <w:rsid w:val="46BA2137"/>
    <w:rsid w:val="46C2552F"/>
    <w:rsid w:val="46C6375A"/>
    <w:rsid w:val="470914ED"/>
    <w:rsid w:val="47174191"/>
    <w:rsid w:val="4717429E"/>
    <w:rsid w:val="473079FD"/>
    <w:rsid w:val="477A7EBA"/>
    <w:rsid w:val="477B4092"/>
    <w:rsid w:val="47DB78B4"/>
    <w:rsid w:val="48435459"/>
    <w:rsid w:val="48512772"/>
    <w:rsid w:val="48514EDE"/>
    <w:rsid w:val="485C4777"/>
    <w:rsid w:val="487D4232"/>
    <w:rsid w:val="48CF7144"/>
    <w:rsid w:val="48D616D5"/>
    <w:rsid w:val="490B4AEA"/>
    <w:rsid w:val="49514122"/>
    <w:rsid w:val="49D87443"/>
    <w:rsid w:val="49F17862"/>
    <w:rsid w:val="4A080708"/>
    <w:rsid w:val="4A1608FD"/>
    <w:rsid w:val="4A2D0A01"/>
    <w:rsid w:val="4AB13666"/>
    <w:rsid w:val="4ADD5148"/>
    <w:rsid w:val="4AE41E96"/>
    <w:rsid w:val="4B3A109F"/>
    <w:rsid w:val="4B7F53EA"/>
    <w:rsid w:val="4B9107F9"/>
    <w:rsid w:val="4B9E34D5"/>
    <w:rsid w:val="4BB20856"/>
    <w:rsid w:val="4BCB2534"/>
    <w:rsid w:val="4BD166D8"/>
    <w:rsid w:val="4BE776C6"/>
    <w:rsid w:val="4BFE5865"/>
    <w:rsid w:val="4C011848"/>
    <w:rsid w:val="4C044814"/>
    <w:rsid w:val="4C1A2BA0"/>
    <w:rsid w:val="4C1D581B"/>
    <w:rsid w:val="4C29373A"/>
    <w:rsid w:val="4C2E6D51"/>
    <w:rsid w:val="4C4174A2"/>
    <w:rsid w:val="4C585A0F"/>
    <w:rsid w:val="4C7A4FA0"/>
    <w:rsid w:val="4C9C7AC9"/>
    <w:rsid w:val="4CD11285"/>
    <w:rsid w:val="4CE91A37"/>
    <w:rsid w:val="4CF96382"/>
    <w:rsid w:val="4D3C3A61"/>
    <w:rsid w:val="4D4D1254"/>
    <w:rsid w:val="4D4E063D"/>
    <w:rsid w:val="4D790B90"/>
    <w:rsid w:val="4DE04487"/>
    <w:rsid w:val="4DF254C6"/>
    <w:rsid w:val="4E380C6E"/>
    <w:rsid w:val="4E4C53B9"/>
    <w:rsid w:val="4E5530AA"/>
    <w:rsid w:val="4E5C1022"/>
    <w:rsid w:val="4E5F400D"/>
    <w:rsid w:val="4E73339F"/>
    <w:rsid w:val="4E9E788D"/>
    <w:rsid w:val="4EB175C0"/>
    <w:rsid w:val="4ED922A8"/>
    <w:rsid w:val="4F33111A"/>
    <w:rsid w:val="4F585C8E"/>
    <w:rsid w:val="4F7751AF"/>
    <w:rsid w:val="4F940184"/>
    <w:rsid w:val="4FEF57D7"/>
    <w:rsid w:val="50017646"/>
    <w:rsid w:val="500C4858"/>
    <w:rsid w:val="502B04BF"/>
    <w:rsid w:val="503D42C7"/>
    <w:rsid w:val="503E5DFA"/>
    <w:rsid w:val="50507F9F"/>
    <w:rsid w:val="506D7517"/>
    <w:rsid w:val="50E40C87"/>
    <w:rsid w:val="50FB6272"/>
    <w:rsid w:val="510328D8"/>
    <w:rsid w:val="51072832"/>
    <w:rsid w:val="51230246"/>
    <w:rsid w:val="514209A3"/>
    <w:rsid w:val="51736DAF"/>
    <w:rsid w:val="51A21C47"/>
    <w:rsid w:val="51A60B4C"/>
    <w:rsid w:val="51C439CB"/>
    <w:rsid w:val="51F356C8"/>
    <w:rsid w:val="51FC4FF6"/>
    <w:rsid w:val="52052024"/>
    <w:rsid w:val="520E1F51"/>
    <w:rsid w:val="520F6A58"/>
    <w:rsid w:val="52107A7E"/>
    <w:rsid w:val="52306A34"/>
    <w:rsid w:val="52397FF8"/>
    <w:rsid w:val="52535DFD"/>
    <w:rsid w:val="525C12CD"/>
    <w:rsid w:val="525F2EBE"/>
    <w:rsid w:val="5262211C"/>
    <w:rsid w:val="526C7972"/>
    <w:rsid w:val="5288688A"/>
    <w:rsid w:val="52BC29D7"/>
    <w:rsid w:val="52C35E78"/>
    <w:rsid w:val="52E760A8"/>
    <w:rsid w:val="530B5910"/>
    <w:rsid w:val="530C3352"/>
    <w:rsid w:val="531D707B"/>
    <w:rsid w:val="532B389D"/>
    <w:rsid w:val="53341DDA"/>
    <w:rsid w:val="53497F05"/>
    <w:rsid w:val="534A2AB7"/>
    <w:rsid w:val="536236BC"/>
    <w:rsid w:val="5382152B"/>
    <w:rsid w:val="53871202"/>
    <w:rsid w:val="53AF6DF2"/>
    <w:rsid w:val="53C15842"/>
    <w:rsid w:val="53F00B8B"/>
    <w:rsid w:val="541C4E2F"/>
    <w:rsid w:val="542157DA"/>
    <w:rsid w:val="54284764"/>
    <w:rsid w:val="5470418F"/>
    <w:rsid w:val="54C47921"/>
    <w:rsid w:val="54C72897"/>
    <w:rsid w:val="54DE744F"/>
    <w:rsid w:val="54E50447"/>
    <w:rsid w:val="55456B70"/>
    <w:rsid w:val="555B1B85"/>
    <w:rsid w:val="55750D6B"/>
    <w:rsid w:val="559669A1"/>
    <w:rsid w:val="559E35D5"/>
    <w:rsid w:val="55C228D3"/>
    <w:rsid w:val="55C525F4"/>
    <w:rsid w:val="55FF5FDA"/>
    <w:rsid w:val="56017B32"/>
    <w:rsid w:val="560C4EB1"/>
    <w:rsid w:val="560D1E89"/>
    <w:rsid w:val="56242D6E"/>
    <w:rsid w:val="567E091F"/>
    <w:rsid w:val="56933E7B"/>
    <w:rsid w:val="56CB0123"/>
    <w:rsid w:val="57160908"/>
    <w:rsid w:val="57401D39"/>
    <w:rsid w:val="577416FB"/>
    <w:rsid w:val="5782176E"/>
    <w:rsid w:val="57A01920"/>
    <w:rsid w:val="57A22507"/>
    <w:rsid w:val="57B95737"/>
    <w:rsid w:val="57BC2B32"/>
    <w:rsid w:val="57DA2BA1"/>
    <w:rsid w:val="57E93E2C"/>
    <w:rsid w:val="57F40DD1"/>
    <w:rsid w:val="57F956D1"/>
    <w:rsid w:val="57FC26EC"/>
    <w:rsid w:val="58085963"/>
    <w:rsid w:val="581D7602"/>
    <w:rsid w:val="5829098B"/>
    <w:rsid w:val="58EA3588"/>
    <w:rsid w:val="58FA668E"/>
    <w:rsid w:val="59015042"/>
    <w:rsid w:val="594B0611"/>
    <w:rsid w:val="596E412E"/>
    <w:rsid w:val="59FF561A"/>
    <w:rsid w:val="5A285312"/>
    <w:rsid w:val="5A6D1A7D"/>
    <w:rsid w:val="5A70455A"/>
    <w:rsid w:val="5A71640A"/>
    <w:rsid w:val="5A7870D1"/>
    <w:rsid w:val="5A7E331D"/>
    <w:rsid w:val="5A982F4B"/>
    <w:rsid w:val="5ACA6B16"/>
    <w:rsid w:val="5AED5059"/>
    <w:rsid w:val="5B055EEB"/>
    <w:rsid w:val="5B0B6244"/>
    <w:rsid w:val="5B2979FC"/>
    <w:rsid w:val="5B3D39D4"/>
    <w:rsid w:val="5B532804"/>
    <w:rsid w:val="5B96130A"/>
    <w:rsid w:val="5C25308B"/>
    <w:rsid w:val="5C4573A4"/>
    <w:rsid w:val="5C5D5374"/>
    <w:rsid w:val="5C6B2AB9"/>
    <w:rsid w:val="5C975A0D"/>
    <w:rsid w:val="5C992482"/>
    <w:rsid w:val="5C9F6CAA"/>
    <w:rsid w:val="5CCA41B3"/>
    <w:rsid w:val="5CD77D14"/>
    <w:rsid w:val="5CDF3D0B"/>
    <w:rsid w:val="5D4E6CEA"/>
    <w:rsid w:val="5D57303F"/>
    <w:rsid w:val="5D7A07D2"/>
    <w:rsid w:val="5DCC51F1"/>
    <w:rsid w:val="5E036F3A"/>
    <w:rsid w:val="5E236935"/>
    <w:rsid w:val="5E265920"/>
    <w:rsid w:val="5E347057"/>
    <w:rsid w:val="5E3D70F6"/>
    <w:rsid w:val="5E425C3D"/>
    <w:rsid w:val="5E6A7CB4"/>
    <w:rsid w:val="5E9A1E1F"/>
    <w:rsid w:val="5EA24574"/>
    <w:rsid w:val="5EC048E4"/>
    <w:rsid w:val="5ECD5595"/>
    <w:rsid w:val="5EEE3891"/>
    <w:rsid w:val="5EF36D0A"/>
    <w:rsid w:val="5F430A12"/>
    <w:rsid w:val="5F4657F5"/>
    <w:rsid w:val="5F70492E"/>
    <w:rsid w:val="5F941BE9"/>
    <w:rsid w:val="5FC05F61"/>
    <w:rsid w:val="5FE90D26"/>
    <w:rsid w:val="60390B97"/>
    <w:rsid w:val="60661647"/>
    <w:rsid w:val="60B976A3"/>
    <w:rsid w:val="60D34072"/>
    <w:rsid w:val="60EC6207"/>
    <w:rsid w:val="61343CC8"/>
    <w:rsid w:val="613627E5"/>
    <w:rsid w:val="6162474A"/>
    <w:rsid w:val="61722B2B"/>
    <w:rsid w:val="61D70C94"/>
    <w:rsid w:val="61F41846"/>
    <w:rsid w:val="62171D6B"/>
    <w:rsid w:val="62594DDD"/>
    <w:rsid w:val="626002DF"/>
    <w:rsid w:val="6271555C"/>
    <w:rsid w:val="628932D3"/>
    <w:rsid w:val="62AA58E1"/>
    <w:rsid w:val="62AB1EEE"/>
    <w:rsid w:val="63293329"/>
    <w:rsid w:val="632A47AA"/>
    <w:rsid w:val="63366193"/>
    <w:rsid w:val="63466990"/>
    <w:rsid w:val="635772F5"/>
    <w:rsid w:val="637412F7"/>
    <w:rsid w:val="639D7CBB"/>
    <w:rsid w:val="63A42748"/>
    <w:rsid w:val="63A90654"/>
    <w:rsid w:val="63E56AA5"/>
    <w:rsid w:val="63F41D83"/>
    <w:rsid w:val="63F91396"/>
    <w:rsid w:val="640F0F63"/>
    <w:rsid w:val="642C1829"/>
    <w:rsid w:val="642C510C"/>
    <w:rsid w:val="64325DFA"/>
    <w:rsid w:val="647B1063"/>
    <w:rsid w:val="647C5B23"/>
    <w:rsid w:val="64B96D77"/>
    <w:rsid w:val="64BD6867"/>
    <w:rsid w:val="64E35139"/>
    <w:rsid w:val="65111481"/>
    <w:rsid w:val="652A3D62"/>
    <w:rsid w:val="65691016"/>
    <w:rsid w:val="65767563"/>
    <w:rsid w:val="658F77CF"/>
    <w:rsid w:val="659348BD"/>
    <w:rsid w:val="65C72DCF"/>
    <w:rsid w:val="65EE2AFE"/>
    <w:rsid w:val="65F02759"/>
    <w:rsid w:val="65FA7FB0"/>
    <w:rsid w:val="66300EA3"/>
    <w:rsid w:val="664B4A49"/>
    <w:rsid w:val="665F56FC"/>
    <w:rsid w:val="666530BD"/>
    <w:rsid w:val="668B7764"/>
    <w:rsid w:val="66AC046D"/>
    <w:rsid w:val="66E80A0E"/>
    <w:rsid w:val="67387A67"/>
    <w:rsid w:val="673B5830"/>
    <w:rsid w:val="67575A8D"/>
    <w:rsid w:val="67681B58"/>
    <w:rsid w:val="67B12081"/>
    <w:rsid w:val="67BF6B6F"/>
    <w:rsid w:val="67C07A13"/>
    <w:rsid w:val="67DE26FC"/>
    <w:rsid w:val="67F46052"/>
    <w:rsid w:val="680622D3"/>
    <w:rsid w:val="68243ABF"/>
    <w:rsid w:val="68644FB0"/>
    <w:rsid w:val="6867292C"/>
    <w:rsid w:val="68A11FFC"/>
    <w:rsid w:val="68EB1DD2"/>
    <w:rsid w:val="68F06AD4"/>
    <w:rsid w:val="69181BD9"/>
    <w:rsid w:val="691A3DDD"/>
    <w:rsid w:val="69231DD9"/>
    <w:rsid w:val="6931512E"/>
    <w:rsid w:val="694A1401"/>
    <w:rsid w:val="695F6E2D"/>
    <w:rsid w:val="696A0640"/>
    <w:rsid w:val="698A6F34"/>
    <w:rsid w:val="69992D2E"/>
    <w:rsid w:val="69A22849"/>
    <w:rsid w:val="69A41AEF"/>
    <w:rsid w:val="69BC61FD"/>
    <w:rsid w:val="69C01116"/>
    <w:rsid w:val="69C67F6C"/>
    <w:rsid w:val="69F93FC7"/>
    <w:rsid w:val="6A0771B6"/>
    <w:rsid w:val="6A1F03EC"/>
    <w:rsid w:val="6A505E2F"/>
    <w:rsid w:val="6A894111"/>
    <w:rsid w:val="6AA70ABD"/>
    <w:rsid w:val="6AAE1F9D"/>
    <w:rsid w:val="6AD420B4"/>
    <w:rsid w:val="6B155E6C"/>
    <w:rsid w:val="6B870CFE"/>
    <w:rsid w:val="6B8B0EDA"/>
    <w:rsid w:val="6BB45044"/>
    <w:rsid w:val="6BF42D98"/>
    <w:rsid w:val="6C325467"/>
    <w:rsid w:val="6C371D38"/>
    <w:rsid w:val="6C562244"/>
    <w:rsid w:val="6C696AEF"/>
    <w:rsid w:val="6C7527A8"/>
    <w:rsid w:val="6C9A5C8A"/>
    <w:rsid w:val="6C9B5D7E"/>
    <w:rsid w:val="6CC2266C"/>
    <w:rsid w:val="6CC3286D"/>
    <w:rsid w:val="6CD00A4A"/>
    <w:rsid w:val="6CD964A2"/>
    <w:rsid w:val="6CE358B6"/>
    <w:rsid w:val="6CE40709"/>
    <w:rsid w:val="6D21445E"/>
    <w:rsid w:val="6D346135"/>
    <w:rsid w:val="6D4754F7"/>
    <w:rsid w:val="6D4E1456"/>
    <w:rsid w:val="6D631F76"/>
    <w:rsid w:val="6D671AA5"/>
    <w:rsid w:val="6D68052A"/>
    <w:rsid w:val="6D8E3146"/>
    <w:rsid w:val="6DBA01AF"/>
    <w:rsid w:val="6E0B629A"/>
    <w:rsid w:val="6E535B46"/>
    <w:rsid w:val="6E5505E5"/>
    <w:rsid w:val="6E761835"/>
    <w:rsid w:val="6E9A3775"/>
    <w:rsid w:val="6EB72CA6"/>
    <w:rsid w:val="6EE97800"/>
    <w:rsid w:val="6EF14DDF"/>
    <w:rsid w:val="6F1936B5"/>
    <w:rsid w:val="6F2D0F58"/>
    <w:rsid w:val="6F357F71"/>
    <w:rsid w:val="6F613C82"/>
    <w:rsid w:val="6F8B2BA3"/>
    <w:rsid w:val="6F92196C"/>
    <w:rsid w:val="6F9B1553"/>
    <w:rsid w:val="6F9E509F"/>
    <w:rsid w:val="6FA808C0"/>
    <w:rsid w:val="6FB87F9A"/>
    <w:rsid w:val="6FDE429D"/>
    <w:rsid w:val="701C5AC1"/>
    <w:rsid w:val="7056535F"/>
    <w:rsid w:val="706C4C07"/>
    <w:rsid w:val="708625C4"/>
    <w:rsid w:val="70A873C2"/>
    <w:rsid w:val="70B94E05"/>
    <w:rsid w:val="70BF3967"/>
    <w:rsid w:val="70C861EE"/>
    <w:rsid w:val="70E21403"/>
    <w:rsid w:val="70E96186"/>
    <w:rsid w:val="71440EF8"/>
    <w:rsid w:val="71483F36"/>
    <w:rsid w:val="714A72CE"/>
    <w:rsid w:val="71607375"/>
    <w:rsid w:val="71D168F3"/>
    <w:rsid w:val="71E84380"/>
    <w:rsid w:val="721D69A0"/>
    <w:rsid w:val="72286570"/>
    <w:rsid w:val="722B259E"/>
    <w:rsid w:val="724D243B"/>
    <w:rsid w:val="72516958"/>
    <w:rsid w:val="72781833"/>
    <w:rsid w:val="727E5BD4"/>
    <w:rsid w:val="72B13D47"/>
    <w:rsid w:val="72FA2A34"/>
    <w:rsid w:val="72FE4F4A"/>
    <w:rsid w:val="730C4052"/>
    <w:rsid w:val="736305BE"/>
    <w:rsid w:val="73775D00"/>
    <w:rsid w:val="73A01EB1"/>
    <w:rsid w:val="73AA445A"/>
    <w:rsid w:val="73BD4A44"/>
    <w:rsid w:val="73BF3D93"/>
    <w:rsid w:val="73DB1909"/>
    <w:rsid w:val="73E44651"/>
    <w:rsid w:val="741713C4"/>
    <w:rsid w:val="742D247D"/>
    <w:rsid w:val="74922A45"/>
    <w:rsid w:val="74AC3F76"/>
    <w:rsid w:val="74B54486"/>
    <w:rsid w:val="74DE3AC0"/>
    <w:rsid w:val="74E35816"/>
    <w:rsid w:val="74F3159E"/>
    <w:rsid w:val="75115158"/>
    <w:rsid w:val="752C0E9F"/>
    <w:rsid w:val="752F25FD"/>
    <w:rsid w:val="754438E2"/>
    <w:rsid w:val="75484D90"/>
    <w:rsid w:val="756B2F29"/>
    <w:rsid w:val="757E794D"/>
    <w:rsid w:val="759862A9"/>
    <w:rsid w:val="75B8697D"/>
    <w:rsid w:val="75E176F0"/>
    <w:rsid w:val="76051E1C"/>
    <w:rsid w:val="760859F0"/>
    <w:rsid w:val="760B6D06"/>
    <w:rsid w:val="762828AA"/>
    <w:rsid w:val="76483F8A"/>
    <w:rsid w:val="765D7838"/>
    <w:rsid w:val="7669422C"/>
    <w:rsid w:val="766D2537"/>
    <w:rsid w:val="76796366"/>
    <w:rsid w:val="76A2773F"/>
    <w:rsid w:val="76B00445"/>
    <w:rsid w:val="76B15B00"/>
    <w:rsid w:val="76B85F5D"/>
    <w:rsid w:val="76B865B9"/>
    <w:rsid w:val="76BB4582"/>
    <w:rsid w:val="76EC08E6"/>
    <w:rsid w:val="772877DD"/>
    <w:rsid w:val="773410EC"/>
    <w:rsid w:val="778854DC"/>
    <w:rsid w:val="778D031B"/>
    <w:rsid w:val="77903967"/>
    <w:rsid w:val="77A411C1"/>
    <w:rsid w:val="77C316A6"/>
    <w:rsid w:val="780A11D3"/>
    <w:rsid w:val="782567A5"/>
    <w:rsid w:val="784D7779"/>
    <w:rsid w:val="7859644F"/>
    <w:rsid w:val="788D7EA7"/>
    <w:rsid w:val="78900FA3"/>
    <w:rsid w:val="789D3E57"/>
    <w:rsid w:val="78AF42C1"/>
    <w:rsid w:val="78B86347"/>
    <w:rsid w:val="78BF4C03"/>
    <w:rsid w:val="78E801F3"/>
    <w:rsid w:val="79030D1A"/>
    <w:rsid w:val="793346B0"/>
    <w:rsid w:val="793772DB"/>
    <w:rsid w:val="79864A5B"/>
    <w:rsid w:val="799668CF"/>
    <w:rsid w:val="79A27982"/>
    <w:rsid w:val="79C73CD9"/>
    <w:rsid w:val="79CA729C"/>
    <w:rsid w:val="79CB7624"/>
    <w:rsid w:val="79DB5CC4"/>
    <w:rsid w:val="79EE7A68"/>
    <w:rsid w:val="7A020848"/>
    <w:rsid w:val="7A806D0F"/>
    <w:rsid w:val="7A9B68AB"/>
    <w:rsid w:val="7AA23E9F"/>
    <w:rsid w:val="7AA64077"/>
    <w:rsid w:val="7ADD397A"/>
    <w:rsid w:val="7AEE3F26"/>
    <w:rsid w:val="7B722069"/>
    <w:rsid w:val="7B985B8F"/>
    <w:rsid w:val="7BC24A25"/>
    <w:rsid w:val="7BCB7049"/>
    <w:rsid w:val="7C1750A0"/>
    <w:rsid w:val="7C251E94"/>
    <w:rsid w:val="7C330D65"/>
    <w:rsid w:val="7C592C47"/>
    <w:rsid w:val="7C656269"/>
    <w:rsid w:val="7C8C22AE"/>
    <w:rsid w:val="7CAB4D9F"/>
    <w:rsid w:val="7CBF4EBE"/>
    <w:rsid w:val="7CF94473"/>
    <w:rsid w:val="7D0C7BFF"/>
    <w:rsid w:val="7D144545"/>
    <w:rsid w:val="7D3354C1"/>
    <w:rsid w:val="7D4B6BE2"/>
    <w:rsid w:val="7D8446CF"/>
    <w:rsid w:val="7D8D75F7"/>
    <w:rsid w:val="7DB67EA0"/>
    <w:rsid w:val="7DB96E1F"/>
    <w:rsid w:val="7DC00E93"/>
    <w:rsid w:val="7DDB7472"/>
    <w:rsid w:val="7DE06ED6"/>
    <w:rsid w:val="7E127936"/>
    <w:rsid w:val="7E2E0971"/>
    <w:rsid w:val="7E374363"/>
    <w:rsid w:val="7E494870"/>
    <w:rsid w:val="7E8933F6"/>
    <w:rsid w:val="7EC3172A"/>
    <w:rsid w:val="7ECE3578"/>
    <w:rsid w:val="7EF265F5"/>
    <w:rsid w:val="7F144E7E"/>
    <w:rsid w:val="7F3948E4"/>
    <w:rsid w:val="7F3A2A76"/>
    <w:rsid w:val="7F651B7D"/>
    <w:rsid w:val="7F6C1DC8"/>
    <w:rsid w:val="7F8E2E82"/>
    <w:rsid w:val="7FC655DB"/>
    <w:rsid w:val="7FCB445E"/>
    <w:rsid w:val="7FCB7FB6"/>
    <w:rsid w:val="7FE568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81"/>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8">
    <w:name w:val="heading 2"/>
    <w:basedOn w:val="1"/>
    <w:next w:val="1"/>
    <w:qFormat/>
    <w:uiPriority w:val="0"/>
    <w:pPr>
      <w:keepNext/>
      <w:keepLines/>
      <w:spacing w:before="260" w:after="260" w:line="800" w:lineRule="exact"/>
      <w:jc w:val="center"/>
      <w:outlineLvl w:val="1"/>
    </w:pPr>
    <w:rPr>
      <w:b/>
      <w:bCs/>
      <w:sz w:val="30"/>
      <w:szCs w:val="32"/>
    </w:rPr>
  </w:style>
  <w:style w:type="paragraph" w:styleId="9">
    <w:name w:val="heading 3"/>
    <w:basedOn w:val="1"/>
    <w:next w:val="1"/>
    <w:link w:val="82"/>
    <w:qFormat/>
    <w:uiPriority w:val="0"/>
    <w:pPr>
      <w:keepNext/>
      <w:keepLines/>
      <w:spacing w:before="260" w:after="260" w:line="416" w:lineRule="auto"/>
      <w:outlineLvl w:val="2"/>
    </w:pPr>
    <w:rPr>
      <w:b/>
      <w:bCs/>
      <w:sz w:val="32"/>
      <w:szCs w:val="32"/>
    </w:rPr>
  </w:style>
  <w:style w:type="paragraph" w:styleId="10">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11">
    <w:name w:val="heading 5"/>
    <w:basedOn w:val="12"/>
    <w:next w:val="6"/>
    <w:qFormat/>
    <w:uiPriority w:val="0"/>
    <w:pPr>
      <w:outlineLvl w:val="4"/>
    </w:pPr>
  </w:style>
  <w:style w:type="paragraph" w:styleId="13">
    <w:name w:val="heading 6"/>
    <w:basedOn w:val="12"/>
    <w:next w:val="6"/>
    <w:qFormat/>
    <w:uiPriority w:val="0"/>
    <w:pPr>
      <w:outlineLvl w:val="5"/>
    </w:pPr>
    <w:rPr>
      <w:i/>
    </w:rPr>
  </w:style>
  <w:style w:type="paragraph" w:styleId="14">
    <w:name w:val="heading 7"/>
    <w:basedOn w:val="12"/>
    <w:next w:val="6"/>
    <w:qFormat/>
    <w:uiPriority w:val="0"/>
    <w:pPr>
      <w:ind w:firstLine="360"/>
      <w:outlineLvl w:val="6"/>
    </w:pPr>
    <w:rPr>
      <w:smallCaps/>
      <w:sz w:val="23"/>
    </w:rPr>
  </w:style>
  <w:style w:type="paragraph" w:styleId="15">
    <w:name w:val="heading 8"/>
    <w:basedOn w:val="12"/>
    <w:next w:val="6"/>
    <w:qFormat/>
    <w:uiPriority w:val="0"/>
    <w:pPr>
      <w:ind w:firstLine="360"/>
      <w:outlineLvl w:val="7"/>
    </w:pPr>
    <w:rPr>
      <w:i/>
    </w:rPr>
  </w:style>
  <w:style w:type="paragraph" w:styleId="16">
    <w:name w:val="heading 9"/>
    <w:basedOn w:val="12"/>
    <w:next w:val="6"/>
    <w:qFormat/>
    <w:uiPriority w:val="0"/>
    <w:pPr>
      <w:outlineLvl w:val="8"/>
    </w:pPr>
  </w:style>
  <w:style w:type="character" w:default="1" w:styleId="74">
    <w:name w:val="Default Paragraph Font"/>
    <w:unhideWhenUsed/>
    <w:qFormat/>
    <w:uiPriority w:val="1"/>
  </w:style>
  <w:style w:type="table" w:default="1" w:styleId="72">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
    <w:name w:val="Body Text First Indent"/>
    <w:basedOn w:val="6"/>
    <w:next w:val="2"/>
    <w:qFormat/>
    <w:uiPriority w:val="0"/>
    <w:pPr>
      <w:adjustRightInd/>
      <w:spacing w:line="240" w:lineRule="auto"/>
      <w:ind w:firstLine="420" w:firstLineChars="100"/>
    </w:pPr>
    <w:rPr>
      <w:kern w:val="2"/>
      <w:sz w:val="21"/>
      <w:szCs w:val="24"/>
    </w:rPr>
  </w:style>
  <w:style w:type="paragraph" w:styleId="6">
    <w:name w:val="Body Text"/>
    <w:basedOn w:val="1"/>
    <w:next w:val="1"/>
    <w:qFormat/>
    <w:uiPriority w:val="0"/>
    <w:pPr>
      <w:adjustRightInd w:val="0"/>
      <w:spacing w:after="120" w:line="312" w:lineRule="atLeast"/>
    </w:pPr>
    <w:rPr>
      <w:kern w:val="0"/>
      <w:sz w:val="24"/>
      <w:szCs w:val="20"/>
    </w:rPr>
  </w:style>
  <w:style w:type="paragraph" w:customStyle="1" w:styleId="12">
    <w:name w:val="Heading Base"/>
    <w:basedOn w:val="6"/>
    <w:next w:val="6"/>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17">
    <w:name w:val="List 3"/>
    <w:basedOn w:val="18"/>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8">
    <w:name w:val="List"/>
    <w:basedOn w:val="1"/>
    <w:qFormat/>
    <w:uiPriority w:val="0"/>
    <w:pPr>
      <w:adjustRightInd w:val="0"/>
      <w:spacing w:line="312" w:lineRule="atLeast"/>
      <w:ind w:left="420" w:hanging="420"/>
      <w:textAlignment w:val="baseline"/>
    </w:pPr>
    <w:rPr>
      <w:kern w:val="0"/>
      <w:szCs w:val="20"/>
    </w:rPr>
  </w:style>
  <w:style w:type="paragraph" w:styleId="19">
    <w:name w:val="List Number 2"/>
    <w:basedOn w:val="20"/>
    <w:qFormat/>
    <w:uiPriority w:val="0"/>
    <w:pPr>
      <w:ind w:left="1080"/>
    </w:pPr>
  </w:style>
  <w:style w:type="paragraph" w:styleId="20">
    <w:name w:val="List Number"/>
    <w:basedOn w:val="1"/>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1">
    <w:name w:val="table of authorities"/>
    <w:basedOn w:val="1"/>
    <w:next w:val="1"/>
    <w:unhideWhenUsed/>
    <w:qFormat/>
    <w:uiPriority w:val="99"/>
    <w:pPr>
      <w:ind w:left="420" w:leftChars="200"/>
    </w:pPr>
  </w:style>
  <w:style w:type="paragraph" w:styleId="22">
    <w:name w:val="List Bullet 4"/>
    <w:basedOn w:val="23"/>
    <w:qFormat/>
    <w:uiPriority w:val="0"/>
    <w:pPr>
      <w:ind w:left="1800"/>
    </w:pPr>
  </w:style>
  <w:style w:type="paragraph" w:styleId="23">
    <w:name w:val="List Bullet"/>
    <w:basedOn w:val="18"/>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4">
    <w:name w:val="Normal Indent"/>
    <w:basedOn w:val="1"/>
    <w:next w:val="25"/>
    <w:link w:val="83"/>
    <w:qFormat/>
    <w:uiPriority w:val="0"/>
    <w:pPr>
      <w:ind w:firstLine="420" w:firstLineChars="200"/>
    </w:pPr>
    <w:rPr>
      <w:sz w:val="24"/>
      <w:szCs w:val="20"/>
    </w:rPr>
  </w:style>
  <w:style w:type="paragraph" w:customStyle="1" w:styleId="25">
    <w:name w:val="样式 正文缩进 + 首行缩进:  2 字符"/>
    <w:basedOn w:val="24"/>
    <w:qFormat/>
    <w:uiPriority w:val="0"/>
    <w:pPr>
      <w:ind w:firstLine="560" w:firstLineChars="200"/>
    </w:pPr>
    <w:rPr>
      <w:rFonts w:cs="宋体"/>
    </w:rPr>
  </w:style>
  <w:style w:type="paragraph" w:styleId="26">
    <w:name w:val="caption"/>
    <w:basedOn w:val="1"/>
    <w:next w:val="1"/>
    <w:qFormat/>
    <w:uiPriority w:val="0"/>
    <w:rPr>
      <w:i/>
      <w:spacing w:val="5"/>
    </w:rPr>
  </w:style>
  <w:style w:type="paragraph" w:styleId="27">
    <w:name w:val="envelope address"/>
    <w:basedOn w:val="6"/>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8">
    <w:name w:val="Document Map"/>
    <w:basedOn w:val="1"/>
    <w:semiHidden/>
    <w:qFormat/>
    <w:uiPriority w:val="0"/>
    <w:pPr>
      <w:shd w:val="clear" w:color="auto" w:fill="000080"/>
    </w:pPr>
  </w:style>
  <w:style w:type="paragraph" w:styleId="29">
    <w:name w:val="annotation text"/>
    <w:basedOn w:val="1"/>
    <w:link w:val="84"/>
    <w:qFormat/>
    <w:uiPriority w:val="0"/>
    <w:pPr>
      <w:jc w:val="left"/>
    </w:pPr>
  </w:style>
  <w:style w:type="paragraph" w:styleId="30">
    <w:name w:val="Salutation"/>
    <w:basedOn w:val="1"/>
    <w:next w:val="1"/>
    <w:qFormat/>
    <w:uiPriority w:val="0"/>
  </w:style>
  <w:style w:type="paragraph" w:styleId="31">
    <w:name w:val="Body Text 3"/>
    <w:basedOn w:val="1"/>
    <w:qFormat/>
    <w:uiPriority w:val="0"/>
    <w:pPr>
      <w:spacing w:after="120"/>
    </w:pPr>
    <w:rPr>
      <w:sz w:val="16"/>
      <w:szCs w:val="16"/>
    </w:rPr>
  </w:style>
  <w:style w:type="paragraph" w:styleId="32">
    <w:name w:val="Closing"/>
    <w:basedOn w:val="6"/>
    <w:next w:val="33"/>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33">
    <w:name w:val="Signature Company Name"/>
    <w:basedOn w:val="34"/>
    <w:next w:val="35"/>
    <w:qFormat/>
    <w:uiPriority w:val="0"/>
    <w:pPr>
      <w:spacing w:before="0"/>
    </w:pPr>
    <w:rPr>
      <w:caps/>
      <w:sz w:val="21"/>
    </w:rPr>
  </w:style>
  <w:style w:type="paragraph" w:styleId="34">
    <w:name w:val="Signature"/>
    <w:basedOn w:val="6"/>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5">
    <w:name w:val="Signature Name"/>
    <w:basedOn w:val="34"/>
    <w:next w:val="36"/>
    <w:qFormat/>
    <w:uiPriority w:val="0"/>
    <w:pPr>
      <w:spacing w:before="880"/>
    </w:pPr>
  </w:style>
  <w:style w:type="paragraph" w:customStyle="1" w:styleId="36">
    <w:name w:val="Signature Job Title"/>
    <w:basedOn w:val="34"/>
    <w:next w:val="37"/>
    <w:qFormat/>
    <w:uiPriority w:val="0"/>
    <w:pPr>
      <w:spacing w:before="0"/>
    </w:pPr>
  </w:style>
  <w:style w:type="paragraph" w:customStyle="1" w:styleId="37">
    <w:name w:val="Reference Initials"/>
    <w:basedOn w:val="6"/>
    <w:next w:val="38"/>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8">
    <w:name w:val="Enclosure"/>
    <w:basedOn w:val="6"/>
    <w:next w:val="39"/>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9">
    <w:name w:val="CC"/>
    <w:basedOn w:val="6"/>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40">
    <w:name w:val="List Bullet 3"/>
    <w:basedOn w:val="23"/>
    <w:qFormat/>
    <w:uiPriority w:val="0"/>
    <w:pPr>
      <w:ind w:left="1440"/>
    </w:pPr>
  </w:style>
  <w:style w:type="paragraph" w:styleId="41">
    <w:name w:val="List Number 3"/>
    <w:basedOn w:val="20"/>
    <w:qFormat/>
    <w:uiPriority w:val="0"/>
    <w:pPr>
      <w:ind w:left="1440"/>
    </w:pPr>
  </w:style>
  <w:style w:type="paragraph" w:styleId="42">
    <w:name w:val="List 2"/>
    <w:basedOn w:val="18"/>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3">
    <w:name w:val="List Continue"/>
    <w:basedOn w:val="18"/>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4">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5">
    <w:name w:val="List Bullet 2"/>
    <w:basedOn w:val="23"/>
    <w:qFormat/>
    <w:uiPriority w:val="0"/>
    <w:pPr>
      <w:ind w:left="1080"/>
    </w:pPr>
  </w:style>
  <w:style w:type="paragraph" w:styleId="46">
    <w:name w:val="toc 3"/>
    <w:basedOn w:val="1"/>
    <w:next w:val="1"/>
    <w:semiHidden/>
    <w:qFormat/>
    <w:uiPriority w:val="0"/>
    <w:pPr>
      <w:ind w:left="840" w:leftChars="400"/>
    </w:pPr>
  </w:style>
  <w:style w:type="paragraph" w:styleId="47">
    <w:name w:val="Plain Text"/>
    <w:basedOn w:val="1"/>
    <w:next w:val="1"/>
    <w:link w:val="85"/>
    <w:qFormat/>
    <w:uiPriority w:val="0"/>
    <w:rPr>
      <w:rFonts w:ascii="宋体" w:hAnsi="Courier New" w:cs="Courier New"/>
      <w:szCs w:val="21"/>
    </w:rPr>
  </w:style>
  <w:style w:type="paragraph" w:styleId="48">
    <w:name w:val="List Bullet 5"/>
    <w:basedOn w:val="23"/>
    <w:qFormat/>
    <w:uiPriority w:val="0"/>
    <w:pPr>
      <w:ind w:left="2160"/>
    </w:pPr>
  </w:style>
  <w:style w:type="paragraph" w:styleId="49">
    <w:name w:val="List Number 4"/>
    <w:basedOn w:val="20"/>
    <w:qFormat/>
    <w:uiPriority w:val="0"/>
    <w:pPr>
      <w:ind w:left="1800"/>
    </w:pPr>
  </w:style>
  <w:style w:type="paragraph" w:styleId="50">
    <w:name w:val="Date"/>
    <w:basedOn w:val="1"/>
    <w:next w:val="1"/>
    <w:link w:val="86"/>
    <w:qFormat/>
    <w:uiPriority w:val="0"/>
    <w:pPr>
      <w:ind w:left="100" w:leftChars="2500"/>
    </w:pPr>
    <w:rPr>
      <w:b/>
      <w:spacing w:val="40"/>
      <w:sz w:val="44"/>
      <w:szCs w:val="44"/>
    </w:rPr>
  </w:style>
  <w:style w:type="paragraph" w:styleId="51">
    <w:name w:val="Body Text Indent 2"/>
    <w:basedOn w:val="1"/>
    <w:qFormat/>
    <w:uiPriority w:val="0"/>
    <w:pPr>
      <w:spacing w:after="120" w:line="480" w:lineRule="auto"/>
      <w:ind w:left="420" w:leftChars="200"/>
    </w:pPr>
  </w:style>
  <w:style w:type="paragraph" w:styleId="52">
    <w:name w:val="List Continue 5"/>
    <w:basedOn w:val="43"/>
    <w:qFormat/>
    <w:uiPriority w:val="0"/>
    <w:pPr>
      <w:ind w:left="2160"/>
    </w:pPr>
  </w:style>
  <w:style w:type="paragraph" w:styleId="53">
    <w:name w:val="Balloon Text"/>
    <w:basedOn w:val="1"/>
    <w:semiHidden/>
    <w:qFormat/>
    <w:uiPriority w:val="0"/>
    <w:rPr>
      <w:sz w:val="18"/>
      <w:szCs w:val="18"/>
    </w:rPr>
  </w:style>
  <w:style w:type="paragraph" w:styleId="54">
    <w:name w:val="footer"/>
    <w:basedOn w:val="1"/>
    <w:next w:val="1"/>
    <w:link w:val="87"/>
    <w:qFormat/>
    <w:uiPriority w:val="99"/>
    <w:pPr>
      <w:tabs>
        <w:tab w:val="center" w:pos="4153"/>
        <w:tab w:val="right" w:pos="8306"/>
      </w:tabs>
      <w:snapToGrid w:val="0"/>
      <w:jc w:val="left"/>
    </w:pPr>
    <w:rPr>
      <w:sz w:val="18"/>
      <w:szCs w:val="18"/>
    </w:rPr>
  </w:style>
  <w:style w:type="paragraph" w:styleId="5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6">
    <w:name w:val="toc 1"/>
    <w:basedOn w:val="1"/>
    <w:next w:val="1"/>
    <w:semiHidden/>
    <w:qFormat/>
    <w:uiPriority w:val="0"/>
  </w:style>
  <w:style w:type="paragraph" w:styleId="57">
    <w:name w:val="List Continue 4"/>
    <w:basedOn w:val="43"/>
    <w:qFormat/>
    <w:uiPriority w:val="0"/>
    <w:pPr>
      <w:ind w:left="1800"/>
    </w:pPr>
  </w:style>
  <w:style w:type="paragraph" w:styleId="58">
    <w:name w:val="index heading"/>
    <w:basedOn w:val="1"/>
    <w:next w:val="59"/>
    <w:qFormat/>
    <w:uiPriority w:val="0"/>
  </w:style>
  <w:style w:type="paragraph" w:styleId="59">
    <w:name w:val="index 1"/>
    <w:basedOn w:val="1"/>
    <w:next w:val="1"/>
    <w:qFormat/>
    <w:uiPriority w:val="0"/>
    <w:pPr>
      <w:spacing w:line="240" w:lineRule="auto"/>
      <w:ind w:left="0" w:right="0" w:firstLine="0" w:firstLineChars="0"/>
    </w:pPr>
    <w:rPr>
      <w:rFonts w:ascii="Calibri" w:hAnsi="Calibri" w:cs="Calibri"/>
      <w:szCs w:val="21"/>
    </w:rPr>
  </w:style>
  <w:style w:type="paragraph" w:styleId="60">
    <w:name w:val="List Number 5"/>
    <w:basedOn w:val="20"/>
    <w:qFormat/>
    <w:uiPriority w:val="0"/>
    <w:pPr>
      <w:ind w:left="2160"/>
    </w:pPr>
  </w:style>
  <w:style w:type="paragraph" w:styleId="61">
    <w:name w:val="footnote text"/>
    <w:basedOn w:val="1"/>
    <w:qFormat/>
    <w:uiPriority w:val="99"/>
    <w:pPr>
      <w:adjustRightInd w:val="0"/>
      <w:spacing w:line="312" w:lineRule="atLeast"/>
      <w:jc w:val="left"/>
      <w:textAlignment w:val="baseline"/>
    </w:pPr>
    <w:rPr>
      <w:kern w:val="0"/>
      <w:sz w:val="18"/>
      <w:szCs w:val="20"/>
    </w:rPr>
  </w:style>
  <w:style w:type="paragraph" w:styleId="62">
    <w:name w:val="toc 6"/>
    <w:basedOn w:val="1"/>
    <w:next w:val="1"/>
    <w:qFormat/>
    <w:uiPriority w:val="0"/>
    <w:pPr>
      <w:ind w:left="1400"/>
    </w:pPr>
    <w:rPr>
      <w:rFonts w:ascii="Calibri"/>
      <w:sz w:val="18"/>
      <w:szCs w:val="18"/>
    </w:rPr>
  </w:style>
  <w:style w:type="paragraph" w:styleId="63">
    <w:name w:val="List 5"/>
    <w:basedOn w:val="18"/>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4">
    <w:name w:val="Body Text Indent 3"/>
    <w:basedOn w:val="1"/>
    <w:qFormat/>
    <w:uiPriority w:val="0"/>
    <w:pPr>
      <w:spacing w:after="120"/>
      <w:ind w:left="420" w:leftChars="200"/>
    </w:pPr>
    <w:rPr>
      <w:sz w:val="16"/>
      <w:szCs w:val="16"/>
    </w:rPr>
  </w:style>
  <w:style w:type="paragraph" w:styleId="65">
    <w:name w:val="toc 2"/>
    <w:basedOn w:val="1"/>
    <w:next w:val="1"/>
    <w:semiHidden/>
    <w:qFormat/>
    <w:uiPriority w:val="0"/>
    <w:pPr>
      <w:ind w:left="420" w:leftChars="200"/>
    </w:pPr>
  </w:style>
  <w:style w:type="paragraph" w:styleId="66">
    <w:name w:val="Body Text 2"/>
    <w:basedOn w:val="1"/>
    <w:qFormat/>
    <w:uiPriority w:val="0"/>
    <w:pPr>
      <w:spacing w:after="120" w:line="480" w:lineRule="auto"/>
    </w:pPr>
  </w:style>
  <w:style w:type="paragraph" w:styleId="67">
    <w:name w:val="List 4"/>
    <w:basedOn w:val="18"/>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8">
    <w:name w:val="List Continue 2"/>
    <w:basedOn w:val="43"/>
    <w:qFormat/>
    <w:uiPriority w:val="0"/>
    <w:pPr>
      <w:ind w:left="1080"/>
    </w:pPr>
  </w:style>
  <w:style w:type="paragraph" w:styleId="6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0">
    <w:name w:val="List Continue 3"/>
    <w:basedOn w:val="43"/>
    <w:qFormat/>
    <w:uiPriority w:val="0"/>
    <w:pPr>
      <w:ind w:left="1440"/>
    </w:pPr>
  </w:style>
  <w:style w:type="paragraph" w:styleId="71">
    <w:name w:val="annotation subject"/>
    <w:basedOn w:val="29"/>
    <w:next w:val="29"/>
    <w:link w:val="88"/>
    <w:qFormat/>
    <w:uiPriority w:val="0"/>
    <w:rPr>
      <w:b/>
      <w:bCs/>
    </w:rPr>
  </w:style>
  <w:style w:type="table" w:styleId="73">
    <w:name w:val="Table Grid"/>
    <w:basedOn w:val="7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5">
    <w:name w:val="Strong"/>
    <w:basedOn w:val="74"/>
    <w:qFormat/>
    <w:uiPriority w:val="0"/>
    <w:rPr>
      <w:b/>
    </w:rPr>
  </w:style>
  <w:style w:type="character" w:styleId="76">
    <w:name w:val="page number"/>
    <w:basedOn w:val="74"/>
    <w:qFormat/>
    <w:uiPriority w:val="0"/>
  </w:style>
  <w:style w:type="character" w:styleId="77">
    <w:name w:val="Emphasis"/>
    <w:qFormat/>
    <w:uiPriority w:val="0"/>
    <w:rPr>
      <w:caps/>
      <w:sz w:val="18"/>
    </w:rPr>
  </w:style>
  <w:style w:type="character" w:styleId="78">
    <w:name w:val="line number"/>
    <w:qFormat/>
    <w:uiPriority w:val="0"/>
    <w:rPr>
      <w:rFonts w:ascii="Garamond" w:hAnsi="Garamond"/>
      <w:sz w:val="21"/>
    </w:rPr>
  </w:style>
  <w:style w:type="character" w:styleId="79">
    <w:name w:val="Hyperlink"/>
    <w:qFormat/>
    <w:uiPriority w:val="0"/>
    <w:rPr>
      <w:color w:val="0000FF"/>
      <w:u w:val="single"/>
    </w:rPr>
  </w:style>
  <w:style w:type="character" w:styleId="80">
    <w:name w:val="annotation reference"/>
    <w:qFormat/>
    <w:uiPriority w:val="0"/>
    <w:rPr>
      <w:sz w:val="21"/>
      <w:szCs w:val="21"/>
    </w:rPr>
  </w:style>
  <w:style w:type="character" w:customStyle="1" w:styleId="81">
    <w:name w:val="标题 1 Char"/>
    <w:link w:val="7"/>
    <w:qFormat/>
    <w:uiPriority w:val="0"/>
    <w:rPr>
      <w:rFonts w:ascii="Times New Roman" w:hAnsi="Times New Roman"/>
      <w:b/>
      <w:kern w:val="44"/>
      <w:sz w:val="32"/>
    </w:rPr>
  </w:style>
  <w:style w:type="character" w:customStyle="1" w:styleId="82">
    <w:name w:val="标题 3 字符"/>
    <w:basedOn w:val="74"/>
    <w:link w:val="9"/>
    <w:qFormat/>
    <w:uiPriority w:val="0"/>
    <w:rPr>
      <w:b/>
      <w:bCs/>
      <w:sz w:val="32"/>
      <w:szCs w:val="32"/>
    </w:rPr>
  </w:style>
  <w:style w:type="character" w:customStyle="1" w:styleId="83">
    <w:name w:val="正文缩进 Char"/>
    <w:link w:val="24"/>
    <w:qFormat/>
    <w:locked/>
    <w:uiPriority w:val="0"/>
    <w:rPr>
      <w:rFonts w:eastAsia="宋体"/>
      <w:kern w:val="2"/>
      <w:sz w:val="24"/>
      <w:lang w:val="en-US" w:eastAsia="zh-CN" w:bidi="ar-SA"/>
    </w:rPr>
  </w:style>
  <w:style w:type="character" w:customStyle="1" w:styleId="84">
    <w:name w:val="批注文字 Char"/>
    <w:link w:val="29"/>
    <w:qFormat/>
    <w:uiPriority w:val="0"/>
    <w:rPr>
      <w:kern w:val="2"/>
      <w:sz w:val="21"/>
      <w:szCs w:val="24"/>
    </w:rPr>
  </w:style>
  <w:style w:type="character" w:customStyle="1" w:styleId="85">
    <w:name w:val="纯文本 Char1"/>
    <w:link w:val="47"/>
    <w:qFormat/>
    <w:uiPriority w:val="0"/>
    <w:rPr>
      <w:rFonts w:ascii="宋体" w:hAnsi="Courier New" w:eastAsia="宋体" w:cs="Courier New"/>
      <w:kern w:val="2"/>
      <w:sz w:val="21"/>
      <w:szCs w:val="21"/>
      <w:lang w:val="en-US" w:eastAsia="zh-CN" w:bidi="ar-SA"/>
    </w:rPr>
  </w:style>
  <w:style w:type="character" w:customStyle="1" w:styleId="86">
    <w:name w:val="日期 Char"/>
    <w:link w:val="50"/>
    <w:qFormat/>
    <w:uiPriority w:val="0"/>
    <w:rPr>
      <w:rFonts w:eastAsia="宋体"/>
      <w:b/>
      <w:spacing w:val="40"/>
      <w:kern w:val="2"/>
      <w:sz w:val="44"/>
      <w:szCs w:val="44"/>
      <w:lang w:val="en-US" w:eastAsia="zh-CN" w:bidi="ar-SA"/>
    </w:rPr>
  </w:style>
  <w:style w:type="character" w:customStyle="1" w:styleId="87">
    <w:name w:val="页脚 Char"/>
    <w:link w:val="54"/>
    <w:qFormat/>
    <w:uiPriority w:val="99"/>
    <w:rPr>
      <w:kern w:val="2"/>
      <w:sz w:val="18"/>
      <w:szCs w:val="18"/>
    </w:rPr>
  </w:style>
  <w:style w:type="character" w:customStyle="1" w:styleId="88">
    <w:name w:val="批注主题 Char"/>
    <w:link w:val="71"/>
    <w:qFormat/>
    <w:uiPriority w:val="0"/>
    <w:rPr>
      <w:b/>
      <w:bCs/>
      <w:kern w:val="2"/>
      <w:sz w:val="21"/>
      <w:szCs w:val="24"/>
    </w:rPr>
  </w:style>
  <w:style w:type="character" w:customStyle="1" w:styleId="8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Char1 Char Char Char Char"/>
    <w:basedOn w:val="1"/>
    <w:qFormat/>
    <w:uiPriority w:val="0"/>
  </w:style>
  <w:style w:type="paragraph" w:customStyle="1" w:styleId="92">
    <w:name w:val="Picture"/>
    <w:basedOn w:val="1"/>
    <w:next w:val="26"/>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93">
    <w:name w:val="段"/>
    <w:next w:val="1"/>
    <w:link w:val="94"/>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94">
    <w:name w:val="段 Char"/>
    <w:link w:val="93"/>
    <w:qFormat/>
    <w:uiPriority w:val="0"/>
    <w:rPr>
      <w:rFonts w:ascii="宋体"/>
      <w:sz w:val="21"/>
      <w:lang w:val="en-US" w:eastAsia="zh-CN" w:bidi="ar-SA"/>
    </w:rPr>
  </w:style>
  <w:style w:type="paragraph" w:customStyle="1" w:styleId="95">
    <w:name w:val="标题 3 + 宋体"/>
    <w:basedOn w:val="8"/>
    <w:qFormat/>
    <w:uiPriority w:val="0"/>
    <w:pPr>
      <w:spacing w:beforeLines="50" w:afterLines="50" w:line="416" w:lineRule="auto"/>
      <w:jc w:val="both"/>
    </w:pPr>
    <w:rPr>
      <w:rFonts w:ascii="宋体" w:hAnsi="宋体" w:cs="Arial"/>
      <w:kern w:val="0"/>
      <w:sz w:val="28"/>
    </w:rPr>
  </w:style>
  <w:style w:type="paragraph" w:customStyle="1" w:styleId="96">
    <w:name w:val="Header First"/>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97">
    <w:name w:val="列出段落21"/>
    <w:basedOn w:val="1"/>
    <w:qFormat/>
    <w:uiPriority w:val="0"/>
    <w:pPr>
      <w:spacing w:line="240" w:lineRule="auto"/>
      <w:ind w:left="0" w:right="0" w:firstLine="420" w:firstLineChars="200"/>
    </w:pPr>
    <w:rPr>
      <w:rFonts w:ascii="Calibri" w:hAnsi="Calibri"/>
      <w:szCs w:val="21"/>
    </w:rPr>
  </w:style>
  <w:style w:type="paragraph" w:customStyle="1" w:styleId="98">
    <w:name w:val="_Style 35"/>
    <w:basedOn w:val="1"/>
    <w:qFormat/>
    <w:uiPriority w:val="0"/>
    <w:pPr>
      <w:widowControl/>
      <w:spacing w:after="160" w:line="240" w:lineRule="exact"/>
      <w:jc w:val="left"/>
    </w:pPr>
    <w:rPr>
      <w:szCs w:val="20"/>
    </w:rPr>
  </w:style>
  <w:style w:type="paragraph" w:customStyle="1" w:styleId="9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1">
    <w:name w:val="Attention Line"/>
    <w:basedOn w:val="1"/>
    <w:next w:val="30"/>
    <w:qFormat/>
    <w:uiPriority w:val="0"/>
    <w:pPr>
      <w:widowControl/>
      <w:spacing w:before="220"/>
      <w:ind w:left="840" w:right="-360"/>
      <w:jc w:val="left"/>
    </w:pPr>
    <w:rPr>
      <w:rFonts w:eastAsia="Times New Roman"/>
      <w:kern w:val="0"/>
      <w:sz w:val="20"/>
      <w:szCs w:val="20"/>
      <w:lang w:eastAsia="en-US"/>
    </w:rPr>
  </w:style>
  <w:style w:type="paragraph" w:customStyle="1" w:styleId="102">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03">
    <w:name w:val="Block Quotation"/>
    <w:basedOn w:val="6"/>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104">
    <w:name w:val="默认段落字体 Para Char Char Char Char Char Char Char"/>
    <w:basedOn w:val="1"/>
    <w:qFormat/>
    <w:uiPriority w:val="0"/>
    <w:rPr>
      <w:rFonts w:ascii="Tahoma" w:hAnsi="Tahoma"/>
      <w:sz w:val="24"/>
      <w:szCs w:val="20"/>
    </w:rPr>
  </w:style>
  <w:style w:type="paragraph" w:customStyle="1" w:styleId="105">
    <w:name w:val="Company Name"/>
    <w:basedOn w:val="6"/>
    <w:next w:val="6"/>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106">
    <w:name w:val="Char1 Char Char Char Char2"/>
    <w:basedOn w:val="1"/>
    <w:qFormat/>
    <w:uiPriority w:val="0"/>
    <w:pPr>
      <w:spacing w:line="240" w:lineRule="auto"/>
      <w:ind w:left="0" w:right="0" w:firstLine="0" w:firstLineChars="0"/>
    </w:pPr>
    <w:rPr>
      <w:szCs w:val="20"/>
    </w:rPr>
  </w:style>
  <w:style w:type="paragraph" w:customStyle="1" w:styleId="107">
    <w:name w:val="Char Char3"/>
    <w:basedOn w:val="1"/>
    <w:qFormat/>
    <w:uiPriority w:val="0"/>
  </w:style>
  <w:style w:type="paragraph" w:customStyle="1" w:styleId="108">
    <w:name w:val="Char Char1 Char"/>
    <w:basedOn w:val="1"/>
    <w:qFormat/>
    <w:uiPriority w:val="0"/>
  </w:style>
  <w:style w:type="paragraph" w:customStyle="1" w:styleId="109">
    <w:name w:val="标题1"/>
    <w:basedOn w:val="1"/>
    <w:qFormat/>
    <w:uiPriority w:val="0"/>
    <w:pPr>
      <w:widowControl/>
      <w:jc w:val="center"/>
    </w:pPr>
    <w:rPr>
      <w:rFonts w:ascii="黑体" w:eastAsia="黑体"/>
      <w:b/>
      <w:kern w:val="0"/>
      <w:sz w:val="44"/>
      <w:szCs w:val="20"/>
    </w:rPr>
  </w:style>
  <w:style w:type="paragraph" w:customStyle="1" w:styleId="110">
    <w:name w:val="Char Char Char Char Char Char1"/>
    <w:basedOn w:val="1"/>
    <w:qFormat/>
    <w:uiPriority w:val="0"/>
    <w:rPr>
      <w:rFonts w:ascii="Tahoma" w:hAnsi="Tahoma"/>
      <w:sz w:val="24"/>
      <w:szCs w:val="20"/>
    </w:rPr>
  </w:style>
  <w:style w:type="paragraph" w:customStyle="1" w:styleId="111">
    <w:name w:val="Subject Line"/>
    <w:basedOn w:val="6"/>
    <w:next w:val="6"/>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12">
    <w:name w:val="xl31"/>
    <w:basedOn w:val="1"/>
    <w:qFormat/>
    <w:uiPriority w:val="0"/>
    <w:pPr>
      <w:widowControl/>
      <w:spacing w:before="100" w:beforeAutospacing="1" w:after="100" w:afterAutospacing="1"/>
      <w:jc w:val="center"/>
    </w:pPr>
    <w:rPr>
      <w:kern w:val="0"/>
      <w:sz w:val="36"/>
      <w:szCs w:val="36"/>
    </w:rPr>
  </w:style>
  <w:style w:type="paragraph" w:customStyle="1" w:styleId="113">
    <w:name w:val="Char Char Char"/>
    <w:basedOn w:val="1"/>
    <w:qFormat/>
    <w:uiPriority w:val="0"/>
    <w:rPr>
      <w:rFonts w:ascii="Tahoma" w:hAnsi="Tahoma"/>
      <w:sz w:val="24"/>
      <w:szCs w:val="20"/>
    </w:rPr>
  </w:style>
  <w:style w:type="paragraph" w:customStyle="1" w:styleId="114">
    <w:name w:val="Inside Address"/>
    <w:basedOn w:val="6"/>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15">
    <w:name w:val="Char Char15 Char Char"/>
    <w:basedOn w:val="1"/>
    <w:qFormat/>
    <w:uiPriority w:val="0"/>
    <w:pPr>
      <w:spacing w:line="240" w:lineRule="auto"/>
      <w:ind w:left="0" w:right="0" w:firstLine="0" w:firstLineChars="0"/>
    </w:pPr>
    <w:rPr>
      <w:szCs w:val="20"/>
    </w:rPr>
  </w:style>
  <w:style w:type="paragraph" w:customStyle="1" w:styleId="116">
    <w:name w:val="Char Char Char1"/>
    <w:basedOn w:val="1"/>
    <w:qFormat/>
    <w:uiPriority w:val="0"/>
    <w:rPr>
      <w:rFonts w:ascii="Tahoma" w:hAnsi="Tahoma"/>
      <w:sz w:val="24"/>
      <w:szCs w:val="20"/>
    </w:rPr>
  </w:style>
  <w:style w:type="paragraph" w:customStyle="1" w:styleId="117">
    <w:name w:val="Char Char1 Char Char Char Char Char Char Char Char Char Char"/>
    <w:basedOn w:val="1"/>
    <w:qFormat/>
    <w:uiPriority w:val="0"/>
    <w:rPr>
      <w:rFonts w:ascii="Tahoma" w:hAnsi="Tahoma"/>
      <w:sz w:val="24"/>
      <w:szCs w:val="20"/>
    </w:rPr>
  </w:style>
  <w:style w:type="paragraph" w:customStyle="1" w:styleId="118">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19">
    <w:name w:val="表格文字"/>
    <w:basedOn w:val="1"/>
    <w:qFormat/>
    <w:uiPriority w:val="0"/>
    <w:pPr>
      <w:spacing w:before="25" w:after="25" w:line="300" w:lineRule="auto"/>
    </w:pPr>
    <w:rPr>
      <w:rFonts w:ascii="Times" w:hAnsi="Times"/>
      <w:spacing w:val="10"/>
      <w:kern w:val="0"/>
      <w:sz w:val="24"/>
      <w:szCs w:val="20"/>
    </w:rPr>
  </w:style>
  <w:style w:type="paragraph" w:customStyle="1" w:styleId="120">
    <w:name w:val="Footnote Base"/>
    <w:basedOn w:val="6"/>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21">
    <w:name w:val="Char1 Char Char Char Char1"/>
    <w:basedOn w:val="1"/>
    <w:qFormat/>
    <w:uiPriority w:val="0"/>
    <w:pPr>
      <w:widowControl/>
      <w:spacing w:after="160" w:line="240" w:lineRule="exact"/>
      <w:jc w:val="left"/>
    </w:pPr>
    <w:rPr>
      <w:szCs w:val="20"/>
    </w:rPr>
  </w:style>
  <w:style w:type="paragraph" w:customStyle="1" w:styleId="122">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23">
    <w:name w:val="Char Char Char Char Char Char"/>
    <w:basedOn w:val="1"/>
    <w:qFormat/>
    <w:uiPriority w:val="0"/>
    <w:rPr>
      <w:rFonts w:ascii="Tahoma" w:hAnsi="Tahoma"/>
      <w:sz w:val="24"/>
      <w:szCs w:val="20"/>
    </w:rPr>
  </w:style>
  <w:style w:type="paragraph" w:customStyle="1" w:styleId="124">
    <w:name w:val="p0"/>
    <w:basedOn w:val="1"/>
    <w:qFormat/>
    <w:uiPriority w:val="0"/>
    <w:pPr>
      <w:widowControl/>
    </w:pPr>
    <w:rPr>
      <w:kern w:val="0"/>
      <w:szCs w:val="21"/>
    </w:rPr>
  </w:style>
  <w:style w:type="paragraph" w:customStyle="1" w:styleId="125">
    <w:name w:val="Char Char7"/>
    <w:basedOn w:val="1"/>
    <w:qFormat/>
    <w:uiPriority w:val="0"/>
    <w:pPr>
      <w:spacing w:line="240" w:lineRule="auto"/>
      <w:ind w:left="0" w:right="0" w:firstLine="0" w:firstLineChars="0"/>
    </w:pPr>
  </w:style>
  <w:style w:type="paragraph" w:customStyle="1" w:styleId="126">
    <w:name w:val="Char1 Char Char"/>
    <w:basedOn w:val="1"/>
    <w:qFormat/>
    <w:uiPriority w:val="0"/>
    <w:pPr>
      <w:widowControl/>
      <w:spacing w:after="160" w:line="240" w:lineRule="exact"/>
      <w:ind w:left="0" w:right="0" w:firstLine="0" w:firstLineChars="0"/>
      <w:jc w:val="left"/>
    </w:pPr>
    <w:rPr>
      <w:szCs w:val="20"/>
    </w:rPr>
  </w:style>
  <w:style w:type="paragraph" w:customStyle="1" w:styleId="127">
    <w:name w:val="Char Char Char Char"/>
    <w:basedOn w:val="1"/>
    <w:qFormat/>
    <w:uiPriority w:val="0"/>
    <w:rPr>
      <w:szCs w:val="20"/>
    </w:rPr>
  </w:style>
  <w:style w:type="paragraph" w:customStyle="1" w:styleId="128">
    <w:name w:val="Char1 Char Char Char Char3"/>
    <w:basedOn w:val="1"/>
    <w:qFormat/>
    <w:uiPriority w:val="0"/>
    <w:rPr>
      <w:szCs w:val="20"/>
    </w:rPr>
  </w:style>
  <w:style w:type="paragraph" w:customStyle="1" w:styleId="129">
    <w:name w:val="列出段落1"/>
    <w:basedOn w:val="1"/>
    <w:qFormat/>
    <w:uiPriority w:val="0"/>
    <w:pPr>
      <w:ind w:firstLine="420" w:firstLineChars="200"/>
    </w:pPr>
    <w:rPr>
      <w:rFonts w:ascii="Calibri" w:hAnsi="Calibri"/>
      <w:szCs w:val="22"/>
    </w:rPr>
  </w:style>
  <w:style w:type="paragraph" w:customStyle="1" w:styleId="130">
    <w:name w:val="Header Odd"/>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1">
    <w:name w:val="Char Char8 Char Char"/>
    <w:basedOn w:val="1"/>
    <w:qFormat/>
    <w:uiPriority w:val="0"/>
    <w:pPr>
      <w:widowControl/>
      <w:spacing w:after="160" w:line="240" w:lineRule="exact"/>
      <w:jc w:val="left"/>
    </w:pPr>
    <w:rPr>
      <w:szCs w:val="20"/>
    </w:rPr>
  </w:style>
  <w:style w:type="paragraph" w:customStyle="1" w:styleId="132">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33">
    <w:name w:val="Header Even"/>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3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5">
    <w:name w:val="Header Base"/>
    <w:basedOn w:val="6"/>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36">
    <w:name w:val="Body Text Keep"/>
    <w:basedOn w:val="6"/>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37">
    <w:name w:val="Char"/>
    <w:basedOn w:val="1"/>
    <w:qFormat/>
    <w:uiPriority w:val="0"/>
    <w:rPr>
      <w:rFonts w:ascii="Tahoma" w:hAnsi="Tahoma"/>
      <w:sz w:val="24"/>
      <w:szCs w:val="20"/>
    </w:rPr>
  </w:style>
  <w:style w:type="paragraph" w:customStyle="1" w:styleId="138">
    <w:name w:val="Char1"/>
    <w:basedOn w:val="1"/>
    <w:qFormat/>
    <w:uiPriority w:val="0"/>
    <w:rPr>
      <w:rFonts w:ascii="Tahoma" w:hAnsi="Tahoma"/>
      <w:sz w:val="24"/>
      <w:szCs w:val="20"/>
    </w:rPr>
  </w:style>
  <w:style w:type="paragraph" w:customStyle="1" w:styleId="139">
    <w:name w:val="正文格式"/>
    <w:basedOn w:val="1"/>
    <w:qFormat/>
    <w:uiPriority w:val="0"/>
    <w:pPr>
      <w:ind w:firstLine="420" w:firstLineChars="200"/>
    </w:pPr>
    <w:rPr>
      <w:sz w:val="28"/>
      <w:szCs w:val="20"/>
    </w:rPr>
  </w:style>
  <w:style w:type="paragraph" w:customStyle="1" w:styleId="140">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41">
    <w:name w:val="题注5"/>
    <w:basedOn w:val="1"/>
    <w:next w:val="26"/>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42">
    <w:name w:val="题注4"/>
    <w:basedOn w:val="1"/>
    <w:next w:val="26"/>
    <w:qFormat/>
    <w:uiPriority w:val="0"/>
    <w:pPr>
      <w:ind w:left="-132" w:leftChars="-64" w:right="-50" w:rightChars="-50" w:hanging="2"/>
      <w:jc w:val="center"/>
    </w:pPr>
    <w:rPr>
      <w:b/>
      <w:color w:val="FF0000"/>
    </w:rPr>
  </w:style>
  <w:style w:type="character" w:customStyle="1" w:styleId="143">
    <w:name w:val="Superscript"/>
    <w:qFormat/>
    <w:uiPriority w:val="0"/>
    <w:rPr>
      <w:vertAlign w:val="superscript"/>
    </w:rPr>
  </w:style>
  <w:style w:type="character" w:customStyle="1" w:styleId="144">
    <w:name w:val="font41"/>
    <w:qFormat/>
    <w:uiPriority w:val="0"/>
    <w:rPr>
      <w:rFonts w:hint="default" w:ascii="Times New Roman" w:hAnsi="Times New Roman" w:cs="Times New Roman"/>
      <w:color w:val="000000"/>
      <w:sz w:val="24"/>
      <w:szCs w:val="24"/>
      <w:u w:val="none"/>
    </w:rPr>
  </w:style>
  <w:style w:type="character" w:customStyle="1" w:styleId="145">
    <w:name w:val="font81"/>
    <w:qFormat/>
    <w:uiPriority w:val="0"/>
    <w:rPr>
      <w:rFonts w:hint="eastAsia" w:ascii="宋体" w:hAnsi="宋体" w:eastAsia="宋体"/>
      <w:color w:val="000000"/>
      <w:sz w:val="22"/>
      <w:szCs w:val="22"/>
      <w:u w:val="none"/>
    </w:rPr>
  </w:style>
  <w:style w:type="character" w:customStyle="1" w:styleId="146">
    <w:name w:val="正文缩进1 Char1"/>
    <w:qFormat/>
    <w:locked/>
    <w:uiPriority w:val="0"/>
    <w:rPr>
      <w:rFonts w:eastAsia="宋体"/>
      <w:sz w:val="21"/>
      <w:lang w:val="en-US" w:eastAsia="zh-CN" w:bidi="ar-SA"/>
    </w:rPr>
  </w:style>
  <w:style w:type="character" w:customStyle="1" w:styleId="147">
    <w:name w:val="font61"/>
    <w:qFormat/>
    <w:uiPriority w:val="0"/>
    <w:rPr>
      <w:rFonts w:hint="eastAsia" w:ascii="宋体" w:hAnsi="宋体" w:eastAsia="宋体"/>
      <w:color w:val="000000"/>
      <w:sz w:val="18"/>
      <w:szCs w:val="18"/>
      <w:u w:val="none"/>
      <w:vertAlign w:val="superscript"/>
    </w:rPr>
  </w:style>
  <w:style w:type="character" w:customStyle="1" w:styleId="148">
    <w:name w:val="普通文字 Char1"/>
    <w:qFormat/>
    <w:uiPriority w:val="0"/>
    <w:rPr>
      <w:rFonts w:ascii="宋体" w:hAnsi="Courier New" w:eastAsia="宋体"/>
      <w:kern w:val="2"/>
      <w:sz w:val="21"/>
      <w:lang w:val="en-US" w:eastAsia="zh-CN" w:bidi="ar-SA"/>
    </w:rPr>
  </w:style>
  <w:style w:type="character" w:customStyle="1" w:styleId="149">
    <w:name w:val="普通文字 Char Char Char"/>
    <w:qFormat/>
    <w:uiPriority w:val="0"/>
    <w:rPr>
      <w:rFonts w:ascii="宋体" w:hAnsi="Courier New" w:eastAsia="宋体"/>
      <w:kern w:val="2"/>
      <w:sz w:val="21"/>
      <w:lang w:val="en-US" w:eastAsia="zh-CN" w:bidi="ar-SA"/>
    </w:rPr>
  </w:style>
  <w:style w:type="character" w:customStyle="1" w:styleId="150">
    <w:name w:val="font71"/>
    <w:qFormat/>
    <w:uiPriority w:val="0"/>
    <w:rPr>
      <w:rFonts w:hint="default" w:ascii="Times New Roman" w:hAnsi="Times New Roman" w:cs="Times New Roman"/>
      <w:color w:val="000000"/>
      <w:sz w:val="24"/>
      <w:szCs w:val="24"/>
      <w:u w:val="none"/>
    </w:rPr>
  </w:style>
  <w:style w:type="character" w:customStyle="1" w:styleId="151">
    <w:name w:val="纯文本 Char"/>
    <w:qFormat/>
    <w:uiPriority w:val="0"/>
    <w:rPr>
      <w:rFonts w:ascii="宋体" w:hAnsi="Courier New" w:eastAsia="宋体" w:cs="Courier New"/>
      <w:kern w:val="2"/>
      <w:sz w:val="21"/>
      <w:szCs w:val="21"/>
      <w:lang w:val="en-US" w:eastAsia="zh-CN" w:bidi="ar-SA"/>
    </w:rPr>
  </w:style>
  <w:style w:type="character" w:customStyle="1" w:styleId="152">
    <w:name w:val="Lead-in Emphasis"/>
    <w:qFormat/>
    <w:uiPriority w:val="0"/>
    <w:rPr>
      <w:caps/>
      <w:sz w:val="18"/>
    </w:rPr>
  </w:style>
  <w:style w:type="character" w:customStyle="1" w:styleId="153">
    <w:name w:val="纯文本 Char Char Char"/>
    <w:qFormat/>
    <w:uiPriority w:val="0"/>
    <w:rPr>
      <w:rFonts w:ascii="宋体" w:hAnsi="Courier New" w:eastAsia="仿宋_GB2312"/>
      <w:kern w:val="2"/>
      <w:sz w:val="30"/>
      <w:lang w:val="en-US" w:eastAsia="zh-CN" w:bidi="ar-SA"/>
    </w:rPr>
  </w:style>
  <w:style w:type="character" w:customStyle="1" w:styleId="154">
    <w:name w:val="Slogan"/>
    <w:qFormat/>
    <w:uiPriority w:val="0"/>
    <w:rPr>
      <w:i/>
      <w:spacing w:val="70"/>
    </w:rPr>
  </w:style>
  <w:style w:type="character" w:customStyle="1" w:styleId="155">
    <w:name w:val="font21"/>
    <w:qFormat/>
    <w:uiPriority w:val="0"/>
    <w:rPr>
      <w:rFonts w:hint="eastAsia" w:ascii="宋体" w:hAnsi="宋体" w:eastAsia="宋体"/>
      <w:color w:val="000000"/>
      <w:sz w:val="24"/>
      <w:szCs w:val="24"/>
      <w:u w:val="none"/>
    </w:rPr>
  </w:style>
  <w:style w:type="character" w:customStyle="1" w:styleId="156">
    <w:name w:val="font91"/>
    <w:qFormat/>
    <w:uiPriority w:val="0"/>
    <w:rPr>
      <w:rFonts w:hint="eastAsia" w:ascii="宋体" w:hAnsi="宋体" w:eastAsia="宋体"/>
      <w:color w:val="000000"/>
      <w:sz w:val="18"/>
      <w:szCs w:val="18"/>
      <w:u w:val="none"/>
    </w:rPr>
  </w:style>
  <w:style w:type="character" w:customStyle="1" w:styleId="157">
    <w:name w:val="font01"/>
    <w:basedOn w:val="74"/>
    <w:qFormat/>
    <w:uiPriority w:val="0"/>
    <w:rPr>
      <w:rFonts w:hint="eastAsia" w:ascii="宋体" w:hAnsi="宋体" w:eastAsia="宋体"/>
      <w:color w:val="000000"/>
      <w:sz w:val="24"/>
      <w:szCs w:val="24"/>
      <w:u w:val="none"/>
    </w:rPr>
  </w:style>
  <w:style w:type="character" w:customStyle="1" w:styleId="158">
    <w:name w:val="font51"/>
    <w:qFormat/>
    <w:uiPriority w:val="0"/>
    <w:rPr>
      <w:rFonts w:hint="eastAsia" w:ascii="宋体" w:hAnsi="宋体" w:eastAsia="宋体"/>
      <w:color w:val="000000"/>
      <w:sz w:val="18"/>
      <w:szCs w:val="18"/>
      <w:u w:val="none"/>
    </w:rPr>
  </w:style>
  <w:style w:type="character" w:customStyle="1" w:styleId="159">
    <w:name w:val="font11"/>
    <w:basedOn w:val="74"/>
    <w:qFormat/>
    <w:uiPriority w:val="0"/>
    <w:rPr>
      <w:rFonts w:hint="eastAsia" w:ascii="宋体" w:hAnsi="宋体" w:eastAsia="宋体" w:cs="宋体"/>
      <w:color w:val="000000"/>
      <w:sz w:val="20"/>
      <w:szCs w:val="20"/>
      <w:u w:val="none"/>
    </w:rPr>
  </w:style>
  <w:style w:type="paragraph" w:customStyle="1" w:styleId="160">
    <w:name w:val="Default Text"/>
    <w:link w:val="1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1">
    <w:name w:val="Default Text Char Char"/>
    <w:link w:val="160"/>
    <w:qFormat/>
    <w:uiPriority w:val="0"/>
    <w:rPr>
      <w:rFonts w:ascii="Times New Roman" w:hAnsi="Times New Roman"/>
      <w:color w:val="000000"/>
      <w:sz w:val="24"/>
      <w:szCs w:val="24"/>
    </w:rPr>
  </w:style>
  <w:style w:type="paragraph" w:customStyle="1" w:styleId="162">
    <w:name w:val="样式1"/>
    <w:basedOn w:val="1"/>
    <w:qFormat/>
    <w:uiPriority w:val="0"/>
    <w:pPr>
      <w:tabs>
        <w:tab w:val="left" w:pos="709"/>
      </w:tabs>
      <w:spacing w:line="240" w:lineRule="auto"/>
      <w:ind w:left="709" w:hanging="709"/>
    </w:pPr>
    <w:rPr>
      <w:rFonts w:ascii="宋体" w:hAnsi="宋体"/>
      <w:szCs w:val="21"/>
    </w:rPr>
  </w:style>
  <w:style w:type="paragraph" w:customStyle="1" w:styleId="163">
    <w:name w:val="子标题"/>
    <w:basedOn w:val="1"/>
    <w:qFormat/>
    <w:uiPriority w:val="0"/>
    <w:pPr>
      <w:ind w:firstLine="200" w:firstLineChars="200"/>
      <w:jc w:val="center"/>
    </w:pPr>
    <w:rPr>
      <w:rFonts w:eastAsia="新宋体"/>
      <w:sz w:val="28"/>
    </w:rPr>
  </w:style>
  <w:style w:type="paragraph" w:customStyle="1" w:styleId="164">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5">
    <w:name w:val="List Paragraph"/>
    <w:basedOn w:val="1"/>
    <w:unhideWhenUsed/>
    <w:qFormat/>
    <w:uiPriority w:val="99"/>
    <w:pPr>
      <w:ind w:firstLine="420" w:firstLineChars="200"/>
    </w:pPr>
  </w:style>
  <w:style w:type="paragraph" w:customStyle="1" w:styleId="166">
    <w:name w:val="Body text|1"/>
    <w:basedOn w:val="1"/>
    <w:qFormat/>
    <w:uiPriority w:val="0"/>
    <w:pPr>
      <w:widowControl w:val="0"/>
      <w:shd w:val="clear" w:color="auto" w:fill="auto"/>
      <w:spacing w:line="473" w:lineRule="auto"/>
      <w:ind w:firstLine="360"/>
    </w:pPr>
    <w:rPr>
      <w:rFonts w:ascii="宋体" w:hAnsi="宋体" w:eastAsia="宋体" w:cs="宋体"/>
      <w:sz w:val="19"/>
      <w:szCs w:val="19"/>
      <w:u w:val="none"/>
      <w:shd w:val="clear" w:color="auto" w:fill="auto"/>
      <w:lang w:val="zh-TW" w:eastAsia="zh-TW" w:bidi="zh-TW"/>
    </w:rPr>
  </w:style>
  <w:style w:type="paragraph" w:customStyle="1" w:styleId="167">
    <w:name w:val="WPSOffice手动目录 1"/>
    <w:qFormat/>
    <w:uiPriority w:val="0"/>
    <w:pPr>
      <w:ind w:leftChars="0"/>
    </w:pPr>
    <w:rPr>
      <w:rFonts w:ascii="Times New Roman" w:hAnsi="Times New Roman" w:eastAsia="宋体" w:cs="Times New Roman"/>
      <w:sz w:val="20"/>
      <w:szCs w:val="20"/>
    </w:rPr>
  </w:style>
  <w:style w:type="paragraph" w:customStyle="1" w:styleId="1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9">
    <w:name w:val="样式 左侧:  0.74 厘米"/>
    <w:basedOn w:val="1"/>
    <w:qFormat/>
    <w:uiPriority w:val="0"/>
    <w:pPr>
      <w:spacing w:line="360" w:lineRule="auto"/>
      <w:ind w:left="620" w:hanging="200" w:hangingChars="200"/>
    </w:pPr>
    <w:rPr>
      <w:rFonts w:ascii="Times New Roman" w:hAnsi="Times New Roman"/>
      <w:kern w:val="0"/>
      <w:sz w:val="20"/>
      <w:szCs w:val="20"/>
    </w:rPr>
  </w:style>
  <w:style w:type="paragraph" w:customStyle="1" w:styleId="170">
    <w:name w:val="正文缩进1"/>
    <w:basedOn w:val="1"/>
    <w:qFormat/>
    <w:uiPriority w:val="0"/>
    <w:pPr>
      <w:autoSpaceDE w:val="0"/>
      <w:autoSpaceDN w:val="0"/>
      <w:adjustRightInd w:val="0"/>
      <w:ind w:firstLine="420"/>
      <w:jc w:val="left"/>
    </w:pPr>
    <w:rPr>
      <w:rFonts w:ascii="宋体" w:hAnsi="Calibri" w:eastAsia="宋体" w:cs="Times New Roman"/>
      <w:sz w:val="24"/>
      <w:szCs w:val="22"/>
    </w:rPr>
  </w:style>
  <w:style w:type="paragraph" w:customStyle="1" w:styleId="171">
    <w:name w:val="章节题目"/>
    <w:basedOn w:val="172"/>
    <w:next w:val="1"/>
    <w:unhideWhenUsed/>
    <w:qFormat/>
    <w:uiPriority w:val="0"/>
    <w:pPr>
      <w:spacing w:before="720" w:after="400" w:line="540" w:lineRule="atLeast"/>
      <w:ind w:right="2160"/>
    </w:pPr>
    <w:rPr>
      <w:rFonts w:hint="eastAsia" w:ascii="Times New Roman" w:hAnsi="Times New Roman" w:eastAsia="Times New Roman"/>
      <w:spacing w:val="-40"/>
      <w:sz w:val="60"/>
    </w:rPr>
  </w:style>
  <w:style w:type="paragraph" w:customStyle="1" w:styleId="172">
    <w:name w:val="基准标题"/>
    <w:basedOn w:val="1"/>
    <w:next w:val="6"/>
    <w:unhideWhenUsed/>
    <w:qFormat/>
    <w:uiPriority w:val="0"/>
    <w:pPr>
      <w:keepNext/>
      <w:keepLines/>
      <w:spacing w:before="140" w:line="220" w:lineRule="atLeast"/>
    </w:pPr>
    <w:rPr>
      <w:rFonts w:hint="default" w:ascii="Arial" w:hAnsi="Arial" w:eastAsia="宋体"/>
      <w:spacing w:val="-4"/>
      <w:kern w:val="28"/>
      <w:sz w:val="22"/>
    </w:rPr>
  </w:style>
  <w:style w:type="paragraph" w:customStyle="1" w:styleId="17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174">
    <w:name w:val="Table Normal"/>
    <w:unhideWhenUsed/>
    <w:qFormat/>
    <w:uiPriority w:val="0"/>
    <w:tblPr>
      <w:tblCellMar>
        <w:top w:w="0" w:type="dxa"/>
        <w:left w:w="0" w:type="dxa"/>
        <w:bottom w:w="0" w:type="dxa"/>
        <w:right w:w="0" w:type="dxa"/>
      </w:tblCellMar>
    </w:tblPr>
  </w:style>
  <w:style w:type="paragraph" w:customStyle="1" w:styleId="175">
    <w:name w:val="WPSOffice手动目录 2"/>
    <w:qFormat/>
    <w:uiPriority w:val="0"/>
    <w:pPr>
      <w:ind w:leftChars="200"/>
    </w:pPr>
    <w:rPr>
      <w:rFonts w:ascii="Times New Roman" w:hAnsi="Times New Roman" w:eastAsia="宋体" w:cs="Times New Roman"/>
      <w:sz w:val="20"/>
      <w:szCs w:val="20"/>
    </w:rPr>
  </w:style>
  <w:style w:type="paragraph" w:customStyle="1" w:styleId="176">
    <w:name w:val="WPSOffice手动目录 3"/>
    <w:qFormat/>
    <w:uiPriority w:val="0"/>
    <w:pPr>
      <w:ind w:leftChars="400"/>
    </w:pPr>
    <w:rPr>
      <w:rFonts w:ascii="Times New Roman" w:hAnsi="Times New Roman" w:eastAsia="宋体" w:cs="Times New Roman"/>
      <w:sz w:val="20"/>
      <w:szCs w:val="20"/>
    </w:rPr>
  </w:style>
  <w:style w:type="paragraph" w:customStyle="1" w:styleId="177">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178">
    <w:name w:val="样式 首行缩进:  2 字符"/>
    <w:basedOn w:val="1"/>
    <w:qFormat/>
    <w:uiPriority w:val="0"/>
    <w:pPr>
      <w:spacing w:line="400" w:lineRule="exact"/>
      <w:ind w:firstLine="200" w:firstLineChars="200"/>
    </w:pPr>
    <w:rPr>
      <w:rFonts w:cs="宋体"/>
      <w:sz w:val="24"/>
      <w:szCs w:val="24"/>
    </w:rPr>
  </w:style>
  <w:style w:type="paragraph" w:customStyle="1" w:styleId="179">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80">
    <w:name w:val="表格文字2"/>
    <w:basedOn w:val="181"/>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81">
    <w:name w:val="正文1"/>
    <w:basedOn w:val="1"/>
    <w:qFormat/>
    <w:uiPriority w:val="0"/>
    <w:pPr>
      <w:spacing w:after="120" w:line="360" w:lineRule="auto"/>
      <w:ind w:firstLine="425"/>
    </w:pPr>
    <w:rPr>
      <w:rFonts w:ascii="Arial" w:hAnsi="Arial"/>
      <w:spacing w:val="8"/>
      <w:sz w:val="24"/>
      <w:szCs w:val="20"/>
    </w:rPr>
  </w:style>
  <w:style w:type="character" w:customStyle="1" w:styleId="182">
    <w:name w:val="正文文字 Char1"/>
    <w:link w:val="183"/>
    <w:qFormat/>
    <w:uiPriority w:val="0"/>
    <w:rPr>
      <w:rFonts w:ascii="宋体"/>
      <w:color w:val="000000"/>
      <w:kern w:val="0"/>
      <w:sz w:val="28"/>
    </w:rPr>
  </w:style>
  <w:style w:type="paragraph" w:customStyle="1" w:styleId="183">
    <w:name w:val="正文文字"/>
    <w:basedOn w:val="1"/>
    <w:link w:val="182"/>
    <w:qFormat/>
    <w:uiPriority w:val="0"/>
    <w:pPr>
      <w:widowControl/>
      <w:spacing w:line="2375" w:lineRule="atLeast"/>
      <w:ind w:firstLine="419"/>
      <w:textAlignment w:val="baseline"/>
    </w:pPr>
    <w:rPr>
      <w:rFonts w:ascii="宋体"/>
      <w:color w:val="000000"/>
      <w:kern w:val="0"/>
      <w:sz w:val="28"/>
    </w:rPr>
  </w:style>
  <w:style w:type="paragraph" w:customStyle="1" w:styleId="184">
    <w:name w:val="图例"/>
    <w:basedOn w:val="1"/>
    <w:qFormat/>
    <w:uiPriority w:val="0"/>
    <w:pPr>
      <w:spacing w:before="120" w:after="120" w:line="360" w:lineRule="auto"/>
      <w:jc w:val="center"/>
    </w:pPr>
    <w:rPr>
      <w:rFonts w:eastAsia="仿宋_GB2312"/>
      <w:b/>
      <w:sz w:val="24"/>
      <w:szCs w:val="20"/>
    </w:rPr>
  </w:style>
  <w:style w:type="character" w:customStyle="1" w:styleId="185">
    <w:name w:val="fontstyle01"/>
    <w:basedOn w:val="74"/>
    <w:qFormat/>
    <w:uiPriority w:val="0"/>
    <w:rPr>
      <w:rFonts w:hint="eastAsia" w:ascii="仿宋_GB2312" w:eastAsia="仿宋_GB2312"/>
      <w:color w:val="000000"/>
      <w:sz w:val="28"/>
      <w:szCs w:val="28"/>
    </w:rPr>
  </w:style>
  <w:style w:type="paragraph" w:customStyle="1" w:styleId="186">
    <w:name w:val="索引 11"/>
    <w:basedOn w:val="1"/>
    <w:next w:val="1"/>
    <w:qFormat/>
    <w:uiPriority w:val="0"/>
    <w:pPr>
      <w:spacing w:line="360" w:lineRule="auto"/>
    </w:pPr>
    <w:rPr>
      <w:rFonts w:ascii="仿宋_GB2312" w:eastAsia="仿宋_GB2312"/>
      <w:sz w:val="24"/>
      <w:szCs w:val="20"/>
    </w:rPr>
  </w:style>
  <w:style w:type="paragraph" w:customStyle="1" w:styleId="187">
    <w:name w:val="纯文本1"/>
    <w:basedOn w:val="1"/>
    <w:qFormat/>
    <w:uiPriority w:val="0"/>
    <w:rPr>
      <w:rFonts w:ascii="宋体" w:hAnsi="Courier New"/>
      <w:kern w:val="0"/>
      <w:sz w:val="20"/>
      <w:szCs w:val="20"/>
    </w:rPr>
  </w:style>
  <w:style w:type="paragraph" w:customStyle="1" w:styleId="188">
    <w:name w:val="Table Paragraph"/>
    <w:basedOn w:val="1"/>
    <w:qFormat/>
    <w:uiPriority w:val="1"/>
    <w:rPr>
      <w:rFonts w:ascii="仿宋" w:hAnsi="仿宋" w:eastAsia="仿宋" w:cs="仿宋"/>
      <w:lang w:val="zh-CN" w:eastAsia="zh-CN" w:bidi="zh-CN"/>
    </w:rPr>
  </w:style>
  <w:style w:type="paragraph" w:customStyle="1" w:styleId="18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WPS Plain"/>
    <w:qFormat/>
    <w:uiPriority w:val="99"/>
    <w:rPr>
      <w:rFonts w:ascii="Times New Roman" w:hAnsi="Times New Roman" w:eastAsia="宋体" w:cs="Times New Roman"/>
      <w:lang w:val="en-US" w:eastAsia="zh-CN" w:bidi="ar-SA"/>
    </w:rPr>
  </w:style>
  <w:style w:type="paragraph" w:styleId="191">
    <w:name w:val="No Spacing"/>
    <w:basedOn w:val="1"/>
    <w:qFormat/>
    <w:uiPriority w:val="0"/>
    <w:rPr>
      <w:szCs w:val="22"/>
    </w:rPr>
  </w:style>
  <w:style w:type="paragraph" w:customStyle="1" w:styleId="192">
    <w:name w:val="正文文本_1_0"/>
    <w:basedOn w:val="193"/>
    <w:qFormat/>
    <w:uiPriority w:val="0"/>
    <w:rPr>
      <w:rFonts w:ascii="Calibri" w:hAnsi="Calibri" w:eastAsia="黑体" w:cs="Times New Roman"/>
      <w:sz w:val="36"/>
    </w:rPr>
  </w:style>
  <w:style w:type="paragraph" w:customStyle="1" w:styleId="193">
    <w:name w:val="正文_2_0"/>
    <w:next w:val="194"/>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94">
    <w:name w:val="表格文字_1_0"/>
    <w:basedOn w:val="193"/>
    <w:qFormat/>
    <w:uiPriority w:val="0"/>
    <w:pPr>
      <w:adjustRightInd w:val="0"/>
      <w:spacing w:line="420" w:lineRule="atLeast"/>
      <w:jc w:val="left"/>
    </w:pPr>
    <w:rPr>
      <w:rFonts w:ascii="Calibri" w:hAnsi="Calibri" w:eastAsia="宋体" w:cs="Times New Roman"/>
      <w:kern w:val="0"/>
      <w:szCs w:val="20"/>
    </w:rPr>
  </w:style>
  <w:style w:type="character" w:customStyle="1" w:styleId="195">
    <w:name w:val="font31"/>
    <w:basedOn w:val="74"/>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242</Pages>
  <Words>97150</Words>
  <Characters>109120</Characters>
  <Lines>167</Lines>
  <Paragraphs>47</Paragraphs>
  <TotalTime>50</TotalTime>
  <ScaleCrop>false</ScaleCrop>
  <LinksUpToDate>false</LinksUpToDate>
  <CharactersWithSpaces>118558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阿强</cp:lastModifiedBy>
  <cp:lastPrinted>2022-08-09T09:20:00Z</cp:lastPrinted>
  <dcterms:modified xsi:type="dcterms:W3CDTF">2023-09-26T03:47:18Z</dcterms:modified>
  <dc:title>2017年中山市政府绩效管理咨询服务项目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B7EBA038D41A4CA59CF0C62FD9CD8F09_13</vt:lpwstr>
  </property>
</Properties>
</file>